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B2F2" w14:textId="1E322C50" w:rsidR="00C26073" w:rsidRDefault="00C26073" w:rsidP="00C26073">
      <w:pPr>
        <w:spacing w:before="0" w:after="0"/>
        <w:rPr>
          <w:rFonts w:cs="Calibri"/>
          <w:color w:val="FF0000"/>
        </w:rPr>
      </w:pPr>
      <w:r w:rsidRPr="00863A3C">
        <w:rPr>
          <w:rFonts w:cs="Calibri"/>
          <w:color w:val="FF0000"/>
        </w:rPr>
        <w:t>An addendum to th</w:t>
      </w:r>
      <w:r>
        <w:rPr>
          <w:rFonts w:cs="Calibri"/>
          <w:color w:val="FF0000"/>
        </w:rPr>
        <w:t>i</w:t>
      </w:r>
      <w:r w:rsidRPr="00863A3C">
        <w:rPr>
          <w:rFonts w:cs="Calibri"/>
          <w:color w:val="FF0000"/>
        </w:rPr>
        <w:t xml:space="preserve">s </w:t>
      </w:r>
      <w:r>
        <w:rPr>
          <w:rFonts w:cs="Calibri"/>
          <w:color w:val="FF0000"/>
        </w:rPr>
        <w:t>public summary document</w:t>
      </w:r>
      <w:r w:rsidRPr="00863A3C">
        <w:rPr>
          <w:rFonts w:cs="Calibri"/>
          <w:color w:val="FF0000"/>
        </w:rPr>
        <w:t xml:space="preserve"> has been included at the end of the document</w:t>
      </w:r>
      <w:r>
        <w:rPr>
          <w:rFonts w:cs="Calibri"/>
          <w:color w:val="FF0000"/>
        </w:rPr>
        <w:t>.</w:t>
      </w:r>
    </w:p>
    <w:p w14:paraId="170304D3" w14:textId="77777777" w:rsidR="00C26073" w:rsidRDefault="00C26073" w:rsidP="00C26073">
      <w:pPr>
        <w:spacing w:before="0" w:after="0"/>
        <w:rPr>
          <w:rFonts w:cs="Calibri"/>
          <w:color w:val="FF0000"/>
        </w:rPr>
      </w:pPr>
    </w:p>
    <w:p w14:paraId="3EE57B37" w14:textId="0FD51E7A" w:rsidR="001861F8" w:rsidRPr="006F283B" w:rsidRDefault="001861F8" w:rsidP="001861F8">
      <w:pPr>
        <w:pStyle w:val="OutlineHeading1"/>
        <w:tabs>
          <w:tab w:val="left" w:pos="993"/>
        </w:tabs>
        <w:spacing w:before="0" w:after="0" w:line="240" w:lineRule="auto"/>
        <w:rPr>
          <w:rFonts w:cstheme="minorHAnsi"/>
          <w:sz w:val="36"/>
          <w:szCs w:val="36"/>
        </w:rPr>
      </w:pPr>
      <w:r w:rsidRPr="00CB6573">
        <w:rPr>
          <w:rFonts w:cstheme="minorHAnsi"/>
          <w:sz w:val="36"/>
          <w:szCs w:val="36"/>
        </w:rPr>
        <w:t>6.14</w:t>
      </w:r>
      <w:r w:rsidRPr="00CB6573">
        <w:rPr>
          <w:rFonts w:cstheme="minorHAnsi"/>
          <w:sz w:val="36"/>
          <w:szCs w:val="36"/>
        </w:rPr>
        <w:tab/>
        <w:t>NI</w:t>
      </w:r>
      <w:r w:rsidRPr="006F283B">
        <w:rPr>
          <w:rFonts w:cstheme="minorHAnsi"/>
          <w:sz w:val="36"/>
          <w:szCs w:val="36"/>
        </w:rPr>
        <w:t>RAPARIB,</w:t>
      </w:r>
    </w:p>
    <w:p w14:paraId="7B1C5341" w14:textId="77777777" w:rsidR="001861F8" w:rsidRPr="006F283B" w:rsidRDefault="001861F8" w:rsidP="001861F8">
      <w:pPr>
        <w:pStyle w:val="OutlineHeading1"/>
        <w:spacing w:before="0" w:after="0"/>
        <w:ind w:left="273" w:firstLine="720"/>
        <w:rPr>
          <w:rFonts w:cstheme="minorHAnsi"/>
          <w:sz w:val="36"/>
          <w:szCs w:val="36"/>
        </w:rPr>
      </w:pPr>
      <w:r w:rsidRPr="006F283B">
        <w:rPr>
          <w:rFonts w:cstheme="minorHAnsi"/>
          <w:sz w:val="36"/>
          <w:szCs w:val="36"/>
        </w:rPr>
        <w:t>Capsule 100 mg,</w:t>
      </w:r>
    </w:p>
    <w:p w14:paraId="08B2D48F" w14:textId="77777777" w:rsidR="001861F8" w:rsidRPr="006F283B" w:rsidRDefault="001861F8" w:rsidP="001861F8">
      <w:pPr>
        <w:pStyle w:val="OutlineHeading1"/>
        <w:spacing w:before="0" w:after="0"/>
        <w:ind w:left="273" w:firstLine="720"/>
        <w:rPr>
          <w:rFonts w:cstheme="minorHAnsi"/>
          <w:sz w:val="36"/>
          <w:szCs w:val="36"/>
        </w:rPr>
      </w:pPr>
      <w:r w:rsidRPr="006F283B">
        <w:rPr>
          <w:rFonts w:cstheme="minorHAnsi"/>
          <w:sz w:val="36"/>
          <w:szCs w:val="36"/>
        </w:rPr>
        <w:t>Zejula®,</w:t>
      </w:r>
    </w:p>
    <w:p w14:paraId="6A7571BC" w14:textId="2DCCA432" w:rsidR="00E525FE" w:rsidRPr="00C378C0" w:rsidRDefault="001861F8" w:rsidP="00C378C0">
      <w:pPr>
        <w:pStyle w:val="OutlineHeading1"/>
        <w:spacing w:before="0" w:after="0" w:line="240" w:lineRule="auto"/>
        <w:ind w:left="273" w:firstLine="720"/>
        <w:rPr>
          <w:rFonts w:cstheme="minorHAnsi"/>
          <w:sz w:val="36"/>
          <w:szCs w:val="36"/>
        </w:rPr>
      </w:pPr>
      <w:r w:rsidRPr="006F283B">
        <w:rPr>
          <w:rFonts w:cstheme="minorHAnsi"/>
          <w:sz w:val="36"/>
          <w:szCs w:val="36"/>
        </w:rPr>
        <w:t>GlaxoSmithKline Australia Pty Ltd.</w:t>
      </w:r>
      <w:bookmarkStart w:id="0" w:name="_Toc492317071"/>
      <w:bookmarkStart w:id="1" w:name="_Toc413139271"/>
    </w:p>
    <w:p w14:paraId="526FCB9C" w14:textId="77777777" w:rsidR="00843998" w:rsidRPr="006F283B" w:rsidRDefault="00843998" w:rsidP="00C13D60">
      <w:pPr>
        <w:pStyle w:val="PBACESHeading1"/>
      </w:pPr>
      <w:bookmarkStart w:id="2" w:name="_Toc95298214"/>
      <w:bookmarkStart w:id="3" w:name="_Toc123646823"/>
      <w:bookmarkStart w:id="4" w:name="_Toc123646924"/>
      <w:bookmarkStart w:id="5" w:name="_Toc123647159"/>
      <w:bookmarkStart w:id="6" w:name="_Toc124937083"/>
      <w:bookmarkEnd w:id="0"/>
      <w:r w:rsidRPr="006F283B">
        <w:t>Purpose of submission</w:t>
      </w:r>
      <w:bookmarkEnd w:id="1"/>
      <w:bookmarkEnd w:id="2"/>
      <w:bookmarkEnd w:id="3"/>
      <w:bookmarkEnd w:id="4"/>
      <w:bookmarkEnd w:id="5"/>
      <w:bookmarkEnd w:id="6"/>
    </w:p>
    <w:p w14:paraId="25E2F3D1" w14:textId="1545EEE9" w:rsidR="00843998" w:rsidRPr="006F283B" w:rsidRDefault="00843998" w:rsidP="008E1252">
      <w:pPr>
        <w:pStyle w:val="ListParagraph"/>
        <w:spacing w:before="0" w:after="120"/>
        <w:rPr>
          <w:color w:val="auto"/>
        </w:rPr>
      </w:pPr>
      <w:r w:rsidRPr="006F283B">
        <w:t xml:space="preserve">A Category 1 integrated codependent submission requesting MBS listing of homologous recombination deficiency (HRD) testing and General Schedule Authority PBS listing of niraparib </w:t>
      </w:r>
      <w:r w:rsidRPr="006F283B">
        <w:rPr>
          <w:color w:val="auto"/>
        </w:rPr>
        <w:t xml:space="preserve">for maintenance therapy in patients with newly diagnosed advanced epithelial ovarian, fallopian tube or primary peritoneal cancer that is both </w:t>
      </w:r>
      <w:r w:rsidR="007B562D">
        <w:rPr>
          <w:color w:val="auto"/>
        </w:rPr>
        <w:t>HRD positive</w:t>
      </w:r>
      <w:r w:rsidRPr="006F283B">
        <w:rPr>
          <w:color w:val="auto"/>
        </w:rPr>
        <w:t xml:space="preserve"> </w:t>
      </w:r>
      <w:r w:rsidRPr="006F283B">
        <w:rPr>
          <w:rFonts w:cstheme="minorHAnsi"/>
          <w:szCs w:val="24"/>
        </w:rPr>
        <w:t>and breast cancer gene (</w:t>
      </w:r>
      <w:r w:rsidRPr="006F283B">
        <w:rPr>
          <w:i/>
          <w:iCs/>
          <w:color w:val="auto"/>
        </w:rPr>
        <w:t>BRCA</w:t>
      </w:r>
      <w:r w:rsidRPr="006F283B">
        <w:rPr>
          <w:color w:val="auto"/>
        </w:rPr>
        <w:t xml:space="preserve">) wild type (wt). </w:t>
      </w:r>
      <w:r w:rsidR="003B5FCA" w:rsidRPr="006F283B">
        <w:rPr>
          <w:color w:val="auto"/>
        </w:rPr>
        <w:t>This p</w:t>
      </w:r>
      <w:r w:rsidRPr="006F283B">
        <w:rPr>
          <w:color w:val="auto"/>
        </w:rPr>
        <w:t xml:space="preserve">opulation </w:t>
      </w:r>
      <w:r w:rsidR="003B5FCA" w:rsidRPr="006F283B">
        <w:rPr>
          <w:color w:val="auto"/>
        </w:rPr>
        <w:t xml:space="preserve">is </w:t>
      </w:r>
      <w:r w:rsidRPr="006F283B">
        <w:rPr>
          <w:color w:val="auto"/>
        </w:rPr>
        <w:t xml:space="preserve">referred to as </w:t>
      </w:r>
      <w:r w:rsidR="007B562D">
        <w:rPr>
          <w:color w:val="auto"/>
        </w:rPr>
        <w:t>HRD positive</w:t>
      </w:r>
      <w:r w:rsidRPr="006F283B">
        <w:rPr>
          <w:color w:val="auto"/>
        </w:rPr>
        <w:t xml:space="preserve"> </w:t>
      </w:r>
      <w:r w:rsidR="001152C0" w:rsidRPr="001152C0">
        <w:rPr>
          <w:i/>
          <w:iCs/>
          <w:color w:val="auto"/>
        </w:rPr>
        <w:t>BRCAwt</w:t>
      </w:r>
      <w:r w:rsidRPr="006F283B">
        <w:rPr>
          <w:color w:val="auto"/>
        </w:rPr>
        <w:t xml:space="preserve">. </w:t>
      </w:r>
    </w:p>
    <w:p w14:paraId="0EB07218" w14:textId="625C3F1C" w:rsidR="00843998" w:rsidRPr="006F283B" w:rsidRDefault="00843998" w:rsidP="008E1252">
      <w:pPr>
        <w:pStyle w:val="ListParagraph"/>
        <w:spacing w:before="0" w:after="120"/>
      </w:pPr>
      <w:r w:rsidRPr="006F283B">
        <w:t xml:space="preserve">Listing was requested </w:t>
      </w:r>
      <w:proofErr w:type="gramStart"/>
      <w:r w:rsidRPr="006F283B">
        <w:t>on the basis of</w:t>
      </w:r>
      <w:proofErr w:type="gramEnd"/>
      <w:r w:rsidRPr="006F283B">
        <w:t xml:space="preserve"> a cost-effectiveness analysis versus standard medical management (SMM).</w:t>
      </w:r>
    </w:p>
    <w:p w14:paraId="2215BC0B" w14:textId="34889B59" w:rsidR="00843998" w:rsidRPr="006F283B" w:rsidRDefault="00DA592A" w:rsidP="00593A64">
      <w:pPr>
        <w:pStyle w:val="Caption"/>
      </w:pPr>
      <w:r w:rsidRPr="006F283B">
        <w:t xml:space="preserve">Table </w:t>
      </w:r>
      <w:r w:rsidR="00091054">
        <w:fldChar w:fldCharType="begin" w:fldLock="1"/>
      </w:r>
      <w:r w:rsidR="00091054">
        <w:instrText xml:space="preserve"> SEQ Table \* ARABIC </w:instrText>
      </w:r>
      <w:r w:rsidR="00091054">
        <w:fldChar w:fldCharType="separate"/>
      </w:r>
      <w:r w:rsidR="00305654">
        <w:rPr>
          <w:noProof/>
        </w:rPr>
        <w:t>1</w:t>
      </w:r>
      <w:r w:rsidR="00091054">
        <w:rPr>
          <w:noProof/>
        </w:rPr>
        <w:fldChar w:fldCharType="end"/>
      </w:r>
      <w:r w:rsidR="008E34C5">
        <w:t xml:space="preserve">: </w:t>
      </w:r>
      <w:r w:rsidR="00843998" w:rsidRPr="006F283B">
        <w:t xml:space="preserve">Key components of the clinical issue addressed by the </w:t>
      </w:r>
      <w:proofErr w:type="gramStart"/>
      <w:r w:rsidR="00843998" w:rsidRPr="006F283B">
        <w:t>submission</w:t>
      </w:r>
      <w:proofErr w:type="gramEnd"/>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1133"/>
        <w:gridCol w:w="3119"/>
        <w:gridCol w:w="3967"/>
      </w:tblGrid>
      <w:tr w:rsidR="00843998" w:rsidRPr="006F283B" w14:paraId="449DCA4D" w14:textId="77777777" w:rsidTr="004E1FEC">
        <w:trPr>
          <w:trHeight w:val="20"/>
          <w:tblHeader/>
        </w:trPr>
        <w:tc>
          <w:tcPr>
            <w:tcW w:w="1092" w:type="pct"/>
            <w:gridSpan w:val="2"/>
            <w:shd w:val="clear" w:color="auto" w:fill="auto"/>
            <w:tcMar>
              <w:top w:w="0" w:type="dxa"/>
              <w:left w:w="28" w:type="dxa"/>
              <w:bottom w:w="0" w:type="dxa"/>
              <w:right w:w="28" w:type="dxa"/>
            </w:tcMar>
            <w:vAlign w:val="center"/>
            <w:hideMark/>
          </w:tcPr>
          <w:p w14:paraId="36DBA3C0" w14:textId="77777777" w:rsidR="00843998" w:rsidRPr="006F283B" w:rsidRDefault="00843998" w:rsidP="004E1FEC">
            <w:pPr>
              <w:pStyle w:val="TableRowHeader"/>
              <w:keepNext/>
              <w:keepLines/>
            </w:pPr>
            <w:r w:rsidRPr="006F283B">
              <w:t>Population (NDA HGEOC)</w:t>
            </w:r>
          </w:p>
        </w:tc>
        <w:tc>
          <w:tcPr>
            <w:tcW w:w="1720" w:type="pct"/>
            <w:shd w:val="clear" w:color="auto" w:fill="auto"/>
            <w:tcMar>
              <w:top w:w="0" w:type="dxa"/>
              <w:left w:w="28" w:type="dxa"/>
              <w:bottom w:w="0" w:type="dxa"/>
              <w:right w:w="28" w:type="dxa"/>
            </w:tcMar>
            <w:vAlign w:val="center"/>
            <w:hideMark/>
          </w:tcPr>
          <w:p w14:paraId="2325C79B" w14:textId="77777777" w:rsidR="00843998" w:rsidRPr="006F283B" w:rsidRDefault="00843998" w:rsidP="004E1FEC">
            <w:pPr>
              <w:pStyle w:val="TableRowHeader"/>
              <w:keepNext/>
              <w:keepLines/>
            </w:pPr>
            <w:r w:rsidRPr="006F283B">
              <w:t>Intervention</w:t>
            </w:r>
          </w:p>
        </w:tc>
        <w:tc>
          <w:tcPr>
            <w:tcW w:w="2188" w:type="pct"/>
            <w:shd w:val="clear" w:color="auto" w:fill="auto"/>
            <w:tcMar>
              <w:top w:w="0" w:type="dxa"/>
              <w:left w:w="28" w:type="dxa"/>
              <w:bottom w:w="0" w:type="dxa"/>
              <w:right w:w="28" w:type="dxa"/>
            </w:tcMar>
            <w:vAlign w:val="center"/>
            <w:hideMark/>
          </w:tcPr>
          <w:p w14:paraId="7B674A64" w14:textId="77777777" w:rsidR="00843998" w:rsidRPr="006F283B" w:rsidRDefault="00843998" w:rsidP="004E1FEC">
            <w:pPr>
              <w:pStyle w:val="TableRowHeader"/>
              <w:keepNext/>
              <w:keepLines/>
            </w:pPr>
            <w:r w:rsidRPr="006F283B">
              <w:t>Comparator</w:t>
            </w:r>
          </w:p>
        </w:tc>
      </w:tr>
      <w:tr w:rsidR="00843998" w:rsidRPr="006F283B" w14:paraId="46251F8A" w14:textId="77777777" w:rsidTr="004E1FEC">
        <w:trPr>
          <w:trHeight w:val="20"/>
        </w:trPr>
        <w:tc>
          <w:tcPr>
            <w:tcW w:w="467" w:type="pct"/>
            <w:vMerge w:val="restart"/>
            <w:shd w:val="clear" w:color="auto" w:fill="auto"/>
            <w:tcMar>
              <w:top w:w="0" w:type="dxa"/>
              <w:left w:w="28" w:type="dxa"/>
              <w:bottom w:w="0" w:type="dxa"/>
              <w:right w:w="28" w:type="dxa"/>
            </w:tcMar>
            <w:vAlign w:val="center"/>
            <w:hideMark/>
          </w:tcPr>
          <w:p w14:paraId="7466BC11" w14:textId="77777777" w:rsidR="00843998" w:rsidRPr="006F283B" w:rsidRDefault="00843998" w:rsidP="004E1FEC">
            <w:pPr>
              <w:pStyle w:val="TableText"/>
              <w:keepNext/>
              <w:keepLines/>
            </w:pPr>
            <w:r w:rsidRPr="006F283B">
              <w:t>Test</w:t>
            </w:r>
          </w:p>
        </w:tc>
        <w:tc>
          <w:tcPr>
            <w:tcW w:w="625" w:type="pct"/>
            <w:vMerge w:val="restart"/>
            <w:shd w:val="clear" w:color="auto" w:fill="auto"/>
            <w:tcMar>
              <w:top w:w="0" w:type="dxa"/>
              <w:left w:w="28" w:type="dxa"/>
              <w:bottom w:w="0" w:type="dxa"/>
              <w:right w:w="28" w:type="dxa"/>
            </w:tcMar>
            <w:vAlign w:val="center"/>
            <w:hideMark/>
          </w:tcPr>
          <w:p w14:paraId="2449DF0C" w14:textId="77777777" w:rsidR="00843998" w:rsidRPr="006F283B" w:rsidRDefault="00843998" w:rsidP="004E1FEC">
            <w:pPr>
              <w:pStyle w:val="TableText"/>
              <w:keepNext/>
              <w:keepLines/>
            </w:pPr>
            <w:r w:rsidRPr="006F283B">
              <w:t>At diagnosis</w:t>
            </w:r>
          </w:p>
        </w:tc>
        <w:tc>
          <w:tcPr>
            <w:tcW w:w="1720" w:type="pct"/>
            <w:shd w:val="clear" w:color="auto" w:fill="auto"/>
            <w:tcMar>
              <w:top w:w="0" w:type="dxa"/>
              <w:left w:w="28" w:type="dxa"/>
              <w:bottom w:w="0" w:type="dxa"/>
              <w:right w:w="28" w:type="dxa"/>
            </w:tcMar>
            <w:vAlign w:val="center"/>
            <w:hideMark/>
          </w:tcPr>
          <w:p w14:paraId="40FEA766" w14:textId="05F7F474" w:rsidR="00843998" w:rsidRPr="006F283B" w:rsidRDefault="00843998" w:rsidP="004E1FEC">
            <w:pPr>
              <w:pStyle w:val="TableText"/>
              <w:keepNext/>
              <w:keepLines/>
              <w:jc w:val="center"/>
            </w:pPr>
            <w:r w:rsidRPr="006F283B">
              <w:t xml:space="preserve">Parallel: HRD testing to provide </w:t>
            </w:r>
            <w:r w:rsidR="001152C0" w:rsidRPr="001152C0">
              <w:rPr>
                <w:i/>
                <w:iCs/>
              </w:rPr>
              <w:t>BRCA1/2</w:t>
            </w:r>
            <w:r w:rsidRPr="006F283B">
              <w:t xml:space="preserve"> result and GIS (base case)</w:t>
            </w:r>
          </w:p>
        </w:tc>
        <w:tc>
          <w:tcPr>
            <w:tcW w:w="2188" w:type="pct"/>
            <w:shd w:val="clear" w:color="auto" w:fill="auto"/>
            <w:tcMar>
              <w:top w:w="0" w:type="dxa"/>
              <w:left w:w="28" w:type="dxa"/>
              <w:bottom w:w="0" w:type="dxa"/>
              <w:right w:w="28" w:type="dxa"/>
            </w:tcMar>
            <w:vAlign w:val="center"/>
            <w:hideMark/>
          </w:tcPr>
          <w:p w14:paraId="0468DE4F" w14:textId="6A61B39E" w:rsidR="00843998" w:rsidRPr="006F283B" w:rsidRDefault="00843998" w:rsidP="004E1FEC">
            <w:pPr>
              <w:pStyle w:val="TableText"/>
              <w:keepNext/>
              <w:keepLines/>
              <w:jc w:val="center"/>
            </w:pPr>
            <w:r w:rsidRPr="006F283B">
              <w:t xml:space="preserve">Tumour </w:t>
            </w:r>
            <w:r w:rsidR="001152C0" w:rsidRPr="001152C0">
              <w:rPr>
                <w:i/>
                <w:iCs/>
              </w:rPr>
              <w:t>BRCA1</w:t>
            </w:r>
            <w:r w:rsidRPr="006F283B">
              <w:t xml:space="preserve"> </w:t>
            </w:r>
            <w:r w:rsidR="001E74A4" w:rsidRPr="006F283B">
              <w:t xml:space="preserve">and </w:t>
            </w:r>
            <w:r w:rsidR="001152C0" w:rsidRPr="001152C0">
              <w:rPr>
                <w:i/>
                <w:iCs/>
              </w:rPr>
              <w:t>BRCA2</w:t>
            </w:r>
            <w:r w:rsidRPr="006F283B">
              <w:t xml:space="preserve"> testing</w:t>
            </w:r>
          </w:p>
        </w:tc>
      </w:tr>
      <w:tr w:rsidR="00843998" w:rsidRPr="006F283B" w14:paraId="00129570" w14:textId="77777777" w:rsidTr="004E1FEC">
        <w:trPr>
          <w:trHeight w:val="20"/>
        </w:trPr>
        <w:tc>
          <w:tcPr>
            <w:tcW w:w="467" w:type="pct"/>
            <w:vMerge/>
            <w:shd w:val="clear" w:color="auto" w:fill="auto"/>
            <w:tcMar>
              <w:top w:w="0" w:type="dxa"/>
              <w:left w:w="28" w:type="dxa"/>
              <w:bottom w:w="0" w:type="dxa"/>
              <w:right w:w="28" w:type="dxa"/>
            </w:tcMar>
            <w:vAlign w:val="center"/>
          </w:tcPr>
          <w:p w14:paraId="1937DCBC" w14:textId="77777777" w:rsidR="00843998" w:rsidRPr="006F283B" w:rsidRDefault="00843998" w:rsidP="004E1FEC">
            <w:pPr>
              <w:pStyle w:val="TableText"/>
              <w:keepNext/>
              <w:keepLines/>
            </w:pPr>
          </w:p>
        </w:tc>
        <w:tc>
          <w:tcPr>
            <w:tcW w:w="625" w:type="pct"/>
            <w:vMerge/>
            <w:shd w:val="clear" w:color="auto" w:fill="auto"/>
            <w:tcMar>
              <w:top w:w="0" w:type="dxa"/>
              <w:left w:w="28" w:type="dxa"/>
              <w:bottom w:w="0" w:type="dxa"/>
              <w:right w:w="28" w:type="dxa"/>
            </w:tcMar>
            <w:vAlign w:val="center"/>
          </w:tcPr>
          <w:p w14:paraId="0F1BC57B" w14:textId="77777777" w:rsidR="00843998" w:rsidRPr="006F283B" w:rsidRDefault="00843998" w:rsidP="004E1FEC">
            <w:pPr>
              <w:pStyle w:val="TableText"/>
              <w:keepNext/>
              <w:keepLines/>
            </w:pPr>
          </w:p>
        </w:tc>
        <w:tc>
          <w:tcPr>
            <w:tcW w:w="1720" w:type="pct"/>
            <w:shd w:val="clear" w:color="auto" w:fill="auto"/>
            <w:tcMar>
              <w:top w:w="0" w:type="dxa"/>
              <w:left w:w="28" w:type="dxa"/>
              <w:bottom w:w="0" w:type="dxa"/>
              <w:right w:w="28" w:type="dxa"/>
            </w:tcMar>
            <w:vAlign w:val="center"/>
          </w:tcPr>
          <w:p w14:paraId="3773C777" w14:textId="1A8351D7" w:rsidR="00843998" w:rsidRPr="006F283B" w:rsidRDefault="00843998" w:rsidP="004E1FEC">
            <w:pPr>
              <w:pStyle w:val="TableText"/>
              <w:keepNext/>
              <w:keepLines/>
              <w:jc w:val="center"/>
            </w:pPr>
            <w:r w:rsidRPr="006F283B">
              <w:t xml:space="preserve">Sequential: HRD testing to provide GIS for </w:t>
            </w:r>
            <w:r w:rsidR="001152C0" w:rsidRPr="001152C0">
              <w:rPr>
                <w:i/>
                <w:iCs/>
              </w:rPr>
              <w:t>BRCAwt</w:t>
            </w:r>
            <w:r w:rsidRPr="006F283B">
              <w:t xml:space="preserve"> cohort only</w:t>
            </w:r>
          </w:p>
        </w:tc>
        <w:tc>
          <w:tcPr>
            <w:tcW w:w="2188" w:type="pct"/>
            <w:shd w:val="clear" w:color="auto" w:fill="auto"/>
            <w:tcMar>
              <w:top w:w="0" w:type="dxa"/>
              <w:left w:w="28" w:type="dxa"/>
              <w:bottom w:w="0" w:type="dxa"/>
              <w:right w:w="28" w:type="dxa"/>
            </w:tcMar>
            <w:vAlign w:val="center"/>
          </w:tcPr>
          <w:p w14:paraId="6FB7FA84" w14:textId="77777777" w:rsidR="00843998" w:rsidRPr="006F283B" w:rsidRDefault="00843998" w:rsidP="004E1FEC">
            <w:pPr>
              <w:pStyle w:val="TableText"/>
              <w:keepNext/>
              <w:keepLines/>
              <w:jc w:val="center"/>
            </w:pPr>
            <w:r w:rsidRPr="006F283B">
              <w:t>Sequential: No Test</w:t>
            </w:r>
          </w:p>
        </w:tc>
      </w:tr>
      <w:tr w:rsidR="00843998" w:rsidRPr="006F283B" w14:paraId="4FD81111" w14:textId="77777777" w:rsidTr="004E1FEC">
        <w:trPr>
          <w:trHeight w:val="20"/>
        </w:trPr>
        <w:tc>
          <w:tcPr>
            <w:tcW w:w="467" w:type="pct"/>
            <w:vMerge/>
            <w:shd w:val="clear" w:color="auto" w:fill="auto"/>
            <w:tcMar>
              <w:top w:w="0" w:type="dxa"/>
              <w:left w:w="28" w:type="dxa"/>
              <w:bottom w:w="0" w:type="dxa"/>
              <w:right w:w="28" w:type="dxa"/>
            </w:tcMar>
            <w:vAlign w:val="center"/>
          </w:tcPr>
          <w:p w14:paraId="63FBAA59" w14:textId="77777777" w:rsidR="00843998" w:rsidRPr="006F283B" w:rsidRDefault="00843998" w:rsidP="004E1FEC">
            <w:pPr>
              <w:pStyle w:val="TableText"/>
              <w:keepNext/>
              <w:keepLines/>
            </w:pPr>
          </w:p>
        </w:tc>
        <w:tc>
          <w:tcPr>
            <w:tcW w:w="625" w:type="pct"/>
            <w:shd w:val="clear" w:color="auto" w:fill="auto"/>
            <w:tcMar>
              <w:top w:w="0" w:type="dxa"/>
              <w:left w:w="28" w:type="dxa"/>
              <w:bottom w:w="0" w:type="dxa"/>
              <w:right w:w="28" w:type="dxa"/>
            </w:tcMar>
            <w:vAlign w:val="center"/>
          </w:tcPr>
          <w:p w14:paraId="48C30F2B" w14:textId="77777777" w:rsidR="00843998" w:rsidRPr="006F283B" w:rsidRDefault="00843998" w:rsidP="004E1FEC">
            <w:pPr>
              <w:pStyle w:val="TableText"/>
              <w:keepNext/>
              <w:keepLines/>
            </w:pPr>
            <w:r w:rsidRPr="006F283B">
              <w:t>Receive PBC</w:t>
            </w:r>
          </w:p>
        </w:tc>
        <w:tc>
          <w:tcPr>
            <w:tcW w:w="1720" w:type="pct"/>
            <w:shd w:val="clear" w:color="auto" w:fill="auto"/>
            <w:tcMar>
              <w:top w:w="0" w:type="dxa"/>
              <w:left w:w="28" w:type="dxa"/>
              <w:bottom w:w="0" w:type="dxa"/>
              <w:right w:w="28" w:type="dxa"/>
            </w:tcMar>
            <w:vAlign w:val="center"/>
          </w:tcPr>
          <w:p w14:paraId="7E29CF3E" w14:textId="77777777" w:rsidR="00843998" w:rsidRPr="006F283B" w:rsidRDefault="00843998" w:rsidP="004E1FEC">
            <w:pPr>
              <w:pStyle w:val="TableText"/>
              <w:keepNext/>
              <w:keepLines/>
              <w:jc w:val="center"/>
            </w:pPr>
            <w:r w:rsidRPr="006F283B">
              <w:t>Parallel or sequential HRD testing</w:t>
            </w:r>
          </w:p>
        </w:tc>
        <w:tc>
          <w:tcPr>
            <w:tcW w:w="2188" w:type="pct"/>
            <w:shd w:val="clear" w:color="auto" w:fill="auto"/>
            <w:tcMar>
              <w:top w:w="0" w:type="dxa"/>
              <w:left w:w="28" w:type="dxa"/>
              <w:bottom w:w="0" w:type="dxa"/>
              <w:right w:w="28" w:type="dxa"/>
            </w:tcMar>
            <w:vAlign w:val="center"/>
          </w:tcPr>
          <w:p w14:paraId="25006992" w14:textId="39E852B4" w:rsidR="00843998" w:rsidRPr="006F283B" w:rsidRDefault="00843998" w:rsidP="004E1FEC">
            <w:pPr>
              <w:pStyle w:val="TableText"/>
              <w:keepNext/>
              <w:keepLines/>
              <w:jc w:val="center"/>
            </w:pPr>
            <w:r w:rsidRPr="006F283B">
              <w:t xml:space="preserve">Parallel: Tumour </w:t>
            </w:r>
            <w:r w:rsidR="001152C0" w:rsidRPr="001152C0">
              <w:rPr>
                <w:i/>
                <w:iCs/>
              </w:rPr>
              <w:t>BRCA1/2</w:t>
            </w:r>
            <w:r w:rsidRPr="006F283B">
              <w:t xml:space="preserve"> </w:t>
            </w:r>
            <w:proofErr w:type="gramStart"/>
            <w:r w:rsidRPr="006F283B">
              <w:t>testing;</w:t>
            </w:r>
            <w:proofErr w:type="gramEnd"/>
          </w:p>
          <w:p w14:paraId="1BDEDD2F" w14:textId="77777777" w:rsidR="00843998" w:rsidRPr="006F283B" w:rsidRDefault="00843998" w:rsidP="004E1FEC">
            <w:pPr>
              <w:pStyle w:val="TableText"/>
              <w:keepNext/>
              <w:keepLines/>
              <w:jc w:val="center"/>
            </w:pPr>
            <w:r w:rsidRPr="006F283B">
              <w:t>Sequential: No Test</w:t>
            </w:r>
          </w:p>
        </w:tc>
      </w:tr>
      <w:tr w:rsidR="00843998" w:rsidRPr="006F283B" w14:paraId="4777AFA8" w14:textId="77777777" w:rsidTr="004E1FEC">
        <w:trPr>
          <w:trHeight w:val="20"/>
        </w:trPr>
        <w:tc>
          <w:tcPr>
            <w:tcW w:w="467" w:type="pct"/>
            <w:vMerge w:val="restart"/>
            <w:shd w:val="clear" w:color="auto" w:fill="auto"/>
            <w:tcMar>
              <w:top w:w="0" w:type="dxa"/>
              <w:left w:w="28" w:type="dxa"/>
              <w:bottom w:w="0" w:type="dxa"/>
              <w:right w:w="28" w:type="dxa"/>
            </w:tcMar>
            <w:vAlign w:val="center"/>
            <w:hideMark/>
          </w:tcPr>
          <w:p w14:paraId="2F138D79" w14:textId="0D642001" w:rsidR="00843998" w:rsidRPr="006F283B" w:rsidRDefault="00843998" w:rsidP="004E1FEC">
            <w:pPr>
              <w:pStyle w:val="TableText"/>
              <w:keepNext/>
              <w:keepLines/>
            </w:pPr>
            <w:r w:rsidRPr="006F283B">
              <w:t xml:space="preserve">Primary Tx (HRD+ </w:t>
            </w:r>
            <w:r w:rsidR="001152C0" w:rsidRPr="001152C0">
              <w:rPr>
                <w:i/>
                <w:iCs/>
              </w:rPr>
              <w:t>BRCAwt</w:t>
            </w:r>
            <w:r w:rsidRPr="006F283B">
              <w:t>)</w:t>
            </w:r>
          </w:p>
        </w:tc>
        <w:tc>
          <w:tcPr>
            <w:tcW w:w="625" w:type="pct"/>
            <w:shd w:val="clear" w:color="auto" w:fill="auto"/>
            <w:tcMar>
              <w:top w:w="0" w:type="dxa"/>
              <w:left w:w="28" w:type="dxa"/>
              <w:bottom w:w="0" w:type="dxa"/>
              <w:right w:w="28" w:type="dxa"/>
            </w:tcMar>
            <w:vAlign w:val="center"/>
            <w:hideMark/>
          </w:tcPr>
          <w:p w14:paraId="1C271BB3" w14:textId="77777777" w:rsidR="00843998" w:rsidRPr="006F283B" w:rsidRDefault="00843998" w:rsidP="004E1FEC">
            <w:pPr>
              <w:pStyle w:val="TableText"/>
              <w:keepNext/>
              <w:keepLines/>
            </w:pPr>
            <w:r w:rsidRPr="006F283B">
              <w:t>PBC</w:t>
            </w:r>
          </w:p>
        </w:tc>
        <w:tc>
          <w:tcPr>
            <w:tcW w:w="1720" w:type="pct"/>
            <w:shd w:val="clear" w:color="auto" w:fill="auto"/>
            <w:tcMar>
              <w:top w:w="0" w:type="dxa"/>
              <w:left w:w="28" w:type="dxa"/>
              <w:bottom w:w="0" w:type="dxa"/>
              <w:right w:w="28" w:type="dxa"/>
            </w:tcMar>
            <w:vAlign w:val="center"/>
            <w:hideMark/>
          </w:tcPr>
          <w:p w14:paraId="235E531C" w14:textId="77777777" w:rsidR="00843998" w:rsidRPr="006F283B" w:rsidRDefault="00843998" w:rsidP="004E1FEC">
            <w:pPr>
              <w:pStyle w:val="TableText"/>
              <w:keepNext/>
              <w:keepLines/>
              <w:jc w:val="center"/>
            </w:pPr>
            <w:r w:rsidRPr="006F283B">
              <w:t>Niraparib maintenance</w:t>
            </w:r>
          </w:p>
        </w:tc>
        <w:tc>
          <w:tcPr>
            <w:tcW w:w="2188" w:type="pct"/>
            <w:shd w:val="clear" w:color="auto" w:fill="auto"/>
            <w:tcMar>
              <w:top w:w="0" w:type="dxa"/>
              <w:left w:w="28" w:type="dxa"/>
              <w:bottom w:w="0" w:type="dxa"/>
              <w:right w:w="28" w:type="dxa"/>
            </w:tcMar>
            <w:vAlign w:val="center"/>
            <w:hideMark/>
          </w:tcPr>
          <w:p w14:paraId="74A70BAC" w14:textId="77777777" w:rsidR="00843998" w:rsidRPr="006F283B" w:rsidRDefault="00843998" w:rsidP="004E1FEC">
            <w:pPr>
              <w:pStyle w:val="TableText"/>
              <w:keepNext/>
              <w:keepLines/>
              <w:jc w:val="center"/>
            </w:pPr>
            <w:r w:rsidRPr="006F283B">
              <w:t>SMM</w:t>
            </w:r>
          </w:p>
        </w:tc>
      </w:tr>
      <w:tr w:rsidR="00843998" w:rsidRPr="006F283B" w14:paraId="5A25EBEE" w14:textId="77777777" w:rsidTr="004E1FEC">
        <w:trPr>
          <w:trHeight w:val="20"/>
        </w:trPr>
        <w:tc>
          <w:tcPr>
            <w:tcW w:w="467" w:type="pct"/>
            <w:vMerge/>
            <w:shd w:val="clear" w:color="auto" w:fill="auto"/>
            <w:vAlign w:val="center"/>
            <w:hideMark/>
          </w:tcPr>
          <w:p w14:paraId="559AA8B5" w14:textId="77777777" w:rsidR="00843998" w:rsidRPr="006F283B" w:rsidRDefault="00843998" w:rsidP="004E1FEC">
            <w:pPr>
              <w:pStyle w:val="TableText"/>
              <w:keepNext/>
              <w:keepLines/>
              <w:rPr>
                <w:rFonts w:cs="Calibri"/>
              </w:rPr>
            </w:pPr>
          </w:p>
        </w:tc>
        <w:tc>
          <w:tcPr>
            <w:tcW w:w="625" w:type="pct"/>
            <w:shd w:val="clear" w:color="auto" w:fill="auto"/>
            <w:tcMar>
              <w:top w:w="0" w:type="dxa"/>
              <w:left w:w="28" w:type="dxa"/>
              <w:bottom w:w="0" w:type="dxa"/>
              <w:right w:w="28" w:type="dxa"/>
            </w:tcMar>
            <w:vAlign w:val="center"/>
            <w:hideMark/>
          </w:tcPr>
          <w:p w14:paraId="2946F814" w14:textId="77777777" w:rsidR="00843998" w:rsidRPr="006F283B" w:rsidRDefault="00843998" w:rsidP="004E1FEC">
            <w:pPr>
              <w:pStyle w:val="TableText"/>
              <w:keepNext/>
              <w:keepLines/>
            </w:pPr>
            <w:r w:rsidRPr="006F283B">
              <w:t>PBC + Beva</w:t>
            </w:r>
          </w:p>
        </w:tc>
        <w:tc>
          <w:tcPr>
            <w:tcW w:w="1720" w:type="pct"/>
            <w:shd w:val="clear" w:color="auto" w:fill="auto"/>
            <w:tcMar>
              <w:top w:w="0" w:type="dxa"/>
              <w:left w:w="28" w:type="dxa"/>
              <w:bottom w:w="0" w:type="dxa"/>
              <w:right w:w="28" w:type="dxa"/>
            </w:tcMar>
            <w:vAlign w:val="center"/>
            <w:hideMark/>
          </w:tcPr>
          <w:p w14:paraId="22A7E651" w14:textId="77777777" w:rsidR="00843998" w:rsidRPr="006F283B" w:rsidRDefault="00843998" w:rsidP="004E1FEC">
            <w:pPr>
              <w:pStyle w:val="TableText"/>
              <w:keepNext/>
              <w:keepLines/>
              <w:jc w:val="center"/>
            </w:pPr>
            <w:r w:rsidRPr="006F283B">
              <w:t>Not applicable</w:t>
            </w:r>
          </w:p>
        </w:tc>
        <w:tc>
          <w:tcPr>
            <w:tcW w:w="2188" w:type="pct"/>
            <w:shd w:val="clear" w:color="auto" w:fill="auto"/>
            <w:tcMar>
              <w:top w:w="0" w:type="dxa"/>
              <w:left w:w="28" w:type="dxa"/>
              <w:bottom w:w="0" w:type="dxa"/>
              <w:right w:w="28" w:type="dxa"/>
            </w:tcMar>
            <w:vAlign w:val="center"/>
            <w:hideMark/>
          </w:tcPr>
          <w:p w14:paraId="1E3B7D1B" w14:textId="77777777" w:rsidR="00843998" w:rsidRPr="006F283B" w:rsidRDefault="00843998" w:rsidP="004E1FEC">
            <w:pPr>
              <w:pStyle w:val="TableText"/>
              <w:keepNext/>
              <w:keepLines/>
              <w:jc w:val="center"/>
            </w:pPr>
            <w:r w:rsidRPr="006F283B">
              <w:rPr>
                <w:u w:val="single"/>
              </w:rPr>
              <w:t>Near market comparator:</w:t>
            </w:r>
            <w:r w:rsidRPr="006F283B">
              <w:t xml:space="preserve"> Olaparib + Beva maintenance</w:t>
            </w:r>
          </w:p>
          <w:p w14:paraId="6B3B39D1" w14:textId="1CFC0F69" w:rsidR="00843998" w:rsidRPr="006F283B" w:rsidRDefault="00843998" w:rsidP="004E1FEC">
            <w:pPr>
              <w:pStyle w:val="TableText"/>
              <w:keepNext/>
              <w:keepLines/>
              <w:jc w:val="center"/>
            </w:pPr>
            <w:r w:rsidRPr="006F283B">
              <w:rPr>
                <w:u w:val="single"/>
              </w:rPr>
              <w:t>Qualitative comparator:</w:t>
            </w:r>
            <w:r w:rsidRPr="006F283B">
              <w:t xml:space="preserve"> Beva maintenance</w:t>
            </w:r>
            <w:r w:rsidR="00A8049B" w:rsidRPr="006F283B">
              <w:t xml:space="preserve"> </w:t>
            </w:r>
            <w:r w:rsidRPr="006F283B">
              <w:rPr>
                <w:vertAlign w:val="superscript"/>
              </w:rPr>
              <w:t>a</w:t>
            </w:r>
          </w:p>
        </w:tc>
      </w:tr>
      <w:tr w:rsidR="00843998" w:rsidRPr="006F283B" w14:paraId="72C96DC3" w14:textId="77777777" w:rsidTr="004E1FEC">
        <w:trPr>
          <w:trHeight w:val="20"/>
        </w:trPr>
        <w:tc>
          <w:tcPr>
            <w:tcW w:w="1092" w:type="pct"/>
            <w:gridSpan w:val="2"/>
            <w:shd w:val="clear" w:color="auto" w:fill="auto"/>
            <w:vAlign w:val="center"/>
          </w:tcPr>
          <w:p w14:paraId="7BD8DD9A" w14:textId="77777777" w:rsidR="00843998" w:rsidRPr="006F283B" w:rsidRDefault="00843998" w:rsidP="004E1FEC">
            <w:pPr>
              <w:pStyle w:val="TableText"/>
              <w:keepNext/>
              <w:keepLines/>
            </w:pPr>
            <w:r w:rsidRPr="006F283B">
              <w:rPr>
                <w:rFonts w:cs="Calibri"/>
              </w:rPr>
              <w:t>Clinical claim</w:t>
            </w:r>
          </w:p>
        </w:tc>
        <w:tc>
          <w:tcPr>
            <w:tcW w:w="3908" w:type="pct"/>
            <w:gridSpan w:val="2"/>
            <w:shd w:val="clear" w:color="auto" w:fill="auto"/>
            <w:tcMar>
              <w:top w:w="0" w:type="dxa"/>
              <w:left w:w="28" w:type="dxa"/>
              <w:bottom w:w="0" w:type="dxa"/>
              <w:right w:w="28" w:type="dxa"/>
            </w:tcMar>
            <w:vAlign w:val="center"/>
          </w:tcPr>
          <w:p w14:paraId="49BA5C79" w14:textId="26004224" w:rsidR="00843998" w:rsidRPr="006F283B" w:rsidRDefault="00843998" w:rsidP="004E1FEC">
            <w:pPr>
              <w:pStyle w:val="TableText"/>
              <w:keepNext/>
              <w:keepLines/>
            </w:pPr>
            <w:r w:rsidRPr="006F283B">
              <w:t xml:space="preserve">For patients with NDA (FIGO Stage III-IV) HGEOC who are in response (CR/PR) to PBC and HRD positive </w:t>
            </w:r>
            <w:r w:rsidR="001152C0" w:rsidRPr="001152C0">
              <w:rPr>
                <w:i/>
                <w:iCs/>
              </w:rPr>
              <w:t>BRCAwt</w:t>
            </w:r>
            <w:r w:rsidRPr="006F283B">
              <w:t>, the following therapeutic conclusions were made in the submission:</w:t>
            </w:r>
          </w:p>
          <w:p w14:paraId="0D7A6DCB" w14:textId="77777777" w:rsidR="00843998" w:rsidRPr="006F283B" w:rsidRDefault="00843998" w:rsidP="004E1FEC">
            <w:pPr>
              <w:pStyle w:val="TableText"/>
              <w:keepNext/>
              <w:keepLines/>
              <w:tabs>
                <w:tab w:val="left" w:pos="245"/>
              </w:tabs>
            </w:pPr>
            <w:r w:rsidRPr="006F283B">
              <w:t>•</w:t>
            </w:r>
            <w:r w:rsidRPr="006F283B">
              <w:tab/>
              <w:t>Efficacy: Niraparib is superior in terms of effectiveness for PFS in comparison to SMM.</w:t>
            </w:r>
          </w:p>
          <w:p w14:paraId="2CD2C470" w14:textId="77777777" w:rsidR="00843998" w:rsidRPr="006F283B" w:rsidRDefault="00843998" w:rsidP="004E1FEC">
            <w:pPr>
              <w:pStyle w:val="TableText"/>
              <w:keepNext/>
              <w:keepLines/>
              <w:tabs>
                <w:tab w:val="left" w:pos="245"/>
              </w:tabs>
            </w:pPr>
            <w:r w:rsidRPr="006F283B">
              <w:t>•</w:t>
            </w:r>
            <w:r w:rsidRPr="006F283B">
              <w:tab/>
              <w:t>Safety: Niraparib is inferior to SMM with respect to safety.</w:t>
            </w:r>
          </w:p>
          <w:p w14:paraId="2CC6BF4D" w14:textId="77777777" w:rsidR="00843998" w:rsidRPr="006F283B" w:rsidRDefault="00843998" w:rsidP="004E1FEC">
            <w:pPr>
              <w:pStyle w:val="TableText"/>
              <w:keepNext/>
              <w:keepLines/>
            </w:pPr>
            <w:r w:rsidRPr="006F283B">
              <w:t>Given the concordance between the clinical utility standard (Myriad myChoice) and the locally commercialised HRD test (Illumina TruSight Oncology 500 HRD), the above claims will apply to the Australian setting.</w:t>
            </w:r>
          </w:p>
          <w:p w14:paraId="5FA5B2CE" w14:textId="69B06F86" w:rsidR="00843998" w:rsidRPr="006F283B" w:rsidRDefault="00843998" w:rsidP="004E1FEC">
            <w:pPr>
              <w:pStyle w:val="TableText"/>
              <w:keepNext/>
              <w:keepLines/>
            </w:pPr>
            <w:r w:rsidRPr="006F283B">
              <w:t xml:space="preserve">There was insufficient clinical evidence to indicate there is an added clinical benefit for olaparib + beva over monotherapy (niraparib) in the HRD+ </w:t>
            </w:r>
            <w:r w:rsidR="001152C0" w:rsidRPr="001152C0">
              <w:rPr>
                <w:i/>
                <w:iCs/>
              </w:rPr>
              <w:t>BRCAwt</w:t>
            </w:r>
            <w:r w:rsidRPr="006F283B">
              <w:t xml:space="preserve"> cohort.</w:t>
            </w:r>
          </w:p>
        </w:tc>
      </w:tr>
    </w:tbl>
    <w:p w14:paraId="649B8BDA" w14:textId="77777777" w:rsidR="00087947" w:rsidRPr="006F283B" w:rsidRDefault="00087947" w:rsidP="00087947">
      <w:pPr>
        <w:pStyle w:val="TableFooter"/>
      </w:pPr>
      <w:r w:rsidRPr="006F283B">
        <w:t>Source: Tables 3 and 11, p25 and 38 of the submission</w:t>
      </w:r>
    </w:p>
    <w:p w14:paraId="3484C561" w14:textId="6DC79938" w:rsidR="00843998" w:rsidRPr="006F283B" w:rsidRDefault="00843998" w:rsidP="00843998">
      <w:pPr>
        <w:pStyle w:val="TableFooter"/>
      </w:pPr>
      <w:r w:rsidRPr="006F283B">
        <w:t xml:space="preserve">Beva = bevacizumab; </w:t>
      </w:r>
      <w:r w:rsidR="001152C0" w:rsidRPr="001152C0">
        <w:rPr>
          <w:i/>
        </w:rPr>
        <w:t>BRCAwt</w:t>
      </w:r>
      <w:r w:rsidRPr="006F283B">
        <w:t xml:space="preserve"> = breast cancer gene wild type; CR = complete response; GIS = genomic instability score; HGEOC = high grade epithelial ovarian cancer; HRD = homologous recombination deficiency; NDA = newly diagnosed advanced; PBC = platinum</w:t>
      </w:r>
      <w:r w:rsidR="00DA6764" w:rsidRPr="006F283B">
        <w:t>-</w:t>
      </w:r>
      <w:r w:rsidRPr="006F283B">
        <w:t>based chemotherapy; PR = partial response; SMM = standard medical management; Tx = treatment</w:t>
      </w:r>
    </w:p>
    <w:p w14:paraId="6494F7AC" w14:textId="77777777" w:rsidR="00843998" w:rsidRPr="006F283B" w:rsidRDefault="00843998" w:rsidP="008E1252">
      <w:pPr>
        <w:pStyle w:val="TableFooter"/>
        <w:spacing w:after="120"/>
      </w:pPr>
      <w:r w:rsidRPr="006F283B">
        <w:rPr>
          <w:vertAlign w:val="superscript"/>
        </w:rPr>
        <w:t>a</w:t>
      </w:r>
      <w:r w:rsidRPr="006F283B">
        <w:t xml:space="preserve"> </w:t>
      </w:r>
      <w:proofErr w:type="gramStart"/>
      <w:r w:rsidRPr="006F283B">
        <w:t>The</w:t>
      </w:r>
      <w:proofErr w:type="gramEnd"/>
      <w:r w:rsidRPr="006F283B">
        <w:t xml:space="preserve"> submission (p25) stated that given the PBAC’s prior views (March 2022) regarding the limited informative value of bevacizumab as a comparator (limited utilisation, unable to form the basis of an assessment of cost-effectiveness), the co-dependent submission did not consider bevacizumab in the clinical or economic evaluation.</w:t>
      </w:r>
    </w:p>
    <w:p w14:paraId="731ACF53" w14:textId="51B09586" w:rsidR="00843998" w:rsidRPr="006F283B" w:rsidRDefault="00843998" w:rsidP="008E1252">
      <w:pPr>
        <w:pStyle w:val="ListParagraph"/>
        <w:spacing w:before="0" w:after="120"/>
      </w:pPr>
      <w:r w:rsidRPr="006F283B">
        <w:lastRenderedPageBreak/>
        <w:t xml:space="preserve">A cost minimisation analysis (CMA) for niraparib versus olaparib for the treatment of HRD positive </w:t>
      </w:r>
      <w:r w:rsidR="001152C0" w:rsidRPr="001152C0">
        <w:rPr>
          <w:i/>
          <w:iCs/>
        </w:rPr>
        <w:t>BRCAwt</w:t>
      </w:r>
      <w:r w:rsidRPr="006F283B">
        <w:t xml:space="preserve"> </w:t>
      </w:r>
      <w:r w:rsidR="003B5FCA" w:rsidRPr="006F283B">
        <w:t>newly diagnosed advanced high grade epithelial ovarian cancer (HGEOC)</w:t>
      </w:r>
      <w:r w:rsidRPr="006F283B">
        <w:t xml:space="preserve"> was</w:t>
      </w:r>
      <w:r w:rsidR="003B5FCA" w:rsidRPr="006F283B">
        <w:t xml:space="preserve"> also</w:t>
      </w:r>
      <w:r w:rsidRPr="006F283B">
        <w:t xml:space="preserve"> presented in the submission, based on the conclusions of the clinical evaluation of niraparib versus olaparib + bevacizumab. The submission </w:t>
      </w:r>
      <w:r w:rsidR="007C5410" w:rsidRPr="006F283B">
        <w:t xml:space="preserve">stated </w:t>
      </w:r>
      <w:r w:rsidRPr="006F283B">
        <w:t>that the CMA would be applicable for the scenario where olaparib + bevacizumab becomes PBS listed at the time of consideration of niraparib.</w:t>
      </w:r>
    </w:p>
    <w:p w14:paraId="3FB76BC7" w14:textId="402DDB9D" w:rsidR="007135A2" w:rsidRPr="006F283B" w:rsidRDefault="00B23F82" w:rsidP="008E1252">
      <w:pPr>
        <w:pStyle w:val="ListParagraph"/>
        <w:spacing w:before="0" w:after="120"/>
      </w:pPr>
      <w:bookmarkStart w:id="7" w:name="_Ref127486473"/>
      <w:r w:rsidRPr="006F283B">
        <w:rPr>
          <w:iCs/>
          <w:color w:val="auto"/>
        </w:rPr>
        <w:t xml:space="preserve">The </w:t>
      </w:r>
      <w:r w:rsidR="008E34C5">
        <w:rPr>
          <w:iCs/>
          <w:color w:val="auto"/>
        </w:rPr>
        <w:t>Pre-Sub-Committee Response (</w:t>
      </w:r>
      <w:r w:rsidRPr="006F283B">
        <w:rPr>
          <w:iCs/>
          <w:color w:val="auto"/>
        </w:rPr>
        <w:t>PSCR</w:t>
      </w:r>
      <w:r w:rsidR="008E34C5">
        <w:rPr>
          <w:iCs/>
          <w:color w:val="auto"/>
        </w:rPr>
        <w:t>)</w:t>
      </w:r>
      <w:r w:rsidRPr="006F283B">
        <w:rPr>
          <w:iCs/>
          <w:color w:val="auto"/>
        </w:rPr>
        <w:t xml:space="preserve"> acknowledged that issues persist regarding the HRD testing proposals currently under evaluation (SOPHiA, Illumina), and stated there was a significant risk that consensus on the role and parameters for HRD testing may not be reached by the March 2023 PBAC and MSAC meetings. </w:t>
      </w:r>
      <w:proofErr w:type="gramStart"/>
      <w:r w:rsidRPr="006F283B">
        <w:rPr>
          <w:iCs/>
          <w:color w:val="auto"/>
        </w:rPr>
        <w:t>In light of</w:t>
      </w:r>
      <w:proofErr w:type="gramEnd"/>
      <w:r w:rsidRPr="006F283B">
        <w:rPr>
          <w:iCs/>
          <w:color w:val="auto"/>
        </w:rPr>
        <w:t xml:space="preserve"> this, the PSCR offered a second proposal for consideration, which it called the ITT (no test) proposal, which was consistent with the population requested for niraparib in the July 2021 and March 2022 submissions (allcomers)</w:t>
      </w:r>
      <w:r w:rsidR="00087947" w:rsidRPr="006F283B">
        <w:rPr>
          <w:iCs/>
          <w:color w:val="auto"/>
        </w:rPr>
        <w:t>. The sponsor</w:t>
      </w:r>
      <w:r w:rsidRPr="006F283B">
        <w:rPr>
          <w:iCs/>
          <w:color w:val="auto"/>
        </w:rPr>
        <w:t xml:space="preserve"> </w:t>
      </w:r>
      <w:r w:rsidR="00087947" w:rsidRPr="006F283B">
        <w:rPr>
          <w:iCs/>
          <w:color w:val="auto"/>
        </w:rPr>
        <w:t xml:space="preserve">proposed </w:t>
      </w:r>
      <w:r w:rsidRPr="006F283B">
        <w:rPr>
          <w:iCs/>
          <w:color w:val="auto"/>
        </w:rPr>
        <w:t>to address the PBAC’s concerns about clinical uncertainty with a lower price offer (see</w:t>
      </w:r>
      <w:r w:rsidR="00DB3F94" w:rsidRPr="006F283B">
        <w:rPr>
          <w:iCs/>
          <w:color w:val="auto"/>
        </w:rPr>
        <w:t xml:space="preserve"> paragraph </w:t>
      </w:r>
      <w:r w:rsidR="00D90466" w:rsidRPr="006F283B">
        <w:rPr>
          <w:iCs/>
          <w:color w:val="auto"/>
        </w:rPr>
        <w:fldChar w:fldCharType="begin" w:fldLock="1"/>
      </w:r>
      <w:r w:rsidR="00D90466" w:rsidRPr="006F283B">
        <w:rPr>
          <w:iCs/>
          <w:color w:val="auto"/>
        </w:rPr>
        <w:instrText xml:space="preserve"> REF _Ref127284110 \r \h </w:instrText>
      </w:r>
      <w:r w:rsidR="00D90466" w:rsidRPr="006F283B">
        <w:rPr>
          <w:iCs/>
          <w:color w:val="auto"/>
        </w:rPr>
      </w:r>
      <w:r w:rsidR="00D90466" w:rsidRPr="006F283B">
        <w:rPr>
          <w:iCs/>
          <w:color w:val="auto"/>
        </w:rPr>
        <w:fldChar w:fldCharType="separate"/>
      </w:r>
      <w:r w:rsidR="00305654">
        <w:rPr>
          <w:iCs/>
          <w:color w:val="auto"/>
        </w:rPr>
        <w:t>6.87</w:t>
      </w:r>
      <w:r w:rsidR="00D90466" w:rsidRPr="006F283B">
        <w:rPr>
          <w:iCs/>
          <w:color w:val="auto"/>
        </w:rPr>
        <w:fldChar w:fldCharType="end"/>
      </w:r>
      <w:r w:rsidRPr="006F283B">
        <w:rPr>
          <w:iCs/>
          <w:color w:val="auto"/>
        </w:rPr>
        <w:t>) and a financial cap.</w:t>
      </w:r>
      <w:bookmarkEnd w:id="7"/>
      <w:r w:rsidRPr="006F283B">
        <w:rPr>
          <w:iCs/>
          <w:color w:val="auto"/>
        </w:rPr>
        <w:t xml:space="preserve"> </w:t>
      </w:r>
      <w:bookmarkStart w:id="8" w:name="_Hlk130510749"/>
      <w:r w:rsidR="007135A2" w:rsidRPr="006F283B">
        <w:rPr>
          <w:iCs/>
          <w:color w:val="auto"/>
        </w:rPr>
        <w:t xml:space="preserve">The PBAC considered that </w:t>
      </w:r>
      <w:r w:rsidR="007135A2" w:rsidRPr="006F283B">
        <w:t xml:space="preserve">the benefit of niraparib treatment in the HRD negative subgroup remained highly uncertain and that treatment of these patients may not be clinically appropriate. The PBAC considered it was appropriate to require HRD testing to determine PBS eligibility for niraparib, and therefore did not </w:t>
      </w:r>
      <w:r w:rsidR="00380E15" w:rsidRPr="006F283B">
        <w:t>support</w:t>
      </w:r>
      <w:r w:rsidR="007135A2" w:rsidRPr="006F283B">
        <w:t xml:space="preserve"> the </w:t>
      </w:r>
      <w:r w:rsidR="007135A2" w:rsidRPr="006F283B">
        <w:rPr>
          <w:iCs/>
          <w:color w:val="auto"/>
        </w:rPr>
        <w:t>ITT (no test) proposal</w:t>
      </w:r>
      <w:r w:rsidR="007135A2" w:rsidRPr="006F283B">
        <w:t>.</w:t>
      </w:r>
      <w:bookmarkEnd w:id="8"/>
    </w:p>
    <w:p w14:paraId="02502038" w14:textId="254DAE5B" w:rsidR="00B23F82" w:rsidRPr="006F283B" w:rsidRDefault="00FF5BDD" w:rsidP="008E1252">
      <w:pPr>
        <w:pStyle w:val="ListParagraph"/>
        <w:numPr>
          <w:ilvl w:val="0"/>
          <w:numId w:val="0"/>
        </w:numPr>
        <w:spacing w:after="120"/>
        <w:ind w:left="720"/>
        <w:rPr>
          <w:i/>
        </w:rPr>
      </w:pPr>
      <w:r w:rsidRPr="006F283B">
        <w:rPr>
          <w:i/>
          <w:color w:val="auto"/>
        </w:rPr>
        <w:t>For more detail on PBAC’s view, see section 7 PBAC outcome.</w:t>
      </w:r>
    </w:p>
    <w:p w14:paraId="6690A9B9" w14:textId="77777777" w:rsidR="00843998" w:rsidRPr="006F283B" w:rsidRDefault="00843998" w:rsidP="00DA1692">
      <w:pPr>
        <w:pStyle w:val="PBACESHeading1"/>
      </w:pPr>
      <w:bookmarkStart w:id="9" w:name="_Toc487029150"/>
      <w:bookmarkStart w:id="10" w:name="_Toc95298215"/>
      <w:bookmarkStart w:id="11" w:name="_Toc123646824"/>
      <w:bookmarkStart w:id="12" w:name="_Toc123646925"/>
      <w:bookmarkStart w:id="13" w:name="_Toc123647160"/>
      <w:bookmarkStart w:id="14" w:name="_Toc124937084"/>
      <w:r w:rsidRPr="006F283B">
        <w:t>Background</w:t>
      </w:r>
      <w:bookmarkEnd w:id="9"/>
      <w:bookmarkEnd w:id="10"/>
      <w:bookmarkEnd w:id="11"/>
      <w:bookmarkEnd w:id="12"/>
      <w:bookmarkEnd w:id="13"/>
      <w:bookmarkEnd w:id="14"/>
    </w:p>
    <w:p w14:paraId="56CC00BD" w14:textId="01B863EC" w:rsidR="00843998" w:rsidRPr="006F283B" w:rsidRDefault="00843998" w:rsidP="00F029F7">
      <w:pPr>
        <w:pStyle w:val="4-SubsectionHeading"/>
      </w:pPr>
      <w:bookmarkStart w:id="15" w:name="_Toc95298216"/>
      <w:bookmarkStart w:id="16" w:name="_Toc123646825"/>
      <w:bookmarkStart w:id="17" w:name="_Toc123646926"/>
      <w:bookmarkStart w:id="18" w:name="_Toc123647161"/>
      <w:bookmarkStart w:id="19" w:name="_Toc124937085"/>
      <w:r w:rsidRPr="006F283B">
        <w:t>Registration status</w:t>
      </w:r>
      <w:bookmarkEnd w:id="15"/>
      <w:bookmarkEnd w:id="16"/>
      <w:bookmarkEnd w:id="17"/>
      <w:bookmarkEnd w:id="18"/>
      <w:bookmarkEnd w:id="19"/>
    </w:p>
    <w:p w14:paraId="6B452707" w14:textId="77777777" w:rsidR="00843998" w:rsidRPr="006F283B" w:rsidRDefault="00843998" w:rsidP="008E1252">
      <w:pPr>
        <w:pStyle w:val="ListParagraph"/>
        <w:spacing w:before="0" w:after="120"/>
        <w:rPr>
          <w:color w:val="auto"/>
        </w:rPr>
      </w:pPr>
      <w:r w:rsidRPr="006F283B">
        <w:rPr>
          <w:color w:val="auto"/>
        </w:rPr>
        <w:t>Niraparib was initially approved by the TGA on 28 June 2019 and is currently registered for the following indications:</w:t>
      </w:r>
    </w:p>
    <w:p w14:paraId="56F7259D" w14:textId="77777777" w:rsidR="00843998" w:rsidRPr="006F283B" w:rsidRDefault="00843998" w:rsidP="008E1252">
      <w:pPr>
        <w:pStyle w:val="ListParagraph"/>
        <w:numPr>
          <w:ilvl w:val="4"/>
          <w:numId w:val="23"/>
        </w:numPr>
        <w:spacing w:before="0" w:after="120"/>
        <w:ind w:left="1134"/>
        <w:rPr>
          <w:color w:val="auto"/>
        </w:rPr>
      </w:pPr>
      <w:r w:rsidRPr="006F283B">
        <w:rPr>
          <w:color w:val="auto"/>
        </w:rPr>
        <w:t>For the maintenance treatment of adult patients with advanced high-grade ovarian, fallopian tube or primary peritoneal cancer who are in response (complete or partial) following completion of first-line platinum-based chemotherapy.</w:t>
      </w:r>
    </w:p>
    <w:p w14:paraId="626ACB6E" w14:textId="77777777" w:rsidR="00843998" w:rsidRPr="006F283B" w:rsidRDefault="00843998" w:rsidP="008E1252">
      <w:pPr>
        <w:pStyle w:val="ListParagraph"/>
        <w:numPr>
          <w:ilvl w:val="4"/>
          <w:numId w:val="23"/>
        </w:numPr>
        <w:spacing w:before="0" w:after="120"/>
        <w:ind w:left="1134"/>
        <w:rPr>
          <w:color w:val="auto"/>
        </w:rPr>
      </w:pPr>
      <w:r w:rsidRPr="006F283B">
        <w:rPr>
          <w:color w:val="auto"/>
        </w:rPr>
        <w:t>As monotherapy for the maintenance treatment of adult patients with platinum-sensitive relapsed high grade serous epithelial ovarian, fallopian tube, or primary peritoneal cancer who are in response (complete or partial) to platinum-based chemotherapy.</w:t>
      </w:r>
    </w:p>
    <w:p w14:paraId="631E2326" w14:textId="77777777" w:rsidR="00843998" w:rsidRPr="00F029F7" w:rsidRDefault="00843998" w:rsidP="00F029F7">
      <w:pPr>
        <w:pStyle w:val="4-SubsectionHeading"/>
      </w:pPr>
      <w:bookmarkStart w:id="20" w:name="_Toc492317094"/>
      <w:bookmarkStart w:id="21" w:name="_Toc95298217"/>
      <w:bookmarkStart w:id="22" w:name="_Toc123646826"/>
      <w:bookmarkStart w:id="23" w:name="_Toc123646927"/>
      <w:bookmarkStart w:id="24" w:name="_Toc123647162"/>
      <w:bookmarkStart w:id="25" w:name="_Toc124937086"/>
      <w:r w:rsidRPr="00F029F7">
        <w:t>Previous PBAC consideration</w:t>
      </w:r>
      <w:bookmarkEnd w:id="20"/>
      <w:bookmarkEnd w:id="21"/>
      <w:bookmarkEnd w:id="22"/>
      <w:bookmarkEnd w:id="23"/>
      <w:bookmarkEnd w:id="24"/>
      <w:bookmarkEnd w:id="25"/>
    </w:p>
    <w:p w14:paraId="1637638A" w14:textId="046AA601" w:rsidR="00843998" w:rsidRPr="006F283B" w:rsidRDefault="00843998" w:rsidP="008E1252">
      <w:pPr>
        <w:pStyle w:val="ListParagraph"/>
        <w:spacing w:before="0" w:after="120"/>
      </w:pPr>
      <w:r w:rsidRPr="006F283B">
        <w:t xml:space="preserve">The requested listing of niraparib for the treatment of HRD positive </w:t>
      </w:r>
      <w:r w:rsidR="001152C0" w:rsidRPr="001152C0">
        <w:rPr>
          <w:i/>
          <w:iCs/>
        </w:rPr>
        <w:t>BRCAwt</w:t>
      </w:r>
      <w:r w:rsidRPr="006F283B">
        <w:t xml:space="preserve"> high grade epithelial ovarian cancer (HGEOC) has not been previously considered by the PBAC.</w:t>
      </w:r>
    </w:p>
    <w:p w14:paraId="5405165B" w14:textId="59342560" w:rsidR="00FF5BDD" w:rsidRPr="006F283B" w:rsidRDefault="00843998" w:rsidP="008E1252">
      <w:pPr>
        <w:pStyle w:val="ListParagraph"/>
        <w:spacing w:before="0" w:after="120"/>
      </w:pPr>
      <w:bookmarkStart w:id="26" w:name="_Toc476306884"/>
      <w:bookmarkStart w:id="27" w:name="_Toc413139275"/>
      <w:r w:rsidRPr="006F283B">
        <w:t xml:space="preserve">Niraparib was recommended by the PBAC at the March 2022 meeting for the treatment of high-grade epithelial ovarian, fallopian tube, or primary peritoneal cancer in patients with </w:t>
      </w:r>
      <w:r w:rsidR="001152C0" w:rsidRPr="001152C0">
        <w:rPr>
          <w:i/>
          <w:iCs/>
        </w:rPr>
        <w:t>BRCA1/2</w:t>
      </w:r>
      <w:r w:rsidRPr="006F283B">
        <w:rPr>
          <w:i/>
          <w:iCs/>
        </w:rPr>
        <w:t xml:space="preserve"> </w:t>
      </w:r>
      <w:r w:rsidRPr="006F283B">
        <w:t xml:space="preserve">pathogenic gene variants, who are in response </w:t>
      </w:r>
      <w:r w:rsidRPr="006F283B">
        <w:lastRenderedPageBreak/>
        <w:t xml:space="preserve">(complete or partial) to first line (1L) platinum-based chemotherapy (PBC), following an initial consideration in July 2021. </w:t>
      </w:r>
      <w:proofErr w:type="gramStart"/>
      <w:r w:rsidR="0004749E" w:rsidRPr="006F283B">
        <w:t>Both of these</w:t>
      </w:r>
      <w:proofErr w:type="gramEnd"/>
      <w:r w:rsidR="0004749E" w:rsidRPr="006F283B">
        <w:t xml:space="preserve"> submissions also requested PBS listing of niraparib for patients without evidence of </w:t>
      </w:r>
      <w:r w:rsidR="001152C0" w:rsidRPr="001152C0">
        <w:rPr>
          <w:i/>
          <w:iCs/>
        </w:rPr>
        <w:t>BRCA1/2</w:t>
      </w:r>
      <w:r w:rsidR="0004749E" w:rsidRPr="006F283B">
        <w:rPr>
          <w:i/>
          <w:iCs/>
        </w:rPr>
        <w:t xml:space="preserve"> </w:t>
      </w:r>
      <w:r w:rsidR="0004749E" w:rsidRPr="006F283B">
        <w:t>pathogenic gene variants, but on both occasions</w:t>
      </w:r>
      <w:r w:rsidR="00D46EFC" w:rsidRPr="006F283B">
        <w:t>,</w:t>
      </w:r>
      <w:r w:rsidR="0004749E" w:rsidRPr="006F283B">
        <w:t xml:space="preserve"> listing was not recommended for this population. </w:t>
      </w:r>
      <w:r w:rsidR="006B0FBF" w:rsidRPr="006F283B">
        <w:t>Prior to that</w:t>
      </w:r>
      <w:r w:rsidRPr="006F283B">
        <w:t xml:space="preserve">, a submission requesting use of niraparib in the </w:t>
      </w:r>
      <w:proofErr w:type="gramStart"/>
      <w:r w:rsidRPr="006F283B">
        <w:t>second-line</w:t>
      </w:r>
      <w:proofErr w:type="gramEnd"/>
      <w:r w:rsidRPr="006F283B">
        <w:t xml:space="preserve"> (2L) HGEOC setting (platinum sensitive relapsed) was considered at the March 2021 meeting</w:t>
      </w:r>
      <w:r w:rsidR="009046AA" w:rsidRPr="006F283B">
        <w:t xml:space="preserve"> and was not recommended</w:t>
      </w:r>
      <w:r w:rsidRPr="006F283B">
        <w:t>.</w:t>
      </w:r>
      <w:r w:rsidR="007C5410" w:rsidRPr="006F283B">
        <w:t xml:space="preserve"> </w:t>
      </w:r>
      <w:r w:rsidR="001C1ECA" w:rsidRPr="006F283B">
        <w:t xml:space="preserve">In July 2022, the PBAC did not recommend olaparib for use in combination with bevacizumab for maintenance therapy in patients with newly diagnosed HRD positive </w:t>
      </w:r>
      <w:r w:rsidR="001152C0" w:rsidRPr="001152C0">
        <w:rPr>
          <w:i/>
          <w:iCs/>
        </w:rPr>
        <w:t>BRCAwt</w:t>
      </w:r>
      <w:r w:rsidR="001C1ECA" w:rsidRPr="006F283B">
        <w:t xml:space="preserve"> advanced epithelial ovarian, fallopian tube or primary peritoneal cancer (paragraph 7.1, olaparib </w:t>
      </w:r>
      <w:r w:rsidR="008E34C5">
        <w:t>Public Summary Document [</w:t>
      </w:r>
      <w:r w:rsidR="001C1ECA" w:rsidRPr="006F283B">
        <w:t>PSD</w:t>
      </w:r>
      <w:r w:rsidR="008E34C5">
        <w:t>]</w:t>
      </w:r>
      <w:r w:rsidR="001C1ECA" w:rsidRPr="006F283B">
        <w:t xml:space="preserve">, </w:t>
      </w:r>
      <w:r w:rsidR="008E34C5" w:rsidRPr="006F283B">
        <w:t>July</w:t>
      </w:r>
      <w:r w:rsidR="008E34C5">
        <w:t> </w:t>
      </w:r>
      <w:r w:rsidR="001C1ECA" w:rsidRPr="006F283B">
        <w:t xml:space="preserve">2022 PBAC meeting). </w:t>
      </w:r>
      <w:r w:rsidR="00DC2F27" w:rsidRPr="006F283B">
        <w:t xml:space="preserve">At </w:t>
      </w:r>
      <w:r w:rsidR="007C379B" w:rsidRPr="006F283B">
        <w:t xml:space="preserve">its </w:t>
      </w:r>
      <w:r w:rsidR="00DC2F27" w:rsidRPr="006F283B">
        <w:t xml:space="preserve">meeting in November 2022 the PBAC </w:t>
      </w:r>
      <w:r w:rsidR="003F1FE7" w:rsidRPr="006F283B">
        <w:t xml:space="preserve">deferred </w:t>
      </w:r>
      <w:r w:rsidR="00F64E21" w:rsidRPr="006F283B">
        <w:t>its decision on whether to recommend</w:t>
      </w:r>
      <w:r w:rsidR="00DC2F27" w:rsidRPr="006F283B">
        <w:t xml:space="preserve"> olaparib in the HRD positive </w:t>
      </w:r>
      <w:r w:rsidR="001152C0" w:rsidRPr="001152C0">
        <w:rPr>
          <w:i/>
          <w:iCs/>
        </w:rPr>
        <w:t>BRCAwt</w:t>
      </w:r>
      <w:r w:rsidR="00DC2F27" w:rsidRPr="006F283B">
        <w:t xml:space="preserve"> HGEOC population</w:t>
      </w:r>
      <w:r w:rsidR="00F64E21" w:rsidRPr="006F283B">
        <w:t xml:space="preserve"> but was of a mind to recommend</w:t>
      </w:r>
      <w:r w:rsidR="0037316D" w:rsidRPr="006F283B">
        <w:t>,</w:t>
      </w:r>
      <w:r w:rsidR="007C379B" w:rsidRPr="006F283B">
        <w:t xml:space="preserve"> pending MSAC consideration of HRD testing</w:t>
      </w:r>
      <w:r w:rsidR="00950473" w:rsidRPr="006F283B">
        <w:t>.</w:t>
      </w:r>
      <w:r w:rsidR="00DC2F27" w:rsidRPr="006F283B">
        <w:t xml:space="preserve"> </w:t>
      </w:r>
      <w:r w:rsidR="00822A37" w:rsidRPr="006F283B">
        <w:t xml:space="preserve">MSAC did not support public funding of testing ovarian tumour tissue for genomic instability to determine HRD status to define eligibility for treatment of ovarian cancer with olaparib and bevacizumab (p1, Application No. 1658 MSAC PSD, MSAC meeting </w:t>
      </w:r>
      <w:r w:rsidR="008E34C5" w:rsidRPr="006F283B">
        <w:t>July</w:t>
      </w:r>
      <w:r w:rsidR="008E34C5">
        <w:t> </w:t>
      </w:r>
      <w:r w:rsidR="00822A37" w:rsidRPr="006F283B">
        <w:t xml:space="preserve">2022). </w:t>
      </w:r>
      <w:r w:rsidRPr="006F283B">
        <w:t>Currently there is not an HRD test on the MBS to allow determination of eligibility to a PARP inhibitor for the treatment of HGEOC or for any other indication.</w:t>
      </w:r>
    </w:p>
    <w:p w14:paraId="2046476E" w14:textId="7845367F" w:rsidR="00843998" w:rsidRPr="00DA1692" w:rsidRDefault="00FF5BDD" w:rsidP="008E1252">
      <w:pPr>
        <w:pStyle w:val="ListParagraph"/>
        <w:numPr>
          <w:ilvl w:val="0"/>
          <w:numId w:val="0"/>
        </w:numPr>
        <w:spacing w:before="0" w:after="120"/>
        <w:ind w:left="720"/>
        <w:rPr>
          <w:i/>
        </w:rPr>
      </w:pPr>
      <w:r w:rsidRPr="006F283B">
        <w:rPr>
          <w:i/>
          <w:color w:val="auto"/>
        </w:rPr>
        <w:t>For more detail on PBAC’s view, see section 7 PBAC outcome.</w:t>
      </w:r>
    </w:p>
    <w:p w14:paraId="432EF9D6" w14:textId="2504AC40" w:rsidR="00843998" w:rsidRPr="006F283B" w:rsidRDefault="00843998" w:rsidP="00843998">
      <w:pPr>
        <w:pStyle w:val="PBACESHeading1"/>
      </w:pPr>
      <w:bookmarkStart w:id="28" w:name="_Toc95298218"/>
      <w:bookmarkStart w:id="29" w:name="_Toc123646827"/>
      <w:bookmarkStart w:id="30" w:name="_Toc123646928"/>
      <w:bookmarkStart w:id="31" w:name="_Toc123647163"/>
      <w:bookmarkStart w:id="32" w:name="_Toc124937087"/>
      <w:bookmarkStart w:id="33" w:name="_Ref136852972"/>
      <w:bookmarkStart w:id="34" w:name="_Ref136852990"/>
      <w:bookmarkStart w:id="35" w:name="_Ref136853058"/>
      <w:r w:rsidRPr="006F283B">
        <w:t xml:space="preserve">Requested </w:t>
      </w:r>
      <w:proofErr w:type="gramStart"/>
      <w:r w:rsidRPr="006F283B">
        <w:t>listing</w:t>
      </w:r>
      <w:bookmarkEnd w:id="28"/>
      <w:bookmarkEnd w:id="29"/>
      <w:bookmarkEnd w:id="30"/>
      <w:bookmarkEnd w:id="31"/>
      <w:bookmarkEnd w:id="32"/>
      <w:bookmarkEnd w:id="33"/>
      <w:bookmarkEnd w:id="34"/>
      <w:bookmarkEnd w:id="35"/>
      <w:proofErr w:type="gramEnd"/>
    </w:p>
    <w:p w14:paraId="7C336D64" w14:textId="759FC0ED" w:rsidR="00843998" w:rsidRPr="006F283B" w:rsidRDefault="00843998" w:rsidP="008E1252">
      <w:pPr>
        <w:pStyle w:val="ListParagraph"/>
        <w:spacing w:before="0" w:after="120"/>
      </w:pPr>
      <w:r w:rsidRPr="006F283B">
        <w:rPr>
          <w:color w:val="auto"/>
        </w:rPr>
        <w:t>The requested PBS listing was an extension of the current niraparib listing</w:t>
      </w:r>
      <w:r w:rsidR="001C79BE" w:rsidRPr="006F283B">
        <w:rPr>
          <w:color w:val="auto"/>
        </w:rPr>
        <w:t xml:space="preserve">. </w:t>
      </w:r>
      <w:r w:rsidR="001C79BE" w:rsidRPr="006F283B">
        <w:rPr>
          <w:rFonts w:cstheme="minorHAnsi"/>
          <w:iCs/>
        </w:rPr>
        <w:t>Suggestions and additions proposed by the Secretariat are added in italics and suggested deletions are crossed out with strikethrough. The submission did not propose any changes to the current niraparib restriction for continuing treatment.</w:t>
      </w:r>
    </w:p>
    <w:tbl>
      <w:tblPr>
        <w:tblStyle w:val="TableGrid"/>
        <w:tblW w:w="4997" w:type="pct"/>
        <w:tblBorders>
          <w:top w:val="single" w:sz="4" w:space="0" w:color="000000" w:themeColor="text1"/>
          <w:left w:val="none" w:sz="0" w:space="0" w:color="auto"/>
          <w:bottom w:val="single" w:sz="4" w:space="0" w:color="auto"/>
          <w:right w:val="none" w:sz="0" w:space="0" w:color="auto"/>
          <w:insideH w:val="none" w:sz="0" w:space="0" w:color="auto"/>
          <w:insideV w:val="none" w:sz="0" w:space="0" w:color="auto"/>
        </w:tblBorders>
        <w:tblCellMar>
          <w:top w:w="17" w:type="dxa"/>
          <w:left w:w="28" w:type="dxa"/>
          <w:bottom w:w="17" w:type="dxa"/>
          <w:right w:w="28" w:type="dxa"/>
        </w:tblCellMar>
        <w:tblLook w:val="04A0" w:firstRow="1" w:lastRow="0" w:firstColumn="1" w:lastColumn="0" w:noHBand="0" w:noVBand="1"/>
      </w:tblPr>
      <w:tblGrid>
        <w:gridCol w:w="2014"/>
        <w:gridCol w:w="1249"/>
        <w:gridCol w:w="1194"/>
        <w:gridCol w:w="1066"/>
        <w:gridCol w:w="1719"/>
        <w:gridCol w:w="1779"/>
      </w:tblGrid>
      <w:tr w:rsidR="00843998" w:rsidRPr="006F283B" w14:paraId="7853D975" w14:textId="77777777" w:rsidTr="001C79BE">
        <w:trPr>
          <w:cnfStyle w:val="100000000000" w:firstRow="1" w:lastRow="0" w:firstColumn="0" w:lastColumn="0" w:oddVBand="0" w:evenVBand="0" w:oddHBand="0" w:evenHBand="0" w:firstRowFirstColumn="0" w:firstRowLastColumn="0" w:lastRowFirstColumn="0" w:lastRowLastColumn="0"/>
          <w:trHeight w:val="20"/>
        </w:trPr>
        <w:tc>
          <w:tcPr>
            <w:tcW w:w="1116" w:type="pct"/>
            <w:tcBorders>
              <w:top w:val="single" w:sz="4" w:space="0" w:color="000000" w:themeColor="text1"/>
              <w:bottom w:val="single" w:sz="4" w:space="0" w:color="auto"/>
            </w:tcBorders>
            <w:shd w:val="clear" w:color="auto" w:fill="auto"/>
            <w:vAlign w:val="center"/>
          </w:tcPr>
          <w:p w14:paraId="5BF88FAF" w14:textId="77777777" w:rsidR="00843998" w:rsidRPr="006F283B" w:rsidRDefault="00843998" w:rsidP="004E1FEC">
            <w:pPr>
              <w:pStyle w:val="TableTextCA"/>
              <w:widowControl w:val="0"/>
              <w:spacing w:before="0" w:after="0"/>
              <w:jc w:val="left"/>
              <w:rPr>
                <w:b w:val="0"/>
                <w:bCs/>
                <w:lang w:val="en-AU"/>
              </w:rPr>
            </w:pPr>
            <w:r w:rsidRPr="006F283B">
              <w:rPr>
                <w:b w:val="0"/>
                <w:bCs/>
                <w:lang w:val="en-AU"/>
              </w:rPr>
              <w:t>Name, restriction, manner of administration, form</w:t>
            </w:r>
          </w:p>
        </w:tc>
        <w:tc>
          <w:tcPr>
            <w:tcW w:w="692" w:type="pct"/>
            <w:tcBorders>
              <w:top w:val="single" w:sz="4" w:space="0" w:color="000000" w:themeColor="text1"/>
              <w:bottom w:val="single" w:sz="4" w:space="0" w:color="auto"/>
            </w:tcBorders>
            <w:shd w:val="clear" w:color="auto" w:fill="auto"/>
            <w:vAlign w:val="center"/>
          </w:tcPr>
          <w:p w14:paraId="69AD1E3D" w14:textId="77777777" w:rsidR="00843998" w:rsidRPr="006F283B" w:rsidRDefault="00843998" w:rsidP="004E1FEC">
            <w:pPr>
              <w:pStyle w:val="TableTextCA"/>
              <w:widowControl w:val="0"/>
              <w:spacing w:before="0" w:after="0"/>
              <w:ind w:left="-55"/>
              <w:rPr>
                <w:b w:val="0"/>
                <w:bCs/>
                <w:lang w:val="en-AU"/>
              </w:rPr>
            </w:pPr>
            <w:r w:rsidRPr="006F283B">
              <w:rPr>
                <w:b w:val="0"/>
                <w:bCs/>
                <w:lang w:val="en-AU"/>
              </w:rPr>
              <w:t>Maximum quantity (packs)</w:t>
            </w:r>
          </w:p>
        </w:tc>
        <w:tc>
          <w:tcPr>
            <w:tcW w:w="662" w:type="pct"/>
            <w:tcBorders>
              <w:top w:val="single" w:sz="4" w:space="0" w:color="000000" w:themeColor="text1"/>
              <w:bottom w:val="single" w:sz="4" w:space="0" w:color="auto"/>
            </w:tcBorders>
            <w:shd w:val="clear" w:color="auto" w:fill="auto"/>
            <w:vAlign w:val="center"/>
          </w:tcPr>
          <w:p w14:paraId="316DF90E" w14:textId="77777777" w:rsidR="00843998" w:rsidRPr="006F283B" w:rsidRDefault="00843998" w:rsidP="004E1FEC">
            <w:pPr>
              <w:pStyle w:val="TableTextCA"/>
              <w:widowControl w:val="0"/>
              <w:spacing w:before="0" w:after="0"/>
              <w:rPr>
                <w:b w:val="0"/>
                <w:bCs/>
                <w:lang w:val="en-AU"/>
              </w:rPr>
            </w:pPr>
            <w:r w:rsidRPr="006F283B">
              <w:rPr>
                <w:b w:val="0"/>
                <w:bCs/>
                <w:lang w:val="en-AU"/>
              </w:rPr>
              <w:t>Maximum quantity (units)</w:t>
            </w:r>
          </w:p>
        </w:tc>
        <w:tc>
          <w:tcPr>
            <w:tcW w:w="591" w:type="pct"/>
            <w:tcBorders>
              <w:top w:val="single" w:sz="4" w:space="0" w:color="000000" w:themeColor="text1"/>
              <w:bottom w:val="single" w:sz="4" w:space="0" w:color="auto"/>
            </w:tcBorders>
            <w:shd w:val="clear" w:color="auto" w:fill="auto"/>
            <w:vAlign w:val="center"/>
          </w:tcPr>
          <w:p w14:paraId="62F86154" w14:textId="77777777" w:rsidR="00843998" w:rsidRPr="006F283B" w:rsidRDefault="00843998" w:rsidP="004E1FEC">
            <w:pPr>
              <w:pStyle w:val="TableTextCA"/>
              <w:widowControl w:val="0"/>
              <w:spacing w:before="0" w:after="0"/>
              <w:rPr>
                <w:b w:val="0"/>
                <w:bCs/>
                <w:lang w:val="en-AU"/>
              </w:rPr>
            </w:pPr>
            <w:r w:rsidRPr="006F283B">
              <w:rPr>
                <w:b w:val="0"/>
                <w:bCs/>
                <w:lang w:val="en-AU"/>
              </w:rPr>
              <w:t>No. of repeats</w:t>
            </w:r>
          </w:p>
        </w:tc>
        <w:tc>
          <w:tcPr>
            <w:tcW w:w="953" w:type="pct"/>
            <w:tcBorders>
              <w:top w:val="single" w:sz="4" w:space="0" w:color="000000" w:themeColor="text1"/>
              <w:bottom w:val="single" w:sz="4" w:space="0" w:color="auto"/>
            </w:tcBorders>
            <w:shd w:val="clear" w:color="auto" w:fill="auto"/>
            <w:vAlign w:val="center"/>
          </w:tcPr>
          <w:p w14:paraId="6DBACC26" w14:textId="77777777" w:rsidR="00843998" w:rsidRPr="006F283B" w:rsidRDefault="00843998" w:rsidP="004E1FEC">
            <w:pPr>
              <w:pStyle w:val="TableTextCA"/>
              <w:widowControl w:val="0"/>
              <w:spacing w:before="0" w:after="0"/>
              <w:rPr>
                <w:b w:val="0"/>
                <w:bCs/>
                <w:lang w:val="en-AU"/>
              </w:rPr>
            </w:pPr>
            <w:r w:rsidRPr="006F283B">
              <w:rPr>
                <w:b w:val="0"/>
                <w:bCs/>
                <w:lang w:val="en-AU"/>
              </w:rPr>
              <w:t>Dispensed price for maximum quantity</w:t>
            </w:r>
          </w:p>
        </w:tc>
        <w:tc>
          <w:tcPr>
            <w:tcW w:w="986" w:type="pct"/>
            <w:tcBorders>
              <w:top w:val="single" w:sz="4" w:space="0" w:color="000000" w:themeColor="text1"/>
              <w:bottom w:val="single" w:sz="4" w:space="0" w:color="auto"/>
            </w:tcBorders>
            <w:shd w:val="clear" w:color="auto" w:fill="auto"/>
            <w:vAlign w:val="center"/>
          </w:tcPr>
          <w:p w14:paraId="3236B894" w14:textId="77777777" w:rsidR="00843998" w:rsidRPr="006F283B" w:rsidRDefault="00843998" w:rsidP="004E1FEC">
            <w:pPr>
              <w:pStyle w:val="TableTextCA"/>
              <w:widowControl w:val="0"/>
              <w:spacing w:before="0" w:after="0"/>
              <w:rPr>
                <w:b w:val="0"/>
                <w:bCs/>
                <w:lang w:val="en-AU"/>
              </w:rPr>
            </w:pPr>
            <w:r w:rsidRPr="006F283B">
              <w:rPr>
                <w:b w:val="0"/>
                <w:bCs/>
                <w:lang w:val="en-AU"/>
              </w:rPr>
              <w:t>Proprietary name and manufacturer</w:t>
            </w:r>
          </w:p>
        </w:tc>
      </w:tr>
      <w:tr w:rsidR="00843998" w:rsidRPr="006F283B" w14:paraId="13969CF3" w14:textId="77777777" w:rsidTr="001C79BE">
        <w:trPr>
          <w:trHeight w:val="20"/>
        </w:trPr>
        <w:tc>
          <w:tcPr>
            <w:tcW w:w="1116" w:type="pct"/>
            <w:vMerge w:val="restart"/>
            <w:tcBorders>
              <w:top w:val="single" w:sz="4" w:space="0" w:color="auto"/>
              <w:bottom w:val="nil"/>
            </w:tcBorders>
            <w:vAlign w:val="center"/>
          </w:tcPr>
          <w:p w14:paraId="43CA5996" w14:textId="77777777" w:rsidR="00843998" w:rsidRPr="006F283B" w:rsidRDefault="00843998" w:rsidP="004E1FEC">
            <w:pPr>
              <w:pStyle w:val="TableTextCA"/>
              <w:widowControl w:val="0"/>
              <w:spacing w:before="0" w:after="0"/>
              <w:jc w:val="left"/>
              <w:rPr>
                <w:bCs/>
                <w:lang w:val="en-AU"/>
              </w:rPr>
            </w:pPr>
            <w:r w:rsidRPr="006F283B">
              <w:rPr>
                <w:bCs/>
                <w:lang w:val="en-AU"/>
              </w:rPr>
              <w:t xml:space="preserve">Niraparib 100mg (as tosilate monohydrate), capsules </w:t>
            </w:r>
          </w:p>
        </w:tc>
        <w:tc>
          <w:tcPr>
            <w:tcW w:w="692" w:type="pct"/>
            <w:vMerge w:val="restart"/>
            <w:tcBorders>
              <w:top w:val="single" w:sz="4" w:space="0" w:color="auto"/>
              <w:bottom w:val="nil"/>
            </w:tcBorders>
            <w:vAlign w:val="center"/>
          </w:tcPr>
          <w:p w14:paraId="44DBA18A" w14:textId="77777777" w:rsidR="00843998" w:rsidRPr="006F283B" w:rsidRDefault="00843998" w:rsidP="004E1FEC">
            <w:pPr>
              <w:pStyle w:val="TableTextCA"/>
              <w:widowControl w:val="0"/>
              <w:spacing w:before="0" w:after="0"/>
              <w:rPr>
                <w:bCs/>
                <w:lang w:val="en-AU"/>
              </w:rPr>
            </w:pPr>
            <w:r w:rsidRPr="006F283B">
              <w:rPr>
                <w:bCs/>
                <w:lang w:val="en-AU"/>
              </w:rPr>
              <w:t>1</w:t>
            </w:r>
          </w:p>
        </w:tc>
        <w:tc>
          <w:tcPr>
            <w:tcW w:w="662" w:type="pct"/>
            <w:vMerge w:val="restart"/>
            <w:tcBorders>
              <w:top w:val="single" w:sz="4" w:space="0" w:color="auto"/>
              <w:bottom w:val="nil"/>
            </w:tcBorders>
            <w:vAlign w:val="center"/>
          </w:tcPr>
          <w:p w14:paraId="38D10100" w14:textId="77777777" w:rsidR="00843998" w:rsidRPr="006F283B" w:rsidRDefault="00843998" w:rsidP="004E1FEC">
            <w:pPr>
              <w:pStyle w:val="TableTextCA"/>
              <w:widowControl w:val="0"/>
              <w:spacing w:before="0" w:after="0"/>
              <w:rPr>
                <w:bCs/>
                <w:lang w:val="en-AU"/>
              </w:rPr>
            </w:pPr>
            <w:r w:rsidRPr="006F283B">
              <w:rPr>
                <w:bCs/>
                <w:lang w:val="en-AU"/>
              </w:rPr>
              <w:t>84</w:t>
            </w:r>
          </w:p>
        </w:tc>
        <w:tc>
          <w:tcPr>
            <w:tcW w:w="591" w:type="pct"/>
            <w:tcBorders>
              <w:top w:val="single" w:sz="4" w:space="0" w:color="auto"/>
              <w:bottom w:val="nil"/>
            </w:tcBorders>
            <w:vAlign w:val="center"/>
          </w:tcPr>
          <w:p w14:paraId="45203CFC" w14:textId="77777777" w:rsidR="00843998" w:rsidRPr="006F283B" w:rsidRDefault="00843998" w:rsidP="004E1FEC">
            <w:pPr>
              <w:pStyle w:val="TableTextCA"/>
              <w:widowControl w:val="0"/>
              <w:spacing w:before="0" w:after="0"/>
              <w:rPr>
                <w:bCs/>
                <w:lang w:val="en-AU"/>
              </w:rPr>
            </w:pPr>
            <w:r w:rsidRPr="006F283B">
              <w:rPr>
                <w:bCs/>
                <w:lang w:val="en-AU"/>
              </w:rPr>
              <w:t>2 (initial)</w:t>
            </w:r>
          </w:p>
        </w:tc>
        <w:tc>
          <w:tcPr>
            <w:tcW w:w="953" w:type="pct"/>
            <w:vMerge w:val="restart"/>
            <w:tcBorders>
              <w:top w:val="single" w:sz="4" w:space="0" w:color="auto"/>
              <w:bottom w:val="nil"/>
            </w:tcBorders>
            <w:vAlign w:val="center"/>
          </w:tcPr>
          <w:p w14:paraId="00D05D2D" w14:textId="77777777" w:rsidR="00843998" w:rsidRPr="006F283B" w:rsidRDefault="00843998" w:rsidP="004E1FEC">
            <w:pPr>
              <w:pStyle w:val="TableTextCA"/>
              <w:widowControl w:val="0"/>
              <w:spacing w:before="0" w:after="0"/>
              <w:rPr>
                <w:bCs/>
                <w:lang w:val="en-AU"/>
              </w:rPr>
            </w:pPr>
            <w:r w:rsidRPr="006F283B">
              <w:rPr>
                <w:bCs/>
                <w:lang w:val="en-AU"/>
              </w:rPr>
              <w:t>$9,873.54 (</w:t>
            </w:r>
            <w:proofErr w:type="gramStart"/>
            <w:r w:rsidRPr="006F283B">
              <w:rPr>
                <w:bCs/>
                <w:lang w:val="en-AU"/>
              </w:rPr>
              <w:t>published;</w:t>
            </w:r>
            <w:proofErr w:type="gramEnd"/>
          </w:p>
          <w:p w14:paraId="549341B7" w14:textId="19960552" w:rsidR="00843998" w:rsidRPr="006F283B" w:rsidRDefault="00843998" w:rsidP="004E1FEC">
            <w:pPr>
              <w:pStyle w:val="TableTextCA"/>
              <w:widowControl w:val="0"/>
              <w:spacing w:before="0" w:after="0"/>
              <w:rPr>
                <w:bCs/>
                <w:lang w:val="en-AU"/>
              </w:rPr>
            </w:pPr>
            <w:r w:rsidRPr="006F283B">
              <w:rPr>
                <w:bCs/>
                <w:lang w:val="en-AU"/>
              </w:rPr>
              <w:t>$</w:t>
            </w:r>
            <w:r w:rsidR="00093050" w:rsidRPr="00093050">
              <w:rPr>
                <w:bCs/>
                <w:color w:val="000000"/>
                <w:spacing w:val="47"/>
                <w:shd w:val="solid" w:color="000000" w:fill="000000"/>
                <w:fitText w:val="313" w:id="-1233481472"/>
                <w:lang w:val="en-AU"/>
                <w14:textFill>
                  <w14:solidFill>
                    <w14:srgbClr w14:val="000000">
                      <w14:alpha w14:val="100000"/>
                    </w14:srgbClr>
                  </w14:solidFill>
                </w14:textFill>
              </w:rPr>
              <w:t>|||</w:t>
            </w:r>
            <w:r w:rsidR="00093050" w:rsidRPr="00093050">
              <w:rPr>
                <w:bCs/>
                <w:color w:val="000000"/>
                <w:spacing w:val="2"/>
                <w:shd w:val="solid" w:color="000000" w:fill="000000"/>
                <w:fitText w:val="313" w:id="-1233481472"/>
                <w:lang w:val="en-AU"/>
                <w14:textFill>
                  <w14:solidFill>
                    <w14:srgbClr w14:val="000000">
                      <w14:alpha w14:val="100000"/>
                    </w14:srgbClr>
                  </w14:solidFill>
                </w14:textFill>
              </w:rPr>
              <w:t>|</w:t>
            </w:r>
            <w:r w:rsidRPr="006F283B">
              <w:rPr>
                <w:bCs/>
                <w:lang w:val="en-AU"/>
              </w:rPr>
              <w:t xml:space="preserve"> (effective)</w:t>
            </w:r>
          </w:p>
        </w:tc>
        <w:tc>
          <w:tcPr>
            <w:tcW w:w="986" w:type="pct"/>
            <w:vMerge w:val="restart"/>
            <w:tcBorders>
              <w:top w:val="single" w:sz="4" w:space="0" w:color="auto"/>
              <w:bottom w:val="nil"/>
            </w:tcBorders>
            <w:vAlign w:val="center"/>
          </w:tcPr>
          <w:p w14:paraId="304CF66E" w14:textId="77777777" w:rsidR="00843998" w:rsidRPr="006F283B" w:rsidRDefault="00843998" w:rsidP="004E1FEC">
            <w:pPr>
              <w:pStyle w:val="TableTextCA"/>
              <w:widowControl w:val="0"/>
              <w:spacing w:before="0" w:after="0"/>
              <w:rPr>
                <w:bCs/>
                <w:lang w:val="en-AU"/>
              </w:rPr>
            </w:pPr>
            <w:r w:rsidRPr="006F283B">
              <w:rPr>
                <w:bCs/>
                <w:lang w:val="en-AU"/>
              </w:rPr>
              <w:t>Zejula</w:t>
            </w:r>
            <w:r w:rsidRPr="006F283B">
              <w:rPr>
                <w:bCs/>
                <w:vertAlign w:val="superscript"/>
                <w:lang w:val="en-AU"/>
              </w:rPr>
              <w:t>®</w:t>
            </w:r>
            <w:r w:rsidRPr="006F283B">
              <w:rPr>
                <w:bCs/>
                <w:lang w:val="en-AU"/>
              </w:rPr>
              <w:t>, GlaxoSmithKline Australia Pty Ltd</w:t>
            </w:r>
          </w:p>
        </w:tc>
      </w:tr>
      <w:tr w:rsidR="00843998" w:rsidRPr="006F283B" w14:paraId="449F0A8C" w14:textId="77777777" w:rsidTr="001C79BE">
        <w:trPr>
          <w:trHeight w:val="20"/>
        </w:trPr>
        <w:tc>
          <w:tcPr>
            <w:tcW w:w="1116" w:type="pct"/>
            <w:vMerge/>
            <w:tcBorders>
              <w:top w:val="nil"/>
              <w:bottom w:val="single" w:sz="4" w:space="0" w:color="auto"/>
            </w:tcBorders>
            <w:vAlign w:val="center"/>
          </w:tcPr>
          <w:p w14:paraId="140FD898" w14:textId="77777777" w:rsidR="00843998" w:rsidRPr="006F283B" w:rsidRDefault="00843998" w:rsidP="004E1FEC">
            <w:pPr>
              <w:pStyle w:val="TableTextCA"/>
              <w:widowControl w:val="0"/>
              <w:spacing w:before="0" w:after="0"/>
              <w:jc w:val="left"/>
              <w:rPr>
                <w:bCs/>
                <w:lang w:val="en-AU"/>
              </w:rPr>
            </w:pPr>
          </w:p>
        </w:tc>
        <w:tc>
          <w:tcPr>
            <w:tcW w:w="692" w:type="pct"/>
            <w:vMerge/>
            <w:tcBorders>
              <w:top w:val="nil"/>
              <w:bottom w:val="single" w:sz="4" w:space="0" w:color="auto"/>
            </w:tcBorders>
            <w:vAlign w:val="center"/>
          </w:tcPr>
          <w:p w14:paraId="3EF4E92E" w14:textId="77777777" w:rsidR="00843998" w:rsidRPr="006F283B" w:rsidRDefault="00843998" w:rsidP="004E1FEC">
            <w:pPr>
              <w:pStyle w:val="TableTextCA"/>
              <w:widowControl w:val="0"/>
              <w:spacing w:before="0" w:after="0"/>
              <w:rPr>
                <w:bCs/>
                <w:lang w:val="en-AU"/>
              </w:rPr>
            </w:pPr>
          </w:p>
        </w:tc>
        <w:tc>
          <w:tcPr>
            <w:tcW w:w="662" w:type="pct"/>
            <w:vMerge/>
            <w:tcBorders>
              <w:top w:val="nil"/>
              <w:bottom w:val="single" w:sz="4" w:space="0" w:color="auto"/>
            </w:tcBorders>
            <w:vAlign w:val="center"/>
          </w:tcPr>
          <w:p w14:paraId="54A258C2" w14:textId="77777777" w:rsidR="00843998" w:rsidRPr="006F283B" w:rsidRDefault="00843998" w:rsidP="004E1FEC">
            <w:pPr>
              <w:pStyle w:val="TableTextCA"/>
              <w:widowControl w:val="0"/>
              <w:spacing w:before="0" w:after="0"/>
              <w:rPr>
                <w:bCs/>
                <w:lang w:val="en-AU"/>
              </w:rPr>
            </w:pPr>
          </w:p>
        </w:tc>
        <w:tc>
          <w:tcPr>
            <w:tcW w:w="591" w:type="pct"/>
            <w:tcBorders>
              <w:top w:val="nil"/>
              <w:bottom w:val="single" w:sz="4" w:space="0" w:color="auto"/>
            </w:tcBorders>
            <w:vAlign w:val="center"/>
          </w:tcPr>
          <w:p w14:paraId="7333FC84" w14:textId="77777777" w:rsidR="00843998" w:rsidRPr="006F283B" w:rsidRDefault="00843998" w:rsidP="004E1FEC">
            <w:pPr>
              <w:pStyle w:val="TableTextCA"/>
              <w:widowControl w:val="0"/>
              <w:spacing w:before="0" w:after="0"/>
              <w:rPr>
                <w:bCs/>
                <w:lang w:val="en-AU"/>
              </w:rPr>
            </w:pPr>
            <w:r w:rsidRPr="006F283B">
              <w:rPr>
                <w:bCs/>
                <w:lang w:val="en-AU"/>
              </w:rPr>
              <w:t>5 (continuing)</w:t>
            </w:r>
          </w:p>
        </w:tc>
        <w:tc>
          <w:tcPr>
            <w:tcW w:w="953" w:type="pct"/>
            <w:vMerge/>
            <w:tcBorders>
              <w:top w:val="nil"/>
              <w:bottom w:val="single" w:sz="4" w:space="0" w:color="auto"/>
            </w:tcBorders>
            <w:vAlign w:val="center"/>
          </w:tcPr>
          <w:p w14:paraId="2C6B3F54" w14:textId="77777777" w:rsidR="00843998" w:rsidRPr="006F283B" w:rsidRDefault="00843998" w:rsidP="004E1FEC">
            <w:pPr>
              <w:pStyle w:val="TableTextCA"/>
              <w:widowControl w:val="0"/>
              <w:spacing w:before="0" w:after="0"/>
              <w:rPr>
                <w:bCs/>
                <w:lang w:val="en-AU"/>
              </w:rPr>
            </w:pPr>
          </w:p>
        </w:tc>
        <w:tc>
          <w:tcPr>
            <w:tcW w:w="986" w:type="pct"/>
            <w:vMerge/>
            <w:tcBorders>
              <w:top w:val="nil"/>
              <w:bottom w:val="single" w:sz="4" w:space="0" w:color="auto"/>
            </w:tcBorders>
            <w:vAlign w:val="center"/>
          </w:tcPr>
          <w:p w14:paraId="2969383B" w14:textId="77777777" w:rsidR="00843998" w:rsidRPr="006F283B" w:rsidRDefault="00843998" w:rsidP="004E1FEC">
            <w:pPr>
              <w:pStyle w:val="TableTextCA"/>
              <w:widowControl w:val="0"/>
              <w:spacing w:before="0" w:after="0"/>
              <w:rPr>
                <w:bCs/>
                <w:lang w:val="en-AU"/>
              </w:rPr>
            </w:pPr>
          </w:p>
        </w:tc>
      </w:tr>
      <w:tr w:rsidR="006A0C47" w:rsidRPr="006F283B" w14:paraId="05AA55E8" w14:textId="77777777" w:rsidTr="001C79BE">
        <w:trPr>
          <w:trHeight w:val="20"/>
        </w:trPr>
        <w:tc>
          <w:tcPr>
            <w:tcW w:w="1116" w:type="pct"/>
            <w:tcBorders>
              <w:top w:val="single" w:sz="4" w:space="0" w:color="auto"/>
            </w:tcBorders>
            <w:vAlign w:val="center"/>
          </w:tcPr>
          <w:p w14:paraId="246471E8" w14:textId="77777777" w:rsidR="00843998" w:rsidRPr="006F283B" w:rsidRDefault="00843998" w:rsidP="004E1FEC">
            <w:pPr>
              <w:pStyle w:val="TableTextCA"/>
              <w:widowControl w:val="0"/>
              <w:spacing w:before="0" w:after="0"/>
              <w:jc w:val="left"/>
              <w:rPr>
                <w:bCs/>
                <w:lang w:val="en-AU"/>
              </w:rPr>
            </w:pPr>
            <w:r w:rsidRPr="006F283B">
              <w:rPr>
                <w:bCs/>
                <w:lang w:val="en-AU"/>
              </w:rPr>
              <w:t>Niraparib 100mg (as tosilate monohydrate), capsules</w:t>
            </w:r>
          </w:p>
        </w:tc>
        <w:tc>
          <w:tcPr>
            <w:tcW w:w="692" w:type="pct"/>
            <w:tcBorders>
              <w:top w:val="single" w:sz="4" w:space="0" w:color="auto"/>
            </w:tcBorders>
            <w:shd w:val="clear" w:color="auto" w:fill="auto"/>
            <w:vAlign w:val="center"/>
          </w:tcPr>
          <w:p w14:paraId="3C728AFA" w14:textId="77777777" w:rsidR="00843998" w:rsidRPr="006F283B" w:rsidRDefault="00843998" w:rsidP="004E1FEC">
            <w:pPr>
              <w:pStyle w:val="TableTextCA"/>
              <w:widowControl w:val="0"/>
              <w:spacing w:before="0" w:after="0"/>
              <w:rPr>
                <w:bCs/>
                <w:lang w:val="en-AU"/>
              </w:rPr>
            </w:pPr>
            <w:r w:rsidRPr="006F283B">
              <w:rPr>
                <w:bCs/>
                <w:lang w:val="en-AU"/>
              </w:rPr>
              <w:t>1</w:t>
            </w:r>
          </w:p>
        </w:tc>
        <w:tc>
          <w:tcPr>
            <w:tcW w:w="662" w:type="pct"/>
            <w:tcBorders>
              <w:top w:val="single" w:sz="4" w:space="0" w:color="auto"/>
            </w:tcBorders>
            <w:shd w:val="clear" w:color="auto" w:fill="auto"/>
            <w:vAlign w:val="center"/>
          </w:tcPr>
          <w:p w14:paraId="114A6D6B" w14:textId="77777777" w:rsidR="00843998" w:rsidRPr="006F283B" w:rsidRDefault="00843998" w:rsidP="004E1FEC">
            <w:pPr>
              <w:pStyle w:val="TableTextCA"/>
              <w:widowControl w:val="0"/>
              <w:spacing w:before="0" w:after="0"/>
              <w:rPr>
                <w:bCs/>
                <w:lang w:val="en-AU"/>
              </w:rPr>
            </w:pPr>
            <w:r w:rsidRPr="006F283B">
              <w:rPr>
                <w:bCs/>
                <w:lang w:val="en-AU"/>
              </w:rPr>
              <w:t>56</w:t>
            </w:r>
          </w:p>
        </w:tc>
        <w:tc>
          <w:tcPr>
            <w:tcW w:w="591" w:type="pct"/>
            <w:tcBorders>
              <w:top w:val="single" w:sz="4" w:space="0" w:color="auto"/>
            </w:tcBorders>
            <w:shd w:val="clear" w:color="auto" w:fill="auto"/>
            <w:vAlign w:val="center"/>
          </w:tcPr>
          <w:p w14:paraId="6F54581E" w14:textId="77777777" w:rsidR="00843998" w:rsidRPr="006F283B" w:rsidRDefault="00843998" w:rsidP="004E1FEC">
            <w:pPr>
              <w:pStyle w:val="TableTextCA"/>
              <w:widowControl w:val="0"/>
              <w:spacing w:before="0" w:after="0"/>
              <w:rPr>
                <w:bCs/>
                <w:lang w:val="en-AU"/>
              </w:rPr>
            </w:pPr>
            <w:r w:rsidRPr="006F283B">
              <w:rPr>
                <w:bCs/>
                <w:lang w:val="en-AU"/>
              </w:rPr>
              <w:t>2 (initial)</w:t>
            </w:r>
          </w:p>
        </w:tc>
        <w:tc>
          <w:tcPr>
            <w:tcW w:w="953" w:type="pct"/>
            <w:tcBorders>
              <w:top w:val="single" w:sz="4" w:space="0" w:color="auto"/>
            </w:tcBorders>
            <w:vAlign w:val="center"/>
          </w:tcPr>
          <w:p w14:paraId="11C56439" w14:textId="77777777" w:rsidR="00843998" w:rsidRPr="006F283B" w:rsidRDefault="00843998" w:rsidP="004E1FEC">
            <w:pPr>
              <w:pStyle w:val="TableTextCA"/>
              <w:widowControl w:val="0"/>
              <w:spacing w:before="0" w:after="0"/>
              <w:rPr>
                <w:bCs/>
                <w:lang w:val="en-AU"/>
              </w:rPr>
            </w:pPr>
            <w:r w:rsidRPr="006F283B">
              <w:rPr>
                <w:bCs/>
                <w:lang w:val="en-AU"/>
              </w:rPr>
              <w:t>$6,636.12 (</w:t>
            </w:r>
            <w:proofErr w:type="gramStart"/>
            <w:r w:rsidRPr="006F283B">
              <w:rPr>
                <w:bCs/>
                <w:lang w:val="en-AU"/>
              </w:rPr>
              <w:t>published;</w:t>
            </w:r>
            <w:proofErr w:type="gramEnd"/>
          </w:p>
          <w:p w14:paraId="5CA292C8" w14:textId="284A44F9" w:rsidR="00843998" w:rsidRPr="006F283B" w:rsidRDefault="00843998" w:rsidP="004E1FEC">
            <w:pPr>
              <w:pStyle w:val="TableTextCA"/>
              <w:widowControl w:val="0"/>
              <w:spacing w:before="0" w:after="0"/>
              <w:rPr>
                <w:bCs/>
                <w:lang w:val="en-AU"/>
              </w:rPr>
            </w:pPr>
            <w:r w:rsidRPr="006F283B">
              <w:rPr>
                <w:bCs/>
                <w:lang w:val="en-AU"/>
              </w:rPr>
              <w:t>$</w:t>
            </w:r>
            <w:r w:rsidR="00093050" w:rsidRPr="00093050">
              <w:rPr>
                <w:bCs/>
                <w:color w:val="000000"/>
                <w:spacing w:val="47"/>
                <w:shd w:val="solid" w:color="000000" w:fill="000000"/>
                <w:fitText w:val="313" w:id="-1233481471"/>
                <w:lang w:val="en-AU"/>
                <w14:textFill>
                  <w14:solidFill>
                    <w14:srgbClr w14:val="000000">
                      <w14:alpha w14:val="100000"/>
                    </w14:srgbClr>
                  </w14:solidFill>
                </w14:textFill>
              </w:rPr>
              <w:t>|||</w:t>
            </w:r>
            <w:r w:rsidR="00093050" w:rsidRPr="00093050">
              <w:rPr>
                <w:bCs/>
                <w:color w:val="000000"/>
                <w:spacing w:val="2"/>
                <w:shd w:val="solid" w:color="000000" w:fill="000000"/>
                <w:fitText w:val="313" w:id="-1233481471"/>
                <w:lang w:val="en-AU"/>
                <w14:textFill>
                  <w14:solidFill>
                    <w14:srgbClr w14:val="000000">
                      <w14:alpha w14:val="100000"/>
                    </w14:srgbClr>
                  </w14:solidFill>
                </w14:textFill>
              </w:rPr>
              <w:t>|</w:t>
            </w:r>
            <w:r w:rsidRPr="006F283B">
              <w:rPr>
                <w:bCs/>
                <w:lang w:val="en-AU"/>
              </w:rPr>
              <w:t xml:space="preserve"> (effective)</w:t>
            </w:r>
          </w:p>
        </w:tc>
        <w:tc>
          <w:tcPr>
            <w:tcW w:w="986" w:type="pct"/>
            <w:tcBorders>
              <w:top w:val="single" w:sz="4" w:space="0" w:color="auto"/>
            </w:tcBorders>
            <w:vAlign w:val="center"/>
          </w:tcPr>
          <w:p w14:paraId="63E5E5B6" w14:textId="77777777" w:rsidR="00843998" w:rsidRPr="006F283B" w:rsidRDefault="00843998" w:rsidP="004E1FEC">
            <w:pPr>
              <w:pStyle w:val="TableTextCA"/>
              <w:widowControl w:val="0"/>
              <w:spacing w:before="0" w:after="0"/>
              <w:rPr>
                <w:bCs/>
                <w:lang w:val="en-AU"/>
              </w:rPr>
            </w:pPr>
            <w:r w:rsidRPr="006F283B">
              <w:rPr>
                <w:bCs/>
                <w:lang w:val="en-AU"/>
              </w:rPr>
              <w:t>Zejula</w:t>
            </w:r>
            <w:r w:rsidRPr="006F283B">
              <w:rPr>
                <w:bCs/>
                <w:vertAlign w:val="superscript"/>
                <w:lang w:val="en-AU"/>
              </w:rPr>
              <w:t>®</w:t>
            </w:r>
            <w:r w:rsidRPr="006F283B">
              <w:rPr>
                <w:bCs/>
                <w:lang w:val="en-AU"/>
              </w:rPr>
              <w:t>, GlaxoSmithKline Australia Pty Ltd</w:t>
            </w:r>
          </w:p>
        </w:tc>
      </w:tr>
    </w:tbl>
    <w:tbl>
      <w:tblPr>
        <w:tblStyle w:val="newstyle15"/>
        <w:tblW w:w="5000" w:type="pct"/>
        <w:tblLook w:val="04A0" w:firstRow="1" w:lastRow="0" w:firstColumn="1" w:lastColumn="0" w:noHBand="0" w:noVBand="1"/>
      </w:tblPr>
      <w:tblGrid>
        <w:gridCol w:w="9016"/>
      </w:tblGrid>
      <w:tr w:rsidR="000A4106" w:rsidRPr="006F283B" w14:paraId="5F2F0CE9" w14:textId="77777777" w:rsidTr="00372EA1">
        <w:tc>
          <w:tcPr>
            <w:tcW w:w="5000" w:type="pct"/>
          </w:tcPr>
          <w:p w14:paraId="10D53A6C"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b/>
                <w:bCs/>
                <w:sz w:val="20"/>
                <w:szCs w:val="20"/>
                <w:bdr w:val="none" w:sz="0" w:space="0" w:color="auto" w:frame="1"/>
                <w:lang w:val="en-AU" w:eastAsia="en-AU"/>
              </w:rPr>
              <w:t xml:space="preserve">Indication: </w:t>
            </w:r>
            <w:r w:rsidRPr="006F283B">
              <w:rPr>
                <w:rFonts w:cs="Open Sans"/>
                <w:sz w:val="20"/>
                <w:szCs w:val="20"/>
                <w:lang w:val="en-AU" w:eastAsia="en-AU"/>
              </w:rPr>
              <w:t>High grade stage III/IV epithelial ovarian, fallopian tube or primary peritoneal cancer</w:t>
            </w:r>
          </w:p>
        </w:tc>
      </w:tr>
      <w:tr w:rsidR="000A4106" w:rsidRPr="006F283B" w14:paraId="449164A6" w14:textId="77777777" w:rsidTr="00372EA1">
        <w:tc>
          <w:tcPr>
            <w:tcW w:w="5000" w:type="pct"/>
            <w:shd w:val="clear" w:color="auto" w:fill="D9D9D9" w:themeFill="background1" w:themeFillShade="D9"/>
          </w:tcPr>
          <w:p w14:paraId="2B0F3205" w14:textId="77777777" w:rsidR="000A4106" w:rsidRPr="006F283B" w:rsidRDefault="000A4106" w:rsidP="00372EA1">
            <w:pPr>
              <w:spacing w:before="0"/>
              <w:ind w:left="-57"/>
              <w:textAlignment w:val="baseline"/>
              <w:rPr>
                <w:b/>
                <w:bCs/>
                <w:sz w:val="20"/>
                <w:szCs w:val="20"/>
                <w:lang w:val="en-AU"/>
              </w:rPr>
            </w:pPr>
            <w:r w:rsidRPr="006F283B">
              <w:rPr>
                <w:b/>
                <w:bCs/>
                <w:sz w:val="20"/>
                <w:szCs w:val="20"/>
                <w:lang w:val="en-AU"/>
              </w:rPr>
              <w:t>Treatment phase (84 pack):</w:t>
            </w:r>
          </w:p>
          <w:p w14:paraId="00FEA876"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sz w:val="20"/>
                <w:szCs w:val="20"/>
                <w:lang w:val="en-AU"/>
              </w:rPr>
              <w:t>Initial treatment – first line treatment of a patient requiring a daily dose of 3 capsules</w:t>
            </w:r>
          </w:p>
        </w:tc>
      </w:tr>
      <w:tr w:rsidR="000A4106" w:rsidRPr="006F283B" w14:paraId="15B10C20" w14:textId="77777777" w:rsidTr="00372EA1">
        <w:tc>
          <w:tcPr>
            <w:tcW w:w="5000" w:type="pct"/>
            <w:shd w:val="clear" w:color="auto" w:fill="D9D9D9" w:themeFill="background1" w:themeFillShade="D9"/>
          </w:tcPr>
          <w:p w14:paraId="18CF0D79" w14:textId="77777777" w:rsidR="000A4106" w:rsidRPr="006F283B" w:rsidRDefault="000A4106" w:rsidP="00372EA1">
            <w:pPr>
              <w:spacing w:before="0"/>
              <w:ind w:left="-57"/>
              <w:textAlignment w:val="baseline"/>
              <w:rPr>
                <w:b/>
                <w:bCs/>
                <w:sz w:val="20"/>
                <w:szCs w:val="20"/>
                <w:lang w:val="en-AU"/>
              </w:rPr>
            </w:pPr>
            <w:r w:rsidRPr="006F283B">
              <w:rPr>
                <w:b/>
                <w:bCs/>
                <w:sz w:val="20"/>
                <w:szCs w:val="20"/>
                <w:lang w:val="en-AU"/>
              </w:rPr>
              <w:t>Treatment phase (56 pack):</w:t>
            </w:r>
          </w:p>
          <w:p w14:paraId="5A449FBD"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sz w:val="20"/>
                <w:szCs w:val="20"/>
                <w:lang w:val="en-AU"/>
              </w:rPr>
              <w:t>Initial treatment – first line treatment of a patient requiring a daily dose of 2 capsules</w:t>
            </w:r>
          </w:p>
        </w:tc>
      </w:tr>
      <w:tr w:rsidR="000A4106" w:rsidRPr="006F283B" w14:paraId="3C241A9C" w14:textId="77777777" w:rsidTr="00372EA1">
        <w:tc>
          <w:tcPr>
            <w:tcW w:w="5000" w:type="pct"/>
            <w:hideMark/>
          </w:tcPr>
          <w:p w14:paraId="442AE1C5"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Clinical criteria:</w:t>
            </w:r>
          </w:p>
        </w:tc>
      </w:tr>
      <w:tr w:rsidR="000A4106" w:rsidRPr="006F283B" w14:paraId="1A25B528" w14:textId="77777777" w:rsidTr="00372EA1">
        <w:tc>
          <w:tcPr>
            <w:tcW w:w="5000" w:type="pct"/>
            <w:hideMark/>
          </w:tcPr>
          <w:p w14:paraId="501D968E" w14:textId="0B919DE3" w:rsidR="000A4106" w:rsidRPr="006F283B" w:rsidRDefault="000A4106" w:rsidP="00372EA1">
            <w:pPr>
              <w:spacing w:before="0"/>
              <w:ind w:left="-57"/>
              <w:rPr>
                <w:rFonts w:cs="Open Sans"/>
                <w:sz w:val="20"/>
                <w:szCs w:val="20"/>
                <w:lang w:val="en-AU" w:eastAsia="en-AU"/>
              </w:rPr>
            </w:pPr>
            <w:r w:rsidRPr="006F283B">
              <w:rPr>
                <w:rFonts w:cs="Open Sans"/>
                <w:sz w:val="20"/>
                <w:szCs w:val="20"/>
                <w:lang w:val="en-AU" w:eastAsia="en-AU"/>
              </w:rPr>
              <w:t xml:space="preserve">The condition must be associated with a class 4 or 5 </w:t>
            </w:r>
            <w:r w:rsidR="001152C0" w:rsidRPr="001152C0">
              <w:rPr>
                <w:rFonts w:cs="Open Sans"/>
                <w:i/>
                <w:iCs/>
                <w:sz w:val="20"/>
                <w:szCs w:val="20"/>
                <w:lang w:val="en-AU" w:eastAsia="en-AU"/>
              </w:rPr>
              <w:t>BRCA1</w:t>
            </w:r>
            <w:r w:rsidRPr="006F283B">
              <w:rPr>
                <w:rFonts w:cs="Open Sans"/>
                <w:sz w:val="20"/>
                <w:szCs w:val="20"/>
                <w:lang w:val="en-AU" w:eastAsia="en-AU"/>
              </w:rPr>
              <w:t xml:space="preserve"> or </w:t>
            </w:r>
            <w:r w:rsidR="001152C0" w:rsidRPr="001152C0">
              <w:rPr>
                <w:rFonts w:cs="Open Sans"/>
                <w:i/>
                <w:iCs/>
                <w:sz w:val="20"/>
                <w:szCs w:val="20"/>
                <w:lang w:val="en-AU" w:eastAsia="en-AU"/>
              </w:rPr>
              <w:t>BRCA2</w:t>
            </w:r>
            <w:r w:rsidRPr="006F283B">
              <w:rPr>
                <w:rFonts w:cs="Open Sans"/>
                <w:sz w:val="20"/>
                <w:szCs w:val="20"/>
                <w:lang w:val="en-AU" w:eastAsia="en-AU"/>
              </w:rPr>
              <w:t xml:space="preserve"> </w:t>
            </w:r>
            <w:r w:rsidRPr="006F283B">
              <w:rPr>
                <w:rFonts w:cs="Open Sans"/>
                <w:strike/>
                <w:sz w:val="20"/>
                <w:szCs w:val="20"/>
                <w:lang w:val="en-AU" w:eastAsia="en-AU"/>
              </w:rPr>
              <w:t>gene mutation</w:t>
            </w:r>
            <w:r w:rsidRPr="006F283B">
              <w:rPr>
                <w:rFonts w:cs="Open Sans"/>
                <w:sz w:val="20"/>
                <w:szCs w:val="20"/>
                <w:lang w:val="en-AU" w:eastAsia="en-AU"/>
              </w:rPr>
              <w:t xml:space="preserve"> </w:t>
            </w:r>
            <w:r w:rsidRPr="006F283B">
              <w:rPr>
                <w:rFonts w:cs="Open Sans"/>
                <w:i/>
                <w:iCs/>
                <w:sz w:val="20"/>
                <w:szCs w:val="20"/>
                <w:lang w:val="en-AU" w:eastAsia="en-AU"/>
              </w:rPr>
              <w:t>pathogenic gene variant</w:t>
            </w:r>
            <w:r w:rsidRPr="006F283B">
              <w:rPr>
                <w:rFonts w:cs="Open Sans"/>
                <w:sz w:val="20"/>
                <w:szCs w:val="20"/>
                <w:lang w:val="en-AU" w:eastAsia="en-AU"/>
              </w:rPr>
              <w:t xml:space="preserve">; </w:t>
            </w:r>
            <w:r w:rsidRPr="006F283B">
              <w:rPr>
                <w:rFonts w:cs="Open Sans"/>
                <w:i/>
                <w:iCs/>
                <w:sz w:val="20"/>
                <w:szCs w:val="20"/>
                <w:lang w:val="en-AU" w:eastAsia="en-AU"/>
              </w:rPr>
              <w:t>or</w:t>
            </w:r>
          </w:p>
        </w:tc>
      </w:tr>
      <w:tr w:rsidR="000A4106" w:rsidRPr="006F283B" w14:paraId="232926C0" w14:textId="77777777" w:rsidTr="00372EA1">
        <w:tc>
          <w:tcPr>
            <w:tcW w:w="5000" w:type="pct"/>
          </w:tcPr>
          <w:p w14:paraId="33A384C4" w14:textId="6C62D10C" w:rsidR="000A4106" w:rsidRPr="006F283B" w:rsidRDefault="000A4106" w:rsidP="00372EA1">
            <w:pPr>
              <w:spacing w:before="0"/>
              <w:ind w:left="-57"/>
              <w:rPr>
                <w:rFonts w:cs="Open Sans"/>
                <w:i/>
                <w:iCs/>
                <w:sz w:val="20"/>
                <w:szCs w:val="20"/>
                <w:lang w:val="en-AU" w:eastAsia="en-AU"/>
              </w:rPr>
            </w:pPr>
            <w:r w:rsidRPr="006F283B">
              <w:rPr>
                <w:rFonts w:cs="Open Sans"/>
                <w:i/>
                <w:iCs/>
                <w:sz w:val="20"/>
                <w:szCs w:val="20"/>
                <w:lang w:val="en-AU" w:eastAsia="en-AU"/>
              </w:rPr>
              <w:t>The condition must be associated with a functional defect in homologous recombination repair (</w:t>
            </w:r>
            <w:proofErr w:type="gramStart"/>
            <w:r w:rsidRPr="006F283B">
              <w:rPr>
                <w:rFonts w:cs="Open Sans"/>
                <w:i/>
                <w:iCs/>
                <w:sz w:val="20"/>
                <w:szCs w:val="20"/>
                <w:lang w:val="en-AU" w:eastAsia="en-AU"/>
              </w:rPr>
              <w:t>i.e.</w:t>
            </w:r>
            <w:proofErr w:type="gramEnd"/>
            <w:r w:rsidRPr="006F283B">
              <w:rPr>
                <w:rFonts w:cs="Open Sans"/>
                <w:i/>
                <w:iCs/>
                <w:sz w:val="20"/>
                <w:szCs w:val="20"/>
                <w:lang w:val="en-AU" w:eastAsia="en-AU"/>
              </w:rPr>
              <w:t xml:space="preserve"> homologous recombination deficiency) where there is an absence of </w:t>
            </w:r>
            <w:r w:rsidR="001152C0" w:rsidRPr="001152C0">
              <w:rPr>
                <w:rFonts w:cs="Open Sans"/>
                <w:i/>
                <w:iCs/>
                <w:sz w:val="20"/>
                <w:szCs w:val="20"/>
                <w:lang w:val="en-AU" w:eastAsia="en-AU"/>
              </w:rPr>
              <w:t>BRCA1/2</w:t>
            </w:r>
            <w:r w:rsidRPr="006F283B">
              <w:rPr>
                <w:rFonts w:cs="Open Sans"/>
                <w:i/>
                <w:iCs/>
                <w:sz w:val="20"/>
                <w:szCs w:val="20"/>
                <w:lang w:val="en-AU" w:eastAsia="en-AU"/>
              </w:rPr>
              <w:t xml:space="preserve"> pathogenic gene variant</w:t>
            </w:r>
          </w:p>
        </w:tc>
      </w:tr>
      <w:tr w:rsidR="000A4106" w:rsidRPr="006F283B" w14:paraId="7A844AB1" w14:textId="77777777" w:rsidTr="00372EA1">
        <w:tc>
          <w:tcPr>
            <w:tcW w:w="5000" w:type="pct"/>
            <w:hideMark/>
          </w:tcPr>
          <w:p w14:paraId="7CC05B87" w14:textId="77777777" w:rsidR="000A4106" w:rsidRPr="006F283B" w:rsidRDefault="000A4106" w:rsidP="00372EA1">
            <w:pPr>
              <w:spacing w:before="0"/>
              <w:ind w:left="-57"/>
              <w:rPr>
                <w:rFonts w:cs="Open Sans"/>
                <w:sz w:val="20"/>
                <w:szCs w:val="20"/>
                <w:lang w:val="en-AU" w:eastAsia="en-AU"/>
              </w:rPr>
            </w:pPr>
            <w:r w:rsidRPr="006F283B">
              <w:rPr>
                <w:rFonts w:cs="Open Sans"/>
                <w:b/>
                <w:bCs/>
                <w:sz w:val="20"/>
                <w:szCs w:val="20"/>
                <w:bdr w:val="none" w:sz="0" w:space="0" w:color="auto" w:frame="1"/>
                <w:lang w:val="en-AU" w:eastAsia="en-AU"/>
              </w:rPr>
              <w:t>AND</w:t>
            </w:r>
          </w:p>
        </w:tc>
      </w:tr>
      <w:tr w:rsidR="000A4106" w:rsidRPr="006F283B" w14:paraId="682DB6A0" w14:textId="77777777" w:rsidTr="00372EA1">
        <w:tc>
          <w:tcPr>
            <w:tcW w:w="5000" w:type="pct"/>
            <w:hideMark/>
          </w:tcPr>
          <w:p w14:paraId="403263DC"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Clinical criteria:</w:t>
            </w:r>
          </w:p>
        </w:tc>
      </w:tr>
      <w:tr w:rsidR="000A4106" w:rsidRPr="006F283B" w14:paraId="48EC0B70" w14:textId="77777777" w:rsidTr="00372EA1">
        <w:tc>
          <w:tcPr>
            <w:tcW w:w="5000" w:type="pct"/>
            <w:hideMark/>
          </w:tcPr>
          <w:p w14:paraId="3CC411CF" w14:textId="77777777" w:rsidR="000A4106" w:rsidRPr="006F283B" w:rsidRDefault="000A4106" w:rsidP="00372EA1">
            <w:pPr>
              <w:spacing w:before="0"/>
              <w:ind w:left="-57"/>
              <w:rPr>
                <w:rFonts w:cs="Open Sans"/>
                <w:sz w:val="20"/>
                <w:szCs w:val="20"/>
                <w:lang w:val="en-AU" w:eastAsia="en-AU"/>
              </w:rPr>
            </w:pPr>
            <w:r w:rsidRPr="006F283B">
              <w:rPr>
                <w:rFonts w:cs="Open Sans"/>
                <w:sz w:val="20"/>
                <w:szCs w:val="20"/>
                <w:lang w:val="en-AU" w:eastAsia="en-AU"/>
              </w:rPr>
              <w:lastRenderedPageBreak/>
              <w:t>Patient must be in partial or complete response to the immediately preceding platinum-based chemotherapy regimen prior to commencing treatment with this drug for this condition</w:t>
            </w:r>
          </w:p>
        </w:tc>
      </w:tr>
      <w:tr w:rsidR="000A4106" w:rsidRPr="006F283B" w14:paraId="1750139A" w14:textId="77777777" w:rsidTr="00372EA1">
        <w:tc>
          <w:tcPr>
            <w:tcW w:w="5000" w:type="pct"/>
            <w:hideMark/>
          </w:tcPr>
          <w:p w14:paraId="227FAE57" w14:textId="77777777" w:rsidR="000A4106" w:rsidRPr="006F283B" w:rsidRDefault="000A4106" w:rsidP="00372EA1">
            <w:pPr>
              <w:spacing w:before="0"/>
              <w:ind w:left="-57"/>
              <w:rPr>
                <w:rFonts w:cs="Open Sans"/>
                <w:sz w:val="20"/>
                <w:szCs w:val="20"/>
                <w:lang w:val="en-AU" w:eastAsia="en-AU"/>
              </w:rPr>
            </w:pPr>
            <w:r w:rsidRPr="006F283B">
              <w:rPr>
                <w:rFonts w:cs="Open Sans"/>
                <w:b/>
                <w:bCs/>
                <w:sz w:val="20"/>
                <w:szCs w:val="20"/>
                <w:bdr w:val="none" w:sz="0" w:space="0" w:color="auto" w:frame="1"/>
                <w:lang w:val="en-AU" w:eastAsia="en-AU"/>
              </w:rPr>
              <w:t>AND</w:t>
            </w:r>
          </w:p>
        </w:tc>
      </w:tr>
      <w:tr w:rsidR="000A4106" w:rsidRPr="006F283B" w14:paraId="631B6DE8" w14:textId="77777777" w:rsidTr="00372EA1">
        <w:tc>
          <w:tcPr>
            <w:tcW w:w="5000" w:type="pct"/>
            <w:hideMark/>
          </w:tcPr>
          <w:p w14:paraId="760CC62C"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Clinical criteria:</w:t>
            </w:r>
          </w:p>
        </w:tc>
      </w:tr>
      <w:tr w:rsidR="000A4106" w:rsidRPr="006F283B" w14:paraId="753733DB" w14:textId="77777777" w:rsidTr="00372EA1">
        <w:tc>
          <w:tcPr>
            <w:tcW w:w="5000" w:type="pct"/>
            <w:hideMark/>
          </w:tcPr>
          <w:p w14:paraId="2E545B16" w14:textId="77777777" w:rsidR="000A4106" w:rsidRPr="006F283B" w:rsidRDefault="000A4106" w:rsidP="00372EA1">
            <w:pPr>
              <w:spacing w:before="0"/>
              <w:ind w:left="-57"/>
              <w:rPr>
                <w:rFonts w:cs="Open Sans"/>
                <w:strike/>
                <w:sz w:val="20"/>
                <w:szCs w:val="20"/>
                <w:lang w:val="en-AU" w:eastAsia="en-AU"/>
              </w:rPr>
            </w:pPr>
            <w:r w:rsidRPr="006F283B">
              <w:rPr>
                <w:rFonts w:cs="Open Sans"/>
                <w:strike/>
                <w:sz w:val="20"/>
                <w:szCs w:val="20"/>
                <w:lang w:val="en-AU" w:eastAsia="en-AU"/>
              </w:rPr>
              <w:t>The treatment must be the sole PBS-subsidised therapy for this condition</w:t>
            </w:r>
          </w:p>
        </w:tc>
      </w:tr>
      <w:tr w:rsidR="000A4106" w:rsidRPr="006F283B" w14:paraId="1A85E89C" w14:textId="77777777" w:rsidTr="00372EA1">
        <w:tc>
          <w:tcPr>
            <w:tcW w:w="5000" w:type="pct"/>
            <w:hideMark/>
          </w:tcPr>
          <w:p w14:paraId="61CD42BB" w14:textId="77777777" w:rsidR="000A4106" w:rsidRPr="006F283B" w:rsidRDefault="000A4106" w:rsidP="00372EA1">
            <w:pPr>
              <w:spacing w:before="0"/>
              <w:ind w:left="-57"/>
              <w:rPr>
                <w:rFonts w:cs="Open Sans"/>
                <w:sz w:val="20"/>
                <w:szCs w:val="20"/>
                <w:lang w:val="en-AU" w:eastAsia="en-AU"/>
              </w:rPr>
            </w:pPr>
            <w:r w:rsidRPr="006F283B">
              <w:rPr>
                <w:rFonts w:cs="Open Sans"/>
                <w:b/>
                <w:bCs/>
                <w:sz w:val="20"/>
                <w:szCs w:val="20"/>
                <w:bdr w:val="none" w:sz="0" w:space="0" w:color="auto" w:frame="1"/>
                <w:lang w:val="en-AU" w:eastAsia="en-AU"/>
              </w:rPr>
              <w:t>AND</w:t>
            </w:r>
          </w:p>
        </w:tc>
      </w:tr>
      <w:tr w:rsidR="000A4106" w:rsidRPr="006F283B" w14:paraId="1DE39DB0" w14:textId="77777777" w:rsidTr="00372EA1">
        <w:tc>
          <w:tcPr>
            <w:tcW w:w="5000" w:type="pct"/>
            <w:hideMark/>
          </w:tcPr>
          <w:p w14:paraId="1E3978FF"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Clinical criteria:</w:t>
            </w:r>
          </w:p>
        </w:tc>
      </w:tr>
      <w:tr w:rsidR="000A4106" w:rsidRPr="006F283B" w14:paraId="6E605668" w14:textId="77777777" w:rsidTr="00372EA1">
        <w:tc>
          <w:tcPr>
            <w:tcW w:w="5000" w:type="pct"/>
            <w:hideMark/>
          </w:tcPr>
          <w:p w14:paraId="4025349E" w14:textId="77777777" w:rsidR="000A4106" w:rsidRPr="006F283B" w:rsidRDefault="000A4106" w:rsidP="00372EA1">
            <w:pPr>
              <w:spacing w:before="0"/>
              <w:ind w:left="-57"/>
              <w:rPr>
                <w:rFonts w:cs="Open Sans"/>
                <w:sz w:val="20"/>
                <w:szCs w:val="20"/>
                <w:lang w:val="en-AU" w:eastAsia="en-AU"/>
              </w:rPr>
            </w:pPr>
            <w:r w:rsidRPr="006F283B">
              <w:rPr>
                <w:rFonts w:cs="Open Sans"/>
                <w:sz w:val="20"/>
                <w:szCs w:val="20"/>
                <w:lang w:val="en-AU" w:eastAsia="en-AU"/>
              </w:rPr>
              <w:t>Patient must not have previously received PBS-subsidised treatment with this drug for this condition</w:t>
            </w:r>
          </w:p>
        </w:tc>
      </w:tr>
      <w:tr w:rsidR="000A4106" w:rsidRPr="006F283B" w14:paraId="21C0CB2B" w14:textId="77777777" w:rsidTr="00372EA1">
        <w:tc>
          <w:tcPr>
            <w:tcW w:w="5000" w:type="pct"/>
            <w:hideMark/>
          </w:tcPr>
          <w:p w14:paraId="00DFB8CA"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Treatment criteria:</w:t>
            </w:r>
          </w:p>
        </w:tc>
      </w:tr>
      <w:tr w:rsidR="000A4106" w:rsidRPr="006F283B" w14:paraId="13A7916C" w14:textId="77777777" w:rsidTr="00372EA1">
        <w:tc>
          <w:tcPr>
            <w:tcW w:w="5000" w:type="pct"/>
            <w:hideMark/>
          </w:tcPr>
          <w:p w14:paraId="7C3EE36C" w14:textId="77777777" w:rsidR="000A4106" w:rsidRPr="006F283B" w:rsidRDefault="000A4106" w:rsidP="00372EA1">
            <w:pPr>
              <w:spacing w:before="0"/>
              <w:ind w:left="-57"/>
              <w:rPr>
                <w:rFonts w:cs="Open Sans"/>
                <w:sz w:val="20"/>
                <w:szCs w:val="20"/>
                <w:lang w:val="en-AU" w:eastAsia="en-AU"/>
              </w:rPr>
            </w:pPr>
            <w:r w:rsidRPr="006F283B">
              <w:rPr>
                <w:rFonts w:cs="Open Sans"/>
                <w:sz w:val="20"/>
                <w:szCs w:val="20"/>
                <w:lang w:val="en-AU" w:eastAsia="en-AU"/>
              </w:rPr>
              <w:t>Patient must be undergoing treatment with this drug class for the first time; or</w:t>
            </w:r>
          </w:p>
        </w:tc>
      </w:tr>
      <w:tr w:rsidR="000A4106" w:rsidRPr="006F283B" w14:paraId="13C4344A" w14:textId="77777777" w:rsidTr="00372EA1">
        <w:tc>
          <w:tcPr>
            <w:tcW w:w="5000" w:type="pct"/>
            <w:hideMark/>
          </w:tcPr>
          <w:p w14:paraId="1E829CC0" w14:textId="77777777" w:rsidR="000A4106" w:rsidRPr="006F283B" w:rsidRDefault="000A4106" w:rsidP="00372EA1">
            <w:pPr>
              <w:spacing w:before="0"/>
              <w:ind w:left="-57"/>
              <w:rPr>
                <w:rFonts w:cs="Open Sans"/>
                <w:sz w:val="20"/>
                <w:szCs w:val="20"/>
                <w:lang w:val="en-AU" w:eastAsia="en-AU"/>
              </w:rPr>
            </w:pPr>
            <w:r w:rsidRPr="006F283B">
              <w:rPr>
                <w:rFonts w:cs="Open Sans"/>
                <w:sz w:val="20"/>
                <w:szCs w:val="20"/>
                <w:lang w:val="en-AU" w:eastAsia="en-AU"/>
              </w:rPr>
              <w:t>Patient must be undergoing treatment with this drug class on a subsequent occasion, but only because there was an intolerance/contraindication to another drug in the same class that required permanent treatment withdrawal</w:t>
            </w:r>
          </w:p>
        </w:tc>
      </w:tr>
      <w:tr w:rsidR="000A4106" w:rsidRPr="006F283B" w14:paraId="73D03E7C" w14:textId="77777777" w:rsidTr="00372EA1">
        <w:tc>
          <w:tcPr>
            <w:tcW w:w="5000" w:type="pct"/>
            <w:hideMark/>
          </w:tcPr>
          <w:p w14:paraId="6916B9BF"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Prescribing Instructions:</w:t>
            </w:r>
          </w:p>
          <w:p w14:paraId="27E0BD70"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sz w:val="20"/>
                <w:szCs w:val="20"/>
                <w:lang w:val="en-AU" w:eastAsia="en-AU"/>
              </w:rPr>
              <w:t>A response (complete or partial) to the platinum-based chemotherapy regimen is to be assessed using either Gynaecologic Cancer InterGroup (GCIG) or Response Evaluation Criteria in Solid Tumours (RECIST) guidelines.</w:t>
            </w:r>
          </w:p>
        </w:tc>
      </w:tr>
      <w:tr w:rsidR="000A4106" w:rsidRPr="006F283B" w14:paraId="2AA6A9F5" w14:textId="77777777" w:rsidTr="00372EA1">
        <w:tc>
          <w:tcPr>
            <w:tcW w:w="5000" w:type="pct"/>
            <w:hideMark/>
          </w:tcPr>
          <w:p w14:paraId="16FA2238"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Prescribing Instructions:</w:t>
            </w:r>
          </w:p>
          <w:p w14:paraId="14FF8BE6" w14:textId="069014AE" w:rsidR="000A4106" w:rsidRPr="006F283B" w:rsidRDefault="000A4106" w:rsidP="00372EA1">
            <w:pPr>
              <w:spacing w:before="0"/>
              <w:ind w:left="-57"/>
              <w:textAlignment w:val="baseline"/>
              <w:rPr>
                <w:rFonts w:cs="Open Sans"/>
                <w:sz w:val="20"/>
                <w:szCs w:val="20"/>
                <w:lang w:val="en-AU" w:eastAsia="en-AU"/>
              </w:rPr>
            </w:pPr>
            <w:r w:rsidRPr="006F283B">
              <w:rPr>
                <w:rFonts w:cs="Open Sans"/>
                <w:sz w:val="20"/>
                <w:szCs w:val="20"/>
                <w:lang w:val="en-AU" w:eastAsia="en-AU"/>
              </w:rPr>
              <w:t xml:space="preserve">Evidence of a </w:t>
            </w:r>
            <w:r w:rsidR="001152C0" w:rsidRPr="001152C0">
              <w:rPr>
                <w:rFonts w:cs="Open Sans"/>
                <w:i/>
                <w:iCs/>
                <w:sz w:val="20"/>
                <w:szCs w:val="20"/>
                <w:lang w:val="en-AU" w:eastAsia="en-AU"/>
              </w:rPr>
              <w:t>BRCA1</w:t>
            </w:r>
            <w:r w:rsidRPr="006F283B">
              <w:rPr>
                <w:rFonts w:cs="Open Sans"/>
                <w:sz w:val="20"/>
                <w:szCs w:val="20"/>
                <w:lang w:val="en-AU" w:eastAsia="en-AU"/>
              </w:rPr>
              <w:t xml:space="preserve"> or </w:t>
            </w:r>
            <w:r w:rsidR="001152C0" w:rsidRPr="001152C0">
              <w:rPr>
                <w:rFonts w:cs="Open Sans"/>
                <w:i/>
                <w:iCs/>
                <w:sz w:val="20"/>
                <w:szCs w:val="20"/>
                <w:lang w:val="en-AU" w:eastAsia="en-AU"/>
              </w:rPr>
              <w:t>BRCA2</w:t>
            </w:r>
            <w:r w:rsidRPr="006F283B">
              <w:rPr>
                <w:rFonts w:cs="Open Sans"/>
                <w:sz w:val="20"/>
                <w:szCs w:val="20"/>
                <w:lang w:val="en-AU" w:eastAsia="en-AU"/>
              </w:rPr>
              <w:t xml:space="preserve"> </w:t>
            </w:r>
            <w:r w:rsidRPr="006F283B">
              <w:rPr>
                <w:rFonts w:cs="Open Sans"/>
                <w:strike/>
                <w:sz w:val="20"/>
                <w:szCs w:val="20"/>
                <w:lang w:val="en-AU" w:eastAsia="en-AU"/>
              </w:rPr>
              <w:t>gene mutation</w:t>
            </w:r>
            <w:r w:rsidRPr="006F283B">
              <w:rPr>
                <w:rFonts w:cs="Open Sans"/>
                <w:sz w:val="20"/>
                <w:szCs w:val="20"/>
                <w:lang w:val="en-AU" w:eastAsia="en-AU"/>
              </w:rPr>
              <w:t xml:space="preserve"> </w:t>
            </w:r>
            <w:r w:rsidRPr="006F283B">
              <w:rPr>
                <w:rFonts w:cs="Open Sans"/>
                <w:i/>
                <w:iCs/>
                <w:sz w:val="20"/>
                <w:szCs w:val="20"/>
                <w:lang w:val="en-AU" w:eastAsia="en-AU"/>
              </w:rPr>
              <w:t>pathogenic gene variant</w:t>
            </w:r>
            <w:r w:rsidRPr="006F283B">
              <w:rPr>
                <w:rFonts w:cs="Open Sans"/>
                <w:sz w:val="20"/>
                <w:szCs w:val="20"/>
                <w:lang w:val="en-AU" w:eastAsia="en-AU"/>
              </w:rPr>
              <w:t xml:space="preserve"> must be derived through germline or somatic </w:t>
            </w:r>
            <w:r w:rsidRPr="006F283B">
              <w:rPr>
                <w:rFonts w:cs="Open Sans"/>
                <w:strike/>
                <w:sz w:val="20"/>
                <w:szCs w:val="20"/>
                <w:lang w:val="en-AU" w:eastAsia="en-AU"/>
              </w:rPr>
              <w:t>mutation</w:t>
            </w:r>
            <w:r w:rsidRPr="006F283B">
              <w:rPr>
                <w:rFonts w:cs="Open Sans"/>
                <w:sz w:val="20"/>
                <w:szCs w:val="20"/>
                <w:lang w:val="en-AU" w:eastAsia="en-AU"/>
              </w:rPr>
              <w:t xml:space="preserve"> testing.</w:t>
            </w:r>
          </w:p>
        </w:tc>
      </w:tr>
      <w:tr w:rsidR="000A4106" w:rsidRPr="006F283B" w14:paraId="61907D8D" w14:textId="77777777" w:rsidTr="00372EA1">
        <w:tc>
          <w:tcPr>
            <w:tcW w:w="5000" w:type="pct"/>
          </w:tcPr>
          <w:p w14:paraId="56D2E6B5" w14:textId="77777777" w:rsidR="000A4106" w:rsidRPr="006F283B" w:rsidRDefault="000A4106" w:rsidP="00372EA1">
            <w:pPr>
              <w:spacing w:before="0"/>
              <w:ind w:left="-57"/>
              <w:textAlignment w:val="baseline"/>
              <w:rPr>
                <w:rFonts w:cs="Open Sans"/>
                <w:i/>
                <w:iCs/>
                <w:sz w:val="20"/>
                <w:szCs w:val="20"/>
                <w:lang w:val="en-AU" w:eastAsia="en-AU"/>
              </w:rPr>
            </w:pPr>
            <w:r w:rsidRPr="006F283B">
              <w:rPr>
                <w:rFonts w:cs="Open Sans"/>
                <w:b/>
                <w:bCs/>
                <w:i/>
                <w:iCs/>
                <w:sz w:val="20"/>
                <w:szCs w:val="20"/>
                <w:bdr w:val="none" w:sz="0" w:space="0" w:color="auto" w:frame="1"/>
                <w:lang w:val="en-AU" w:eastAsia="en-AU"/>
              </w:rPr>
              <w:t>Prescribing Instructions:</w:t>
            </w:r>
          </w:p>
          <w:p w14:paraId="73E98B43" w14:textId="2C7EE85C" w:rsidR="000A4106" w:rsidRPr="006F283B" w:rsidRDefault="000A4106" w:rsidP="00372EA1">
            <w:pPr>
              <w:spacing w:before="0"/>
              <w:ind w:left="-57"/>
              <w:textAlignment w:val="baseline"/>
              <w:rPr>
                <w:rFonts w:cs="Open Sans"/>
                <w:i/>
                <w:iCs/>
                <w:sz w:val="20"/>
                <w:szCs w:val="20"/>
                <w:bdr w:val="none" w:sz="0" w:space="0" w:color="auto" w:frame="1"/>
                <w:lang w:val="en-AU" w:eastAsia="en-AU"/>
              </w:rPr>
            </w:pPr>
            <w:r w:rsidRPr="006F283B">
              <w:rPr>
                <w:rFonts w:cs="Open Sans"/>
                <w:i/>
                <w:iCs/>
                <w:sz w:val="20"/>
                <w:szCs w:val="20"/>
                <w:bdr w:val="none" w:sz="0" w:space="0" w:color="auto" w:frame="1"/>
                <w:lang w:val="en-AU" w:eastAsia="en-AU"/>
              </w:rPr>
              <w:t xml:space="preserve">Where applicable, evidence of homologous recombination deficiency must be derived through a tumour test validated against the clinical utility standard, which defines homologous recombination deficiency as a </w:t>
            </w:r>
            <w:r w:rsidR="001152C0" w:rsidRPr="001152C0">
              <w:rPr>
                <w:rFonts w:cs="Open Sans"/>
                <w:i/>
                <w:iCs/>
                <w:sz w:val="20"/>
                <w:szCs w:val="20"/>
                <w:bdr w:val="none" w:sz="0" w:space="0" w:color="auto" w:frame="1"/>
                <w:lang w:val="en-AU" w:eastAsia="en-AU"/>
              </w:rPr>
              <w:t>BRCA1</w:t>
            </w:r>
            <w:r w:rsidRPr="006F283B">
              <w:rPr>
                <w:rFonts w:cs="Open Sans"/>
                <w:i/>
                <w:iCs/>
                <w:sz w:val="20"/>
                <w:szCs w:val="20"/>
                <w:bdr w:val="none" w:sz="0" w:space="0" w:color="auto" w:frame="1"/>
                <w:lang w:val="en-AU" w:eastAsia="en-AU"/>
              </w:rPr>
              <w:t xml:space="preserve"> or </w:t>
            </w:r>
            <w:r w:rsidR="001152C0" w:rsidRPr="001152C0">
              <w:rPr>
                <w:rFonts w:cs="Open Sans"/>
                <w:i/>
                <w:iCs/>
                <w:sz w:val="20"/>
                <w:szCs w:val="20"/>
                <w:bdr w:val="none" w:sz="0" w:space="0" w:color="auto" w:frame="1"/>
                <w:lang w:val="en-AU" w:eastAsia="en-AU"/>
              </w:rPr>
              <w:t>BRCA2</w:t>
            </w:r>
            <w:r w:rsidRPr="006F283B">
              <w:rPr>
                <w:rFonts w:cs="Open Sans"/>
                <w:i/>
                <w:iCs/>
                <w:sz w:val="20"/>
                <w:szCs w:val="20"/>
                <w:bdr w:val="none" w:sz="0" w:space="0" w:color="auto" w:frame="1"/>
                <w:lang w:val="en-AU" w:eastAsia="en-AU"/>
              </w:rPr>
              <w:t xml:space="preserve"> </w:t>
            </w:r>
            <w:r w:rsidRPr="006F283B">
              <w:rPr>
                <w:rFonts w:cs="Open Sans"/>
                <w:i/>
                <w:iCs/>
                <w:sz w:val="20"/>
                <w:szCs w:val="20"/>
                <w:lang w:val="en-AU" w:eastAsia="en-AU"/>
              </w:rPr>
              <w:t>pathogenic gene variant</w:t>
            </w:r>
            <w:r w:rsidRPr="006F283B">
              <w:rPr>
                <w:rFonts w:cs="Open Sans"/>
                <w:i/>
                <w:iCs/>
                <w:sz w:val="20"/>
                <w:szCs w:val="20"/>
                <w:bdr w:val="none" w:sz="0" w:space="0" w:color="auto" w:frame="1"/>
                <w:lang w:val="en-AU" w:eastAsia="en-AU"/>
              </w:rPr>
              <w:t xml:space="preserve"> or a genomic instability score of at least 42, based on the assessment of loss of heterozygosity, telomeric allelic imbalance and large-scale state transitions. </w:t>
            </w:r>
          </w:p>
        </w:tc>
      </w:tr>
      <w:tr w:rsidR="000A4106" w:rsidRPr="006F283B" w14:paraId="6999CCE9" w14:textId="77777777" w:rsidTr="00372EA1">
        <w:tc>
          <w:tcPr>
            <w:tcW w:w="5000" w:type="pct"/>
          </w:tcPr>
          <w:p w14:paraId="7F2D7FEE"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Administrative Advice:</w:t>
            </w:r>
          </w:p>
          <w:p w14:paraId="0F91DB61"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sz w:val="20"/>
                <w:szCs w:val="20"/>
                <w:lang w:val="en-AU" w:eastAsia="en-AU"/>
              </w:rPr>
              <w:t>Applications for authorisation under this restriction may be made in real time using the Online PBS Authorities system (see www.servicesaustralia.gov.au/HPOS) or by telephone by contacting Services Australia on 1800 888 333.</w:t>
            </w:r>
          </w:p>
        </w:tc>
      </w:tr>
      <w:tr w:rsidR="000A4106" w:rsidRPr="006F283B" w14:paraId="3DEF316B" w14:textId="77777777" w:rsidTr="00372EA1">
        <w:tc>
          <w:tcPr>
            <w:tcW w:w="5000" w:type="pct"/>
          </w:tcPr>
          <w:p w14:paraId="4C56FB15"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Administrative Advice:</w:t>
            </w:r>
          </w:p>
          <w:p w14:paraId="3FEB38CF"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sz w:val="20"/>
                <w:szCs w:val="20"/>
                <w:lang w:val="en-AU" w:eastAsia="en-AU"/>
              </w:rPr>
              <w:t>This drug belongs to the poly (ADP-ribose) polymerase (PARP) inhibitor drug class. The restriction refers to the following PARP inhibitors: olaparib, niraparib</w:t>
            </w:r>
          </w:p>
        </w:tc>
      </w:tr>
      <w:tr w:rsidR="000A4106" w:rsidRPr="006F283B" w14:paraId="061E1FEE" w14:textId="77777777" w:rsidTr="00372EA1">
        <w:tc>
          <w:tcPr>
            <w:tcW w:w="5000" w:type="pct"/>
          </w:tcPr>
          <w:p w14:paraId="1C47B602"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b/>
                <w:bCs/>
                <w:sz w:val="20"/>
                <w:szCs w:val="20"/>
                <w:bdr w:val="none" w:sz="0" w:space="0" w:color="auto" w:frame="1"/>
                <w:lang w:val="en-AU" w:eastAsia="en-AU"/>
              </w:rPr>
              <w:t xml:space="preserve">Administrative Advice: </w:t>
            </w:r>
            <w:r w:rsidRPr="006F283B">
              <w:rPr>
                <w:rFonts w:cs="Open Sans"/>
                <w:sz w:val="20"/>
                <w:szCs w:val="20"/>
                <w:lang w:val="en-AU" w:eastAsia="en-AU"/>
              </w:rPr>
              <w:t>Special Pricing Arrangements apply.</w:t>
            </w:r>
          </w:p>
        </w:tc>
      </w:tr>
      <w:tr w:rsidR="000A4106" w:rsidRPr="006F283B" w14:paraId="1D13A748" w14:textId="77777777" w:rsidTr="00372EA1">
        <w:tc>
          <w:tcPr>
            <w:tcW w:w="5000" w:type="pct"/>
            <w:shd w:val="clear" w:color="auto" w:fill="D9D9D9" w:themeFill="background1" w:themeFillShade="D9"/>
          </w:tcPr>
          <w:p w14:paraId="4CBB9F96" w14:textId="77777777" w:rsidR="000A4106" w:rsidRPr="006F283B" w:rsidRDefault="000A4106" w:rsidP="00372EA1">
            <w:pPr>
              <w:spacing w:before="0"/>
              <w:ind w:left="-57"/>
              <w:textAlignment w:val="baseline"/>
              <w:rPr>
                <w:b/>
                <w:bCs/>
                <w:sz w:val="20"/>
                <w:szCs w:val="20"/>
                <w:lang w:val="en-AU"/>
              </w:rPr>
            </w:pPr>
            <w:r w:rsidRPr="006F283B">
              <w:rPr>
                <w:b/>
                <w:bCs/>
                <w:sz w:val="20"/>
                <w:szCs w:val="20"/>
                <w:lang w:val="en-AU"/>
              </w:rPr>
              <w:t>Treatment phase (84 pack):</w:t>
            </w:r>
          </w:p>
          <w:p w14:paraId="54E62B30"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sz w:val="20"/>
                <w:szCs w:val="20"/>
                <w:lang w:val="en-AU" w:eastAsia="en-AU"/>
              </w:rPr>
              <w:t>Continuing treatment - first line treatment of a patient requiring a daily dose of 3 capsules</w:t>
            </w:r>
          </w:p>
        </w:tc>
      </w:tr>
      <w:tr w:rsidR="000A4106" w:rsidRPr="006F283B" w14:paraId="6D2F7EE0" w14:textId="77777777" w:rsidTr="00372EA1">
        <w:tc>
          <w:tcPr>
            <w:tcW w:w="5000" w:type="pct"/>
            <w:shd w:val="clear" w:color="auto" w:fill="D9D9D9" w:themeFill="background1" w:themeFillShade="D9"/>
          </w:tcPr>
          <w:p w14:paraId="16053CA4" w14:textId="77777777" w:rsidR="000A4106" w:rsidRPr="006F283B" w:rsidRDefault="000A4106" w:rsidP="00372EA1">
            <w:pPr>
              <w:spacing w:before="0"/>
              <w:ind w:left="-57"/>
              <w:textAlignment w:val="baseline"/>
              <w:rPr>
                <w:rFonts w:cs="Open Sans"/>
                <w:b/>
                <w:bCs/>
                <w:sz w:val="20"/>
                <w:szCs w:val="20"/>
                <w:lang w:val="en-AU" w:eastAsia="en-AU"/>
              </w:rPr>
            </w:pPr>
            <w:r w:rsidRPr="006F283B">
              <w:rPr>
                <w:b/>
                <w:bCs/>
                <w:sz w:val="20"/>
                <w:szCs w:val="20"/>
                <w:lang w:val="en-AU"/>
              </w:rPr>
              <w:t>Treatment phase (56 pack):</w:t>
            </w:r>
          </w:p>
          <w:p w14:paraId="61F41DFE"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sz w:val="20"/>
                <w:szCs w:val="20"/>
                <w:lang w:val="en-AU" w:eastAsia="en-AU"/>
              </w:rPr>
              <w:t>Continuing treatment - first line treatment of a patient requiring a daily dose of 2 capsules</w:t>
            </w:r>
          </w:p>
        </w:tc>
      </w:tr>
      <w:tr w:rsidR="000A4106" w:rsidRPr="006F283B" w14:paraId="2CE4488E" w14:textId="77777777" w:rsidTr="00372EA1">
        <w:tc>
          <w:tcPr>
            <w:tcW w:w="5000" w:type="pct"/>
          </w:tcPr>
          <w:p w14:paraId="52233CE7"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Clinical criteria:</w:t>
            </w:r>
          </w:p>
        </w:tc>
      </w:tr>
      <w:tr w:rsidR="000A4106" w:rsidRPr="006F283B" w14:paraId="046C7333" w14:textId="77777777" w:rsidTr="00372EA1">
        <w:tc>
          <w:tcPr>
            <w:tcW w:w="5000" w:type="pct"/>
          </w:tcPr>
          <w:p w14:paraId="4CC032DF"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sz w:val="20"/>
                <w:szCs w:val="20"/>
                <w:lang w:val="en-AU" w:eastAsia="en-AU"/>
              </w:rPr>
              <w:t>Patient must have received previous PBS-subsidised treatment with this drug as first line maintenance therapy for this condition</w:t>
            </w:r>
          </w:p>
        </w:tc>
      </w:tr>
      <w:tr w:rsidR="000A4106" w:rsidRPr="006F283B" w14:paraId="4F6885B2" w14:textId="77777777" w:rsidTr="00372EA1">
        <w:tc>
          <w:tcPr>
            <w:tcW w:w="5000" w:type="pct"/>
          </w:tcPr>
          <w:p w14:paraId="4F8C2B5E" w14:textId="77777777" w:rsidR="000A4106" w:rsidRPr="006F283B" w:rsidRDefault="000A4106" w:rsidP="00372EA1">
            <w:pPr>
              <w:spacing w:before="0"/>
              <w:ind w:left="-57"/>
              <w:textAlignment w:val="baseline"/>
              <w:rPr>
                <w:rFonts w:cs="Open Sans"/>
                <w:strike/>
                <w:sz w:val="20"/>
                <w:szCs w:val="20"/>
                <w:lang w:val="en-AU" w:eastAsia="en-AU"/>
              </w:rPr>
            </w:pPr>
            <w:r w:rsidRPr="006F283B">
              <w:rPr>
                <w:rFonts w:cs="Open Sans"/>
                <w:b/>
                <w:bCs/>
                <w:strike/>
                <w:sz w:val="20"/>
                <w:szCs w:val="20"/>
                <w:bdr w:val="none" w:sz="0" w:space="0" w:color="auto" w:frame="1"/>
                <w:lang w:val="en-AU" w:eastAsia="en-AU"/>
              </w:rPr>
              <w:t>AND</w:t>
            </w:r>
          </w:p>
        </w:tc>
      </w:tr>
      <w:tr w:rsidR="000A4106" w:rsidRPr="006F283B" w14:paraId="16255014" w14:textId="77777777" w:rsidTr="00372EA1">
        <w:tc>
          <w:tcPr>
            <w:tcW w:w="5000" w:type="pct"/>
          </w:tcPr>
          <w:p w14:paraId="77DDE19E" w14:textId="77777777" w:rsidR="000A4106" w:rsidRPr="006F283B" w:rsidRDefault="000A4106" w:rsidP="00372EA1">
            <w:pPr>
              <w:spacing w:before="0"/>
              <w:ind w:left="-57"/>
              <w:textAlignment w:val="baseline"/>
              <w:rPr>
                <w:rFonts w:cs="Open Sans"/>
                <w:b/>
                <w:bCs/>
                <w:strike/>
                <w:sz w:val="20"/>
                <w:szCs w:val="20"/>
                <w:bdr w:val="none" w:sz="0" w:space="0" w:color="auto" w:frame="1"/>
                <w:lang w:val="en-AU" w:eastAsia="en-AU"/>
              </w:rPr>
            </w:pPr>
            <w:r w:rsidRPr="006F283B">
              <w:rPr>
                <w:rFonts w:cs="Open Sans"/>
                <w:b/>
                <w:bCs/>
                <w:strike/>
                <w:sz w:val="20"/>
                <w:szCs w:val="20"/>
                <w:bdr w:val="none" w:sz="0" w:space="0" w:color="auto" w:frame="1"/>
                <w:lang w:val="en-AU" w:eastAsia="en-AU"/>
              </w:rPr>
              <w:t>Clinical criteria:</w:t>
            </w:r>
          </w:p>
        </w:tc>
      </w:tr>
      <w:tr w:rsidR="000A4106" w:rsidRPr="006F283B" w14:paraId="6673645D" w14:textId="77777777" w:rsidTr="00372EA1">
        <w:tc>
          <w:tcPr>
            <w:tcW w:w="5000" w:type="pct"/>
          </w:tcPr>
          <w:p w14:paraId="307DD57A" w14:textId="77777777" w:rsidR="000A4106" w:rsidRPr="006F283B" w:rsidRDefault="000A4106" w:rsidP="00372EA1">
            <w:pPr>
              <w:spacing w:before="0"/>
              <w:ind w:left="-57"/>
              <w:textAlignment w:val="baseline"/>
              <w:rPr>
                <w:rFonts w:cs="Open Sans"/>
                <w:b/>
                <w:bCs/>
                <w:strike/>
                <w:sz w:val="20"/>
                <w:szCs w:val="20"/>
                <w:bdr w:val="none" w:sz="0" w:space="0" w:color="auto" w:frame="1"/>
                <w:lang w:val="en-AU" w:eastAsia="en-AU"/>
              </w:rPr>
            </w:pPr>
            <w:r w:rsidRPr="006F283B">
              <w:rPr>
                <w:rFonts w:cs="Open Sans"/>
                <w:strike/>
                <w:sz w:val="20"/>
                <w:szCs w:val="20"/>
                <w:lang w:val="en-AU" w:eastAsia="en-AU"/>
              </w:rPr>
              <w:t>The treatment must be the sole PBS-subsidised therapy for this condition</w:t>
            </w:r>
          </w:p>
        </w:tc>
      </w:tr>
      <w:tr w:rsidR="000A4106" w:rsidRPr="006F283B" w14:paraId="2BE6CC01" w14:textId="77777777" w:rsidTr="00372EA1">
        <w:tc>
          <w:tcPr>
            <w:tcW w:w="5000" w:type="pct"/>
          </w:tcPr>
          <w:p w14:paraId="73DE22B7"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AND</w:t>
            </w:r>
          </w:p>
        </w:tc>
      </w:tr>
      <w:tr w:rsidR="000A4106" w:rsidRPr="006F283B" w14:paraId="6BD3DD41" w14:textId="77777777" w:rsidTr="00372EA1">
        <w:tc>
          <w:tcPr>
            <w:tcW w:w="5000" w:type="pct"/>
          </w:tcPr>
          <w:p w14:paraId="502D1037"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b/>
                <w:bCs/>
                <w:sz w:val="20"/>
                <w:szCs w:val="20"/>
                <w:bdr w:val="none" w:sz="0" w:space="0" w:color="auto" w:frame="1"/>
                <w:lang w:val="en-AU" w:eastAsia="en-AU"/>
              </w:rPr>
              <w:t>Clinical criteria:</w:t>
            </w:r>
          </w:p>
        </w:tc>
      </w:tr>
      <w:tr w:rsidR="000A4106" w:rsidRPr="006F283B" w14:paraId="44414840" w14:textId="77777777" w:rsidTr="00372EA1">
        <w:tc>
          <w:tcPr>
            <w:tcW w:w="5000" w:type="pct"/>
          </w:tcPr>
          <w:p w14:paraId="39DBE732"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sz w:val="20"/>
                <w:szCs w:val="20"/>
                <w:lang w:val="en-AU" w:eastAsia="en-AU"/>
              </w:rPr>
              <w:t>Patient must not have developed disease progression while receiving treatment with this drug for this condition</w:t>
            </w:r>
          </w:p>
        </w:tc>
      </w:tr>
      <w:tr w:rsidR="000A4106" w:rsidRPr="006F283B" w14:paraId="4589DA01" w14:textId="77777777" w:rsidTr="00372EA1">
        <w:tc>
          <w:tcPr>
            <w:tcW w:w="5000" w:type="pct"/>
          </w:tcPr>
          <w:p w14:paraId="177D85FC"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AND</w:t>
            </w:r>
          </w:p>
        </w:tc>
      </w:tr>
      <w:tr w:rsidR="000A4106" w:rsidRPr="006F283B" w14:paraId="642C4D58" w14:textId="77777777" w:rsidTr="00372EA1">
        <w:tc>
          <w:tcPr>
            <w:tcW w:w="5000" w:type="pct"/>
          </w:tcPr>
          <w:p w14:paraId="547D40D0"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b/>
                <w:bCs/>
                <w:sz w:val="20"/>
                <w:szCs w:val="20"/>
                <w:bdr w:val="none" w:sz="0" w:space="0" w:color="auto" w:frame="1"/>
                <w:lang w:val="en-AU" w:eastAsia="en-AU"/>
              </w:rPr>
              <w:t>Clinical criteria:</w:t>
            </w:r>
          </w:p>
        </w:tc>
      </w:tr>
      <w:tr w:rsidR="000A4106" w:rsidRPr="006F283B" w14:paraId="1FD4EE28" w14:textId="77777777" w:rsidTr="00372EA1">
        <w:tc>
          <w:tcPr>
            <w:tcW w:w="5000" w:type="pct"/>
          </w:tcPr>
          <w:p w14:paraId="12A00462"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sz w:val="20"/>
                <w:szCs w:val="20"/>
                <w:lang w:val="en-AU" w:eastAsia="en-AU"/>
              </w:rPr>
              <w:t>The treatment must not exceed a total of 36 months of combined non-PBS-subsidised/PBS-subsidised treatment for patients who are in complete response</w:t>
            </w:r>
          </w:p>
        </w:tc>
      </w:tr>
      <w:tr w:rsidR="000A4106" w:rsidRPr="006F283B" w14:paraId="6AA98D71" w14:textId="77777777" w:rsidTr="00372EA1">
        <w:tc>
          <w:tcPr>
            <w:tcW w:w="5000" w:type="pct"/>
          </w:tcPr>
          <w:p w14:paraId="46C1441B"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b/>
                <w:bCs/>
                <w:sz w:val="20"/>
                <w:szCs w:val="20"/>
                <w:bdr w:val="none" w:sz="0" w:space="0" w:color="auto" w:frame="1"/>
                <w:lang w:val="en-AU" w:eastAsia="en-AU"/>
              </w:rPr>
              <w:t>Administrative Advice:</w:t>
            </w:r>
          </w:p>
          <w:p w14:paraId="7F5E95E6" w14:textId="77777777" w:rsidR="000A4106" w:rsidRPr="006F283B" w:rsidRDefault="000A4106" w:rsidP="00372EA1">
            <w:pPr>
              <w:spacing w:before="0"/>
              <w:ind w:left="-57"/>
              <w:textAlignment w:val="baseline"/>
              <w:rPr>
                <w:rFonts w:cs="Open Sans"/>
                <w:sz w:val="20"/>
                <w:szCs w:val="20"/>
                <w:lang w:val="en-AU" w:eastAsia="en-AU"/>
              </w:rPr>
            </w:pPr>
            <w:r w:rsidRPr="006F283B">
              <w:rPr>
                <w:rFonts w:cs="Open Sans"/>
                <w:sz w:val="20"/>
                <w:szCs w:val="20"/>
                <w:lang w:val="en-AU" w:eastAsia="en-AU"/>
              </w:rPr>
              <w:t>Applications for authorisation under this restriction may be made in real time using the Online PBS Authorities system (see www.servicesaustralia.gov.au/HPOS) or by telephone by contacting Services Australia on 1800 888 333.</w:t>
            </w:r>
          </w:p>
        </w:tc>
      </w:tr>
      <w:tr w:rsidR="000A4106" w:rsidRPr="006F283B" w14:paraId="01FA41B5" w14:textId="77777777" w:rsidTr="00372EA1">
        <w:tc>
          <w:tcPr>
            <w:tcW w:w="5000" w:type="pct"/>
          </w:tcPr>
          <w:p w14:paraId="05A40FAE" w14:textId="77777777" w:rsidR="000A4106" w:rsidRPr="006F283B" w:rsidRDefault="000A4106" w:rsidP="00372EA1">
            <w:pPr>
              <w:spacing w:before="0"/>
              <w:ind w:left="-57"/>
              <w:textAlignment w:val="baseline"/>
              <w:rPr>
                <w:rFonts w:cs="Open Sans"/>
                <w:b/>
                <w:bCs/>
                <w:sz w:val="20"/>
                <w:szCs w:val="20"/>
                <w:bdr w:val="none" w:sz="0" w:space="0" w:color="auto" w:frame="1"/>
                <w:lang w:val="en-AU" w:eastAsia="en-AU"/>
              </w:rPr>
            </w:pPr>
            <w:r w:rsidRPr="006F283B">
              <w:rPr>
                <w:rFonts w:cs="Open Sans"/>
                <w:b/>
                <w:bCs/>
                <w:sz w:val="20"/>
                <w:szCs w:val="20"/>
                <w:bdr w:val="none" w:sz="0" w:space="0" w:color="auto" w:frame="1"/>
                <w:lang w:val="en-AU" w:eastAsia="en-AU"/>
              </w:rPr>
              <w:t xml:space="preserve">Administrative Advice: </w:t>
            </w:r>
            <w:r w:rsidRPr="006F283B">
              <w:rPr>
                <w:rFonts w:cs="Open Sans"/>
                <w:sz w:val="20"/>
                <w:szCs w:val="20"/>
                <w:lang w:val="en-AU" w:eastAsia="en-AU"/>
              </w:rPr>
              <w:t>Special Pricing Arrangements apply.</w:t>
            </w:r>
          </w:p>
        </w:tc>
      </w:tr>
    </w:tbl>
    <w:p w14:paraId="1F97012E" w14:textId="77777777" w:rsidR="001C79BE" w:rsidRPr="006F283B" w:rsidRDefault="001C79BE" w:rsidP="008E1252">
      <w:pPr>
        <w:spacing w:before="0" w:after="0"/>
      </w:pPr>
    </w:p>
    <w:p w14:paraId="0F2A2CC9" w14:textId="38582079" w:rsidR="00E93AC4" w:rsidRPr="006F283B" w:rsidRDefault="002331F8" w:rsidP="008E1252">
      <w:pPr>
        <w:pStyle w:val="ListParagraph"/>
        <w:spacing w:before="0" w:after="120"/>
        <w:rPr>
          <w:color w:val="auto"/>
        </w:rPr>
      </w:pPr>
      <w:r w:rsidRPr="006F283B">
        <w:rPr>
          <w:color w:val="auto"/>
        </w:rPr>
        <w:lastRenderedPageBreak/>
        <w:t xml:space="preserve">The effective price for niraparib listed above was calculated as a weighted price based on the estimated usage in </w:t>
      </w:r>
      <w:r w:rsidR="001152C0" w:rsidRPr="001152C0">
        <w:rPr>
          <w:i/>
          <w:iCs/>
          <w:color w:val="auto"/>
        </w:rPr>
        <w:t>BRCAm</w:t>
      </w:r>
      <w:r w:rsidRPr="006F283B">
        <w:rPr>
          <w:color w:val="auto"/>
        </w:rPr>
        <w:t xml:space="preserve"> (55.9%) and HRD positive </w:t>
      </w:r>
      <w:r w:rsidR="001152C0" w:rsidRPr="001152C0">
        <w:rPr>
          <w:i/>
          <w:iCs/>
          <w:color w:val="auto"/>
        </w:rPr>
        <w:t>BRCAwt</w:t>
      </w:r>
      <w:r w:rsidRPr="006F283B">
        <w:rPr>
          <w:color w:val="auto"/>
        </w:rPr>
        <w:t xml:space="preserve"> patients (44.1%). The proposed effective price (AEMP) for HRD positive </w:t>
      </w:r>
      <w:r w:rsidR="001152C0" w:rsidRPr="001152C0">
        <w:rPr>
          <w:i/>
          <w:iCs/>
          <w:color w:val="auto"/>
        </w:rPr>
        <w:t>BRCAwt</w:t>
      </w:r>
      <w:r w:rsidRPr="006F283B">
        <w:rPr>
          <w:color w:val="auto"/>
        </w:rPr>
        <w:t xml:space="preserve"> patients was $</w:t>
      </w:r>
      <w:proofErr w:type="gramStart"/>
      <w:r w:rsidR="00093050" w:rsidRPr="00091054">
        <w:rPr>
          <w:color w:val="000000"/>
          <w:w w:val="15"/>
          <w:shd w:val="solid" w:color="000000" w:fill="000000"/>
          <w:fitText w:val="-20" w:id="-1233481470"/>
          <w14:textFill>
            <w14:solidFill>
              <w14:srgbClr w14:val="000000">
                <w14:alpha w14:val="100000"/>
              </w14:srgbClr>
            </w14:solidFill>
          </w14:textFill>
        </w:rPr>
        <w:t xml:space="preserve">|  </w:t>
      </w:r>
      <w:r w:rsidR="00093050" w:rsidRPr="00091054">
        <w:rPr>
          <w:color w:val="000000"/>
          <w:spacing w:val="-69"/>
          <w:w w:val="15"/>
          <w:shd w:val="solid" w:color="000000" w:fill="000000"/>
          <w:fitText w:val="-20" w:id="-1233481470"/>
          <w14:textFill>
            <w14:solidFill>
              <w14:srgbClr w14:val="000000">
                <w14:alpha w14:val="100000"/>
              </w14:srgbClr>
            </w14:solidFill>
          </w14:textFill>
        </w:rPr>
        <w:t>|</w:t>
      </w:r>
      <w:proofErr w:type="gramEnd"/>
      <w:r w:rsidRPr="006F283B">
        <w:rPr>
          <w:color w:val="auto"/>
        </w:rPr>
        <w:t xml:space="preserve"> for a pack of 56 capsules and $</w:t>
      </w:r>
      <w:r w:rsidR="00093050" w:rsidRPr="00091054">
        <w:rPr>
          <w:color w:val="000000"/>
          <w:w w:val="15"/>
          <w:shd w:val="solid" w:color="000000" w:fill="000000"/>
          <w:fitText w:val="-20" w:id="-1233481469"/>
          <w14:textFill>
            <w14:solidFill>
              <w14:srgbClr w14:val="000000">
                <w14:alpha w14:val="100000"/>
              </w14:srgbClr>
            </w14:solidFill>
          </w14:textFill>
        </w:rPr>
        <w:t xml:space="preserve">|  </w:t>
      </w:r>
      <w:r w:rsidR="00093050" w:rsidRPr="00091054">
        <w:rPr>
          <w:color w:val="000000"/>
          <w:spacing w:val="-69"/>
          <w:w w:val="15"/>
          <w:shd w:val="solid" w:color="000000" w:fill="000000"/>
          <w:fitText w:val="-20" w:id="-1233481469"/>
          <w14:textFill>
            <w14:solidFill>
              <w14:srgbClr w14:val="000000">
                <w14:alpha w14:val="100000"/>
              </w14:srgbClr>
            </w14:solidFill>
          </w14:textFill>
        </w:rPr>
        <w:t>|</w:t>
      </w:r>
      <w:r w:rsidRPr="006F283B">
        <w:rPr>
          <w:color w:val="auto"/>
        </w:rPr>
        <w:t xml:space="preserve"> for a pack of 84 capsules. This compared to the current effective price of</w:t>
      </w:r>
      <w:r w:rsidRPr="006F283B">
        <w:rPr>
          <w:iCs/>
          <w:color w:val="auto"/>
        </w:rPr>
        <w:t xml:space="preserve"> </w:t>
      </w:r>
      <w:r w:rsidRPr="006F283B">
        <w:rPr>
          <w:color w:val="auto"/>
        </w:rPr>
        <w:t>$</w:t>
      </w:r>
      <w:proofErr w:type="gramStart"/>
      <w:r w:rsidR="00093050" w:rsidRPr="00091054">
        <w:rPr>
          <w:color w:val="000000"/>
          <w:w w:val="15"/>
          <w:shd w:val="solid" w:color="000000" w:fill="000000"/>
          <w:fitText w:val="-20" w:id="-1233481468"/>
          <w14:textFill>
            <w14:solidFill>
              <w14:srgbClr w14:val="000000">
                <w14:alpha w14:val="100000"/>
              </w14:srgbClr>
            </w14:solidFill>
          </w14:textFill>
        </w:rPr>
        <w:t xml:space="preserve">|  </w:t>
      </w:r>
      <w:r w:rsidR="00093050" w:rsidRPr="00091054">
        <w:rPr>
          <w:color w:val="000000"/>
          <w:spacing w:val="-69"/>
          <w:w w:val="15"/>
          <w:shd w:val="solid" w:color="000000" w:fill="000000"/>
          <w:fitText w:val="-20" w:id="-1233481468"/>
          <w14:textFill>
            <w14:solidFill>
              <w14:srgbClr w14:val="000000">
                <w14:alpha w14:val="100000"/>
              </w14:srgbClr>
            </w14:solidFill>
          </w14:textFill>
        </w:rPr>
        <w:t>|</w:t>
      </w:r>
      <w:proofErr w:type="gramEnd"/>
      <w:r w:rsidRPr="005B6DD7">
        <w:rPr>
          <w:color w:val="auto"/>
        </w:rPr>
        <w:t xml:space="preserve"> </w:t>
      </w:r>
      <w:r w:rsidRPr="006F283B">
        <w:rPr>
          <w:color w:val="auto"/>
        </w:rPr>
        <w:t>for 56 capsules and $</w:t>
      </w:r>
      <w:r w:rsidR="00093050" w:rsidRPr="00091054">
        <w:rPr>
          <w:color w:val="000000"/>
          <w:w w:val="15"/>
          <w:shd w:val="solid" w:color="000000" w:fill="000000"/>
          <w:fitText w:val="-20" w:id="-1233481467"/>
          <w14:textFill>
            <w14:solidFill>
              <w14:srgbClr w14:val="000000">
                <w14:alpha w14:val="100000"/>
              </w14:srgbClr>
            </w14:solidFill>
          </w14:textFill>
        </w:rPr>
        <w:t xml:space="preserve">|  </w:t>
      </w:r>
      <w:r w:rsidR="00093050" w:rsidRPr="00091054">
        <w:rPr>
          <w:color w:val="000000"/>
          <w:spacing w:val="-69"/>
          <w:w w:val="15"/>
          <w:shd w:val="solid" w:color="000000" w:fill="000000"/>
          <w:fitText w:val="-20" w:id="-1233481467"/>
          <w14:textFill>
            <w14:solidFill>
              <w14:srgbClr w14:val="000000">
                <w14:alpha w14:val="100000"/>
              </w14:srgbClr>
            </w14:solidFill>
          </w14:textFill>
        </w:rPr>
        <w:t>|</w:t>
      </w:r>
      <w:r w:rsidRPr="005B6DD7">
        <w:rPr>
          <w:color w:val="auto"/>
        </w:rPr>
        <w:t xml:space="preserve"> </w:t>
      </w:r>
      <w:r w:rsidRPr="006F283B">
        <w:rPr>
          <w:color w:val="auto"/>
        </w:rPr>
        <w:t xml:space="preserve">for </w:t>
      </w:r>
      <w:r w:rsidR="001152C0" w:rsidRPr="001152C0">
        <w:rPr>
          <w:i/>
          <w:iCs/>
          <w:color w:val="auto"/>
        </w:rPr>
        <w:t>BRCAm</w:t>
      </w:r>
      <w:r w:rsidRPr="006F283B">
        <w:rPr>
          <w:color w:val="auto"/>
        </w:rPr>
        <w:t xml:space="preserve"> patients. </w:t>
      </w:r>
      <w:r w:rsidR="00E93AC4" w:rsidRPr="006F283B">
        <w:rPr>
          <w:iCs/>
        </w:rPr>
        <w:t xml:space="preserve">The PSCR </w:t>
      </w:r>
      <w:r w:rsidR="00DB52F6" w:rsidRPr="006F283B">
        <w:rPr>
          <w:iCs/>
        </w:rPr>
        <w:t xml:space="preserve">and pre-PBAC response </w:t>
      </w:r>
      <w:r w:rsidR="00E93AC4" w:rsidRPr="006F283B">
        <w:rPr>
          <w:iCs/>
          <w:color w:val="auto"/>
        </w:rPr>
        <w:t xml:space="preserve">proposed a reduced </w:t>
      </w:r>
      <w:r w:rsidR="00E93AC4" w:rsidRPr="006F283B">
        <w:rPr>
          <w:iCs/>
        </w:rPr>
        <w:t>AEMP of $</w:t>
      </w:r>
      <w:proofErr w:type="gramStart"/>
      <w:r w:rsidR="00093050" w:rsidRPr="00091054">
        <w:rPr>
          <w:iCs/>
          <w:w w:val="15"/>
          <w:shd w:val="solid" w:color="000000" w:fill="000000"/>
          <w:fitText w:val="-20" w:id="-1233481466"/>
          <w14:textFill>
            <w14:solidFill>
              <w14:schemeClr w14:val="tx1">
                <w14:alpha w14:val="100000"/>
              </w14:schemeClr>
            </w14:solidFill>
          </w14:textFill>
        </w:rPr>
        <w:t xml:space="preserve">|  </w:t>
      </w:r>
      <w:r w:rsidR="00093050" w:rsidRPr="00091054">
        <w:rPr>
          <w:iCs/>
          <w:spacing w:val="-69"/>
          <w:w w:val="15"/>
          <w:shd w:val="solid" w:color="000000" w:fill="000000"/>
          <w:fitText w:val="-20" w:id="-1233481466"/>
          <w14:textFill>
            <w14:solidFill>
              <w14:schemeClr w14:val="tx1">
                <w14:alpha w14:val="100000"/>
              </w14:schemeClr>
            </w14:solidFill>
          </w14:textFill>
        </w:rPr>
        <w:t>|</w:t>
      </w:r>
      <w:proofErr w:type="gramEnd"/>
      <w:r w:rsidR="00E93AC4" w:rsidRPr="006F283B">
        <w:rPr>
          <w:iCs/>
        </w:rPr>
        <w:t xml:space="preserve"> per 56 capsules for the HRD positive </w:t>
      </w:r>
      <w:r w:rsidR="001152C0" w:rsidRPr="001152C0">
        <w:rPr>
          <w:i/>
          <w:iCs/>
        </w:rPr>
        <w:t>BRCAwt</w:t>
      </w:r>
      <w:r w:rsidR="00E93AC4" w:rsidRPr="006F283B">
        <w:rPr>
          <w:iCs/>
        </w:rPr>
        <w:t xml:space="preserve"> cohort </w:t>
      </w:r>
      <w:r w:rsidR="00560E12" w:rsidRPr="006F283B">
        <w:rPr>
          <w:iCs/>
        </w:rPr>
        <w:t xml:space="preserve">(see paragraph </w:t>
      </w:r>
      <w:r w:rsidR="00560E12" w:rsidRPr="006F283B">
        <w:rPr>
          <w:iCs/>
        </w:rPr>
        <w:fldChar w:fldCharType="begin" w:fldLock="1"/>
      </w:r>
      <w:r w:rsidR="00560E12" w:rsidRPr="006F283B">
        <w:rPr>
          <w:iCs/>
        </w:rPr>
        <w:instrText xml:space="preserve"> REF _Ref127282323 \r \h </w:instrText>
      </w:r>
      <w:r w:rsidR="00560E12" w:rsidRPr="006F283B">
        <w:rPr>
          <w:iCs/>
        </w:rPr>
      </w:r>
      <w:r w:rsidR="00560E12" w:rsidRPr="006F283B">
        <w:rPr>
          <w:iCs/>
        </w:rPr>
        <w:fldChar w:fldCharType="separate"/>
      </w:r>
      <w:r w:rsidR="00305654">
        <w:rPr>
          <w:iCs/>
        </w:rPr>
        <w:t>6.85</w:t>
      </w:r>
      <w:r w:rsidR="00560E12" w:rsidRPr="006F283B">
        <w:rPr>
          <w:iCs/>
        </w:rPr>
        <w:fldChar w:fldCharType="end"/>
      </w:r>
      <w:r w:rsidR="00560E12" w:rsidRPr="006F283B">
        <w:rPr>
          <w:iCs/>
        </w:rPr>
        <w:t>)</w:t>
      </w:r>
      <w:r w:rsidR="00E93AC4" w:rsidRPr="006F283B">
        <w:rPr>
          <w:iCs/>
        </w:rPr>
        <w:t>.</w:t>
      </w:r>
      <w:r w:rsidR="008E34C5">
        <w:rPr>
          <w:iCs/>
        </w:rPr>
        <w:t xml:space="preserve"> </w:t>
      </w:r>
    </w:p>
    <w:p w14:paraId="78DEC2B3" w14:textId="38A2B3C3" w:rsidR="002331F8" w:rsidRPr="006F283B" w:rsidRDefault="00DB3F94" w:rsidP="008E1252">
      <w:pPr>
        <w:pStyle w:val="ListParagraph"/>
        <w:spacing w:before="0" w:after="120"/>
        <w:rPr>
          <w:color w:val="auto"/>
        </w:rPr>
      </w:pPr>
      <w:r w:rsidRPr="006F283B">
        <w:rPr>
          <w:iCs/>
          <w:color w:val="auto"/>
        </w:rPr>
        <w:t xml:space="preserve">The ESC noted that </w:t>
      </w:r>
      <w:r w:rsidR="00FB2DD7" w:rsidRPr="006F283B">
        <w:rPr>
          <w:iCs/>
          <w:color w:val="auto"/>
        </w:rPr>
        <w:t xml:space="preserve">the </w:t>
      </w:r>
      <w:r w:rsidRPr="006F283B">
        <w:rPr>
          <w:iCs/>
          <w:color w:val="auto"/>
        </w:rPr>
        <w:t xml:space="preserve">restriction requested by the submission is reliant on the availability of an appropriate HRD assay to enable identification of the proposed population of HRD positive </w:t>
      </w:r>
      <w:r w:rsidR="001152C0" w:rsidRPr="001152C0">
        <w:rPr>
          <w:i/>
          <w:iCs/>
          <w:color w:val="auto"/>
        </w:rPr>
        <w:t>BRCAwt</w:t>
      </w:r>
      <w:r w:rsidRPr="006F283B">
        <w:rPr>
          <w:iCs/>
          <w:color w:val="auto"/>
        </w:rPr>
        <w:t xml:space="preserve"> patients. </w:t>
      </w:r>
      <w:r w:rsidR="00CE7936" w:rsidRPr="006F283B">
        <w:rPr>
          <w:iCs/>
          <w:color w:val="auto"/>
        </w:rPr>
        <w:t>For a scenario where HRD testing is not available</w:t>
      </w:r>
      <w:r w:rsidR="007C5410" w:rsidRPr="006F283B">
        <w:rPr>
          <w:iCs/>
          <w:color w:val="auto"/>
        </w:rPr>
        <w:t>,</w:t>
      </w:r>
      <w:r w:rsidR="00CE7936" w:rsidRPr="006F283B">
        <w:rPr>
          <w:iCs/>
          <w:color w:val="auto"/>
        </w:rPr>
        <w:t xml:space="preserve"> t</w:t>
      </w:r>
      <w:r w:rsidR="00350C5F" w:rsidRPr="006F283B">
        <w:rPr>
          <w:iCs/>
          <w:color w:val="auto"/>
        </w:rPr>
        <w:t xml:space="preserve">he PSCR </w:t>
      </w:r>
      <w:r w:rsidR="00DB52F6" w:rsidRPr="006F283B">
        <w:rPr>
          <w:iCs/>
          <w:color w:val="auto"/>
        </w:rPr>
        <w:t xml:space="preserve">and pre-PBAC response </w:t>
      </w:r>
      <w:r w:rsidR="00350C5F" w:rsidRPr="006F283B">
        <w:rPr>
          <w:iCs/>
          <w:color w:val="auto"/>
        </w:rPr>
        <w:t xml:space="preserve">proposed a reduced </w:t>
      </w:r>
      <w:r w:rsidR="00350C5F" w:rsidRPr="006F283B">
        <w:rPr>
          <w:iCs/>
        </w:rPr>
        <w:t xml:space="preserve">AEMP </w:t>
      </w:r>
      <w:r w:rsidR="000940C5" w:rsidRPr="006F283B">
        <w:rPr>
          <w:iCs/>
        </w:rPr>
        <w:t xml:space="preserve">for the </w:t>
      </w:r>
      <w:r w:rsidR="001152C0" w:rsidRPr="001152C0">
        <w:rPr>
          <w:i/>
          <w:iCs/>
        </w:rPr>
        <w:t>BRCAwt</w:t>
      </w:r>
      <w:r w:rsidR="000940C5" w:rsidRPr="006F283B">
        <w:rPr>
          <w:iCs/>
        </w:rPr>
        <w:t xml:space="preserve"> population </w:t>
      </w:r>
      <w:r w:rsidR="00350C5F" w:rsidRPr="006F283B">
        <w:rPr>
          <w:iCs/>
        </w:rPr>
        <w:t>of $</w:t>
      </w:r>
      <w:proofErr w:type="gramStart"/>
      <w:r w:rsidR="00093050" w:rsidRPr="00091054">
        <w:rPr>
          <w:iCs/>
          <w:w w:val="15"/>
          <w:shd w:val="solid" w:color="000000" w:fill="000000"/>
          <w:fitText w:val="-20" w:id="-1233481465"/>
          <w14:textFill>
            <w14:solidFill>
              <w14:schemeClr w14:val="tx1">
                <w14:alpha w14:val="100000"/>
              </w14:schemeClr>
            </w14:solidFill>
          </w14:textFill>
        </w:rPr>
        <w:t xml:space="preserve">|  </w:t>
      </w:r>
      <w:r w:rsidR="00093050" w:rsidRPr="00091054">
        <w:rPr>
          <w:iCs/>
          <w:spacing w:val="-69"/>
          <w:w w:val="15"/>
          <w:shd w:val="solid" w:color="000000" w:fill="000000"/>
          <w:fitText w:val="-20" w:id="-1233481465"/>
          <w14:textFill>
            <w14:solidFill>
              <w14:schemeClr w14:val="tx1">
                <w14:alpha w14:val="100000"/>
              </w14:schemeClr>
            </w14:solidFill>
          </w14:textFill>
        </w:rPr>
        <w:t>|</w:t>
      </w:r>
      <w:proofErr w:type="gramEnd"/>
      <w:r w:rsidR="00E93AC4" w:rsidRPr="006F283B">
        <w:rPr>
          <w:iCs/>
        </w:rPr>
        <w:t xml:space="preserve"> (see paragraph </w:t>
      </w:r>
      <w:r w:rsidR="00E93AC4" w:rsidRPr="006F283B">
        <w:rPr>
          <w:iCs/>
        </w:rPr>
        <w:fldChar w:fldCharType="begin" w:fldLock="1"/>
      </w:r>
      <w:r w:rsidR="00E93AC4" w:rsidRPr="006F283B">
        <w:rPr>
          <w:iCs/>
        </w:rPr>
        <w:instrText xml:space="preserve"> REF _Ref127284110 \r \h </w:instrText>
      </w:r>
      <w:r w:rsidR="00E93AC4" w:rsidRPr="006F283B">
        <w:rPr>
          <w:iCs/>
        </w:rPr>
      </w:r>
      <w:r w:rsidR="00E93AC4" w:rsidRPr="006F283B">
        <w:rPr>
          <w:iCs/>
        </w:rPr>
        <w:fldChar w:fldCharType="separate"/>
      </w:r>
      <w:r w:rsidR="00305654">
        <w:rPr>
          <w:iCs/>
        </w:rPr>
        <w:t>6.87</w:t>
      </w:r>
      <w:r w:rsidR="00E93AC4" w:rsidRPr="006F283B">
        <w:rPr>
          <w:iCs/>
        </w:rPr>
        <w:fldChar w:fldCharType="end"/>
      </w:r>
      <w:r w:rsidR="00E93AC4" w:rsidRPr="006F283B">
        <w:rPr>
          <w:iCs/>
        </w:rPr>
        <w:t>)</w:t>
      </w:r>
      <w:r w:rsidR="00350C5F" w:rsidRPr="006F283B">
        <w:rPr>
          <w:iCs/>
        </w:rPr>
        <w:t>. This compared with a</w:t>
      </w:r>
      <w:r w:rsidR="000940C5" w:rsidRPr="006F283B">
        <w:rPr>
          <w:iCs/>
        </w:rPr>
        <w:t xml:space="preserve">n </w:t>
      </w:r>
      <w:r w:rsidR="00350C5F" w:rsidRPr="006F283B">
        <w:rPr>
          <w:iCs/>
        </w:rPr>
        <w:t>AEMP of $</w:t>
      </w:r>
      <w:proofErr w:type="gramStart"/>
      <w:r w:rsidR="00093050" w:rsidRPr="00091054">
        <w:rPr>
          <w:iCs/>
          <w:w w:val="15"/>
          <w:shd w:val="solid" w:color="000000" w:fill="000000"/>
          <w:fitText w:val="-20" w:id="-1233481464"/>
          <w14:textFill>
            <w14:solidFill>
              <w14:schemeClr w14:val="tx1">
                <w14:alpha w14:val="100000"/>
              </w14:schemeClr>
            </w14:solidFill>
          </w14:textFill>
        </w:rPr>
        <w:t xml:space="preserve">|  </w:t>
      </w:r>
      <w:r w:rsidR="00093050" w:rsidRPr="00091054">
        <w:rPr>
          <w:iCs/>
          <w:spacing w:val="-69"/>
          <w:w w:val="15"/>
          <w:shd w:val="solid" w:color="000000" w:fill="000000"/>
          <w:fitText w:val="-20" w:id="-1233481464"/>
          <w14:textFill>
            <w14:solidFill>
              <w14:schemeClr w14:val="tx1">
                <w14:alpha w14:val="100000"/>
              </w14:schemeClr>
            </w14:solidFill>
          </w14:textFill>
        </w:rPr>
        <w:t>|</w:t>
      </w:r>
      <w:proofErr w:type="gramEnd"/>
      <w:r w:rsidR="00350C5F" w:rsidRPr="006F283B">
        <w:rPr>
          <w:iCs/>
        </w:rPr>
        <w:t xml:space="preserve"> in the March 2022 PSCR for the same population. </w:t>
      </w:r>
    </w:p>
    <w:p w14:paraId="618878D3" w14:textId="36FBE88D" w:rsidR="00843998" w:rsidRPr="006F283B" w:rsidRDefault="006629DB" w:rsidP="008E1252">
      <w:pPr>
        <w:pStyle w:val="ListParagraph"/>
        <w:spacing w:before="0" w:after="120"/>
        <w:rPr>
          <w:iCs/>
          <w:color w:val="auto"/>
        </w:rPr>
      </w:pPr>
      <w:r w:rsidRPr="006F283B">
        <w:rPr>
          <w:color w:val="auto"/>
        </w:rPr>
        <w:t>The main clinical trial supporting this submission (</w:t>
      </w:r>
      <w:r w:rsidR="00843998" w:rsidRPr="006F283B">
        <w:rPr>
          <w:color w:val="auto"/>
        </w:rPr>
        <w:t>PRIMA</w:t>
      </w:r>
      <w:r w:rsidRPr="006F283B">
        <w:rPr>
          <w:color w:val="auto"/>
        </w:rPr>
        <w:t>)</w:t>
      </w:r>
      <w:r w:rsidR="00843998" w:rsidRPr="006F283B">
        <w:rPr>
          <w:color w:val="auto"/>
        </w:rPr>
        <w:t xml:space="preserve"> excluded all patients with Stage III tumours who had no residual disease (R0) post primary debulking surgery (PDS)</w:t>
      </w:r>
      <w:r w:rsidR="00843998" w:rsidRPr="006F283B">
        <w:rPr>
          <w:iCs/>
          <w:color w:val="auto"/>
        </w:rPr>
        <w:t xml:space="preserve">, </w:t>
      </w:r>
      <w:r w:rsidR="00843998" w:rsidRPr="006F283B">
        <w:rPr>
          <w:color w:val="auto"/>
        </w:rPr>
        <w:t xml:space="preserve">but these patients are eligible for treatment under the proposed listing. While it may not be </w:t>
      </w:r>
      <w:r w:rsidR="00663025" w:rsidRPr="006F283B">
        <w:rPr>
          <w:color w:val="auto"/>
        </w:rPr>
        <w:t xml:space="preserve">clinically reasonable </w:t>
      </w:r>
      <w:r w:rsidR="00843998" w:rsidRPr="006F283B">
        <w:rPr>
          <w:color w:val="auto"/>
        </w:rPr>
        <w:t xml:space="preserve">to exclude these patients from niraparib maintenance therapy, the incremental effectiveness (and cost effectiveness) of niraparib monotherapy compared to SMM in these patients was unknown. </w:t>
      </w:r>
      <w:r w:rsidR="006634D2" w:rsidRPr="006F283B">
        <w:t>The ESC considered this was a minor applicability issue as this referred to a small subset of patients.</w:t>
      </w:r>
    </w:p>
    <w:p w14:paraId="4B901D61" w14:textId="79153246" w:rsidR="00843998" w:rsidRPr="006F283B" w:rsidRDefault="00843998" w:rsidP="008E1252">
      <w:pPr>
        <w:pStyle w:val="ListParagraph"/>
        <w:spacing w:before="0" w:after="120"/>
        <w:rPr>
          <w:iCs/>
          <w:color w:val="auto"/>
        </w:rPr>
      </w:pPr>
      <w:r w:rsidRPr="006F283B">
        <w:rPr>
          <w:color w:val="auto"/>
        </w:rPr>
        <w:t>The submission also suggested that niraparib maintenance therapy will only be used in patients who received 1L PBC</w:t>
      </w:r>
      <w:r w:rsidR="006629DB" w:rsidRPr="006F283B">
        <w:rPr>
          <w:color w:val="auto"/>
        </w:rPr>
        <w:t>,</w:t>
      </w:r>
      <w:r w:rsidRPr="006F283B">
        <w:rPr>
          <w:color w:val="auto"/>
        </w:rPr>
        <w:t xml:space="preserve"> but not bevacizumab, and this was the assumption applied in both the economic evaluation and financial estimates. However, the proposed restriction d</w:t>
      </w:r>
      <w:r w:rsidR="006629DB" w:rsidRPr="006F283B">
        <w:rPr>
          <w:color w:val="auto"/>
        </w:rPr>
        <w:t>id</w:t>
      </w:r>
      <w:r w:rsidRPr="006F283B">
        <w:rPr>
          <w:color w:val="auto"/>
        </w:rPr>
        <w:t xml:space="preserve"> not specifically exclude patients who have received 1L bevacizumab</w:t>
      </w:r>
      <w:r w:rsidR="00485AD6" w:rsidRPr="006F283B">
        <w:rPr>
          <w:color w:val="auto"/>
        </w:rPr>
        <w:t xml:space="preserve">. </w:t>
      </w:r>
      <w:r w:rsidR="00485AD6" w:rsidRPr="007E584B">
        <w:rPr>
          <w:iCs/>
          <w:color w:val="auto"/>
        </w:rPr>
        <w:t xml:space="preserve">The ESC </w:t>
      </w:r>
      <w:r w:rsidR="00485AD6" w:rsidRPr="006F283B">
        <w:rPr>
          <w:iCs/>
          <w:color w:val="auto"/>
        </w:rPr>
        <w:t xml:space="preserve">considered that patients with confirmed HRD positive </w:t>
      </w:r>
      <w:r w:rsidR="001152C0" w:rsidRPr="001152C0">
        <w:rPr>
          <w:i/>
          <w:iCs/>
          <w:color w:val="auto"/>
        </w:rPr>
        <w:t>BRCAwt</w:t>
      </w:r>
      <w:r w:rsidR="00485AD6" w:rsidRPr="006F283B">
        <w:rPr>
          <w:iCs/>
          <w:color w:val="auto"/>
        </w:rPr>
        <w:t xml:space="preserve"> are unlikely to be treated with bevacizumab.</w:t>
      </w:r>
    </w:p>
    <w:p w14:paraId="1F7F0814" w14:textId="1AB103E9" w:rsidR="00C25382" w:rsidRPr="006F283B" w:rsidRDefault="00C25382" w:rsidP="008E1252">
      <w:pPr>
        <w:pStyle w:val="ListParagraph"/>
        <w:spacing w:before="0" w:after="120"/>
        <w:rPr>
          <w:iCs/>
          <w:color w:val="auto"/>
        </w:rPr>
      </w:pPr>
      <w:r w:rsidRPr="006F283B">
        <w:rPr>
          <w:snapToGrid w:val="0"/>
        </w:rPr>
        <w:t>The PBAC noted that the proposed restriction for niraparib would allow up to 3 years of treatment for patients with a complete response, in line with the circumstances of use in the PRIMA trial.</w:t>
      </w:r>
    </w:p>
    <w:p w14:paraId="476CA906" w14:textId="5A153880" w:rsidR="00431AE9" w:rsidRPr="006F283B" w:rsidRDefault="00FA68C9" w:rsidP="008E1252">
      <w:pPr>
        <w:pStyle w:val="ListParagraph"/>
        <w:spacing w:before="0" w:after="120"/>
      </w:pPr>
      <w:r w:rsidRPr="006F283B">
        <w:t>T</w:t>
      </w:r>
      <w:r w:rsidR="006629DB" w:rsidRPr="006F283B">
        <w:t>he Secretariat</w:t>
      </w:r>
      <w:r w:rsidR="00431AE9" w:rsidRPr="006F283B">
        <w:t xml:space="preserve"> recommended that the</w:t>
      </w:r>
      <w:r w:rsidRPr="006F283B">
        <w:t xml:space="preserve"> </w:t>
      </w:r>
      <w:r w:rsidR="002B4B23" w:rsidRPr="006F283B">
        <w:t>relevant criterion</w:t>
      </w:r>
      <w:r w:rsidR="00431AE9" w:rsidRPr="006F283B">
        <w:t xml:space="preserve"> be modified to “The condition must not be associated with a class 4 </w:t>
      </w:r>
      <w:r w:rsidR="002B4B23" w:rsidRPr="006F283B">
        <w:t>/</w:t>
      </w:r>
      <w:r w:rsidR="00431AE9" w:rsidRPr="006F283B">
        <w:t xml:space="preserve">5 </w:t>
      </w:r>
      <w:r w:rsidR="001152C0" w:rsidRPr="001152C0">
        <w:rPr>
          <w:i/>
          <w:iCs/>
        </w:rPr>
        <w:t>BRCA1</w:t>
      </w:r>
      <w:r w:rsidR="00431AE9" w:rsidRPr="006F283B">
        <w:t xml:space="preserve"> </w:t>
      </w:r>
      <w:r w:rsidR="002B4B23" w:rsidRPr="006F283B">
        <w:t>/</w:t>
      </w:r>
      <w:r w:rsidR="001152C0" w:rsidRPr="001152C0">
        <w:rPr>
          <w:i/>
          <w:iCs/>
        </w:rPr>
        <w:t>BRCA2</w:t>
      </w:r>
      <w:r w:rsidR="00431AE9" w:rsidRPr="006F283B">
        <w:t xml:space="preserve"> pathogenic </w:t>
      </w:r>
      <w:r w:rsidR="002B4B23" w:rsidRPr="006F283B">
        <w:t xml:space="preserve">gene </w:t>
      </w:r>
      <w:r w:rsidR="00431AE9" w:rsidRPr="006F283B">
        <w:t>variant”.</w:t>
      </w:r>
    </w:p>
    <w:p w14:paraId="60E62D9F" w14:textId="04DDD114" w:rsidR="00017D7A" w:rsidRPr="006F283B" w:rsidRDefault="001B3E45" w:rsidP="008E1252">
      <w:pPr>
        <w:pStyle w:val="ListParagraph"/>
        <w:spacing w:before="0" w:after="120"/>
        <w:rPr>
          <w:color w:val="auto"/>
        </w:rPr>
      </w:pPr>
      <w:bookmarkStart w:id="36" w:name="_Ref109066484"/>
      <w:r w:rsidRPr="006F283B">
        <w:t>The PBAC noted that t</w:t>
      </w:r>
      <w:r w:rsidR="00431AE9" w:rsidRPr="006F283B">
        <w:t>he proposed HRD test includes a gene signature of genomic instability</w:t>
      </w:r>
      <w:r w:rsidR="0011527E" w:rsidRPr="006F283B">
        <w:t xml:space="preserve"> (GI)</w:t>
      </w:r>
      <w:r w:rsidR="00431AE9" w:rsidRPr="006F283B">
        <w:t xml:space="preserve">, which generates scores on a scale rather than providing a dichotomous detection (or not) of a pathogenic variation. In order to dichotomise a gene signature score to a positive result or a negative result, a threshold also needs to be defined. </w:t>
      </w:r>
      <w:r w:rsidR="0011527E" w:rsidRPr="006F283B">
        <w:rPr>
          <w:rStyle w:val="InstructionalTextChar"/>
          <w:bCs/>
          <w:iCs/>
          <w:color w:val="auto"/>
        </w:rPr>
        <w:t xml:space="preserve">However, based on advice from three HRD experts, there is </w:t>
      </w:r>
      <w:proofErr w:type="gramStart"/>
      <w:r w:rsidR="0011527E" w:rsidRPr="006F283B">
        <w:rPr>
          <w:rStyle w:val="InstructionalTextChar"/>
          <w:bCs/>
          <w:iCs/>
          <w:color w:val="auto"/>
        </w:rPr>
        <w:t>no</w:t>
      </w:r>
      <w:proofErr w:type="gramEnd"/>
      <w:r w:rsidR="0011527E" w:rsidRPr="006F283B">
        <w:rPr>
          <w:rStyle w:val="InstructionalTextChar"/>
          <w:bCs/>
          <w:iCs/>
          <w:color w:val="auto"/>
        </w:rPr>
        <w:t xml:space="preserve"> uniformly accepted ‘gold standard’ HRD test or threshold to determine HRD or threshold to determine which patients benefit from PARP inhibitors. </w:t>
      </w:r>
      <w:r w:rsidR="00431AE9" w:rsidRPr="006F283B">
        <w:t xml:space="preserve">The </w:t>
      </w:r>
      <w:r w:rsidR="00D329BA" w:rsidRPr="006F283B">
        <w:t xml:space="preserve">PBAC </w:t>
      </w:r>
      <w:r w:rsidR="001B1DCB" w:rsidRPr="006F283B">
        <w:t xml:space="preserve">considered </w:t>
      </w:r>
      <w:r w:rsidR="006632E6" w:rsidRPr="006F283B">
        <w:t xml:space="preserve">that further advice from MSAC was </w:t>
      </w:r>
      <w:proofErr w:type="gramStart"/>
      <w:r w:rsidR="006632E6" w:rsidRPr="006F283B">
        <w:t>required, but</w:t>
      </w:r>
      <w:proofErr w:type="gramEnd"/>
      <w:r w:rsidR="002248AB" w:rsidRPr="006F283B">
        <w:t xml:space="preserve"> considered</w:t>
      </w:r>
      <w:r w:rsidR="006632E6" w:rsidRPr="006F283B">
        <w:t xml:space="preserve"> that </w:t>
      </w:r>
      <w:r w:rsidR="001B1DCB" w:rsidRPr="006F283B">
        <w:t>it may be appropriate for</w:t>
      </w:r>
      <w:r w:rsidR="00D507D8" w:rsidRPr="006F283B">
        <w:t xml:space="preserve"> the proposed </w:t>
      </w:r>
      <w:r w:rsidR="00D507D8" w:rsidRPr="006F283B">
        <w:lastRenderedPageBreak/>
        <w:t>restriction</w:t>
      </w:r>
      <w:r w:rsidR="006632E6" w:rsidRPr="006F283B">
        <w:t xml:space="preserve"> </w:t>
      </w:r>
      <w:r w:rsidR="00ED5266" w:rsidRPr="006F283B">
        <w:t xml:space="preserve">to require evidence </w:t>
      </w:r>
      <w:r w:rsidR="006632E6" w:rsidRPr="006F283B">
        <w:t xml:space="preserve">(in the absence of </w:t>
      </w:r>
      <w:r w:rsidR="001152C0" w:rsidRPr="001152C0">
        <w:rPr>
          <w:i/>
          <w:iCs/>
        </w:rPr>
        <w:t>BRCAm</w:t>
      </w:r>
      <w:r w:rsidR="006632E6" w:rsidRPr="006F283B">
        <w:t xml:space="preserve">) </w:t>
      </w:r>
      <w:r w:rsidR="00ED5266" w:rsidRPr="006F283B">
        <w:t>that the condition is homologous recombination deficien</w:t>
      </w:r>
      <w:r w:rsidR="00A14632" w:rsidRPr="006F283B">
        <w:t>t</w:t>
      </w:r>
      <w:r w:rsidR="00ED5266" w:rsidRPr="006F283B">
        <w:t xml:space="preserve">, </w:t>
      </w:r>
      <w:r w:rsidR="001B1DCB" w:rsidRPr="006F283B">
        <w:t>without stating</w:t>
      </w:r>
      <w:r w:rsidR="00431AE9" w:rsidRPr="006F283B">
        <w:t xml:space="preserve"> </w:t>
      </w:r>
      <w:r w:rsidR="00ED5266" w:rsidRPr="006F283B">
        <w:t xml:space="preserve">a </w:t>
      </w:r>
      <w:r w:rsidR="00431AE9" w:rsidRPr="006F283B">
        <w:t xml:space="preserve">specific threshold of genomic instability </w:t>
      </w:r>
      <w:r w:rsidR="00ED5266" w:rsidRPr="006F283B">
        <w:t xml:space="preserve">corresponding to HRD positivity. The PBAC considered this approach </w:t>
      </w:r>
      <w:r w:rsidR="00B26B30" w:rsidRPr="006F283B">
        <w:t xml:space="preserve">may be </w:t>
      </w:r>
      <w:r w:rsidR="006632E6" w:rsidRPr="006F283B">
        <w:t xml:space="preserve">reasonable as </w:t>
      </w:r>
      <w:r w:rsidR="00B26B30" w:rsidRPr="006F283B">
        <w:t xml:space="preserve">measures of </w:t>
      </w:r>
      <w:r w:rsidR="000203B0" w:rsidRPr="006F283B">
        <w:t>GI</w:t>
      </w:r>
      <w:r w:rsidR="00B26B30" w:rsidRPr="006F283B">
        <w:t xml:space="preserve"> are continuous, making it difficult to determine a robust cut off</w:t>
      </w:r>
      <w:r w:rsidR="000203B0" w:rsidRPr="006F283B">
        <w:t xml:space="preserve"> for HRD positivity</w:t>
      </w:r>
      <w:r w:rsidR="00500EE9" w:rsidRPr="006F283B">
        <w:t>. T</w:t>
      </w:r>
      <w:r w:rsidR="00ED5266" w:rsidRPr="006F283B">
        <w:t>he PBAC noted that this differed from its previous advice when considering olaparib for the same population in July 2022. At that time, t</w:t>
      </w:r>
      <w:r w:rsidR="00ED5266" w:rsidRPr="006F283B">
        <w:rPr>
          <w:color w:val="auto"/>
        </w:rPr>
        <w:t xml:space="preserve">he PBAC had </w:t>
      </w:r>
      <w:r w:rsidR="00397A1B" w:rsidRPr="006F283B">
        <w:rPr>
          <w:color w:val="auto"/>
        </w:rPr>
        <w:t xml:space="preserve">considered </w:t>
      </w:r>
      <w:r w:rsidR="00ED5266" w:rsidRPr="006F283B">
        <w:rPr>
          <w:color w:val="auto"/>
        </w:rPr>
        <w:t xml:space="preserve">that stating the threshold would allow a clear definition of HRD positive status, and </w:t>
      </w:r>
      <w:r w:rsidR="00431AE9" w:rsidRPr="006F283B">
        <w:t>requested MSAC advice regarding the threshold that should be used to define HRD positivity for determining PARPi eligibility with reference to the clinical utility standard</w:t>
      </w:r>
      <w:r w:rsidR="001B1DCB" w:rsidRPr="006F283B">
        <w:t xml:space="preserve"> (paragraph </w:t>
      </w:r>
      <w:r w:rsidR="00017D7A" w:rsidRPr="006F283B">
        <w:t>3.11, olaparib PSD, July 2022 PBAC meeting)</w:t>
      </w:r>
      <w:r w:rsidR="00431AE9" w:rsidRPr="006F283B">
        <w:t xml:space="preserve">. </w:t>
      </w:r>
      <w:bookmarkEnd w:id="36"/>
      <w:r w:rsidR="00ED5266" w:rsidRPr="006F283B">
        <w:t xml:space="preserve">The PBAC noted that the MSAC </w:t>
      </w:r>
      <w:r w:rsidR="00397A1B" w:rsidRPr="006F283B">
        <w:t>re-</w:t>
      </w:r>
      <w:r w:rsidR="00ED5266" w:rsidRPr="006F283B">
        <w:t xml:space="preserve">application in relation to PBS eligibility for olaparib will </w:t>
      </w:r>
      <w:r w:rsidR="006632E6" w:rsidRPr="006F283B">
        <w:t xml:space="preserve">also </w:t>
      </w:r>
      <w:r w:rsidR="00ED5266" w:rsidRPr="006F283B">
        <w:t xml:space="preserve">be considered at the March </w:t>
      </w:r>
      <w:r w:rsidR="00397A1B" w:rsidRPr="006F283B">
        <w:t>2023</w:t>
      </w:r>
      <w:r w:rsidR="002B4B23" w:rsidRPr="006F283B">
        <w:t xml:space="preserve"> </w:t>
      </w:r>
      <w:r w:rsidR="00ED5266" w:rsidRPr="006F283B">
        <w:t>MSAC meeting (Application 1658</w:t>
      </w:r>
      <w:r w:rsidR="00C807D7" w:rsidRPr="006F283B">
        <w:t>.1</w:t>
      </w:r>
      <w:r w:rsidR="00500EE9" w:rsidRPr="006F283B">
        <w:t>)</w:t>
      </w:r>
      <w:r w:rsidR="00017D7A" w:rsidRPr="006F283B">
        <w:t xml:space="preserve"> and</w:t>
      </w:r>
      <w:r w:rsidR="006632E6" w:rsidRPr="006F283B">
        <w:t xml:space="preserve"> </w:t>
      </w:r>
      <w:r w:rsidR="00017D7A" w:rsidRPr="006F283B">
        <w:t>considered that restriction criteria relating to HRD testing should be aligned for olaparib and niraparib</w:t>
      </w:r>
      <w:r w:rsidR="006632E6" w:rsidRPr="006F283B">
        <w:t xml:space="preserve"> if both are </w:t>
      </w:r>
      <w:r w:rsidR="00F704E9" w:rsidRPr="006F283B">
        <w:t xml:space="preserve">PBS </w:t>
      </w:r>
      <w:r w:rsidR="006632E6" w:rsidRPr="006F283B">
        <w:t>listed.</w:t>
      </w:r>
    </w:p>
    <w:p w14:paraId="7A0E6117" w14:textId="79441E4A" w:rsidR="00CF376C" w:rsidRPr="006F283B" w:rsidRDefault="00017D7A" w:rsidP="008E1252">
      <w:pPr>
        <w:pStyle w:val="ListParagraph"/>
        <w:spacing w:before="0" w:after="120"/>
      </w:pPr>
      <w:r w:rsidRPr="006F283B">
        <w:t xml:space="preserve">The PBAC considered that the criterion “The treatment must be the sole PBS-subsidised therapy for this condition” should be removed, consistent its previous advice that it would be appropriate for the PBS listings for first line PARPi in the </w:t>
      </w:r>
      <w:r w:rsidR="001152C0" w:rsidRPr="001152C0">
        <w:rPr>
          <w:i/>
          <w:iCs/>
        </w:rPr>
        <w:t>BRCAm</w:t>
      </w:r>
      <w:r w:rsidRPr="006F283B">
        <w:t xml:space="preserve"> population to allow combination use with bevacizumab, and that similar flexibility regarding concomitant use of bevacizumab with PARPi should apply if it recommends PBS listing for the HRD+ </w:t>
      </w:r>
      <w:r w:rsidR="001152C0" w:rsidRPr="001152C0">
        <w:rPr>
          <w:i/>
          <w:iCs/>
        </w:rPr>
        <w:t>BRCAm</w:t>
      </w:r>
      <w:r w:rsidRPr="006F283B">
        <w:t xml:space="preserve"> subgroup in the future (paragraph 7.3, olaparib PSD, July 2022 PBAC meeting).</w:t>
      </w:r>
      <w:r w:rsidR="008E34C5">
        <w:t xml:space="preserve"> </w:t>
      </w:r>
    </w:p>
    <w:p w14:paraId="2E184B30" w14:textId="48F2E48E" w:rsidR="00FF5BDD" w:rsidRPr="006F283B" w:rsidRDefault="00843998" w:rsidP="008E1252">
      <w:pPr>
        <w:pStyle w:val="ListParagraph"/>
        <w:spacing w:before="0" w:after="120"/>
        <w:rPr>
          <w:iCs/>
          <w:color w:val="auto"/>
        </w:rPr>
      </w:pPr>
      <w:r w:rsidRPr="006F283B">
        <w:t>No request was made for a separate grandfather restriction</w:t>
      </w:r>
      <w:bookmarkStart w:id="37" w:name="_Toc95298219"/>
      <w:bookmarkStart w:id="38" w:name="_Toc123646828"/>
      <w:bookmarkStart w:id="39" w:name="_Toc123646929"/>
      <w:bookmarkStart w:id="40" w:name="_Toc123647164"/>
      <w:bookmarkStart w:id="41" w:name="_Toc124937088"/>
      <w:r w:rsidR="009C1900" w:rsidRPr="006F283B">
        <w:t>.</w:t>
      </w:r>
      <w:r w:rsidR="008E34C5">
        <w:rPr>
          <w:i/>
        </w:rPr>
        <w:t xml:space="preserve"> </w:t>
      </w:r>
    </w:p>
    <w:p w14:paraId="1FA795C7" w14:textId="4CAA9F4B" w:rsidR="0065563C" w:rsidRPr="00DA1692" w:rsidRDefault="00FF5BDD" w:rsidP="00DA1692">
      <w:pPr>
        <w:pStyle w:val="ListParagraph"/>
        <w:numPr>
          <w:ilvl w:val="0"/>
          <w:numId w:val="0"/>
        </w:numPr>
        <w:ind w:left="720"/>
        <w:rPr>
          <w:i/>
        </w:rPr>
      </w:pPr>
      <w:r w:rsidRPr="006F283B">
        <w:rPr>
          <w:i/>
          <w:color w:val="auto"/>
        </w:rPr>
        <w:t>For more detail on PBAC’s view, see section 7 PBAC outcome.</w:t>
      </w:r>
    </w:p>
    <w:p w14:paraId="13FFE104" w14:textId="506A78C2" w:rsidR="00843998" w:rsidRPr="006F283B" w:rsidRDefault="00843998" w:rsidP="0065563C">
      <w:pPr>
        <w:pStyle w:val="PBACESHeading1"/>
      </w:pPr>
      <w:r w:rsidRPr="006F283B">
        <w:t>Population and disease</w:t>
      </w:r>
      <w:bookmarkEnd w:id="26"/>
      <w:bookmarkEnd w:id="37"/>
      <w:bookmarkEnd w:id="38"/>
      <w:bookmarkEnd w:id="39"/>
      <w:bookmarkEnd w:id="40"/>
      <w:bookmarkEnd w:id="41"/>
    </w:p>
    <w:p w14:paraId="5A680AE7" w14:textId="5BBB8ED7" w:rsidR="00843998" w:rsidRPr="006F283B" w:rsidRDefault="00843998" w:rsidP="007E584B">
      <w:pPr>
        <w:pStyle w:val="ListParagraph"/>
        <w:spacing w:before="0" w:after="120"/>
      </w:pPr>
      <w:r w:rsidRPr="006F283B">
        <w:t xml:space="preserve">The majority (84%) of ovarian cancers are classified as epithelial cancers. Epithelial tumours are grouped by histology into five main sub-types with high grade serous ovarian cancer (HGSOC) by far the most common, constituting nearly 82% of advanced cases (Linderman 2018, Alsop 2012). HGSOC has a high prevalence of HRD with approximately 50% of epithelial ovarian carcinomas estimated to exhibit defective DNA repair by HRD (Konstantinopoulos 2015). Germline </w:t>
      </w:r>
      <w:r w:rsidR="001152C0" w:rsidRPr="001152C0">
        <w:rPr>
          <w:i/>
          <w:iCs/>
        </w:rPr>
        <w:t>BRCA1</w:t>
      </w:r>
      <w:r w:rsidRPr="006F283B">
        <w:t xml:space="preserve"> and </w:t>
      </w:r>
      <w:r w:rsidR="001152C0" w:rsidRPr="001152C0">
        <w:rPr>
          <w:i/>
          <w:iCs/>
        </w:rPr>
        <w:t>BRCA2</w:t>
      </w:r>
      <w:r w:rsidRPr="006F283B">
        <w:t xml:space="preserve"> pathogenic variants are the most well-known HRD aetiology, others include somatic </w:t>
      </w:r>
      <w:r w:rsidR="001152C0" w:rsidRPr="001152C0">
        <w:rPr>
          <w:i/>
          <w:iCs/>
        </w:rPr>
        <w:t>BRCA1</w:t>
      </w:r>
      <w:r w:rsidRPr="006F283B">
        <w:t xml:space="preserve"> or </w:t>
      </w:r>
      <w:r w:rsidR="001152C0" w:rsidRPr="001152C0">
        <w:rPr>
          <w:i/>
          <w:iCs/>
        </w:rPr>
        <w:t>BRCA2</w:t>
      </w:r>
      <w:r w:rsidRPr="006F283B">
        <w:t xml:space="preserve"> pathogenic variants and germline and somatic pathogenic variants in other genes related to HRD (Bonadio 2018).</w:t>
      </w:r>
    </w:p>
    <w:p w14:paraId="64771F73" w14:textId="6F199D0F" w:rsidR="00843998" w:rsidRPr="006F283B" w:rsidRDefault="00843998" w:rsidP="007E584B">
      <w:pPr>
        <w:pStyle w:val="ListParagraph"/>
        <w:spacing w:before="0" w:after="120"/>
      </w:pPr>
      <w:r w:rsidRPr="006F283B">
        <w:t>The target population is the subgroup of patients with newly diagnosed advanced (NDA) HGEOC whose tumours are HRD positive</w:t>
      </w:r>
      <w:r w:rsidRPr="006F283B">
        <w:rPr>
          <w:i/>
          <w:iCs/>
        </w:rPr>
        <w:t xml:space="preserve"> </w:t>
      </w:r>
      <w:r w:rsidR="001152C0" w:rsidRPr="001152C0">
        <w:rPr>
          <w:i/>
          <w:iCs/>
        </w:rPr>
        <w:t>BRCAwt</w:t>
      </w:r>
      <w:r w:rsidRPr="006F283B">
        <w:rPr>
          <w:i/>
          <w:iCs/>
        </w:rPr>
        <w:t xml:space="preserve"> </w:t>
      </w:r>
      <w:r w:rsidRPr="006F283B">
        <w:t xml:space="preserve">and who responded (CR or PR) to 1L PBC. The proposed HRD test, which determines both </w:t>
      </w:r>
      <w:r w:rsidR="001152C0" w:rsidRPr="001152C0">
        <w:rPr>
          <w:i/>
        </w:rPr>
        <w:t xml:space="preserve">BRCA </w:t>
      </w:r>
      <w:r w:rsidRPr="006F283B">
        <w:t>and HRD status, allows identification of these patients.</w:t>
      </w:r>
    </w:p>
    <w:p w14:paraId="48FE6F52" w14:textId="3FDCBA47" w:rsidR="00843998" w:rsidRPr="006F283B" w:rsidRDefault="00843998" w:rsidP="007E584B">
      <w:pPr>
        <w:pStyle w:val="ListParagraph"/>
        <w:spacing w:before="0" w:after="120"/>
      </w:pPr>
      <w:r w:rsidRPr="006F283B">
        <w:t xml:space="preserve">HRD is a phenotype that is characterised by the inability of a cell to effectively repair DNA double-strand breaks using the homologous recombination repair (HRR) pathway. Alterations in the genes </w:t>
      </w:r>
      <w:r w:rsidR="00397A1B" w:rsidRPr="006F283B">
        <w:t xml:space="preserve">encoding components of the HRR pathway </w:t>
      </w:r>
      <w:r w:rsidRPr="006F283B">
        <w:lastRenderedPageBreak/>
        <w:t xml:space="preserve">(including </w:t>
      </w:r>
      <w:r w:rsidRPr="006F283B">
        <w:rPr>
          <w:i/>
          <w:iCs/>
        </w:rPr>
        <w:t>BRCA</w:t>
      </w:r>
      <w:r w:rsidRPr="006F283B">
        <w:t>) have been deemed “causes” of HRD (</w:t>
      </w:r>
      <w:proofErr w:type="gramStart"/>
      <w:r w:rsidR="0005528E" w:rsidRPr="006F283B">
        <w:t>e.g.</w:t>
      </w:r>
      <w:proofErr w:type="gramEnd"/>
      <w:r w:rsidRPr="006F283B">
        <w:t xml:space="preserve"> genetic events and epigenetic events). This can result in an impaired HRR, which can be assessed by </w:t>
      </w:r>
      <w:r w:rsidR="00397A1B" w:rsidRPr="006F283B">
        <w:t xml:space="preserve">examining </w:t>
      </w:r>
      <w:r w:rsidRPr="006F283B">
        <w:t>the genome for evidence of genomic instability (GI) (</w:t>
      </w:r>
      <w:proofErr w:type="gramStart"/>
      <w:r w:rsidR="0005528E" w:rsidRPr="006F283B">
        <w:t>e.g.</w:t>
      </w:r>
      <w:proofErr w:type="gramEnd"/>
      <w:r w:rsidRPr="006F283B">
        <w:t xml:space="preserve"> chromosomal instability and other genomic signatures). </w:t>
      </w:r>
      <w:r w:rsidR="00397A1B" w:rsidRPr="006F283B">
        <w:t xml:space="preserve">Variants in </w:t>
      </w:r>
      <w:r w:rsidRPr="006F283B">
        <w:t xml:space="preserve">genes involved in this pathway can sensitise tumours </w:t>
      </w:r>
      <w:r w:rsidR="00AD6992" w:rsidRPr="006F283B">
        <w:t>to</w:t>
      </w:r>
      <w:r w:rsidRPr="006F283B">
        <w:t xml:space="preserve"> PARP inhibitors and platinum-based chemotherapy, which target the destruction of cancer cells by working in concert with HRD through synthetic lethality. A key current challenge is that there is no standardized method to define, measure, and report HR status using diagnostics in the clinical setting (Stewart 2022). </w:t>
      </w:r>
    </w:p>
    <w:p w14:paraId="1869558C" w14:textId="0827789C" w:rsidR="004E242A" w:rsidRPr="006F283B" w:rsidRDefault="004E242A" w:rsidP="007E584B">
      <w:pPr>
        <w:pStyle w:val="ListParagraph"/>
        <w:spacing w:before="0" w:after="120"/>
      </w:pPr>
      <w:r w:rsidRPr="006F283B">
        <w:t>International guidelines reviewed</w:t>
      </w:r>
      <w:r w:rsidR="00262390" w:rsidRPr="006F283B">
        <w:t xml:space="preserve">, </w:t>
      </w:r>
      <w:r w:rsidR="00BE2BF7" w:rsidRPr="006F283B">
        <w:t xml:space="preserve">including American Society of Clinical Oncology (ASCO, Tew 2020), </w:t>
      </w:r>
      <w:r w:rsidR="003C1C91" w:rsidRPr="006F283B">
        <w:t xml:space="preserve">European Society of Medical Oncology (ESMO, Columbo 2021), European expert consensus (Vergote </w:t>
      </w:r>
      <w:r w:rsidR="00262390" w:rsidRPr="006F283B">
        <w:t xml:space="preserve">2022), </w:t>
      </w:r>
      <w:r w:rsidR="00BE2BF7" w:rsidRPr="006F283B">
        <w:t>National Comprehensive Cancer Network (</w:t>
      </w:r>
      <w:r w:rsidR="00262390" w:rsidRPr="006F283B">
        <w:t xml:space="preserve">NCCN, </w:t>
      </w:r>
      <w:r w:rsidR="003C1C91" w:rsidRPr="006F283B">
        <w:t>Armstrong</w:t>
      </w:r>
      <w:r w:rsidR="00BE2BF7" w:rsidRPr="006F283B">
        <w:t xml:space="preserve"> 2022), the</w:t>
      </w:r>
      <w:r w:rsidR="00262390" w:rsidRPr="006F283B">
        <w:t xml:space="preserve"> National Institute for Health and Care Excellence (NICE, NICE TA693) and the Pan-Canadian consensus statement (Tinker 2022) as well as the UpToDate guidelines, all broadly</w:t>
      </w:r>
      <w:r w:rsidRPr="006F283B">
        <w:t xml:space="preserve"> </w:t>
      </w:r>
      <w:r w:rsidR="00262390" w:rsidRPr="006F283B">
        <w:t xml:space="preserve">recommend </w:t>
      </w:r>
      <w:r w:rsidR="00BE2BF7" w:rsidRPr="006F283B">
        <w:t xml:space="preserve">that </w:t>
      </w:r>
      <w:r w:rsidR="00C27365" w:rsidRPr="006F283B">
        <w:t xml:space="preserve">patients with </w:t>
      </w:r>
      <w:r w:rsidR="00BE2BF7" w:rsidRPr="006F283B">
        <w:t xml:space="preserve">HRD </w:t>
      </w:r>
      <w:r w:rsidR="00C27365" w:rsidRPr="006F283B">
        <w:t xml:space="preserve">tumours should be treated with PARP inhibitors as </w:t>
      </w:r>
      <w:r w:rsidR="00BE2BF7" w:rsidRPr="006F283B">
        <w:t xml:space="preserve">maintenance </w:t>
      </w:r>
      <w:r w:rsidR="00C27365" w:rsidRPr="006F283B">
        <w:t>therapy</w:t>
      </w:r>
      <w:r w:rsidR="00A60CC2" w:rsidRPr="006F283B">
        <w:t xml:space="preserve"> after response to 1L chemotherapy</w:t>
      </w:r>
      <w:r w:rsidR="003F7618" w:rsidRPr="006F283B">
        <w:t xml:space="preserve">. Both ASCO and ESMO </w:t>
      </w:r>
      <w:r w:rsidR="00EF5CBD" w:rsidRPr="006F283B">
        <w:t xml:space="preserve">considered that the strength of the evidence was </w:t>
      </w:r>
      <w:r w:rsidR="00C27365" w:rsidRPr="006F283B">
        <w:t>strong</w:t>
      </w:r>
      <w:r w:rsidR="00DB3F94" w:rsidRPr="006F283B">
        <w:t>,</w:t>
      </w:r>
      <w:r w:rsidR="000C5027" w:rsidRPr="006F283B">
        <w:t xml:space="preserve"> though the ESMO Magnitude of Clinical Benefit score was only 3 out of 5, which does not indicate substantial benefit.</w:t>
      </w:r>
      <w:r w:rsidR="00C27365" w:rsidRPr="006F283B">
        <w:t xml:space="preserve"> UpToDate guidelines considered that the recommendation was a weak recommendation and alternative approaches may be better for some patients under some circumstances. All guidelines recommend that </w:t>
      </w:r>
      <w:r w:rsidR="001152C0" w:rsidRPr="001152C0">
        <w:rPr>
          <w:i/>
          <w:iCs/>
        </w:rPr>
        <w:t xml:space="preserve">BRCA </w:t>
      </w:r>
      <w:r w:rsidR="00C27365" w:rsidRPr="006F283B">
        <w:t>testing should be carried out</w:t>
      </w:r>
      <w:r w:rsidR="000C5027" w:rsidRPr="006F283B">
        <w:t xml:space="preserve"> and that PARP inhibitors should be used as maintenance therapy in </w:t>
      </w:r>
      <w:r w:rsidR="001152C0" w:rsidRPr="001152C0">
        <w:rPr>
          <w:i/>
          <w:iCs/>
        </w:rPr>
        <w:t>BRCAm</w:t>
      </w:r>
      <w:r w:rsidR="000C5027" w:rsidRPr="006F283B">
        <w:t xml:space="preserve"> patients</w:t>
      </w:r>
      <w:r w:rsidR="00C27365" w:rsidRPr="006F283B">
        <w:t xml:space="preserve">. </w:t>
      </w:r>
    </w:p>
    <w:p w14:paraId="4756E3F2" w14:textId="6D4AB9DB" w:rsidR="00931432" w:rsidRPr="006F283B" w:rsidRDefault="00931432" w:rsidP="007E584B">
      <w:pPr>
        <w:pStyle w:val="ListParagraph"/>
        <w:spacing w:before="0" w:after="120"/>
      </w:pPr>
      <w:r w:rsidRPr="006F283B">
        <w:t>The submission stated that primary debulking surgery (PDS) involving extensive upper abdominal surgical resection followed by chemotherapy is the standard approach for the initial treatment of advanced HGEOC, however the submission also noted that there has been a gradual shift to the use of neoadjuvant chemotherapy and subsequent interval debulking surgery (NACT+IDS) with the proportion of patients receiving NACT+IDS increasing from 3.2% to 61.5% over the 2000-2013 period. Systemic chemotherapy with a platinum agent in conjunction with a taxane is recommended post PDS, with the combination of carboplatin/paclitaxel being the dominant regimen used in clinical practice.</w:t>
      </w:r>
      <w:r w:rsidR="005D6AD7" w:rsidRPr="006F283B">
        <w:t xml:space="preserve"> The eviQ guidelines recommend the addition of bevacizumab to 1L PBC for patients that are sub</w:t>
      </w:r>
      <w:r w:rsidR="00FC0FF3" w:rsidRPr="006F283B">
        <w:t>-</w:t>
      </w:r>
      <w:r w:rsidR="005D6AD7" w:rsidRPr="006F283B">
        <w:t xml:space="preserve">optimally debulked. </w:t>
      </w:r>
      <w:r w:rsidR="008F748F" w:rsidRPr="006F283B">
        <w:t xml:space="preserve">Patients with </w:t>
      </w:r>
      <w:r w:rsidR="001152C0" w:rsidRPr="001152C0">
        <w:rPr>
          <w:i/>
          <w:iCs/>
        </w:rPr>
        <w:t>BRCAm</w:t>
      </w:r>
      <w:r w:rsidR="008F748F" w:rsidRPr="006F283B">
        <w:t xml:space="preserve"> are also eligible for nirap</w:t>
      </w:r>
      <w:r w:rsidR="00FC0FF3" w:rsidRPr="006F283B">
        <w:t>a</w:t>
      </w:r>
      <w:r w:rsidR="008F748F" w:rsidRPr="006F283B">
        <w:t xml:space="preserve">rib or olaparib treatment subsidised by the PBS. </w:t>
      </w:r>
    </w:p>
    <w:p w14:paraId="64016FE2" w14:textId="77777777" w:rsidR="00843998" w:rsidRPr="006F283B" w:rsidRDefault="00843998" w:rsidP="007E584B">
      <w:pPr>
        <w:pStyle w:val="ListParagraph"/>
        <w:spacing w:before="0" w:after="120"/>
      </w:pPr>
      <w:r w:rsidRPr="006F283B">
        <w:t>Niraparib is a selective PARP inhibitor. When niraparib is bound to the active site of DNA-associated PARP it prevents the dissociation of PARP and traps it on the DNA, thus blocking repair and leading to tumour cell death.</w:t>
      </w:r>
    </w:p>
    <w:p w14:paraId="262E1BCD" w14:textId="493D76C7" w:rsidR="00843998" w:rsidRPr="006F283B" w:rsidRDefault="00843998" w:rsidP="007E584B">
      <w:pPr>
        <w:pStyle w:val="ListParagraph"/>
        <w:spacing w:before="0" w:after="120"/>
      </w:pPr>
      <w:r w:rsidRPr="006F283B">
        <w:t>The submission proposed that testing of tumours to identify HRD (</w:t>
      </w:r>
      <w:r w:rsidR="001152C0" w:rsidRPr="001152C0">
        <w:rPr>
          <w:i/>
        </w:rPr>
        <w:t xml:space="preserve">BRCA </w:t>
      </w:r>
      <w:r w:rsidRPr="006F283B">
        <w:t xml:space="preserve">and GI) status should occur once per primary tumour diagnosis for women with NDA high-grade epithelial ovarian, fallopian tube or primary peritoneal cancer. </w:t>
      </w:r>
    </w:p>
    <w:p w14:paraId="2FE8F9E3" w14:textId="388E8224" w:rsidR="00CE07F3" w:rsidRPr="006F283B" w:rsidRDefault="00843998" w:rsidP="007E584B">
      <w:pPr>
        <w:pStyle w:val="ListParagraph"/>
        <w:spacing w:before="0" w:after="120"/>
      </w:pPr>
      <w:proofErr w:type="gramStart"/>
      <w:r w:rsidRPr="006F283B">
        <w:lastRenderedPageBreak/>
        <w:t>Similar to</w:t>
      </w:r>
      <w:proofErr w:type="gramEnd"/>
      <w:r w:rsidRPr="006F283B">
        <w:t xml:space="preserve"> the July 2022 olaparib submission, this codependent submission also proposed the option of four different testing scenarios. HRD testing to determine </w:t>
      </w:r>
      <w:r w:rsidR="001152C0" w:rsidRPr="001152C0">
        <w:rPr>
          <w:i/>
          <w:iCs/>
        </w:rPr>
        <w:t>BRCA1/2</w:t>
      </w:r>
      <w:r w:rsidRPr="006F283B">
        <w:t xml:space="preserve"> variant and GI status in parallel at diagnosis was proposed as the base case rather than sequential testing. MSAC has previously considered that a single combined test is preferred as it would be more efficient use of the sample for the pathology laboratory workflow, would more likely use the fresh tissue which gives the best genetic test results and would report both results faster than sequential testing. MSAC considered the logistics of sequential testing would be complex (p5, application 1658, PSD, July 2022 MSAC meeting).</w:t>
      </w:r>
    </w:p>
    <w:p w14:paraId="18C12280" w14:textId="3DDA067E" w:rsidR="00843998" w:rsidRPr="006F283B" w:rsidRDefault="00FF5BDD" w:rsidP="006B0D16">
      <w:pPr>
        <w:pStyle w:val="ListParagraph"/>
        <w:numPr>
          <w:ilvl w:val="0"/>
          <w:numId w:val="0"/>
        </w:numPr>
        <w:spacing w:before="0" w:after="120"/>
        <w:ind w:left="720"/>
        <w:rPr>
          <w:i/>
        </w:rPr>
      </w:pPr>
      <w:r w:rsidRPr="006F283B">
        <w:rPr>
          <w:i/>
          <w:color w:val="auto"/>
        </w:rPr>
        <w:t>For more detail on PBAC’s view, see section 7 PBAC outcome.</w:t>
      </w:r>
    </w:p>
    <w:p w14:paraId="445537EE" w14:textId="77777777" w:rsidR="00843998" w:rsidRPr="006F283B" w:rsidRDefault="00843998" w:rsidP="00843998">
      <w:pPr>
        <w:pStyle w:val="PBACESHeading1"/>
      </w:pPr>
      <w:bookmarkStart w:id="42" w:name="_Toc95298220"/>
      <w:bookmarkStart w:id="43" w:name="_Toc123646829"/>
      <w:bookmarkStart w:id="44" w:name="_Toc123646930"/>
      <w:bookmarkStart w:id="45" w:name="_Toc123647165"/>
      <w:bookmarkStart w:id="46" w:name="_Toc124937089"/>
      <w:r w:rsidRPr="006F283B">
        <w:t>Comparator</w:t>
      </w:r>
      <w:bookmarkEnd w:id="27"/>
      <w:bookmarkEnd w:id="42"/>
      <w:bookmarkEnd w:id="43"/>
      <w:bookmarkEnd w:id="44"/>
      <w:bookmarkEnd w:id="45"/>
      <w:bookmarkEnd w:id="46"/>
    </w:p>
    <w:p w14:paraId="144F7E7B" w14:textId="3D36AB74" w:rsidR="00843998" w:rsidRPr="006F283B" w:rsidRDefault="00843998" w:rsidP="007E584B">
      <w:pPr>
        <w:pStyle w:val="ListParagraph"/>
        <w:spacing w:before="0" w:after="120"/>
        <w:rPr>
          <w:color w:val="auto"/>
        </w:rPr>
      </w:pPr>
      <w:r w:rsidRPr="006F283B">
        <w:rPr>
          <w:color w:val="auto"/>
        </w:rPr>
        <w:t xml:space="preserve">The submission nominated SMM involving active surveillance as the main comparator. </w:t>
      </w:r>
      <w:r w:rsidRPr="006F283B">
        <w:t xml:space="preserve">The submission did not consider bevacizumab to be an appropriate comparator, noting that </w:t>
      </w:r>
      <w:r w:rsidR="00E71F49" w:rsidRPr="006F283B">
        <w:t xml:space="preserve">the </w:t>
      </w:r>
      <w:r w:rsidRPr="006F283B">
        <w:t xml:space="preserve">PBAC considered that few HGEOC patients are currently treated with bevacizumab as maintenance therapy (paragraph 7.10, niraparib PSD, </w:t>
      </w:r>
      <w:r w:rsidR="008E34C5" w:rsidRPr="006F283B">
        <w:t>March</w:t>
      </w:r>
      <w:r w:rsidR="008E34C5">
        <w:t> </w:t>
      </w:r>
      <w:r w:rsidRPr="006F283B">
        <w:t xml:space="preserve">2022 PBAC meeting). However, it remains possible that bevacizumab may be used in a proportion of patients or as part of SMM. There is some evidence that bevacizumab maintenance therapy is associated with better progression free survival (PFS) compared to placebo </w:t>
      </w:r>
      <w:r w:rsidR="009B0F90" w:rsidRPr="006F283B">
        <w:t xml:space="preserve">in the HRD positive </w:t>
      </w:r>
      <w:r w:rsidR="001152C0" w:rsidRPr="001152C0">
        <w:rPr>
          <w:i/>
          <w:iCs/>
        </w:rPr>
        <w:t>BRCAwt</w:t>
      </w:r>
      <w:r w:rsidR="009B0F90" w:rsidRPr="006F283B">
        <w:t xml:space="preserve"> population </w:t>
      </w:r>
      <w:r w:rsidR="006665E1" w:rsidRPr="006F283B">
        <w:t>based on an unanchored side-by-side comparison on PAOLA-1 with PRIMA,</w:t>
      </w:r>
      <w:r w:rsidRPr="006F283B">
        <w:t xml:space="preserve"> and exclusion of bevacizumab as a comparator may lead to an overestimate of the incremental benefit of niraparib in the Australian population.</w:t>
      </w:r>
      <w:r w:rsidR="009B0F90" w:rsidRPr="006F283B">
        <w:t xml:space="preserve"> </w:t>
      </w:r>
    </w:p>
    <w:p w14:paraId="2387A1EF" w14:textId="03F41D7C" w:rsidR="00B876B1" w:rsidRPr="006F283B" w:rsidRDefault="00F237B4" w:rsidP="007E584B">
      <w:pPr>
        <w:pStyle w:val="ListParagraph"/>
        <w:spacing w:before="0" w:after="120"/>
        <w:rPr>
          <w:color w:val="auto"/>
        </w:rPr>
      </w:pPr>
      <w:r w:rsidRPr="006F283B">
        <w:t xml:space="preserve">During its consideration of niraparib for the treatment of newly diagnosed HGEOC in patients who are in response to PBC, the PBAC accepted that the appropriate comparator for niraparib monotherapy in </w:t>
      </w:r>
      <w:r w:rsidR="001152C0" w:rsidRPr="001152C0">
        <w:rPr>
          <w:i/>
          <w:iCs/>
        </w:rPr>
        <w:t>BRCAwt</w:t>
      </w:r>
      <w:r w:rsidRPr="006F283B">
        <w:t xml:space="preserve"> patients was either bevacizumab or no active treatment (SMM) (para 5.1, niraparib PSD, July 2021 PBAC meeting). </w:t>
      </w:r>
    </w:p>
    <w:p w14:paraId="63B1D14B" w14:textId="7E705651" w:rsidR="00F237B4" w:rsidRPr="006F283B" w:rsidRDefault="00F237B4" w:rsidP="007E584B">
      <w:pPr>
        <w:pStyle w:val="ListParagraph"/>
        <w:spacing w:before="0" w:after="120"/>
        <w:rPr>
          <w:color w:val="auto"/>
        </w:rPr>
      </w:pPr>
      <w:r w:rsidRPr="006F283B">
        <w:rPr>
          <w:iCs/>
          <w:color w:val="auto"/>
        </w:rPr>
        <w:t xml:space="preserve">The ESC considered that patients with confirmed HRD positive </w:t>
      </w:r>
      <w:r w:rsidR="001152C0" w:rsidRPr="001152C0">
        <w:rPr>
          <w:i/>
          <w:iCs/>
          <w:color w:val="auto"/>
        </w:rPr>
        <w:t>BRCAwt</w:t>
      </w:r>
      <w:r w:rsidRPr="006F283B">
        <w:rPr>
          <w:iCs/>
          <w:color w:val="auto"/>
        </w:rPr>
        <w:t xml:space="preserve"> are unlikely to be treated with bevacizumab.</w:t>
      </w:r>
    </w:p>
    <w:p w14:paraId="48B3E011" w14:textId="36AC5C75" w:rsidR="00843998" w:rsidRPr="006F283B" w:rsidRDefault="00843998" w:rsidP="007E584B">
      <w:pPr>
        <w:pStyle w:val="ListParagraph"/>
        <w:spacing w:before="0" w:after="120"/>
        <w:rPr>
          <w:color w:val="auto"/>
        </w:rPr>
      </w:pPr>
      <w:r w:rsidRPr="006F283B">
        <w:rPr>
          <w:color w:val="auto"/>
        </w:rPr>
        <w:t xml:space="preserve">The </w:t>
      </w:r>
      <w:r w:rsidR="004968C6" w:rsidRPr="006F283B">
        <w:rPr>
          <w:color w:val="auto"/>
        </w:rPr>
        <w:t xml:space="preserve">nominated </w:t>
      </w:r>
      <w:r w:rsidRPr="006F283B">
        <w:rPr>
          <w:color w:val="auto"/>
        </w:rPr>
        <w:t xml:space="preserve">comparator for niraparib differed to the </w:t>
      </w:r>
      <w:r w:rsidR="004968C6" w:rsidRPr="006F283B">
        <w:rPr>
          <w:color w:val="auto"/>
        </w:rPr>
        <w:t xml:space="preserve">July 2022 </w:t>
      </w:r>
      <w:r w:rsidRPr="006F283B">
        <w:rPr>
          <w:color w:val="auto"/>
        </w:rPr>
        <w:t xml:space="preserve">olaparib submission for patients with HRD positive </w:t>
      </w:r>
      <w:r w:rsidR="001152C0" w:rsidRPr="001152C0">
        <w:rPr>
          <w:i/>
          <w:iCs/>
          <w:color w:val="auto"/>
        </w:rPr>
        <w:t>BRCAwt</w:t>
      </w:r>
      <w:r w:rsidRPr="006F283B">
        <w:rPr>
          <w:color w:val="auto"/>
        </w:rPr>
        <w:t xml:space="preserve"> HGEOC, for which the PBAC found that the submission appropriately nominated bevacizumab as the main comparator for the proposed drug regimen, with routine surveillance ‘watch and wait’ (</w:t>
      </w:r>
      <w:proofErr w:type="gramStart"/>
      <w:r w:rsidR="0005528E" w:rsidRPr="006F283B">
        <w:rPr>
          <w:color w:val="auto"/>
        </w:rPr>
        <w:t>i.e.</w:t>
      </w:r>
      <w:proofErr w:type="gramEnd"/>
      <w:r w:rsidRPr="006F283B">
        <w:rPr>
          <w:color w:val="auto"/>
        </w:rPr>
        <w:t xml:space="preserve"> </w:t>
      </w:r>
      <w:r w:rsidR="00E71F49" w:rsidRPr="006F283B">
        <w:rPr>
          <w:color w:val="auto"/>
        </w:rPr>
        <w:t>p</w:t>
      </w:r>
      <w:r w:rsidRPr="006F283B">
        <w:rPr>
          <w:color w:val="auto"/>
        </w:rPr>
        <w:t xml:space="preserve">lacebo) nominated as a supplementary comparator (in approximately 10% of the population) (paragraph 7.5, olaparib </w:t>
      </w:r>
      <w:r w:rsidR="00E82579" w:rsidRPr="006F283B">
        <w:rPr>
          <w:color w:val="auto"/>
        </w:rPr>
        <w:t>PSD</w:t>
      </w:r>
      <w:r w:rsidRPr="006F283B">
        <w:rPr>
          <w:color w:val="auto"/>
        </w:rPr>
        <w:t>, July 2022</w:t>
      </w:r>
      <w:r w:rsidR="00E82579" w:rsidRPr="006F283B">
        <w:rPr>
          <w:color w:val="auto"/>
        </w:rPr>
        <w:t xml:space="preserve"> PBAC meeting</w:t>
      </w:r>
      <w:r w:rsidRPr="006F283B">
        <w:rPr>
          <w:color w:val="auto"/>
        </w:rPr>
        <w:t xml:space="preserve">). </w:t>
      </w:r>
      <w:r w:rsidR="00F237B4" w:rsidRPr="006F283B">
        <w:rPr>
          <w:color w:val="auto"/>
        </w:rPr>
        <w:t>However, f</w:t>
      </w:r>
      <w:r w:rsidR="00E71F49" w:rsidRPr="006F283B">
        <w:rPr>
          <w:color w:val="auto"/>
        </w:rPr>
        <w:t xml:space="preserve">or the </w:t>
      </w:r>
      <w:r w:rsidR="008E1252" w:rsidRPr="006F283B">
        <w:rPr>
          <w:color w:val="auto"/>
        </w:rPr>
        <w:t>July</w:t>
      </w:r>
      <w:r w:rsidR="008E1252">
        <w:rPr>
          <w:color w:val="auto"/>
        </w:rPr>
        <w:t> </w:t>
      </w:r>
      <w:r w:rsidR="00E71F49" w:rsidRPr="006F283B">
        <w:rPr>
          <w:color w:val="auto"/>
        </w:rPr>
        <w:t>2022 olaparib submission, p</w:t>
      </w:r>
      <w:r w:rsidR="001F32F7" w:rsidRPr="006F283B">
        <w:rPr>
          <w:color w:val="auto"/>
        </w:rPr>
        <w:t xml:space="preserve">atients who would </w:t>
      </w:r>
      <w:r w:rsidR="00E202FD" w:rsidRPr="006F283B">
        <w:rPr>
          <w:color w:val="auto"/>
        </w:rPr>
        <w:t>not be suitable for bevacizumab would also not have been suitable for olaparib plus bevacizumab</w:t>
      </w:r>
      <w:r w:rsidR="00E202FD" w:rsidRPr="006F283B">
        <w:rPr>
          <w:iCs/>
          <w:color w:val="auto"/>
        </w:rPr>
        <w:t xml:space="preserve">. </w:t>
      </w:r>
    </w:p>
    <w:p w14:paraId="2A51CA28" w14:textId="4D8161EB" w:rsidR="00DB3F94" w:rsidRPr="006F283B" w:rsidRDefault="00DB3F94" w:rsidP="007E584B">
      <w:pPr>
        <w:pStyle w:val="ListParagraph"/>
        <w:spacing w:before="0" w:after="120"/>
        <w:rPr>
          <w:iCs/>
          <w:color w:val="auto"/>
        </w:rPr>
      </w:pPr>
      <w:r w:rsidRPr="006F283B">
        <w:rPr>
          <w:color w:val="auto"/>
        </w:rPr>
        <w:t>Olaparib was appropriately</w:t>
      </w:r>
      <w:r w:rsidRPr="006F283B">
        <w:rPr>
          <w:i/>
          <w:iCs/>
          <w:color w:val="auto"/>
        </w:rPr>
        <w:t xml:space="preserve"> </w:t>
      </w:r>
      <w:r w:rsidRPr="006F283B">
        <w:rPr>
          <w:color w:val="auto"/>
        </w:rPr>
        <w:t xml:space="preserve">nominated as a near market comparator for treatment of NDA HGEOC following response to 1L PBC in HRD positive </w:t>
      </w:r>
      <w:r w:rsidR="001152C0" w:rsidRPr="001152C0">
        <w:rPr>
          <w:i/>
          <w:iCs/>
          <w:color w:val="auto"/>
        </w:rPr>
        <w:t>BRCAwt</w:t>
      </w:r>
      <w:r w:rsidRPr="006F283B">
        <w:rPr>
          <w:color w:val="auto"/>
        </w:rPr>
        <w:t xml:space="preserve"> patients. </w:t>
      </w:r>
    </w:p>
    <w:p w14:paraId="37A7CC89" w14:textId="346CFF12" w:rsidR="00843998" w:rsidRPr="006F283B" w:rsidRDefault="00843998" w:rsidP="007E584B">
      <w:pPr>
        <w:pStyle w:val="ListParagraph"/>
        <w:spacing w:before="0" w:after="120"/>
        <w:rPr>
          <w:color w:val="auto"/>
        </w:rPr>
      </w:pPr>
      <w:r w:rsidRPr="006F283B">
        <w:rPr>
          <w:color w:val="auto"/>
        </w:rPr>
        <w:lastRenderedPageBreak/>
        <w:t xml:space="preserve">Currently tumour </w:t>
      </w:r>
      <w:r w:rsidR="001152C0" w:rsidRPr="001152C0">
        <w:rPr>
          <w:i/>
          <w:iCs/>
          <w:color w:val="auto"/>
        </w:rPr>
        <w:t xml:space="preserve">BRCA </w:t>
      </w:r>
      <w:r w:rsidRPr="006F283B">
        <w:rPr>
          <w:color w:val="auto"/>
        </w:rPr>
        <w:t xml:space="preserve">testing is MBS funded under MBS item 73301 upon diagnosis of advanced ovarian cancer. This test was nominated by the submission as the main comparator to the proposed test as the submission proposed that the HRD test will replace the existing tumour </w:t>
      </w:r>
      <w:r w:rsidR="001152C0" w:rsidRPr="001152C0">
        <w:rPr>
          <w:i/>
          <w:iCs/>
          <w:color w:val="auto"/>
        </w:rPr>
        <w:t xml:space="preserve">BRCA </w:t>
      </w:r>
      <w:r w:rsidRPr="006F283B">
        <w:rPr>
          <w:color w:val="auto"/>
        </w:rPr>
        <w:t xml:space="preserve">test, given that the HRD test will provide both </w:t>
      </w:r>
      <w:r w:rsidR="001152C0" w:rsidRPr="001152C0">
        <w:rPr>
          <w:i/>
          <w:iCs/>
          <w:color w:val="auto"/>
        </w:rPr>
        <w:t xml:space="preserve">BRCA </w:t>
      </w:r>
      <w:r w:rsidRPr="006F283B">
        <w:rPr>
          <w:color w:val="auto"/>
        </w:rPr>
        <w:t xml:space="preserve">and GI status. This was an appropriate comparator and was consistent with the comparator nominated in the July 2022 olaparib codependent submission. </w:t>
      </w:r>
    </w:p>
    <w:p w14:paraId="68B5F9F2" w14:textId="77777777" w:rsidR="00FF5BDD" w:rsidRPr="006F283B" w:rsidRDefault="00FF5BDD" w:rsidP="007E584B">
      <w:pPr>
        <w:pStyle w:val="ListParagraph"/>
        <w:numPr>
          <w:ilvl w:val="0"/>
          <w:numId w:val="0"/>
        </w:numPr>
        <w:spacing w:before="0" w:after="120"/>
        <w:ind w:left="720"/>
        <w:rPr>
          <w:i/>
          <w:iCs/>
          <w:color w:val="auto"/>
        </w:rPr>
      </w:pPr>
      <w:r w:rsidRPr="006F283B">
        <w:rPr>
          <w:i/>
          <w:iCs/>
          <w:color w:val="auto"/>
        </w:rPr>
        <w:t>For more detail on PBAC’s view, see section 7 PBAC outcome.</w:t>
      </w:r>
    </w:p>
    <w:p w14:paraId="3B5E6DE0" w14:textId="26EAE4C5" w:rsidR="00843998" w:rsidRPr="006F283B" w:rsidRDefault="00843998" w:rsidP="00843998">
      <w:pPr>
        <w:pStyle w:val="PBACESHeading1"/>
      </w:pPr>
      <w:bookmarkStart w:id="47" w:name="_Toc95298221"/>
      <w:bookmarkStart w:id="48" w:name="_Toc123646830"/>
      <w:bookmarkStart w:id="49" w:name="_Toc123646931"/>
      <w:bookmarkStart w:id="50" w:name="_Toc123647166"/>
      <w:bookmarkStart w:id="51" w:name="_Toc124937090"/>
      <w:r w:rsidRPr="006F283B">
        <w:t>Consideration of the evidence</w:t>
      </w:r>
      <w:bookmarkEnd w:id="47"/>
      <w:bookmarkEnd w:id="48"/>
      <w:bookmarkEnd w:id="49"/>
      <w:bookmarkEnd w:id="50"/>
      <w:bookmarkEnd w:id="51"/>
    </w:p>
    <w:p w14:paraId="78BD38E4" w14:textId="77777777" w:rsidR="00FF5BDD" w:rsidRPr="006F283B" w:rsidRDefault="00FF5BDD" w:rsidP="00F029F7">
      <w:pPr>
        <w:pStyle w:val="4-SubsectionHeading"/>
      </w:pPr>
      <w:r w:rsidRPr="006F283B">
        <w:t>Sponsor hearing</w:t>
      </w:r>
    </w:p>
    <w:p w14:paraId="3F793E50" w14:textId="62711519" w:rsidR="00FF5BDD" w:rsidRPr="006F283B" w:rsidRDefault="00FF5BDD" w:rsidP="007E584B">
      <w:pPr>
        <w:pStyle w:val="ListParagraph"/>
        <w:spacing w:before="0" w:after="120"/>
      </w:pPr>
      <w:r w:rsidRPr="006F283B">
        <w:t>There was no hearing for this item</w:t>
      </w:r>
      <w:r w:rsidR="00B834E7" w:rsidRPr="006F283B">
        <w:t>.</w:t>
      </w:r>
    </w:p>
    <w:p w14:paraId="3DB47E4E" w14:textId="77777777" w:rsidR="00FF5BDD" w:rsidRPr="006F283B" w:rsidRDefault="00FF5BDD" w:rsidP="00F029F7">
      <w:pPr>
        <w:pStyle w:val="4-SubsectionHeading"/>
      </w:pPr>
      <w:r w:rsidRPr="006F283B">
        <w:t>Consumer comments</w:t>
      </w:r>
    </w:p>
    <w:p w14:paraId="3CF6C50B" w14:textId="5F6AB818" w:rsidR="00915D4B" w:rsidRPr="006F283B" w:rsidRDefault="00915D4B" w:rsidP="007E584B">
      <w:pPr>
        <w:pStyle w:val="ListParagraph"/>
        <w:spacing w:before="0" w:after="120"/>
      </w:pPr>
      <w:r w:rsidRPr="006F283B">
        <w:t xml:space="preserve">The PBAC noted and welcomed input from 2 consumers via the Consumer Comments facility on the PBS website which supported the proposed listing of niraparib. The individuals discussed the low quality of life experienced by those living with ovarian cancer, and the benefits of niraparib for patients with HRD+ tumours, and highlighted these benefits extended beyond patients with </w:t>
      </w:r>
      <w:r w:rsidR="00087947" w:rsidRPr="006F283B">
        <w:rPr>
          <w:i/>
        </w:rPr>
        <w:t>BRCA</w:t>
      </w:r>
      <w:r w:rsidRPr="006F283B">
        <w:t xml:space="preserve">+ tumours. The individuals also commented </w:t>
      </w:r>
      <w:r w:rsidR="00363131" w:rsidRPr="006F283B">
        <w:t>that providing a medicine in tablet form was an advantage. An individual treated with niraparib considered the side effects were mostly manageable.</w:t>
      </w:r>
      <w:r w:rsidR="008E34C5">
        <w:t xml:space="preserve"> </w:t>
      </w:r>
      <w:r w:rsidR="00363131" w:rsidRPr="006F283B">
        <w:t xml:space="preserve">Comments were also made regarding the </w:t>
      </w:r>
      <w:r w:rsidRPr="006F283B">
        <w:t>cost burden of niraparib for those who have self-funded the treatment.</w:t>
      </w:r>
    </w:p>
    <w:p w14:paraId="61F20ECF" w14:textId="48ADCE79" w:rsidR="00915D4B" w:rsidRPr="006F283B" w:rsidRDefault="00915D4B" w:rsidP="007E584B">
      <w:pPr>
        <w:pStyle w:val="ListParagraph"/>
        <w:spacing w:before="0" w:after="120"/>
      </w:pPr>
      <w:r w:rsidRPr="006F283B">
        <w:t>The PBAC noted and welcomed input from three patient support organisations (Pink Hope, Ovarian Cancer Australia and Rare Cancers Australia) in support of the niraparib submission. The comments noted that ovarian cancer is the sixth most common cause of death from cancer in females, and the deadliest gynaecological cancer. The comments described the limited treatment options for women with non-</w:t>
      </w:r>
      <w:r w:rsidR="001152C0" w:rsidRPr="001152C0">
        <w:rPr>
          <w:i/>
        </w:rPr>
        <w:t xml:space="preserve">BRCA </w:t>
      </w:r>
      <w:r w:rsidRPr="006F283B">
        <w:t>ovarian cancer, and the impact of ovarian cancer in terms of physical and mental health. The comments also noted a high financial burden associated with accessing HRD testing from overseas and high costs of PARPi treatment without PBS subsidy.</w:t>
      </w:r>
    </w:p>
    <w:p w14:paraId="01FC0E1A" w14:textId="2628D684" w:rsidR="00F139F5" w:rsidRPr="006F283B" w:rsidRDefault="00915D4B" w:rsidP="007E584B">
      <w:pPr>
        <w:pStyle w:val="ListParagraph"/>
        <w:spacing w:before="0" w:after="120"/>
      </w:pPr>
      <w:r w:rsidRPr="006F283B">
        <w:t>The Medical Oncology Group of Australia (MOGA) expressed its strong support for the</w:t>
      </w:r>
      <w:r w:rsidR="00175F97">
        <w:t xml:space="preserve"> niraparib</w:t>
      </w:r>
      <w:r w:rsidRPr="006F283B">
        <w:t xml:space="preserve"> submission, categorising it as one of the therapies of “high priority for PBS listing” </w:t>
      </w:r>
      <w:proofErr w:type="gramStart"/>
      <w:r w:rsidRPr="006F283B">
        <w:t>on the basis of</w:t>
      </w:r>
      <w:proofErr w:type="gramEnd"/>
      <w:r w:rsidRPr="006F283B">
        <w:t xml:space="preserve"> the PRIMA trial. The PBAC noted that MOGA presented a European Society for Medical Oncology Magnitude of Clinical Benefit Scale (ESMO-MCBS)</w:t>
      </w:r>
      <w:r w:rsidRPr="006F283B">
        <w:rPr>
          <w:rStyle w:val="FootnoteReference"/>
        </w:rPr>
        <w:footnoteReference w:id="2"/>
      </w:r>
      <w:r w:rsidRPr="006F283B">
        <w:t xml:space="preserve"> for niraparib, of 3 (out of a maximum of 5, where 5 and 4 represent the grades with substantial improvement), based on a comparison with placebo. The PBAC noted </w:t>
      </w:r>
      <w:r w:rsidRPr="006F283B">
        <w:lastRenderedPageBreak/>
        <w:t>that MOGA reported a positive benefit for niraparib in terms of PFS, while the OS benefit was classified unknown because the result was not significant at interim analysis, consistent with evidence presented in the PBAC submission.</w:t>
      </w:r>
      <w:r w:rsidR="008E34C5">
        <w:t xml:space="preserve"> </w:t>
      </w:r>
    </w:p>
    <w:p w14:paraId="30A9F681" w14:textId="77777777" w:rsidR="00843998" w:rsidRPr="006F283B" w:rsidRDefault="00843998" w:rsidP="00F029F7">
      <w:pPr>
        <w:pStyle w:val="4-SubsectionHeading"/>
      </w:pPr>
      <w:bookmarkStart w:id="52" w:name="_Toc95298222"/>
      <w:bookmarkStart w:id="53" w:name="_Toc123646831"/>
      <w:bookmarkStart w:id="54" w:name="_Toc123646932"/>
      <w:bookmarkStart w:id="55" w:name="_Toc123647167"/>
      <w:bookmarkStart w:id="56" w:name="_Toc124937091"/>
      <w:r w:rsidRPr="006F283B">
        <w:t>Overview of the evidence base</w:t>
      </w:r>
      <w:bookmarkEnd w:id="52"/>
      <w:bookmarkEnd w:id="53"/>
      <w:bookmarkEnd w:id="54"/>
      <w:bookmarkEnd w:id="55"/>
      <w:bookmarkEnd w:id="56"/>
    </w:p>
    <w:p w14:paraId="03627B53" w14:textId="3DD42103" w:rsidR="00843998" w:rsidRPr="006F283B" w:rsidRDefault="00843998" w:rsidP="007E584B">
      <w:pPr>
        <w:pStyle w:val="ListParagraph"/>
        <w:spacing w:before="0" w:after="120"/>
        <w:rPr>
          <w:rFonts w:cstheme="minorHAnsi"/>
          <w:color w:val="auto"/>
        </w:rPr>
      </w:pPr>
      <w:r w:rsidRPr="006F283B">
        <w:rPr>
          <w:rFonts w:cstheme="minorHAnsi"/>
          <w:color w:val="auto"/>
        </w:rPr>
        <w:t xml:space="preserve">The submission presented a linked evidence approach to support the contention that patients with HGEOC whose tumours are HRD positive </w:t>
      </w:r>
      <w:r w:rsidR="001152C0" w:rsidRPr="001152C0">
        <w:rPr>
          <w:rFonts w:cstheme="minorHAnsi"/>
          <w:i/>
          <w:iCs/>
          <w:color w:val="auto"/>
        </w:rPr>
        <w:t>BRCAwt</w:t>
      </w:r>
      <w:r w:rsidRPr="006F283B">
        <w:rPr>
          <w:rFonts w:cstheme="minorHAnsi"/>
          <w:color w:val="auto"/>
        </w:rPr>
        <w:t xml:space="preserve"> who respond to PBC will derive benefit from maintenance treatment with niraparib.</w:t>
      </w:r>
    </w:p>
    <w:p w14:paraId="7421C510" w14:textId="77777777" w:rsidR="00843998" w:rsidRPr="006F283B" w:rsidRDefault="00843998" w:rsidP="007E584B">
      <w:pPr>
        <w:pStyle w:val="ListParagraph"/>
        <w:spacing w:before="0" w:after="120"/>
        <w:rPr>
          <w:rFonts w:cstheme="minorHAnsi"/>
          <w:color w:val="auto"/>
        </w:rPr>
      </w:pPr>
      <w:r w:rsidRPr="006F283B">
        <w:rPr>
          <w:rFonts w:cstheme="minorHAnsi"/>
          <w:color w:val="auto"/>
        </w:rPr>
        <w:t>The clinical evaluation of niraparib was based on two phase III randomised trials (PRIMA, PRIME), comparing niraparib versus standard medical management (SMM) in women with newly diagnosed advanced (NDA) HGEOC who are in response (complete (CR) or partial (PR)) to PBC. A direct evidence approach could not be used as the methods used to test HRD status in PRIMA (Myriad myChoice CDx assay) and PRIME (BGI assay) were different to the test proposed for use in Australia (Illumina TruSight Oncology 500 HRD). Instead, the evidence presented included:</w:t>
      </w:r>
    </w:p>
    <w:p w14:paraId="4E91F391" w14:textId="77777777" w:rsidR="00843998" w:rsidRPr="006F283B" w:rsidRDefault="00843998" w:rsidP="007E584B">
      <w:pPr>
        <w:pStyle w:val="ListParagraph"/>
        <w:numPr>
          <w:ilvl w:val="4"/>
          <w:numId w:val="24"/>
        </w:numPr>
        <w:spacing w:before="0" w:after="120"/>
        <w:ind w:left="1134"/>
      </w:pPr>
      <w:r w:rsidRPr="006F283B">
        <w:t xml:space="preserve">Studies investigating the concordance of any Myriad myChoice HRD test with any other test to determine HRD status with the most relevant study identified comparing the Myriad myChoice PLUS assay with the </w:t>
      </w:r>
      <w:r w:rsidRPr="006F283B">
        <w:rPr>
          <w:rFonts w:cstheme="minorHAnsi"/>
          <w:color w:val="auto"/>
        </w:rPr>
        <w:t>Illumina TruSight Oncology 500 HRD RUO, (Weichert 2021a and 2022); and</w:t>
      </w:r>
    </w:p>
    <w:p w14:paraId="5039EC26" w14:textId="77777777" w:rsidR="00843998" w:rsidRPr="006F283B" w:rsidRDefault="00843998" w:rsidP="007E584B">
      <w:pPr>
        <w:pStyle w:val="ListParagraph"/>
        <w:numPr>
          <w:ilvl w:val="4"/>
          <w:numId w:val="24"/>
        </w:numPr>
        <w:spacing w:before="0" w:after="120"/>
        <w:ind w:left="1134"/>
        <w:rPr>
          <w:rFonts w:cstheme="minorHAnsi"/>
          <w:color w:val="auto"/>
        </w:rPr>
      </w:pPr>
      <w:r w:rsidRPr="006F283B">
        <w:rPr>
          <w:rFonts w:cstheme="minorHAnsi"/>
          <w:color w:val="auto"/>
        </w:rPr>
        <w:t>Clinical trial data demonstrating the concordance of different iterations of the Myriad myChoice assay, as the version of the Myriad myChoice test used in the studies identified in the submission did not appear to be consistent and was not always known.</w:t>
      </w:r>
    </w:p>
    <w:p w14:paraId="59254BEA" w14:textId="475B5BB9" w:rsidR="00843998" w:rsidRPr="006F283B" w:rsidRDefault="00DA592A" w:rsidP="00593A64">
      <w:pPr>
        <w:pStyle w:val="Caption"/>
      </w:pPr>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2</w:t>
      </w:r>
      <w:r w:rsidR="00091054">
        <w:rPr>
          <w:noProof/>
        </w:rPr>
        <w:fldChar w:fldCharType="end"/>
      </w:r>
      <w:r w:rsidR="007E584B">
        <w:t>:</w:t>
      </w:r>
      <w:r w:rsidRPr="006F283B">
        <w:t xml:space="preserve"> </w:t>
      </w:r>
      <w:r w:rsidR="00843998" w:rsidRPr="006F283B">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4737"/>
        <w:gridCol w:w="2499"/>
      </w:tblGrid>
      <w:tr w:rsidR="006A0C47" w:rsidRPr="006F283B" w14:paraId="20872371" w14:textId="77777777" w:rsidTr="004D6FAC">
        <w:tc>
          <w:tcPr>
            <w:tcW w:w="987" w:type="pct"/>
            <w:tcBorders>
              <w:top w:val="single" w:sz="4" w:space="0" w:color="auto"/>
              <w:left w:val="single" w:sz="4" w:space="0" w:color="auto"/>
              <w:bottom w:val="single" w:sz="4" w:space="0" w:color="auto"/>
              <w:right w:val="single" w:sz="4" w:space="0" w:color="auto"/>
            </w:tcBorders>
            <w:vAlign w:val="center"/>
          </w:tcPr>
          <w:p w14:paraId="06DE2F3F" w14:textId="77777777" w:rsidR="00843998" w:rsidRPr="006F283B" w:rsidRDefault="00843998" w:rsidP="004968C6">
            <w:pPr>
              <w:pStyle w:val="TableText"/>
              <w:keepNext/>
              <w:keepLines/>
              <w:rPr>
                <w:b/>
              </w:rPr>
            </w:pPr>
          </w:p>
        </w:tc>
        <w:tc>
          <w:tcPr>
            <w:tcW w:w="2627" w:type="pct"/>
            <w:tcBorders>
              <w:top w:val="single" w:sz="4" w:space="0" w:color="auto"/>
              <w:left w:val="single" w:sz="4" w:space="0" w:color="auto"/>
              <w:bottom w:val="single" w:sz="4" w:space="0" w:color="auto"/>
              <w:right w:val="single" w:sz="4" w:space="0" w:color="auto"/>
            </w:tcBorders>
            <w:vAlign w:val="center"/>
            <w:hideMark/>
          </w:tcPr>
          <w:p w14:paraId="14C73232" w14:textId="77777777" w:rsidR="00843998" w:rsidRPr="006F283B" w:rsidRDefault="00843998" w:rsidP="004968C6">
            <w:pPr>
              <w:pStyle w:val="TableText"/>
              <w:keepNext/>
              <w:keepLines/>
              <w:jc w:val="center"/>
              <w:rPr>
                <w:b/>
              </w:rPr>
            </w:pPr>
            <w:r w:rsidRPr="006F283B">
              <w:rPr>
                <w:b/>
              </w:rPr>
              <w:t>Type of evidence supplied</w:t>
            </w:r>
          </w:p>
        </w:tc>
        <w:tc>
          <w:tcPr>
            <w:tcW w:w="1386" w:type="pct"/>
            <w:tcBorders>
              <w:top w:val="single" w:sz="4" w:space="0" w:color="auto"/>
              <w:left w:val="single" w:sz="4" w:space="0" w:color="auto"/>
              <w:bottom w:val="single" w:sz="4" w:space="0" w:color="auto"/>
              <w:right w:val="single" w:sz="4" w:space="0" w:color="auto"/>
            </w:tcBorders>
            <w:vAlign w:val="center"/>
            <w:hideMark/>
          </w:tcPr>
          <w:p w14:paraId="38DD6562" w14:textId="77777777" w:rsidR="00843998" w:rsidRPr="006F283B" w:rsidRDefault="00843998" w:rsidP="004968C6">
            <w:pPr>
              <w:pStyle w:val="TableText"/>
              <w:keepNext/>
              <w:keepLines/>
              <w:jc w:val="center"/>
              <w:rPr>
                <w:b/>
              </w:rPr>
            </w:pPr>
            <w:r w:rsidRPr="006F283B">
              <w:rPr>
                <w:b/>
              </w:rPr>
              <w:t>Extent of evidence supplied</w:t>
            </w:r>
          </w:p>
        </w:tc>
      </w:tr>
      <w:tr w:rsidR="00843998" w:rsidRPr="006F283B" w14:paraId="538B3290" w14:textId="77777777" w:rsidTr="004D6FAC">
        <w:tc>
          <w:tcPr>
            <w:tcW w:w="987" w:type="pct"/>
            <w:tcBorders>
              <w:top w:val="single" w:sz="4" w:space="0" w:color="auto"/>
              <w:left w:val="single" w:sz="4" w:space="0" w:color="auto"/>
              <w:bottom w:val="single" w:sz="4" w:space="0" w:color="auto"/>
              <w:right w:val="single" w:sz="4" w:space="0" w:color="auto"/>
            </w:tcBorders>
            <w:vAlign w:val="center"/>
            <w:hideMark/>
          </w:tcPr>
          <w:p w14:paraId="7B675A6C" w14:textId="77777777" w:rsidR="00843998" w:rsidRPr="006F283B" w:rsidRDefault="00843998" w:rsidP="004968C6">
            <w:pPr>
              <w:pStyle w:val="TableText"/>
              <w:keepNext/>
              <w:keepLines/>
            </w:pPr>
            <w:r w:rsidRPr="006F283B">
              <w:t>Accuracy and performance of the test (cross-sectional accuracy)</w:t>
            </w:r>
          </w:p>
        </w:tc>
        <w:tc>
          <w:tcPr>
            <w:tcW w:w="2627" w:type="pct"/>
            <w:tcBorders>
              <w:top w:val="single" w:sz="4" w:space="0" w:color="auto"/>
              <w:left w:val="single" w:sz="4" w:space="0" w:color="auto"/>
              <w:bottom w:val="single" w:sz="4" w:space="0" w:color="auto"/>
              <w:right w:val="single" w:sz="4" w:space="0" w:color="auto"/>
            </w:tcBorders>
            <w:vAlign w:val="center"/>
            <w:hideMark/>
          </w:tcPr>
          <w:p w14:paraId="4704E02A" w14:textId="77777777" w:rsidR="00843998" w:rsidRPr="006F283B" w:rsidRDefault="00843998" w:rsidP="004968C6">
            <w:pPr>
              <w:pStyle w:val="TableText"/>
              <w:keepNext/>
              <w:keepLines/>
              <w:rPr>
                <w:rFonts w:cs="Arial"/>
              </w:rPr>
            </w:pPr>
            <w:r w:rsidRPr="006F283B">
              <w:t xml:space="preserve">PRIMA (n=733) </w:t>
            </w:r>
            <w:r w:rsidRPr="006F283B">
              <w:rPr>
                <w:rFonts w:cs="Arial"/>
              </w:rPr>
              <w:t>used Myriad myChoice CDx assay with a threshold of ≥42 to determine HRD positivity. PRIME (n=408) used the BGI assay.</w:t>
            </w:r>
          </w:p>
          <w:p w14:paraId="211879B6" w14:textId="77777777" w:rsidR="00843998" w:rsidRPr="006F283B" w:rsidRDefault="00843998" w:rsidP="004968C6">
            <w:pPr>
              <w:pStyle w:val="TableText"/>
              <w:keepNext/>
              <w:keepLines/>
            </w:pPr>
          </w:p>
          <w:p w14:paraId="4301F569" w14:textId="741BC9C3" w:rsidR="00843998" w:rsidRPr="006F283B" w:rsidRDefault="00843998" w:rsidP="004968C6">
            <w:pPr>
              <w:pStyle w:val="TableText"/>
              <w:keepNext/>
              <w:keepLines/>
            </w:pPr>
            <w:r w:rsidRPr="006F283B">
              <w:t>Nine studies were identified to address the concordance of any Myriad myChoice HRD test (</w:t>
            </w:r>
            <w:proofErr w:type="gramStart"/>
            <w:r w:rsidRPr="006F283B">
              <w:t>i.e.</w:t>
            </w:r>
            <w:proofErr w:type="gramEnd"/>
            <w:r w:rsidRPr="006F283B">
              <w:t xml:space="preserve"> either Myriad myChoice PLUS, Myriad myChoice CDx, Myriad myChoice PLUS RUO or Myriad myChoice) with any other test to determine HRD status. Of these, the study reported by Weichert (2021a and 2022) compared use of Myriad myChoice PLUS with the Illumina RUO Tru</w:t>
            </w:r>
            <w:r w:rsidR="00341BD9" w:rsidRPr="006F283B">
              <w:t>S</w:t>
            </w:r>
            <w:r w:rsidRPr="006F283B">
              <w:t>ight Oncology 500.</w:t>
            </w:r>
          </w:p>
          <w:p w14:paraId="3D30A31F" w14:textId="77777777" w:rsidR="00843998" w:rsidRPr="006F283B" w:rsidRDefault="00843998" w:rsidP="004968C6">
            <w:pPr>
              <w:pStyle w:val="TableText"/>
              <w:keepNext/>
              <w:keepLines/>
            </w:pPr>
          </w:p>
          <w:p w14:paraId="0DEEBE45" w14:textId="77777777" w:rsidR="00843998" w:rsidRPr="006F283B" w:rsidRDefault="00843998" w:rsidP="004968C6">
            <w:pPr>
              <w:pStyle w:val="TableText"/>
              <w:keepNext/>
              <w:keepLines/>
            </w:pPr>
            <w:r w:rsidRPr="006F283B">
              <w:t>As the identified studies used various versions of the Myriad myChoice test, the submission provided ‘bridging data’, in order to demonstrate that that the different iterations of the myChoice test are highly concordant.</w:t>
            </w:r>
          </w:p>
          <w:p w14:paraId="1B062706" w14:textId="77777777" w:rsidR="00843998" w:rsidRPr="006F283B" w:rsidRDefault="00843998" w:rsidP="004968C6">
            <w:pPr>
              <w:pStyle w:val="TableText"/>
              <w:keepNext/>
              <w:keepLines/>
            </w:pPr>
          </w:p>
          <w:p w14:paraId="5613CF5F" w14:textId="77777777" w:rsidR="00843998" w:rsidRPr="006F283B" w:rsidRDefault="00843998" w:rsidP="004968C6">
            <w:pPr>
              <w:pStyle w:val="TableText"/>
              <w:keepNext/>
              <w:keepLines/>
            </w:pPr>
            <w:r w:rsidRPr="006F283B">
              <w:t xml:space="preserve">No concordance information between the BGI assay and any of the Myriad myChoice assays were included. </w:t>
            </w:r>
          </w:p>
        </w:tc>
        <w:tc>
          <w:tcPr>
            <w:tcW w:w="1386" w:type="pct"/>
            <w:tcBorders>
              <w:top w:val="single" w:sz="4" w:space="0" w:color="auto"/>
              <w:left w:val="single" w:sz="4" w:space="0" w:color="auto"/>
              <w:bottom w:val="single" w:sz="4" w:space="0" w:color="auto"/>
              <w:right w:val="single" w:sz="4" w:space="0" w:color="auto"/>
            </w:tcBorders>
            <w:vAlign w:val="center"/>
            <w:hideMark/>
          </w:tcPr>
          <w:p w14:paraId="51074035" w14:textId="77777777" w:rsidR="00843998" w:rsidRPr="006F283B" w:rsidRDefault="00843998" w:rsidP="004968C6">
            <w:pPr>
              <w:pStyle w:val="TableText"/>
              <w:keepNext/>
              <w:keepLines/>
            </w:pPr>
            <w:r w:rsidRPr="006F283B">
              <w:t>RCT niraparib vs SMM for the 1L maintenance treatment of HGEOC</w:t>
            </w:r>
          </w:p>
          <w:p w14:paraId="1E372326" w14:textId="3A295ED9" w:rsidR="00843998" w:rsidRPr="006F283B" w:rsidRDefault="00843998" w:rsidP="004968C6">
            <w:pPr>
              <w:pStyle w:val="TableText"/>
              <w:keepNext/>
              <w:keepLines/>
            </w:pPr>
            <w:r w:rsidRPr="006F283B">
              <w:rPr>
                <w:rFonts w:ascii="MS Gothic" w:eastAsia="MS Gothic" w:hAnsi="MS Gothic"/>
              </w:rPr>
              <w:t>☐</w:t>
            </w:r>
            <w:r w:rsidRPr="006F283B">
              <w:t xml:space="preserve"> k=2</w:t>
            </w:r>
            <w:r w:rsidRPr="006F283B">
              <w:tab/>
              <w:t>n=1,141</w:t>
            </w:r>
          </w:p>
          <w:p w14:paraId="444C1FE1" w14:textId="77777777" w:rsidR="00843998" w:rsidRPr="006F283B" w:rsidRDefault="00843998" w:rsidP="004968C6">
            <w:pPr>
              <w:pStyle w:val="TableText"/>
              <w:keepNext/>
              <w:keepLines/>
            </w:pPr>
          </w:p>
          <w:p w14:paraId="376FC19F" w14:textId="77777777" w:rsidR="00843998" w:rsidRPr="006F283B" w:rsidRDefault="00843998" w:rsidP="004968C6">
            <w:pPr>
              <w:pStyle w:val="TableText"/>
              <w:keepNext/>
              <w:keepLines/>
            </w:pPr>
            <w:r w:rsidRPr="006F283B">
              <w:t>Concordance of studies using Myriad myChoice versus any other HRD test</w:t>
            </w:r>
          </w:p>
          <w:p w14:paraId="5563C428" w14:textId="50DD903C" w:rsidR="00843998" w:rsidRPr="006F283B" w:rsidRDefault="00843998" w:rsidP="004968C6">
            <w:pPr>
              <w:pStyle w:val="TableText"/>
              <w:keepNext/>
              <w:keepLines/>
            </w:pPr>
            <w:r w:rsidRPr="006F283B">
              <w:rPr>
                <w:rFonts w:ascii="Segoe UI Symbol" w:hAnsi="Segoe UI Symbol" w:cs="Segoe UI Symbol"/>
              </w:rPr>
              <w:t>☐</w:t>
            </w:r>
            <w:r w:rsidRPr="006F283B">
              <w:t xml:space="preserve"> k=9</w:t>
            </w:r>
            <w:r w:rsidRPr="006F283B">
              <w:tab/>
              <w:t>n=1,246</w:t>
            </w:r>
            <w:r w:rsidRPr="006F283B">
              <w:rPr>
                <w:vertAlign w:val="superscript"/>
              </w:rPr>
              <w:t>a</w:t>
            </w:r>
          </w:p>
          <w:p w14:paraId="6F6912BD" w14:textId="77777777" w:rsidR="00843998" w:rsidRPr="006F283B" w:rsidRDefault="00843998" w:rsidP="004968C6">
            <w:pPr>
              <w:pStyle w:val="TableText"/>
              <w:keepNext/>
              <w:keepLines/>
            </w:pPr>
          </w:p>
          <w:p w14:paraId="2D00BF31" w14:textId="77777777" w:rsidR="00843998" w:rsidRPr="006F283B" w:rsidRDefault="00843998" w:rsidP="004968C6">
            <w:pPr>
              <w:pStyle w:val="TableText"/>
              <w:keepNext/>
              <w:keepLines/>
            </w:pPr>
            <w:r w:rsidRPr="006F283B">
              <w:t>Myriad myChoice concordance data</w:t>
            </w:r>
          </w:p>
          <w:p w14:paraId="10B38F40" w14:textId="405819FC" w:rsidR="00843998" w:rsidRPr="006F283B" w:rsidRDefault="007E584B" w:rsidP="004968C6">
            <w:pPr>
              <w:pStyle w:val="TableText"/>
              <w:keepNext/>
              <w:keepLines/>
            </w:pPr>
            <w:r>
              <w:rPr>
                <w:rFonts w:ascii="MS Gothic" w:eastAsia="MS Gothic" w:hAnsi="MS Gothic" w:hint="eastAsia"/>
              </w:rPr>
              <w:t>☐</w:t>
            </w:r>
            <w:r w:rsidR="00843998" w:rsidRPr="006F283B">
              <w:t xml:space="preserve"> k=6</w:t>
            </w:r>
            <w:r w:rsidR="00843998" w:rsidRPr="006F283B">
              <w:tab/>
              <w:t>n=1,442</w:t>
            </w:r>
          </w:p>
        </w:tc>
      </w:tr>
      <w:tr w:rsidR="00843998" w:rsidRPr="006F283B" w14:paraId="037A2F93" w14:textId="77777777" w:rsidTr="004D6FAC">
        <w:tc>
          <w:tcPr>
            <w:tcW w:w="987" w:type="pct"/>
            <w:tcBorders>
              <w:top w:val="single" w:sz="4" w:space="0" w:color="auto"/>
              <w:left w:val="single" w:sz="4" w:space="0" w:color="auto"/>
              <w:bottom w:val="single" w:sz="4" w:space="0" w:color="auto"/>
              <w:right w:val="single" w:sz="4" w:space="0" w:color="auto"/>
            </w:tcBorders>
            <w:vAlign w:val="center"/>
            <w:hideMark/>
          </w:tcPr>
          <w:p w14:paraId="1E1F8D84" w14:textId="77777777" w:rsidR="00843998" w:rsidRPr="006F283B" w:rsidRDefault="00843998" w:rsidP="004968C6">
            <w:pPr>
              <w:pStyle w:val="TableText"/>
              <w:keepNext/>
              <w:keepLines/>
            </w:pPr>
            <w:r w:rsidRPr="006F283B">
              <w:t>Prognostic evidence (longitudinal accuracy)</w:t>
            </w:r>
          </w:p>
        </w:tc>
        <w:tc>
          <w:tcPr>
            <w:tcW w:w="26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4B434" w14:textId="77777777" w:rsidR="00843998" w:rsidRPr="006F283B" w:rsidRDefault="00843998" w:rsidP="004968C6">
            <w:pPr>
              <w:pStyle w:val="TableBodyText-H54"/>
              <w:keepLines/>
              <w:spacing w:before="0" w:after="0" w:line="240" w:lineRule="auto"/>
              <w:rPr>
                <w:i/>
                <w:iCs/>
                <w:color w:val="auto"/>
                <w:highlight w:val="lightGray"/>
                <w:lang w:val="en-AU"/>
              </w:rPr>
            </w:pPr>
            <w:r w:rsidRPr="006F283B">
              <w:rPr>
                <w:color w:val="auto"/>
                <w:lang w:val="en-AU"/>
              </w:rPr>
              <w:t>The prognostic evidence supplied was the PFS outcome data for the placebo arm of five PARP inhibitor maintenance RCTs (1L treatment: PRIMA, PAOLA-1 and VELIA; 2L treatment: NOVA and ARIEL3) and one study investigating PBC flat dosing versus intra patient dose escalation (SCOTROC4). Four RCTs used the Myriad myChoice assay and one study used the Foundation Medicine assay to identify patients with HRD tumours. The assay used was not reported in one study. The PARP inhibitor arm of these studies was not reported in the submission. PRIME was not included as part of the evidence to support longitudinal accuracy.</w:t>
            </w:r>
            <w:r w:rsidRPr="006F283B">
              <w:rPr>
                <w:iCs/>
                <w:color w:val="auto"/>
                <w:lang w:val="en-AU"/>
              </w:rPr>
              <w:t xml:space="preserve"> </w:t>
            </w:r>
          </w:p>
        </w:tc>
        <w:tc>
          <w:tcPr>
            <w:tcW w:w="1386" w:type="pct"/>
            <w:tcBorders>
              <w:top w:val="single" w:sz="4" w:space="0" w:color="auto"/>
              <w:left w:val="single" w:sz="4" w:space="0" w:color="auto"/>
              <w:bottom w:val="single" w:sz="4" w:space="0" w:color="auto"/>
              <w:right w:val="single" w:sz="4" w:space="0" w:color="auto"/>
            </w:tcBorders>
            <w:vAlign w:val="center"/>
            <w:hideMark/>
          </w:tcPr>
          <w:p w14:paraId="6D021205" w14:textId="27EED7F6" w:rsidR="00843998" w:rsidRPr="006F283B" w:rsidRDefault="00843998" w:rsidP="004968C6">
            <w:pPr>
              <w:pStyle w:val="TableText"/>
              <w:keepNext/>
              <w:keepLines/>
            </w:pPr>
            <w:r w:rsidRPr="006F283B">
              <w:rPr>
                <w:rFonts w:ascii="MS Gothic" w:eastAsia="MS Gothic" w:hAnsi="MS Gothic"/>
              </w:rPr>
              <w:t>☐</w:t>
            </w:r>
            <w:r w:rsidRPr="006F283B">
              <w:t xml:space="preserve"> k=6</w:t>
            </w:r>
            <w:r w:rsidRPr="006F283B">
              <w:tab/>
              <w:t>n=1,510</w:t>
            </w:r>
          </w:p>
        </w:tc>
      </w:tr>
      <w:tr w:rsidR="00843998" w:rsidRPr="006F283B" w14:paraId="47EAD02D" w14:textId="77777777" w:rsidTr="004D6FAC">
        <w:tc>
          <w:tcPr>
            <w:tcW w:w="987" w:type="pct"/>
            <w:tcBorders>
              <w:top w:val="single" w:sz="4" w:space="0" w:color="auto"/>
              <w:left w:val="single" w:sz="4" w:space="0" w:color="auto"/>
              <w:bottom w:val="single" w:sz="4" w:space="0" w:color="auto"/>
              <w:right w:val="single" w:sz="4" w:space="0" w:color="auto"/>
            </w:tcBorders>
            <w:vAlign w:val="center"/>
            <w:hideMark/>
          </w:tcPr>
          <w:p w14:paraId="017FC14B" w14:textId="77777777" w:rsidR="00843998" w:rsidRPr="006F283B" w:rsidRDefault="00843998" w:rsidP="004968C6">
            <w:pPr>
              <w:pStyle w:val="TableText"/>
              <w:keepNext/>
              <w:keepLines/>
            </w:pPr>
            <w:r w:rsidRPr="006F283B">
              <w:t xml:space="preserve">Change in patient management </w:t>
            </w:r>
          </w:p>
        </w:tc>
        <w:tc>
          <w:tcPr>
            <w:tcW w:w="2627" w:type="pct"/>
            <w:tcBorders>
              <w:top w:val="single" w:sz="4" w:space="0" w:color="auto"/>
              <w:left w:val="single" w:sz="4" w:space="0" w:color="auto"/>
              <w:bottom w:val="single" w:sz="4" w:space="0" w:color="auto"/>
              <w:right w:val="single" w:sz="4" w:space="0" w:color="auto"/>
            </w:tcBorders>
            <w:vAlign w:val="center"/>
            <w:hideMark/>
          </w:tcPr>
          <w:p w14:paraId="1D271824" w14:textId="77777777" w:rsidR="00843998" w:rsidRPr="006F283B" w:rsidRDefault="00843998" w:rsidP="004968C6">
            <w:pPr>
              <w:pStyle w:val="TableText"/>
              <w:keepNext/>
              <w:keepLines/>
              <w:rPr>
                <w:iCs/>
              </w:rPr>
            </w:pPr>
            <w:r w:rsidRPr="006F283B">
              <w:rPr>
                <w:iCs/>
              </w:rPr>
              <w:t>Not explicitly assessed.</w:t>
            </w:r>
          </w:p>
          <w:p w14:paraId="7FD5D1E6" w14:textId="6847E4A4" w:rsidR="00843998" w:rsidRPr="006F283B" w:rsidRDefault="00843998" w:rsidP="004968C6">
            <w:pPr>
              <w:pStyle w:val="TableText"/>
              <w:keepNext/>
              <w:keepLines/>
            </w:pPr>
            <w:r w:rsidRPr="006F283B">
              <w:t xml:space="preserve">Patients designated as HRD positive </w:t>
            </w:r>
            <w:r w:rsidR="001152C0" w:rsidRPr="001152C0">
              <w:rPr>
                <w:i/>
                <w:iCs/>
              </w:rPr>
              <w:t>BRCAwt</w:t>
            </w:r>
            <w:r w:rsidRPr="006F283B">
              <w:t xml:space="preserve"> using the proposed test would be eligible for niraparib treatment.</w:t>
            </w:r>
          </w:p>
          <w:p w14:paraId="48E2726E" w14:textId="6A71F516" w:rsidR="00843998" w:rsidRPr="006F283B" w:rsidRDefault="00843998" w:rsidP="004968C6">
            <w:pPr>
              <w:pStyle w:val="TableText"/>
              <w:keepNext/>
              <w:keepLines/>
            </w:pPr>
          </w:p>
        </w:tc>
        <w:tc>
          <w:tcPr>
            <w:tcW w:w="1386" w:type="pct"/>
            <w:tcBorders>
              <w:top w:val="single" w:sz="4" w:space="0" w:color="auto"/>
              <w:left w:val="single" w:sz="4" w:space="0" w:color="auto"/>
              <w:bottom w:val="single" w:sz="4" w:space="0" w:color="auto"/>
              <w:right w:val="single" w:sz="4" w:space="0" w:color="auto"/>
            </w:tcBorders>
            <w:vAlign w:val="center"/>
            <w:hideMark/>
          </w:tcPr>
          <w:p w14:paraId="324CD096" w14:textId="51CB786C" w:rsidR="00843998" w:rsidRPr="006F283B" w:rsidRDefault="00843998" w:rsidP="004968C6">
            <w:pPr>
              <w:pStyle w:val="TableText"/>
              <w:keepNext/>
              <w:keepLines/>
            </w:pPr>
            <w:r w:rsidRPr="006F283B">
              <w:rPr>
                <w:rFonts w:ascii="Segoe UI Symbol" w:hAnsi="Segoe UI Symbol" w:cs="Segoe UI Symbol"/>
              </w:rPr>
              <w:t>☐</w:t>
            </w:r>
            <w:r w:rsidRPr="006F283B">
              <w:t xml:space="preserve"> k=0</w:t>
            </w:r>
            <w:r w:rsidRPr="006F283B">
              <w:tab/>
              <w:t>n=0</w:t>
            </w:r>
          </w:p>
        </w:tc>
      </w:tr>
      <w:tr w:rsidR="00843998" w:rsidRPr="006F283B" w14:paraId="24D17604" w14:textId="77777777" w:rsidTr="004D6FAC">
        <w:tc>
          <w:tcPr>
            <w:tcW w:w="987" w:type="pct"/>
            <w:tcBorders>
              <w:top w:val="nil"/>
              <w:left w:val="single" w:sz="4" w:space="0" w:color="auto"/>
              <w:bottom w:val="single" w:sz="4" w:space="0" w:color="auto"/>
              <w:right w:val="single" w:sz="4" w:space="0" w:color="auto"/>
            </w:tcBorders>
            <w:vAlign w:val="center"/>
          </w:tcPr>
          <w:p w14:paraId="16412558" w14:textId="77777777" w:rsidR="00843998" w:rsidRPr="006F283B" w:rsidRDefault="00843998" w:rsidP="004968C6">
            <w:pPr>
              <w:pStyle w:val="TableText"/>
              <w:keepNext/>
              <w:keepLines/>
            </w:pPr>
            <w:r w:rsidRPr="006F283B">
              <w:t xml:space="preserve">Predictive effect (treatment effect variation) </w:t>
            </w:r>
          </w:p>
        </w:tc>
        <w:tc>
          <w:tcPr>
            <w:tcW w:w="2627" w:type="pct"/>
            <w:tcBorders>
              <w:top w:val="nil"/>
              <w:left w:val="single" w:sz="4" w:space="0" w:color="auto"/>
              <w:bottom w:val="single" w:sz="4" w:space="0" w:color="auto"/>
              <w:right w:val="single" w:sz="4" w:space="0" w:color="auto"/>
            </w:tcBorders>
            <w:vAlign w:val="center"/>
          </w:tcPr>
          <w:p w14:paraId="5C425006" w14:textId="77777777" w:rsidR="00843998" w:rsidRPr="006F283B" w:rsidRDefault="00843998" w:rsidP="004968C6">
            <w:pPr>
              <w:pStyle w:val="TableBodyText-H54"/>
              <w:keepLines/>
              <w:spacing w:before="0" w:after="0" w:line="240" w:lineRule="auto"/>
              <w:rPr>
                <w:color w:val="auto"/>
                <w:lang w:val="en-AU"/>
              </w:rPr>
            </w:pPr>
            <w:r w:rsidRPr="006F283B">
              <w:rPr>
                <w:color w:val="auto"/>
                <w:lang w:val="en-AU"/>
              </w:rPr>
              <w:t>Based on PRIMA using primary endpoint PFS (investigator assessed).</w:t>
            </w:r>
          </w:p>
          <w:p w14:paraId="7704D2B7" w14:textId="30DCE151" w:rsidR="00843998" w:rsidRPr="006F283B" w:rsidRDefault="00843998" w:rsidP="004968C6">
            <w:pPr>
              <w:pStyle w:val="TableText"/>
              <w:keepNext/>
              <w:keepLines/>
              <w:rPr>
                <w:i/>
                <w:iCs/>
              </w:rPr>
            </w:pPr>
            <w:r w:rsidRPr="006F283B">
              <w:t xml:space="preserve">Analysis of PRIMA subgroups </w:t>
            </w:r>
            <w:r w:rsidRPr="006F283B">
              <w:rPr>
                <w:rStyle w:val="TableBodyText-H54Char"/>
                <w:rFonts w:eastAsiaTheme="minorHAnsi"/>
                <w:lang w:val="en-AU"/>
              </w:rPr>
              <w:t>conducted</w:t>
            </w:r>
            <w:r w:rsidRPr="006F283B">
              <w:t xml:space="preserve"> (based on HRD and </w:t>
            </w:r>
            <w:r w:rsidR="001152C0" w:rsidRPr="001152C0">
              <w:rPr>
                <w:i/>
                <w:iCs/>
              </w:rPr>
              <w:t xml:space="preserve">BRCA </w:t>
            </w:r>
            <w:r w:rsidRPr="006F283B">
              <w:t xml:space="preserve">status, </w:t>
            </w:r>
            <w:r w:rsidRPr="006F283B">
              <w:rPr>
                <w:rStyle w:val="TableBodyText-H54Char"/>
                <w:rFonts w:eastAsiaTheme="minorHAnsi"/>
                <w:lang w:val="en-AU"/>
              </w:rPr>
              <w:t xml:space="preserve">including HRD positive </w:t>
            </w:r>
            <w:r w:rsidR="001152C0" w:rsidRPr="001152C0">
              <w:rPr>
                <w:rStyle w:val="TableBodyText-H54Char"/>
                <w:rFonts w:eastAsiaTheme="minorHAnsi"/>
                <w:i/>
                <w:iCs/>
                <w:lang w:val="en-AU"/>
              </w:rPr>
              <w:t>BRCAwt</w:t>
            </w:r>
            <w:r w:rsidRPr="006F283B">
              <w:rPr>
                <w:rStyle w:val="TableBodyText-H54Char"/>
                <w:rFonts w:eastAsiaTheme="minorHAnsi"/>
                <w:lang w:val="en-AU"/>
              </w:rPr>
              <w:t>)</w:t>
            </w:r>
            <w:r w:rsidRPr="006F283B">
              <w:rPr>
                <w:rStyle w:val="TableBodyText-H54Char"/>
                <w:rFonts w:eastAsiaTheme="minorHAnsi"/>
                <w:iCs/>
                <w:lang w:val="en-AU"/>
              </w:rPr>
              <w:t xml:space="preserve">. </w:t>
            </w:r>
            <w:r w:rsidRPr="006F283B">
              <w:rPr>
                <w:rStyle w:val="TableBodyText-H54Char"/>
                <w:rFonts w:eastAsiaTheme="minorHAnsi"/>
                <w:lang w:val="en-AU"/>
              </w:rPr>
              <w:t xml:space="preserve">PRIME was not included as part of the evidence to support predictive effect. </w:t>
            </w:r>
          </w:p>
        </w:tc>
        <w:tc>
          <w:tcPr>
            <w:tcW w:w="1386" w:type="pct"/>
            <w:tcBorders>
              <w:top w:val="nil"/>
              <w:left w:val="single" w:sz="4" w:space="0" w:color="auto"/>
              <w:bottom w:val="single" w:sz="4" w:space="0" w:color="auto"/>
              <w:right w:val="single" w:sz="4" w:space="0" w:color="auto"/>
            </w:tcBorders>
            <w:vAlign w:val="center"/>
          </w:tcPr>
          <w:p w14:paraId="0F149CD6" w14:textId="38613ED6" w:rsidR="00843998" w:rsidRPr="006F283B" w:rsidRDefault="00843998" w:rsidP="004968C6">
            <w:pPr>
              <w:pStyle w:val="TableText"/>
              <w:keepNext/>
              <w:keepLines/>
            </w:pPr>
            <w:r w:rsidRPr="006F283B">
              <w:rPr>
                <w:rFonts w:ascii="Segoe UI Symbol" w:hAnsi="Segoe UI Symbol" w:cs="Segoe UI Symbol"/>
              </w:rPr>
              <w:t>☐</w:t>
            </w:r>
            <w:r w:rsidRPr="006F283B">
              <w:t xml:space="preserve"> k=1</w:t>
            </w:r>
            <w:r w:rsidRPr="006F283B">
              <w:tab/>
              <w:t>n=733</w:t>
            </w:r>
          </w:p>
        </w:tc>
      </w:tr>
    </w:tbl>
    <w:p w14:paraId="452C66EB" w14:textId="77777777" w:rsidR="004D6FAC" w:rsidRPr="006F283B" w:rsidRDefault="004D6FAC" w:rsidP="004D6FAC">
      <w:pPr>
        <w:pStyle w:val="TableFooter"/>
        <w:keepNext/>
        <w:keepLines/>
      </w:pPr>
      <w:r w:rsidRPr="006F283B">
        <w:t>Source: Constructed during evaluation</w:t>
      </w:r>
    </w:p>
    <w:p w14:paraId="12A93ABE" w14:textId="76D2796A" w:rsidR="00843998" w:rsidRPr="006F283B" w:rsidRDefault="00843998" w:rsidP="004968C6">
      <w:pPr>
        <w:pStyle w:val="TableFooter"/>
        <w:keepNext/>
        <w:keepLines/>
      </w:pPr>
      <w:r w:rsidRPr="006F283B">
        <w:t xml:space="preserve">1L = first line; 2L = second line; </w:t>
      </w:r>
      <w:r w:rsidR="001152C0" w:rsidRPr="001152C0">
        <w:rPr>
          <w:i/>
          <w:iCs/>
        </w:rPr>
        <w:t xml:space="preserve">BRCA </w:t>
      </w:r>
      <w:r w:rsidRPr="006F283B">
        <w:t>= breast cancer gene; HGEOC = high grade epithelial ovarian cancer; HRD = homologous recombination deficiency; k=number of studies, n=number of patients; RCT = randomised controlled trial; RUO = research use only; wt = wild type</w:t>
      </w:r>
    </w:p>
    <w:p w14:paraId="72F43EAB" w14:textId="77777777" w:rsidR="00843998" w:rsidRPr="006F283B" w:rsidRDefault="00843998" w:rsidP="007E584B">
      <w:pPr>
        <w:pStyle w:val="TableFooter"/>
        <w:keepNext/>
        <w:keepLines/>
        <w:spacing w:after="120"/>
      </w:pPr>
      <w:r w:rsidRPr="006F283B">
        <w:rPr>
          <w:vertAlign w:val="superscript"/>
        </w:rPr>
        <w:t>a</w:t>
      </w:r>
      <w:r w:rsidRPr="006F283B">
        <w:t xml:space="preserve"> Data not available for all studies.</w:t>
      </w:r>
    </w:p>
    <w:p w14:paraId="1F151D09" w14:textId="2F3EB604" w:rsidR="00843998" w:rsidRPr="006F283B" w:rsidRDefault="00843998" w:rsidP="007E584B">
      <w:pPr>
        <w:pStyle w:val="ListParagraph"/>
        <w:spacing w:before="0" w:after="120"/>
      </w:pPr>
      <w:r w:rsidRPr="006F283B">
        <w:t xml:space="preserve">The data available to inform the comparisons of PARP inhibitor efficacy in biomarker positive and negative patients are summarised in </w:t>
      </w:r>
      <w:r w:rsidRPr="006F283B">
        <w:fldChar w:fldCharType="begin" w:fldLock="1"/>
      </w:r>
      <w:r w:rsidRPr="006F283B">
        <w:instrText xml:space="preserve"> REF _Ref121198075 \h </w:instrText>
      </w:r>
      <w:r w:rsidRPr="006F283B">
        <w:fldChar w:fldCharType="separate"/>
      </w:r>
      <w:r w:rsidR="00305654" w:rsidRPr="006F283B">
        <w:t xml:space="preserve">Table </w:t>
      </w:r>
      <w:r w:rsidR="00305654">
        <w:rPr>
          <w:noProof/>
        </w:rPr>
        <w:t>3</w:t>
      </w:r>
      <w:r w:rsidRPr="006F283B">
        <w:fldChar w:fldCharType="end"/>
      </w:r>
      <w:r w:rsidRPr="006F283B">
        <w:t>.</w:t>
      </w:r>
    </w:p>
    <w:p w14:paraId="0807AB7A" w14:textId="7318DA0D" w:rsidR="00843998" w:rsidRPr="006F283B" w:rsidRDefault="00E67EA2" w:rsidP="00593A64">
      <w:pPr>
        <w:pStyle w:val="Caption"/>
      </w:pPr>
      <w:bookmarkStart w:id="57" w:name="_Ref121198075"/>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3</w:t>
      </w:r>
      <w:r w:rsidR="00091054">
        <w:rPr>
          <w:noProof/>
        </w:rPr>
        <w:fldChar w:fldCharType="end"/>
      </w:r>
      <w:bookmarkEnd w:id="57"/>
      <w:r w:rsidR="007E584B">
        <w:t xml:space="preserve">: </w:t>
      </w:r>
      <w:r w:rsidR="00843998" w:rsidRPr="006F283B">
        <w:t xml:space="preserve">Data availability to inform </w:t>
      </w:r>
      <w:proofErr w:type="gramStart"/>
      <w:r w:rsidR="00843998" w:rsidRPr="006F283B">
        <w:t>comparisons</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3"/>
        <w:gridCol w:w="3134"/>
        <w:gridCol w:w="3689"/>
      </w:tblGrid>
      <w:tr w:rsidR="00843998" w:rsidRPr="006F283B" w14:paraId="08303B23" w14:textId="77777777" w:rsidTr="004E1FEC">
        <w:tc>
          <w:tcPr>
            <w:tcW w:w="1216" w:type="pct"/>
            <w:tcBorders>
              <w:top w:val="single" w:sz="4" w:space="0" w:color="000000"/>
              <w:left w:val="single" w:sz="4" w:space="0" w:color="000000"/>
              <w:bottom w:val="single" w:sz="4" w:space="0" w:color="000000"/>
              <w:right w:val="single" w:sz="4" w:space="0" w:color="000000"/>
            </w:tcBorders>
            <w:hideMark/>
          </w:tcPr>
          <w:p w14:paraId="294A2C8E" w14:textId="77777777" w:rsidR="00843998" w:rsidRPr="006F283B" w:rsidRDefault="00843998" w:rsidP="004968C6">
            <w:pPr>
              <w:pStyle w:val="TableText"/>
              <w:keepNext/>
              <w:keepLines/>
            </w:pPr>
            <w:r w:rsidRPr="006F283B">
              <w:t>Proposed test vs no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1D9C1722" w14:textId="34CDC72C" w:rsidR="00843998" w:rsidRPr="006F283B" w:rsidRDefault="00843998" w:rsidP="004968C6">
            <w:pPr>
              <w:pStyle w:val="TableText"/>
              <w:keepNext/>
              <w:keepLines/>
              <w:rPr>
                <w:b/>
              </w:rPr>
            </w:pPr>
            <w:r w:rsidRPr="006F283B">
              <w:t xml:space="preserve">HRD positive </w:t>
            </w:r>
            <w:r w:rsidR="001152C0" w:rsidRPr="001152C0">
              <w:rPr>
                <w:i/>
                <w:iCs/>
              </w:rPr>
              <w:t>BRCAwt</w:t>
            </w:r>
            <w:r w:rsidRPr="006F283B">
              <w:t xml:space="preserve"> subgroup versus ITT analysis of PRIMA</w:t>
            </w:r>
          </w:p>
        </w:tc>
      </w:tr>
      <w:tr w:rsidR="00843998" w:rsidRPr="006F283B" w14:paraId="0BF884B2" w14:textId="77777777" w:rsidTr="004E1FEC">
        <w:tc>
          <w:tcPr>
            <w:tcW w:w="1216" w:type="pct"/>
            <w:tcBorders>
              <w:top w:val="single" w:sz="4" w:space="0" w:color="000000"/>
              <w:left w:val="single" w:sz="4" w:space="0" w:color="000000"/>
              <w:bottom w:val="single" w:sz="4" w:space="0" w:color="000000"/>
              <w:right w:val="single" w:sz="4" w:space="0" w:color="000000"/>
            </w:tcBorders>
            <w:hideMark/>
          </w:tcPr>
          <w:p w14:paraId="3D5961A4" w14:textId="77777777" w:rsidR="00843998" w:rsidRPr="006F283B" w:rsidRDefault="00843998" w:rsidP="004968C6">
            <w:pPr>
              <w:pStyle w:val="TableText"/>
              <w:keepNext/>
              <w:keepLines/>
            </w:pPr>
            <w:r w:rsidRPr="006F283B">
              <w:t>Proposed test vs alternative test</w:t>
            </w:r>
          </w:p>
        </w:tc>
        <w:tc>
          <w:tcPr>
            <w:tcW w:w="3784" w:type="pct"/>
            <w:gridSpan w:val="2"/>
            <w:tcBorders>
              <w:top w:val="single" w:sz="4" w:space="0" w:color="000000"/>
              <w:left w:val="single" w:sz="4" w:space="0" w:color="000000"/>
              <w:bottom w:val="single" w:sz="4" w:space="0" w:color="000000"/>
              <w:right w:val="single" w:sz="4" w:space="0" w:color="000000"/>
            </w:tcBorders>
            <w:hideMark/>
          </w:tcPr>
          <w:p w14:paraId="2903A5B3" w14:textId="5E6AC7D9" w:rsidR="00843998" w:rsidRPr="006F283B" w:rsidRDefault="00843998" w:rsidP="004968C6">
            <w:pPr>
              <w:pStyle w:val="TableText"/>
              <w:keepNext/>
              <w:keepLines/>
              <w:rPr>
                <w:b/>
              </w:rPr>
            </w:pPr>
            <w:r w:rsidRPr="006F283B">
              <w:t>Weichert (2021a and 2022) compared use Myriad myChoice PLUS with the Illumina RUO Tru</w:t>
            </w:r>
            <w:r w:rsidR="00341BD9" w:rsidRPr="006F283B">
              <w:t>S</w:t>
            </w:r>
            <w:r w:rsidRPr="006F283B">
              <w:t>ight Oncology 500 HRD</w:t>
            </w:r>
          </w:p>
        </w:tc>
      </w:tr>
      <w:tr w:rsidR="00843998" w:rsidRPr="006F283B" w14:paraId="3576D6F5" w14:textId="77777777" w:rsidTr="004E1FEC">
        <w:tc>
          <w:tcPr>
            <w:tcW w:w="1216" w:type="pct"/>
            <w:tcBorders>
              <w:top w:val="single" w:sz="4" w:space="0" w:color="000000"/>
              <w:left w:val="single" w:sz="4" w:space="0" w:color="000000"/>
              <w:bottom w:val="single" w:sz="4" w:space="0" w:color="000000"/>
              <w:right w:val="single" w:sz="4" w:space="0" w:color="000000"/>
            </w:tcBorders>
          </w:tcPr>
          <w:p w14:paraId="58074AC6" w14:textId="77777777" w:rsidR="00843998" w:rsidRPr="006F283B" w:rsidRDefault="00843998" w:rsidP="004968C6">
            <w:pPr>
              <w:pStyle w:val="TableText"/>
              <w:keepNext/>
              <w:keepLines/>
            </w:pPr>
          </w:p>
        </w:tc>
        <w:tc>
          <w:tcPr>
            <w:tcW w:w="1738" w:type="pct"/>
            <w:tcBorders>
              <w:top w:val="single" w:sz="4" w:space="0" w:color="000000"/>
              <w:left w:val="single" w:sz="4" w:space="0" w:color="000000"/>
              <w:bottom w:val="single" w:sz="4" w:space="0" w:color="000000"/>
              <w:right w:val="single" w:sz="4" w:space="0" w:color="000000"/>
            </w:tcBorders>
            <w:hideMark/>
          </w:tcPr>
          <w:p w14:paraId="2ACC6AEB" w14:textId="77777777" w:rsidR="00843998" w:rsidRPr="006F283B" w:rsidRDefault="00843998" w:rsidP="004968C6">
            <w:pPr>
              <w:pStyle w:val="TableText"/>
              <w:keepNext/>
              <w:keepLines/>
              <w:jc w:val="center"/>
              <w:rPr>
                <w:b/>
              </w:rPr>
            </w:pPr>
            <w:r w:rsidRPr="006F283B">
              <w:rPr>
                <w:b/>
              </w:rPr>
              <w:t>Proposed drug</w:t>
            </w:r>
          </w:p>
        </w:tc>
        <w:tc>
          <w:tcPr>
            <w:tcW w:w="2046" w:type="pct"/>
            <w:tcBorders>
              <w:top w:val="single" w:sz="4" w:space="0" w:color="000000"/>
              <w:left w:val="single" w:sz="4" w:space="0" w:color="000000"/>
              <w:bottom w:val="single" w:sz="4" w:space="0" w:color="000000"/>
              <w:right w:val="single" w:sz="4" w:space="0" w:color="000000"/>
            </w:tcBorders>
            <w:hideMark/>
          </w:tcPr>
          <w:p w14:paraId="7F2E7CCE" w14:textId="77777777" w:rsidR="00843998" w:rsidRPr="006F283B" w:rsidRDefault="00843998" w:rsidP="004968C6">
            <w:pPr>
              <w:pStyle w:val="TableText"/>
              <w:keepNext/>
              <w:keepLines/>
              <w:jc w:val="center"/>
              <w:rPr>
                <w:b/>
              </w:rPr>
            </w:pPr>
            <w:r w:rsidRPr="006F283B">
              <w:rPr>
                <w:b/>
              </w:rPr>
              <w:t>Comparator drug</w:t>
            </w:r>
          </w:p>
        </w:tc>
      </w:tr>
      <w:tr w:rsidR="00843998" w:rsidRPr="006F283B" w14:paraId="0826112D" w14:textId="77777777" w:rsidTr="004E1FEC">
        <w:tc>
          <w:tcPr>
            <w:tcW w:w="1216" w:type="pct"/>
            <w:tcBorders>
              <w:top w:val="single" w:sz="4" w:space="0" w:color="000000"/>
              <w:left w:val="single" w:sz="4" w:space="0" w:color="000000"/>
              <w:bottom w:val="single" w:sz="4" w:space="0" w:color="000000"/>
              <w:right w:val="single" w:sz="4" w:space="0" w:color="000000"/>
            </w:tcBorders>
            <w:hideMark/>
          </w:tcPr>
          <w:p w14:paraId="2B21530A" w14:textId="77777777" w:rsidR="00843998" w:rsidRPr="006F283B" w:rsidRDefault="00843998" w:rsidP="004968C6">
            <w:pPr>
              <w:pStyle w:val="TableText"/>
              <w:keepNext/>
              <w:keepLines/>
            </w:pPr>
            <w:r w:rsidRPr="006F283B">
              <w:t>Biomarker test positive</w:t>
            </w:r>
          </w:p>
        </w:tc>
        <w:tc>
          <w:tcPr>
            <w:tcW w:w="1738" w:type="pct"/>
            <w:tcBorders>
              <w:top w:val="single" w:sz="4" w:space="0" w:color="000000"/>
              <w:left w:val="single" w:sz="4" w:space="0" w:color="000000"/>
              <w:bottom w:val="single" w:sz="4" w:space="0" w:color="000000"/>
              <w:right w:val="single" w:sz="4" w:space="0" w:color="000000"/>
            </w:tcBorders>
            <w:hideMark/>
          </w:tcPr>
          <w:p w14:paraId="387B7EE6" w14:textId="77777777" w:rsidR="00843998" w:rsidRPr="006F283B" w:rsidRDefault="00843998" w:rsidP="004968C6">
            <w:pPr>
              <w:pStyle w:val="TableText"/>
              <w:keepNext/>
              <w:keepLines/>
              <w:jc w:val="center"/>
            </w:pPr>
            <w:r w:rsidRPr="006F283B">
              <w:t>PRIMA</w:t>
            </w:r>
          </w:p>
        </w:tc>
        <w:tc>
          <w:tcPr>
            <w:tcW w:w="2046" w:type="pct"/>
            <w:tcBorders>
              <w:top w:val="single" w:sz="4" w:space="0" w:color="000000"/>
              <w:left w:val="single" w:sz="4" w:space="0" w:color="000000"/>
              <w:bottom w:val="single" w:sz="4" w:space="0" w:color="000000"/>
              <w:right w:val="single" w:sz="4" w:space="0" w:color="000000"/>
            </w:tcBorders>
            <w:hideMark/>
          </w:tcPr>
          <w:p w14:paraId="74C01658" w14:textId="77777777" w:rsidR="00843998" w:rsidRPr="006F283B" w:rsidRDefault="00843998" w:rsidP="004968C6">
            <w:pPr>
              <w:pStyle w:val="TableText"/>
              <w:keepNext/>
              <w:keepLines/>
              <w:jc w:val="center"/>
            </w:pPr>
            <w:r w:rsidRPr="006F283B">
              <w:t>PRIMA</w:t>
            </w:r>
          </w:p>
        </w:tc>
      </w:tr>
      <w:tr w:rsidR="00843998" w:rsidRPr="006F283B" w14:paraId="1A6E20D2" w14:textId="77777777" w:rsidTr="004E1FEC">
        <w:tc>
          <w:tcPr>
            <w:tcW w:w="1216" w:type="pct"/>
            <w:tcBorders>
              <w:top w:val="single" w:sz="4" w:space="0" w:color="000000"/>
              <w:left w:val="single" w:sz="4" w:space="0" w:color="000000"/>
              <w:bottom w:val="single" w:sz="4" w:space="0" w:color="000000"/>
              <w:right w:val="single" w:sz="4" w:space="0" w:color="000000"/>
            </w:tcBorders>
            <w:hideMark/>
          </w:tcPr>
          <w:p w14:paraId="376DB1B5" w14:textId="77777777" w:rsidR="00843998" w:rsidRPr="006F283B" w:rsidRDefault="00843998" w:rsidP="004968C6">
            <w:pPr>
              <w:pStyle w:val="TableText"/>
              <w:keepNext/>
              <w:keepLines/>
            </w:pPr>
            <w:r w:rsidRPr="006F283B">
              <w:t>Biomarker test negative</w:t>
            </w:r>
            <w:r w:rsidRPr="006F283B">
              <w:rPr>
                <w:b/>
              </w:rPr>
              <w:t xml:space="preserve"> </w:t>
            </w:r>
          </w:p>
        </w:tc>
        <w:tc>
          <w:tcPr>
            <w:tcW w:w="1738" w:type="pct"/>
            <w:tcBorders>
              <w:top w:val="single" w:sz="4" w:space="0" w:color="000000"/>
              <w:left w:val="single" w:sz="4" w:space="0" w:color="000000"/>
              <w:bottom w:val="single" w:sz="4" w:space="0" w:color="000000"/>
              <w:right w:val="single" w:sz="4" w:space="0" w:color="000000"/>
            </w:tcBorders>
            <w:hideMark/>
          </w:tcPr>
          <w:p w14:paraId="064735BD" w14:textId="77777777" w:rsidR="00843998" w:rsidRPr="006F283B" w:rsidRDefault="00843998" w:rsidP="004968C6">
            <w:pPr>
              <w:pStyle w:val="TableText"/>
              <w:keepNext/>
              <w:keepLines/>
              <w:jc w:val="center"/>
            </w:pPr>
            <w:r w:rsidRPr="006F283B">
              <w:t>PRIMA</w:t>
            </w:r>
          </w:p>
        </w:tc>
        <w:tc>
          <w:tcPr>
            <w:tcW w:w="2046" w:type="pct"/>
            <w:tcBorders>
              <w:top w:val="single" w:sz="4" w:space="0" w:color="000000"/>
              <w:left w:val="single" w:sz="4" w:space="0" w:color="000000"/>
              <w:bottom w:val="single" w:sz="4" w:space="0" w:color="000000"/>
              <w:right w:val="single" w:sz="4" w:space="0" w:color="000000"/>
            </w:tcBorders>
            <w:hideMark/>
          </w:tcPr>
          <w:p w14:paraId="74E543FC" w14:textId="77777777" w:rsidR="00843998" w:rsidRPr="006F283B" w:rsidRDefault="00843998" w:rsidP="004968C6">
            <w:pPr>
              <w:pStyle w:val="TableText"/>
              <w:keepNext/>
              <w:keepLines/>
              <w:jc w:val="center"/>
            </w:pPr>
            <w:r w:rsidRPr="006F283B">
              <w:t>PRIMA</w:t>
            </w:r>
          </w:p>
        </w:tc>
      </w:tr>
    </w:tbl>
    <w:p w14:paraId="023C4C7A" w14:textId="77777777" w:rsidR="00F73E6C" w:rsidRPr="006F283B" w:rsidRDefault="00F73E6C" w:rsidP="00F73E6C">
      <w:pPr>
        <w:pStyle w:val="TableFooter"/>
        <w:keepNext/>
        <w:keepLines/>
      </w:pPr>
      <w:r w:rsidRPr="006F283B">
        <w:t>Source: Constructed during evaluation</w:t>
      </w:r>
    </w:p>
    <w:p w14:paraId="1CC40329" w14:textId="77777777" w:rsidR="004968C6" w:rsidRPr="006F283B" w:rsidRDefault="004968C6" w:rsidP="007E584B">
      <w:pPr>
        <w:pStyle w:val="TableFooter"/>
        <w:keepNext/>
        <w:keepLines/>
        <w:spacing w:after="120"/>
      </w:pPr>
      <w:r w:rsidRPr="006F283B">
        <w:t xml:space="preserve">HRD = homologous recombination deficiency; ITT = intention to treat; RUO = research use </w:t>
      </w:r>
      <w:proofErr w:type="gramStart"/>
      <w:r w:rsidRPr="006F283B">
        <w:t>only;</w:t>
      </w:r>
      <w:proofErr w:type="gramEnd"/>
    </w:p>
    <w:p w14:paraId="07CDC420" w14:textId="1A87FD20" w:rsidR="00843998" w:rsidRPr="006F283B" w:rsidRDefault="00843998" w:rsidP="007E584B">
      <w:pPr>
        <w:pStyle w:val="ListParagraph"/>
        <w:spacing w:before="0" w:after="120"/>
      </w:pPr>
      <w:r w:rsidRPr="006F283B">
        <w:rPr>
          <w:color w:val="auto"/>
        </w:rPr>
        <w:t xml:space="preserve">HRD positive status was defined in the submission as having either tumour </w:t>
      </w:r>
      <w:r w:rsidR="001152C0" w:rsidRPr="001152C0">
        <w:rPr>
          <w:i/>
          <w:iCs/>
          <w:color w:val="auto"/>
        </w:rPr>
        <w:t>BRCA1/2</w:t>
      </w:r>
      <w:r w:rsidRPr="006F283B">
        <w:rPr>
          <w:color w:val="auto"/>
        </w:rPr>
        <w:t xml:space="preserve"> mutation(s) (</w:t>
      </w:r>
      <w:r w:rsidR="001152C0" w:rsidRPr="001152C0">
        <w:rPr>
          <w:i/>
          <w:iCs/>
          <w:color w:val="auto"/>
        </w:rPr>
        <w:t>BRCAm</w:t>
      </w:r>
      <w:r w:rsidRPr="006F283B">
        <w:rPr>
          <w:color w:val="auto"/>
        </w:rPr>
        <w:t>) or positive genomic instability score (GIS) status (</w:t>
      </w:r>
      <w:r w:rsidRPr="006F283B">
        <w:rPr>
          <w:rFonts w:cstheme="minorHAnsi"/>
          <w:color w:val="auto"/>
        </w:rPr>
        <w:t>≥</w:t>
      </w:r>
      <w:r w:rsidRPr="006F283B">
        <w:rPr>
          <w:color w:val="auto"/>
        </w:rPr>
        <w:t>42 using the Illumina TruSight Oncology 500 HRD assay). This was based on the applicant</w:t>
      </w:r>
      <w:r w:rsidR="000C5027" w:rsidRPr="006F283B">
        <w:rPr>
          <w:color w:val="auto"/>
        </w:rPr>
        <w:t>’</w:t>
      </w:r>
      <w:r w:rsidRPr="006F283B">
        <w:rPr>
          <w:color w:val="auto"/>
        </w:rPr>
        <w:t xml:space="preserve">s definition and is consistent with PRIMA where the same GIS threshold was used (with the Myriad myChoice CDx). The same threshold was proposed for the July 2022 olaparib submission. </w:t>
      </w:r>
      <w:r w:rsidRPr="006F283B">
        <w:t xml:space="preserve">MSAC </w:t>
      </w:r>
      <w:r w:rsidR="00C7259E" w:rsidRPr="006F283B">
        <w:t>ha</w:t>
      </w:r>
      <w:r w:rsidR="00397A1B" w:rsidRPr="006F283B">
        <w:t>d</w:t>
      </w:r>
      <w:r w:rsidR="00C7259E" w:rsidRPr="006F283B">
        <w:t xml:space="preserve"> </w:t>
      </w:r>
      <w:r w:rsidRPr="006F283B">
        <w:t xml:space="preserve">previously expressed concerns with setting </w:t>
      </w:r>
      <w:r w:rsidR="00CE7A98" w:rsidRPr="006F283B">
        <w:t xml:space="preserve">dichotomous </w:t>
      </w:r>
      <w:r w:rsidRPr="006F283B">
        <w:t xml:space="preserve">thresholds for HRD </w:t>
      </w:r>
      <w:r w:rsidR="00CE7A98" w:rsidRPr="006F283B">
        <w:t>of ‘</w:t>
      </w:r>
      <w:r w:rsidRPr="006F283B">
        <w:t>positive</w:t>
      </w:r>
      <w:r w:rsidR="00CE7A98" w:rsidRPr="006F283B">
        <w:t>’</w:t>
      </w:r>
      <w:r w:rsidRPr="006F283B">
        <w:t xml:space="preserve"> or </w:t>
      </w:r>
      <w:r w:rsidR="00CE7A98" w:rsidRPr="006F283B">
        <w:t>‘</w:t>
      </w:r>
      <w:r w:rsidRPr="006F283B">
        <w:t>negative</w:t>
      </w:r>
      <w:r w:rsidR="00CE7A98" w:rsidRPr="006F283B">
        <w:t>’</w:t>
      </w:r>
      <w:r w:rsidRPr="006F283B">
        <w:t xml:space="preserve">, stating that as there is no distinct point at which an individual can be classified as either positive or negative; similarly, there is no distinct point at which the codependent treatment will or will not be effective (or will be </w:t>
      </w:r>
      <w:proofErr w:type="gramStart"/>
      <w:r w:rsidRPr="006F283B">
        <w:t>more or less effective</w:t>
      </w:r>
      <w:proofErr w:type="gramEnd"/>
      <w:r w:rsidRPr="006F283B">
        <w:t xml:space="preserve">) (p4, application 1658, PSD, </w:t>
      </w:r>
      <w:r w:rsidR="008E1252" w:rsidRPr="006F283B">
        <w:t>July</w:t>
      </w:r>
      <w:r w:rsidR="008E1252">
        <w:t> </w:t>
      </w:r>
      <w:r w:rsidRPr="006F283B">
        <w:t>2022 MSAC meeting).</w:t>
      </w:r>
    </w:p>
    <w:p w14:paraId="7BE9BB44" w14:textId="7C6E7025" w:rsidR="00843998" w:rsidRPr="006F283B" w:rsidRDefault="00843998" w:rsidP="007E584B">
      <w:pPr>
        <w:pStyle w:val="ListParagraph"/>
        <w:spacing w:before="0" w:after="120"/>
        <w:rPr>
          <w:color w:val="auto"/>
        </w:rPr>
      </w:pPr>
      <w:r w:rsidRPr="006F283B">
        <w:rPr>
          <w:color w:val="auto"/>
        </w:rPr>
        <w:t xml:space="preserve">Weichert (2021a and 2022) reported details of a single study that compared the Myriad myChoice HRD PLUS test with the research use only (RUO) version of the Illumina TruSight Oncology 500 HRD test. The submission stated that this was the only study identified that compared the clinical utility standard HRD test with an HRD test </w:t>
      </w:r>
      <w:r w:rsidR="002F2B03" w:rsidRPr="006F283B">
        <w:rPr>
          <w:color w:val="auto"/>
        </w:rPr>
        <w:t>that it anticipated would soon</w:t>
      </w:r>
      <w:r w:rsidRPr="006F283B">
        <w:rPr>
          <w:color w:val="auto"/>
        </w:rPr>
        <w:t xml:space="preserve"> be available in Australia. </w:t>
      </w:r>
    </w:p>
    <w:p w14:paraId="50C21005" w14:textId="7B6D5734" w:rsidR="00843998" w:rsidRPr="006F283B" w:rsidRDefault="00843998" w:rsidP="007E584B">
      <w:pPr>
        <w:pStyle w:val="ListParagraph"/>
        <w:spacing w:before="0" w:after="120"/>
        <w:rPr>
          <w:color w:val="auto"/>
        </w:rPr>
      </w:pPr>
      <w:r w:rsidRPr="006F283B">
        <w:rPr>
          <w:color w:val="auto"/>
        </w:rPr>
        <w:t xml:space="preserve">There was limited information available regarding the Weichert (2021a and 2022) study, with </w:t>
      </w:r>
      <w:r w:rsidR="00054099" w:rsidRPr="006F283B">
        <w:rPr>
          <w:color w:val="auto"/>
        </w:rPr>
        <w:t xml:space="preserve">only information </w:t>
      </w:r>
      <w:r w:rsidRPr="006F283B">
        <w:rPr>
          <w:color w:val="auto"/>
        </w:rPr>
        <w:t>from two abstracts available. The study was likely associated with a high degree of bias</w:t>
      </w:r>
      <w:r w:rsidR="00054099" w:rsidRPr="006F283B">
        <w:rPr>
          <w:color w:val="auto"/>
        </w:rPr>
        <w:t>, with</w:t>
      </w:r>
      <w:r w:rsidRPr="006F283B">
        <w:rPr>
          <w:color w:val="auto"/>
        </w:rPr>
        <w:t xml:space="preserve"> no details available to describe the </w:t>
      </w:r>
      <w:r w:rsidR="00054099" w:rsidRPr="006F283B">
        <w:rPr>
          <w:color w:val="auto"/>
        </w:rPr>
        <w:t xml:space="preserve">ovarian cancer </w:t>
      </w:r>
      <w:r w:rsidRPr="006F283B">
        <w:rPr>
          <w:color w:val="auto"/>
        </w:rPr>
        <w:t>sample selection or their source. It was also unclear if the index test results were interpreted without knowledge of the results of the reference standard, and different numbers of samples were tested with the Illumina and Myriad assays.</w:t>
      </w:r>
    </w:p>
    <w:p w14:paraId="13991115" w14:textId="77777777" w:rsidR="00843998" w:rsidRPr="006F283B" w:rsidRDefault="00843998" w:rsidP="00F029F7">
      <w:pPr>
        <w:pStyle w:val="4-SubsectionHeading"/>
      </w:pPr>
      <w:bookmarkStart w:id="58" w:name="_Toc95298223"/>
      <w:bookmarkStart w:id="59" w:name="_Toc123646832"/>
      <w:bookmarkStart w:id="60" w:name="_Toc123646933"/>
      <w:bookmarkStart w:id="61" w:name="_Toc123647168"/>
      <w:bookmarkStart w:id="62" w:name="_Toc124937092"/>
      <w:r w:rsidRPr="006F283B">
        <w:t xml:space="preserve">Clinical trials on the safety/effectiveness of </w:t>
      </w:r>
      <w:bookmarkEnd w:id="58"/>
      <w:r w:rsidRPr="006F283B">
        <w:t>niraparib</w:t>
      </w:r>
      <w:bookmarkEnd w:id="59"/>
      <w:bookmarkEnd w:id="60"/>
      <w:bookmarkEnd w:id="61"/>
      <w:bookmarkEnd w:id="62"/>
    </w:p>
    <w:p w14:paraId="49861189" w14:textId="06AFDC5E" w:rsidR="006D30D4" w:rsidRPr="006F283B" w:rsidRDefault="00843998" w:rsidP="007E584B">
      <w:pPr>
        <w:pStyle w:val="ListParagraph"/>
        <w:spacing w:before="0" w:after="120"/>
      </w:pPr>
      <w:r w:rsidRPr="006F283B">
        <w:t xml:space="preserve">The submission was primarily based on one head-to-head trial comparing niraparib to </w:t>
      </w:r>
      <w:r w:rsidRPr="006F283B">
        <w:rPr>
          <w:color w:val="auto"/>
        </w:rPr>
        <w:t xml:space="preserve">placebo (with placebo being a proxy for SMM), PRIMA (n=733). </w:t>
      </w:r>
      <w:r w:rsidR="00054099" w:rsidRPr="006F283B">
        <w:rPr>
          <w:color w:val="auto"/>
        </w:rPr>
        <w:t>A</w:t>
      </w:r>
      <w:r w:rsidRPr="006F283B">
        <w:rPr>
          <w:color w:val="auto"/>
        </w:rPr>
        <w:t xml:space="preserve"> second head</w:t>
      </w:r>
      <w:r w:rsidRPr="006F283B">
        <w:rPr>
          <w:color w:val="auto"/>
        </w:rPr>
        <w:noBreakHyphen/>
        <w:t xml:space="preserve">to-head trial, </w:t>
      </w:r>
      <w:r w:rsidR="003F21B7" w:rsidRPr="006F283B">
        <w:rPr>
          <w:color w:val="auto"/>
        </w:rPr>
        <w:t xml:space="preserve">PRIME </w:t>
      </w:r>
      <w:r w:rsidRPr="006F283B">
        <w:rPr>
          <w:color w:val="auto"/>
        </w:rPr>
        <w:t>(n=</w:t>
      </w:r>
      <w:r w:rsidR="003F21B7" w:rsidRPr="006F283B">
        <w:rPr>
          <w:color w:val="auto"/>
        </w:rPr>
        <w:t>384</w:t>
      </w:r>
      <w:r w:rsidRPr="006F283B">
        <w:rPr>
          <w:color w:val="auto"/>
        </w:rPr>
        <w:t xml:space="preserve">) was identified, </w:t>
      </w:r>
      <w:r w:rsidR="00054099" w:rsidRPr="006F283B">
        <w:rPr>
          <w:color w:val="auto"/>
        </w:rPr>
        <w:t xml:space="preserve">but </w:t>
      </w:r>
      <w:r w:rsidRPr="006F283B">
        <w:rPr>
          <w:color w:val="auto"/>
        </w:rPr>
        <w:t>was only included as supplementary evidence as</w:t>
      </w:r>
      <w:r w:rsidR="00F73E6C" w:rsidRPr="006F283B">
        <w:rPr>
          <w:color w:val="auto"/>
        </w:rPr>
        <w:t xml:space="preserve"> it</w:t>
      </w:r>
      <w:r w:rsidRPr="006F283B">
        <w:t xml:space="preserve"> used a different HRD test, the BGI assay</w:t>
      </w:r>
      <w:r w:rsidR="00F73E6C" w:rsidRPr="006F283B">
        <w:t>,</w:t>
      </w:r>
      <w:r w:rsidRPr="006F283B">
        <w:t xml:space="preserve"> </w:t>
      </w:r>
      <w:r w:rsidR="00F73E6C" w:rsidRPr="006F283B">
        <w:t xml:space="preserve">and </w:t>
      </w:r>
      <w:r w:rsidRPr="006F283B">
        <w:t>enrolled mainly Chinese patients, limiting its applicability to the Australian population.</w:t>
      </w:r>
      <w:bookmarkStart w:id="63" w:name="_Hlk130512188"/>
      <w:r w:rsidR="00F73E6C" w:rsidRPr="006F283B">
        <w:t xml:space="preserve"> </w:t>
      </w:r>
      <w:r w:rsidRPr="006F283B">
        <w:t xml:space="preserve">The </w:t>
      </w:r>
      <w:r w:rsidR="006D30D4" w:rsidRPr="006F283B">
        <w:rPr>
          <w:iCs/>
        </w:rPr>
        <w:t>ESC considered the</w:t>
      </w:r>
      <w:r w:rsidR="006D30D4" w:rsidRPr="006F283B">
        <w:t xml:space="preserve"> </w:t>
      </w:r>
      <w:r w:rsidRPr="006F283B">
        <w:t xml:space="preserve">exclusion of </w:t>
      </w:r>
      <w:r w:rsidR="003F21B7" w:rsidRPr="006F283B">
        <w:t xml:space="preserve">PRIME </w:t>
      </w:r>
      <w:r w:rsidRPr="006F283B">
        <w:t xml:space="preserve">from the primary evidence was reasonable. </w:t>
      </w:r>
      <w:bookmarkStart w:id="64" w:name="_Ref121202579"/>
    </w:p>
    <w:bookmarkEnd w:id="63"/>
    <w:p w14:paraId="4FCEEFE5" w14:textId="5336801F" w:rsidR="00843998" w:rsidRPr="006F283B" w:rsidRDefault="00843998" w:rsidP="007E584B">
      <w:pPr>
        <w:pStyle w:val="ListParagraph"/>
        <w:spacing w:before="0" w:after="120"/>
      </w:pPr>
      <w:r w:rsidRPr="006F283B">
        <w:t>The submission also presented an unanchored side-by-side comparison of niraparib (from PRIMA) with olaparib + bevacizumab (from PAOLA-1), and a population adjusted indirect comparison (PAIC) of HRD positive patients from PRIMA and PAOLA-1 (Hettle 2021)</w:t>
      </w:r>
      <w:r w:rsidR="00360C53" w:rsidRPr="006F283B">
        <w:t xml:space="preserve"> to inform the relative efficacy against olaparib</w:t>
      </w:r>
      <w:r w:rsidRPr="006F283B">
        <w:t>.</w:t>
      </w:r>
      <w:bookmarkEnd w:id="64"/>
      <w:r w:rsidRPr="006F283B">
        <w:t xml:space="preserve"> </w:t>
      </w:r>
    </w:p>
    <w:p w14:paraId="50D5F51D" w14:textId="1E2ECCE4" w:rsidR="00843998" w:rsidRPr="006F283B" w:rsidRDefault="00843998" w:rsidP="007E584B">
      <w:pPr>
        <w:pStyle w:val="ListParagraph"/>
        <w:spacing w:before="0" w:after="120"/>
      </w:pPr>
      <w:bookmarkStart w:id="65" w:name="_Hlk130512205"/>
      <w:r w:rsidRPr="006F283B">
        <w:lastRenderedPageBreak/>
        <w:t xml:space="preserve">PRIMA is a placebo-controlled, double blind, randomised, international multicentre phase III trial which compared niraparib to placebo in patients with newly diagnosed high-grade ovarian cancer who are in partial or complete response after 6 to 9 cycles of PBC. PRIMA used the Myriad myChoice CDx assay to determine HRD status. Study completion is expected in 2024 when OS data is anticipated to become mature. The PBAC has previously considered </w:t>
      </w:r>
      <w:r w:rsidR="006F4794" w:rsidRPr="006F283B">
        <w:t xml:space="preserve">some </w:t>
      </w:r>
      <w:r w:rsidRPr="006F283B">
        <w:t>results from PRIMA in the March 2022 niraparib submission. The submission</w:t>
      </w:r>
      <w:r w:rsidR="00282EEC" w:rsidRPr="006F283B">
        <w:t>,</w:t>
      </w:r>
      <w:r w:rsidRPr="006F283B">
        <w:t xml:space="preserve"> however</w:t>
      </w:r>
      <w:r w:rsidR="00282EEC" w:rsidRPr="006F283B">
        <w:t>,</w:t>
      </w:r>
      <w:r w:rsidRPr="006F283B">
        <w:t xml:space="preserve"> include</w:t>
      </w:r>
      <w:r w:rsidR="00F73E6C" w:rsidRPr="006F283B">
        <w:t>d</w:t>
      </w:r>
      <w:r w:rsidRPr="006F283B">
        <w:t xml:space="preserve"> some additional data from an unplanned data cut-off (DCO) dated November 2021</w:t>
      </w:r>
      <w:r w:rsidR="00F23451" w:rsidRPr="006F283B">
        <w:t xml:space="preserve"> as well as the requested HRD positive </w:t>
      </w:r>
      <w:r w:rsidR="001152C0" w:rsidRPr="001152C0">
        <w:rPr>
          <w:i/>
          <w:iCs/>
        </w:rPr>
        <w:t>BRCAwt</w:t>
      </w:r>
      <w:r w:rsidR="00F23451" w:rsidRPr="006F283B">
        <w:t xml:space="preserve"> subgroup</w:t>
      </w:r>
      <w:r w:rsidRPr="006F283B">
        <w:t>.</w:t>
      </w:r>
    </w:p>
    <w:bookmarkEnd w:id="65"/>
    <w:p w14:paraId="3B2939F8" w14:textId="77777777" w:rsidR="00843998" w:rsidRPr="006F283B" w:rsidRDefault="00843998" w:rsidP="007E584B">
      <w:pPr>
        <w:pStyle w:val="ListParagraph"/>
        <w:spacing w:before="0" w:after="120"/>
        <w:rPr>
          <w:color w:val="auto"/>
        </w:rPr>
      </w:pPr>
      <w:r w:rsidRPr="006F283B">
        <w:rPr>
          <w:color w:val="auto"/>
        </w:rPr>
        <w:t xml:space="preserve">Details of the trials and key publications presented in the submission are provided in the table below. </w:t>
      </w:r>
    </w:p>
    <w:p w14:paraId="37A1B02B" w14:textId="5DB499C5" w:rsidR="00843998" w:rsidRPr="006F283B" w:rsidRDefault="00E67EA2" w:rsidP="00593A64">
      <w:pPr>
        <w:pStyle w:val="Caption"/>
      </w:pPr>
      <w:r w:rsidRPr="006F283B">
        <w:t xml:space="preserve">Table </w:t>
      </w:r>
      <w:r w:rsidR="00091054">
        <w:fldChar w:fldCharType="begin" w:fldLock="1"/>
      </w:r>
      <w:r w:rsidR="00091054">
        <w:instrText xml:space="preserve"> SEQ Table \* ARABIC </w:instrText>
      </w:r>
      <w:r w:rsidR="00091054">
        <w:fldChar w:fldCharType="separate"/>
      </w:r>
      <w:r w:rsidR="00305654">
        <w:rPr>
          <w:noProof/>
        </w:rPr>
        <w:t>4</w:t>
      </w:r>
      <w:r w:rsidR="00091054">
        <w:rPr>
          <w:noProof/>
        </w:rPr>
        <w:fldChar w:fldCharType="end"/>
      </w:r>
      <w:r w:rsidR="007E584B">
        <w:t xml:space="preserve">: </w:t>
      </w:r>
      <w:r w:rsidR="00843998" w:rsidRPr="006F283B">
        <w:t>Trials and key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40"/>
        <w:gridCol w:w="5777"/>
        <w:gridCol w:w="2499"/>
      </w:tblGrid>
      <w:tr w:rsidR="00843998" w:rsidRPr="006F283B" w14:paraId="12A204A6" w14:textId="77777777" w:rsidTr="004E1FEC">
        <w:tc>
          <w:tcPr>
            <w:tcW w:w="410" w:type="pct"/>
            <w:vAlign w:val="center"/>
          </w:tcPr>
          <w:p w14:paraId="50F029A0" w14:textId="77777777" w:rsidR="00843998" w:rsidRPr="006F283B" w:rsidRDefault="00843998" w:rsidP="00836F86">
            <w:pPr>
              <w:pStyle w:val="TableText"/>
              <w:keepNext/>
              <w:keepLines/>
              <w:rPr>
                <w:b/>
              </w:rPr>
            </w:pPr>
            <w:r w:rsidRPr="006F283B">
              <w:rPr>
                <w:b/>
              </w:rPr>
              <w:t>Trial ID</w:t>
            </w:r>
          </w:p>
        </w:tc>
        <w:tc>
          <w:tcPr>
            <w:tcW w:w="3204" w:type="pct"/>
            <w:vAlign w:val="bottom"/>
          </w:tcPr>
          <w:p w14:paraId="2879CE52" w14:textId="77777777" w:rsidR="00843998" w:rsidRPr="006F283B" w:rsidRDefault="00843998" w:rsidP="00836F86">
            <w:pPr>
              <w:pStyle w:val="TableText"/>
              <w:keepNext/>
              <w:keepLines/>
              <w:jc w:val="center"/>
              <w:rPr>
                <w:b/>
              </w:rPr>
            </w:pPr>
            <w:r w:rsidRPr="006F283B">
              <w:rPr>
                <w:b/>
              </w:rPr>
              <w:t>Protocol title/ Publication title</w:t>
            </w:r>
          </w:p>
        </w:tc>
        <w:tc>
          <w:tcPr>
            <w:tcW w:w="1386" w:type="pct"/>
            <w:vAlign w:val="bottom"/>
          </w:tcPr>
          <w:p w14:paraId="63ECE88B" w14:textId="77777777" w:rsidR="00843998" w:rsidRPr="006F283B" w:rsidRDefault="00843998" w:rsidP="00836F86">
            <w:pPr>
              <w:pStyle w:val="TableText"/>
              <w:keepNext/>
              <w:keepLines/>
              <w:jc w:val="center"/>
              <w:rPr>
                <w:b/>
              </w:rPr>
            </w:pPr>
            <w:r w:rsidRPr="006F283B">
              <w:rPr>
                <w:b/>
              </w:rPr>
              <w:t>Publication citation</w:t>
            </w:r>
          </w:p>
        </w:tc>
      </w:tr>
      <w:tr w:rsidR="00843998" w:rsidRPr="006F283B" w14:paraId="786BB462" w14:textId="77777777" w:rsidTr="004E1FEC">
        <w:tc>
          <w:tcPr>
            <w:tcW w:w="410" w:type="pct"/>
            <w:vMerge w:val="restart"/>
            <w:vAlign w:val="center"/>
          </w:tcPr>
          <w:p w14:paraId="6C991A36" w14:textId="77777777" w:rsidR="00843998" w:rsidRPr="006F283B" w:rsidRDefault="00843998" w:rsidP="00836F86">
            <w:pPr>
              <w:pStyle w:val="TableText"/>
              <w:keepNext/>
              <w:keepLines/>
            </w:pPr>
            <w:r w:rsidRPr="006F283B">
              <w:t>PRIMA</w:t>
            </w:r>
          </w:p>
        </w:tc>
        <w:tc>
          <w:tcPr>
            <w:tcW w:w="3204" w:type="pct"/>
            <w:tcBorders>
              <w:bottom w:val="nil"/>
            </w:tcBorders>
            <w:vAlign w:val="center"/>
          </w:tcPr>
          <w:p w14:paraId="488F7584" w14:textId="77777777" w:rsidR="00843998" w:rsidRPr="006F283B" w:rsidRDefault="00843998" w:rsidP="00836F86">
            <w:pPr>
              <w:pStyle w:val="TableText"/>
              <w:keepNext/>
              <w:keepLines/>
            </w:pPr>
            <w:r w:rsidRPr="006F283B">
              <w:t>Clinical study report: Niraparib PR-30-5017-C A phase 3, randomised, double-blind, placebo-controlled, multicentre study of niraparib maintenance treatment in patients with advanced ovarian cancer following response of front-line platinum-based chemotherapy</w:t>
            </w:r>
          </w:p>
        </w:tc>
        <w:tc>
          <w:tcPr>
            <w:tcW w:w="1386" w:type="pct"/>
            <w:tcBorders>
              <w:bottom w:val="nil"/>
            </w:tcBorders>
            <w:vAlign w:val="center"/>
          </w:tcPr>
          <w:p w14:paraId="429C1202" w14:textId="77777777" w:rsidR="00843998" w:rsidRPr="006F283B" w:rsidRDefault="00843998" w:rsidP="00836F86">
            <w:pPr>
              <w:pStyle w:val="TableText"/>
              <w:keepNext/>
              <w:keepLines/>
            </w:pPr>
            <w:r w:rsidRPr="006F283B">
              <w:t>24 September 2016</w:t>
            </w:r>
          </w:p>
        </w:tc>
      </w:tr>
      <w:tr w:rsidR="00843998" w:rsidRPr="006F283B" w14:paraId="773B1DC8" w14:textId="77777777" w:rsidTr="004E1FEC">
        <w:tc>
          <w:tcPr>
            <w:tcW w:w="410" w:type="pct"/>
            <w:vMerge/>
            <w:vAlign w:val="center"/>
          </w:tcPr>
          <w:p w14:paraId="56F415C0" w14:textId="77777777" w:rsidR="00843998" w:rsidRPr="006F283B" w:rsidRDefault="00843998" w:rsidP="00836F86">
            <w:pPr>
              <w:pStyle w:val="TableText"/>
              <w:keepNext/>
              <w:keepLines/>
            </w:pPr>
          </w:p>
        </w:tc>
        <w:tc>
          <w:tcPr>
            <w:tcW w:w="3204" w:type="pct"/>
            <w:tcBorders>
              <w:top w:val="nil"/>
              <w:bottom w:val="nil"/>
            </w:tcBorders>
            <w:vAlign w:val="center"/>
          </w:tcPr>
          <w:p w14:paraId="6CF35438" w14:textId="77777777" w:rsidR="00843998" w:rsidRPr="006F283B" w:rsidRDefault="00843998" w:rsidP="00836F86">
            <w:pPr>
              <w:pStyle w:val="TableText"/>
              <w:keepNext/>
              <w:keepLines/>
            </w:pPr>
            <w:r w:rsidRPr="006F283B">
              <w:t>González-Martín A, Pothuri B, Vergote I, DePont Christensen R, Graybill W, Mirza MR et al. Niraparib in patients with newly diagnosed advanced ovarian cancer.</w:t>
            </w:r>
          </w:p>
        </w:tc>
        <w:tc>
          <w:tcPr>
            <w:tcW w:w="1386" w:type="pct"/>
            <w:tcBorders>
              <w:top w:val="nil"/>
              <w:bottom w:val="nil"/>
            </w:tcBorders>
            <w:vAlign w:val="center"/>
          </w:tcPr>
          <w:p w14:paraId="4DF2D0A5" w14:textId="77777777" w:rsidR="00843998" w:rsidRPr="006F283B" w:rsidRDefault="00843998" w:rsidP="00836F86">
            <w:pPr>
              <w:pStyle w:val="TableText"/>
              <w:keepNext/>
              <w:keepLines/>
            </w:pPr>
            <w:r w:rsidRPr="006F283B">
              <w:t>New England Journal of Medicine 2019;381(25):2391-2402</w:t>
            </w:r>
          </w:p>
        </w:tc>
      </w:tr>
      <w:tr w:rsidR="00843998" w:rsidRPr="006F283B" w14:paraId="2A4B833E" w14:textId="77777777" w:rsidTr="004E1FEC">
        <w:tc>
          <w:tcPr>
            <w:tcW w:w="410" w:type="pct"/>
            <w:vMerge/>
            <w:vAlign w:val="center"/>
          </w:tcPr>
          <w:p w14:paraId="31F28BAD" w14:textId="77777777" w:rsidR="00843998" w:rsidRPr="006F283B" w:rsidRDefault="00843998" w:rsidP="00836F86">
            <w:pPr>
              <w:pStyle w:val="TableText"/>
              <w:keepNext/>
              <w:keepLines/>
            </w:pPr>
          </w:p>
        </w:tc>
        <w:tc>
          <w:tcPr>
            <w:tcW w:w="3204" w:type="pct"/>
            <w:tcBorders>
              <w:top w:val="nil"/>
            </w:tcBorders>
            <w:vAlign w:val="center"/>
          </w:tcPr>
          <w:p w14:paraId="40E535CD" w14:textId="77777777" w:rsidR="00843998" w:rsidRPr="006F283B" w:rsidRDefault="00843998" w:rsidP="00836F86">
            <w:pPr>
              <w:pStyle w:val="TableText"/>
              <w:keepNext/>
              <w:keepLines/>
            </w:pPr>
            <w:r w:rsidRPr="006F283B">
              <w:t>Gonzalez-Martin A, Pothuri B, Vergote I, et al. PRIMA/ENGOT-OV26/GOG-3012 Study: Updated Long-term PFS and Safety</w:t>
            </w:r>
          </w:p>
        </w:tc>
        <w:tc>
          <w:tcPr>
            <w:tcW w:w="1386" w:type="pct"/>
            <w:tcBorders>
              <w:top w:val="nil"/>
            </w:tcBorders>
            <w:vAlign w:val="center"/>
          </w:tcPr>
          <w:p w14:paraId="344DDE07" w14:textId="77777777" w:rsidR="00843998" w:rsidRPr="006F283B" w:rsidRDefault="00843998" w:rsidP="00836F86">
            <w:pPr>
              <w:pStyle w:val="TableText"/>
              <w:keepNext/>
              <w:keepLines/>
            </w:pPr>
            <w:r w:rsidRPr="006F283B">
              <w:t>European Society for Medical Oncology Congress; 9–13 September 2022; Paris, France.</w:t>
            </w:r>
          </w:p>
        </w:tc>
      </w:tr>
    </w:tbl>
    <w:p w14:paraId="2DF6AD0D" w14:textId="77777777" w:rsidR="00843998" w:rsidRPr="006F283B" w:rsidRDefault="00843998" w:rsidP="007E584B">
      <w:pPr>
        <w:pStyle w:val="TableFooter"/>
        <w:keepNext/>
        <w:keepLines/>
        <w:spacing w:after="120"/>
      </w:pPr>
      <w:r w:rsidRPr="006F283B">
        <w:t>Source: Table 46 (pp109-110) of the submission</w:t>
      </w:r>
    </w:p>
    <w:p w14:paraId="6B59A928" w14:textId="77777777" w:rsidR="00843998" w:rsidRPr="006F283B" w:rsidRDefault="00843998" w:rsidP="007E584B">
      <w:pPr>
        <w:pStyle w:val="ListParagraph"/>
        <w:spacing w:before="0" w:after="120"/>
        <w:rPr>
          <w:color w:val="auto"/>
        </w:rPr>
      </w:pPr>
      <w:r w:rsidRPr="006F283B">
        <w:rPr>
          <w:color w:val="auto"/>
        </w:rPr>
        <w:t xml:space="preserve">The key features of the direct randomised trials are summarised in the table below. </w:t>
      </w:r>
    </w:p>
    <w:p w14:paraId="69BB50C6" w14:textId="2AE57FC1" w:rsidR="00843998" w:rsidRPr="006F283B" w:rsidRDefault="00E67EA2" w:rsidP="00152220">
      <w:pPr>
        <w:pStyle w:val="Caption"/>
        <w:keepNext w:val="0"/>
      </w:pPr>
      <w:r w:rsidRPr="006F283B">
        <w:t xml:space="preserve">Table </w:t>
      </w:r>
      <w:r w:rsidR="00091054">
        <w:fldChar w:fldCharType="begin" w:fldLock="1"/>
      </w:r>
      <w:r w:rsidR="00091054">
        <w:instrText xml:space="preserve"> SEQ Table \* ARABIC </w:instrText>
      </w:r>
      <w:r w:rsidR="00091054">
        <w:fldChar w:fldCharType="separate"/>
      </w:r>
      <w:r w:rsidR="00305654">
        <w:rPr>
          <w:noProof/>
        </w:rPr>
        <w:t>5</w:t>
      </w:r>
      <w:r w:rsidR="00091054">
        <w:rPr>
          <w:noProof/>
        </w:rPr>
        <w:fldChar w:fldCharType="end"/>
      </w:r>
      <w:r w:rsidR="007E584B">
        <w:t xml:space="preserve">: </w:t>
      </w:r>
      <w:r w:rsidR="00843998" w:rsidRPr="006F283B">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9"/>
        <w:gridCol w:w="708"/>
        <w:gridCol w:w="1136"/>
        <w:gridCol w:w="3935"/>
        <w:gridCol w:w="1205"/>
        <w:gridCol w:w="1333"/>
      </w:tblGrid>
      <w:tr w:rsidR="00843998" w:rsidRPr="006F283B" w14:paraId="1BC1FA98" w14:textId="77777777" w:rsidTr="00F73E6C">
        <w:tc>
          <w:tcPr>
            <w:tcW w:w="388" w:type="pct"/>
            <w:tcBorders>
              <w:top w:val="single" w:sz="4" w:space="0" w:color="auto"/>
              <w:left w:val="single" w:sz="4" w:space="0" w:color="auto"/>
              <w:bottom w:val="single" w:sz="4" w:space="0" w:color="auto"/>
              <w:right w:val="single" w:sz="4" w:space="0" w:color="auto"/>
            </w:tcBorders>
            <w:vAlign w:val="center"/>
            <w:hideMark/>
          </w:tcPr>
          <w:p w14:paraId="5216B5D6" w14:textId="77777777" w:rsidR="00843998" w:rsidRPr="006F283B" w:rsidRDefault="00843998" w:rsidP="00152220">
            <w:pPr>
              <w:pStyle w:val="TableText"/>
              <w:keepLines/>
              <w:widowControl/>
              <w:rPr>
                <w:b/>
              </w:rPr>
            </w:pPr>
            <w:r w:rsidRPr="006F283B">
              <w:rPr>
                <w:b/>
              </w:rPr>
              <w:t>Trial</w:t>
            </w:r>
          </w:p>
        </w:tc>
        <w:tc>
          <w:tcPr>
            <w:tcW w:w="393" w:type="pct"/>
            <w:tcBorders>
              <w:top w:val="single" w:sz="4" w:space="0" w:color="auto"/>
              <w:left w:val="single" w:sz="4" w:space="0" w:color="auto"/>
              <w:bottom w:val="single" w:sz="4" w:space="0" w:color="auto"/>
              <w:right w:val="single" w:sz="4" w:space="0" w:color="auto"/>
            </w:tcBorders>
            <w:vAlign w:val="center"/>
            <w:hideMark/>
          </w:tcPr>
          <w:p w14:paraId="4C4AC0E3" w14:textId="77777777" w:rsidR="00843998" w:rsidRPr="006F283B" w:rsidRDefault="00843998" w:rsidP="00152220">
            <w:pPr>
              <w:pStyle w:val="TableText"/>
              <w:keepLines/>
              <w:widowControl/>
              <w:rPr>
                <w:b/>
              </w:rPr>
            </w:pPr>
            <w:r w:rsidRPr="006F283B">
              <w:rPr>
                <w:b/>
              </w:rPr>
              <w:t>N</w:t>
            </w:r>
          </w:p>
        </w:tc>
        <w:tc>
          <w:tcPr>
            <w:tcW w:w="630" w:type="pct"/>
            <w:tcBorders>
              <w:top w:val="single" w:sz="4" w:space="0" w:color="auto"/>
              <w:left w:val="single" w:sz="4" w:space="0" w:color="auto"/>
              <w:bottom w:val="single" w:sz="4" w:space="0" w:color="auto"/>
              <w:right w:val="single" w:sz="4" w:space="0" w:color="auto"/>
            </w:tcBorders>
            <w:vAlign w:val="center"/>
            <w:hideMark/>
          </w:tcPr>
          <w:p w14:paraId="6AD69EC0" w14:textId="77777777" w:rsidR="00843998" w:rsidRPr="006F283B" w:rsidRDefault="00843998" w:rsidP="00152220">
            <w:pPr>
              <w:pStyle w:val="TableText"/>
              <w:keepLines/>
              <w:widowControl/>
              <w:jc w:val="center"/>
              <w:rPr>
                <w:b/>
              </w:rPr>
            </w:pPr>
            <w:r w:rsidRPr="006F283B">
              <w:rPr>
                <w:b/>
              </w:rPr>
              <w:t>Design/ duration</w:t>
            </w:r>
          </w:p>
        </w:tc>
        <w:tc>
          <w:tcPr>
            <w:tcW w:w="2182" w:type="pct"/>
            <w:tcBorders>
              <w:top w:val="single" w:sz="4" w:space="0" w:color="auto"/>
              <w:left w:val="single" w:sz="4" w:space="0" w:color="auto"/>
              <w:bottom w:val="single" w:sz="4" w:space="0" w:color="auto"/>
              <w:right w:val="single" w:sz="4" w:space="0" w:color="auto"/>
            </w:tcBorders>
            <w:vAlign w:val="center"/>
            <w:hideMark/>
          </w:tcPr>
          <w:p w14:paraId="4695273B" w14:textId="77777777" w:rsidR="00843998" w:rsidRPr="006F283B" w:rsidRDefault="00843998" w:rsidP="00152220">
            <w:pPr>
              <w:pStyle w:val="TableText"/>
              <w:keepLines/>
              <w:widowControl/>
              <w:jc w:val="center"/>
              <w:rPr>
                <w:b/>
              </w:rPr>
            </w:pPr>
            <w:r w:rsidRPr="006F283B">
              <w:rPr>
                <w:b/>
              </w:rPr>
              <w:t>Patient population</w:t>
            </w:r>
          </w:p>
        </w:tc>
        <w:tc>
          <w:tcPr>
            <w:tcW w:w="668" w:type="pct"/>
            <w:tcBorders>
              <w:top w:val="single" w:sz="4" w:space="0" w:color="auto"/>
              <w:left w:val="single" w:sz="4" w:space="0" w:color="auto"/>
              <w:bottom w:val="single" w:sz="4" w:space="0" w:color="auto"/>
              <w:right w:val="single" w:sz="4" w:space="0" w:color="auto"/>
            </w:tcBorders>
            <w:vAlign w:val="center"/>
            <w:hideMark/>
          </w:tcPr>
          <w:p w14:paraId="630EE975" w14:textId="77777777" w:rsidR="00843998" w:rsidRPr="006F283B" w:rsidRDefault="00843998" w:rsidP="00152220">
            <w:pPr>
              <w:pStyle w:val="TableText"/>
              <w:keepLines/>
              <w:widowControl/>
              <w:jc w:val="center"/>
              <w:rPr>
                <w:b/>
              </w:rPr>
            </w:pPr>
            <w:r w:rsidRPr="006F283B">
              <w:rPr>
                <w:b/>
              </w:rPr>
              <w:t>Outcome(s)</w:t>
            </w:r>
          </w:p>
        </w:tc>
        <w:tc>
          <w:tcPr>
            <w:tcW w:w="739" w:type="pct"/>
            <w:tcBorders>
              <w:top w:val="single" w:sz="4" w:space="0" w:color="auto"/>
              <w:left w:val="single" w:sz="4" w:space="0" w:color="auto"/>
              <w:bottom w:val="single" w:sz="4" w:space="0" w:color="auto"/>
              <w:right w:val="single" w:sz="4" w:space="0" w:color="auto"/>
            </w:tcBorders>
            <w:vAlign w:val="center"/>
            <w:hideMark/>
          </w:tcPr>
          <w:p w14:paraId="4E1F2457" w14:textId="77777777" w:rsidR="00843998" w:rsidRPr="006F283B" w:rsidRDefault="00843998" w:rsidP="00152220">
            <w:pPr>
              <w:pStyle w:val="TableText"/>
              <w:keepLines/>
              <w:widowControl/>
              <w:jc w:val="center"/>
              <w:rPr>
                <w:b/>
              </w:rPr>
            </w:pPr>
            <w:r w:rsidRPr="006F283B">
              <w:rPr>
                <w:b/>
              </w:rPr>
              <w:t>Use in modelled evaluation</w:t>
            </w:r>
          </w:p>
        </w:tc>
      </w:tr>
      <w:tr w:rsidR="00843998" w:rsidRPr="006F283B" w14:paraId="446A5ECA" w14:textId="77777777" w:rsidTr="004E1FEC">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BB75CA7" w14:textId="77777777" w:rsidR="00843998" w:rsidRPr="006F283B" w:rsidRDefault="00843998" w:rsidP="00152220">
            <w:pPr>
              <w:pStyle w:val="TableText"/>
              <w:keepLines/>
              <w:widowControl/>
            </w:pPr>
            <w:r w:rsidRPr="006F283B">
              <w:t>Niraparib vs placebo</w:t>
            </w:r>
          </w:p>
        </w:tc>
      </w:tr>
      <w:tr w:rsidR="00843998" w:rsidRPr="006F283B" w14:paraId="76251608" w14:textId="77777777" w:rsidTr="00F73E6C">
        <w:tc>
          <w:tcPr>
            <w:tcW w:w="388" w:type="pct"/>
            <w:tcBorders>
              <w:top w:val="single" w:sz="4" w:space="0" w:color="auto"/>
              <w:left w:val="single" w:sz="4" w:space="0" w:color="auto"/>
              <w:bottom w:val="single" w:sz="4" w:space="0" w:color="auto"/>
              <w:right w:val="single" w:sz="4" w:space="0" w:color="auto"/>
            </w:tcBorders>
            <w:vAlign w:val="center"/>
          </w:tcPr>
          <w:p w14:paraId="3FC3496B" w14:textId="77777777" w:rsidR="00843998" w:rsidRPr="006F283B" w:rsidRDefault="00843998" w:rsidP="00152220">
            <w:pPr>
              <w:pStyle w:val="TableText"/>
              <w:keepLines/>
              <w:widowControl/>
            </w:pPr>
            <w:r w:rsidRPr="006F283B">
              <w:t>PRIMA</w:t>
            </w:r>
          </w:p>
        </w:tc>
        <w:tc>
          <w:tcPr>
            <w:tcW w:w="393" w:type="pct"/>
            <w:tcBorders>
              <w:top w:val="single" w:sz="4" w:space="0" w:color="auto"/>
              <w:left w:val="single" w:sz="4" w:space="0" w:color="auto"/>
              <w:bottom w:val="single" w:sz="4" w:space="0" w:color="auto"/>
              <w:right w:val="single" w:sz="4" w:space="0" w:color="auto"/>
            </w:tcBorders>
            <w:vAlign w:val="center"/>
          </w:tcPr>
          <w:p w14:paraId="41E46623" w14:textId="77777777" w:rsidR="00843998" w:rsidRPr="006F283B" w:rsidRDefault="00843998" w:rsidP="00152220">
            <w:pPr>
              <w:pStyle w:val="TableText"/>
              <w:keepLines/>
              <w:widowControl/>
              <w:jc w:val="center"/>
            </w:pPr>
            <w:r w:rsidRPr="006F283B">
              <w:t>733</w:t>
            </w:r>
          </w:p>
        </w:tc>
        <w:tc>
          <w:tcPr>
            <w:tcW w:w="630" w:type="pct"/>
            <w:tcBorders>
              <w:top w:val="single" w:sz="4" w:space="0" w:color="auto"/>
              <w:left w:val="single" w:sz="4" w:space="0" w:color="auto"/>
              <w:bottom w:val="single" w:sz="4" w:space="0" w:color="auto"/>
              <w:right w:val="single" w:sz="4" w:space="0" w:color="auto"/>
            </w:tcBorders>
            <w:vAlign w:val="center"/>
          </w:tcPr>
          <w:p w14:paraId="722F2581" w14:textId="147A8AAB" w:rsidR="00843998" w:rsidRPr="006F283B" w:rsidRDefault="00843998" w:rsidP="00152220">
            <w:pPr>
              <w:pStyle w:val="TableText"/>
              <w:keepLines/>
              <w:widowControl/>
              <w:jc w:val="center"/>
            </w:pPr>
            <w:r w:rsidRPr="006F283B">
              <w:t xml:space="preserve">MC </w:t>
            </w:r>
            <w:r w:rsidR="000C5027" w:rsidRPr="006F283B">
              <w:t>–</w:t>
            </w:r>
            <w:r w:rsidRPr="006F283B">
              <w:t xml:space="preserve"> International, DB, R, PC, Ph III superiority</w:t>
            </w:r>
          </w:p>
          <w:p w14:paraId="15BEA912" w14:textId="77777777" w:rsidR="00843998" w:rsidRPr="006F283B" w:rsidRDefault="00843998" w:rsidP="00152220">
            <w:pPr>
              <w:pStyle w:val="TableText"/>
              <w:keepLines/>
              <w:widowControl/>
              <w:jc w:val="center"/>
            </w:pPr>
          </w:p>
          <w:p w14:paraId="4E68DDE5" w14:textId="77777777" w:rsidR="00843998" w:rsidRPr="006F283B" w:rsidRDefault="00843998" w:rsidP="00152220">
            <w:pPr>
              <w:pStyle w:val="TableText"/>
              <w:keepLines/>
              <w:widowControl/>
              <w:jc w:val="center"/>
            </w:pPr>
            <w:r w:rsidRPr="006F283B">
              <w:t>HRD assay = Myriad myChoice CDx</w:t>
            </w:r>
          </w:p>
        </w:tc>
        <w:tc>
          <w:tcPr>
            <w:tcW w:w="2182" w:type="pct"/>
            <w:tcBorders>
              <w:top w:val="single" w:sz="4" w:space="0" w:color="auto"/>
              <w:left w:val="single" w:sz="4" w:space="0" w:color="auto"/>
              <w:bottom w:val="single" w:sz="4" w:space="0" w:color="auto"/>
              <w:right w:val="single" w:sz="4" w:space="0" w:color="auto"/>
            </w:tcBorders>
            <w:vAlign w:val="center"/>
          </w:tcPr>
          <w:p w14:paraId="28158989" w14:textId="77777777" w:rsidR="00843998" w:rsidRPr="006F283B" w:rsidRDefault="00843998" w:rsidP="00152220">
            <w:pPr>
              <w:keepLines/>
              <w:numPr>
                <w:ilvl w:val="0"/>
                <w:numId w:val="21"/>
              </w:numPr>
              <w:spacing w:before="0" w:after="0"/>
              <w:ind w:left="254" w:hanging="141"/>
              <w:jc w:val="left"/>
              <w:rPr>
                <w:rFonts w:ascii="Arial Narrow" w:hAnsi="Arial Narrow"/>
                <w:sz w:val="20"/>
              </w:rPr>
            </w:pPr>
            <w:r w:rsidRPr="006F283B">
              <w:rPr>
                <w:rFonts w:ascii="Arial Narrow" w:hAnsi="Arial Narrow"/>
                <w:sz w:val="20"/>
              </w:rPr>
              <w:t xml:space="preserve">≥18 years; newly diagnosed, histologically confirmed, HGSOC: </w:t>
            </w:r>
          </w:p>
          <w:p w14:paraId="5D4A2376" w14:textId="77777777" w:rsidR="00843998" w:rsidRPr="006F283B" w:rsidRDefault="00843998" w:rsidP="00152220">
            <w:pPr>
              <w:keepLines/>
              <w:numPr>
                <w:ilvl w:val="1"/>
                <w:numId w:val="21"/>
              </w:numPr>
              <w:spacing w:before="0" w:after="0"/>
              <w:ind w:left="684" w:hanging="284"/>
              <w:jc w:val="left"/>
              <w:rPr>
                <w:rFonts w:ascii="Arial Narrow" w:hAnsi="Arial Narrow"/>
                <w:sz w:val="20"/>
              </w:rPr>
            </w:pPr>
            <w:r w:rsidRPr="006F283B">
              <w:rPr>
                <w:rFonts w:ascii="Arial Narrow" w:hAnsi="Arial Narrow"/>
                <w:sz w:val="20"/>
              </w:rPr>
              <w:t xml:space="preserve">FIGO Stage III: inoperable disease; visible residual disease after primary debulking surgery; treated with neoadjuvant chemotherapy and interval </w:t>
            </w:r>
            <w:proofErr w:type="gramStart"/>
            <w:r w:rsidRPr="006F283B">
              <w:rPr>
                <w:rFonts w:ascii="Arial Narrow" w:hAnsi="Arial Narrow"/>
                <w:sz w:val="20"/>
              </w:rPr>
              <w:t>debulking</w:t>
            </w:r>
            <w:proofErr w:type="gramEnd"/>
          </w:p>
          <w:p w14:paraId="003F45C8" w14:textId="77777777" w:rsidR="00843998" w:rsidRPr="006F283B" w:rsidRDefault="00843998" w:rsidP="00152220">
            <w:pPr>
              <w:keepLines/>
              <w:numPr>
                <w:ilvl w:val="1"/>
                <w:numId w:val="21"/>
              </w:numPr>
              <w:spacing w:before="0" w:after="0"/>
              <w:ind w:left="684" w:hanging="284"/>
              <w:jc w:val="left"/>
              <w:rPr>
                <w:rFonts w:ascii="Arial Narrow" w:hAnsi="Arial Narrow"/>
                <w:sz w:val="20"/>
              </w:rPr>
            </w:pPr>
            <w:r w:rsidRPr="006F283B">
              <w:rPr>
                <w:rFonts w:ascii="Arial Narrow" w:hAnsi="Arial Narrow"/>
                <w:sz w:val="20"/>
              </w:rPr>
              <w:t>FIGO Stage IV disease</w:t>
            </w:r>
          </w:p>
          <w:p w14:paraId="1664A9F4" w14:textId="77777777" w:rsidR="00843998" w:rsidRPr="006F283B" w:rsidRDefault="00843998" w:rsidP="00152220">
            <w:pPr>
              <w:keepLines/>
              <w:numPr>
                <w:ilvl w:val="0"/>
                <w:numId w:val="21"/>
              </w:numPr>
              <w:spacing w:before="0" w:after="0"/>
              <w:ind w:left="254" w:hanging="141"/>
              <w:jc w:val="left"/>
              <w:rPr>
                <w:rFonts w:ascii="Arial Narrow" w:hAnsi="Arial Narrow"/>
                <w:sz w:val="20"/>
              </w:rPr>
            </w:pPr>
            <w:r w:rsidRPr="006F283B">
              <w:rPr>
                <w:rFonts w:ascii="Arial Narrow" w:hAnsi="Arial Narrow"/>
                <w:sz w:val="20"/>
              </w:rPr>
              <w:t xml:space="preserve">Received 6 to 9 cycles of platinum-based therapy, with CR or PR after ≥3 cycles of </w:t>
            </w:r>
            <w:proofErr w:type="gramStart"/>
            <w:r w:rsidRPr="006F283B">
              <w:rPr>
                <w:rFonts w:ascii="Arial Narrow" w:hAnsi="Arial Narrow"/>
                <w:sz w:val="20"/>
              </w:rPr>
              <w:t>therapy</w:t>
            </w:r>
            <w:proofErr w:type="gramEnd"/>
          </w:p>
          <w:p w14:paraId="2ED8B422" w14:textId="77777777" w:rsidR="00843998" w:rsidRPr="006F283B" w:rsidRDefault="00843998" w:rsidP="00152220">
            <w:pPr>
              <w:keepLines/>
              <w:numPr>
                <w:ilvl w:val="0"/>
                <w:numId w:val="21"/>
              </w:numPr>
              <w:spacing w:before="0" w:after="0"/>
              <w:ind w:left="254" w:hanging="141"/>
              <w:jc w:val="left"/>
            </w:pPr>
            <w:r w:rsidRPr="006F283B">
              <w:rPr>
                <w:rFonts w:ascii="Arial Narrow" w:hAnsi="Arial Narrow"/>
                <w:sz w:val="20"/>
              </w:rPr>
              <w:t xml:space="preserve">Patients were stratified </w:t>
            </w:r>
            <w:proofErr w:type="gramStart"/>
            <w:r w:rsidRPr="006F283B">
              <w:rPr>
                <w:rFonts w:ascii="Arial Narrow" w:hAnsi="Arial Narrow"/>
                <w:sz w:val="20"/>
              </w:rPr>
              <w:t>by the use of</w:t>
            </w:r>
            <w:proofErr w:type="gramEnd"/>
            <w:r w:rsidRPr="006F283B">
              <w:rPr>
                <w:rFonts w:ascii="Arial Narrow" w:hAnsi="Arial Narrow"/>
                <w:sz w:val="20"/>
              </w:rPr>
              <w:t xml:space="preserve"> neoadjuvant chemotherapy (yes or no), best response to platinum therapy (CR or PR), and homologous recombination deficiency test status (positive or negative/not determined)</w:t>
            </w:r>
          </w:p>
        </w:tc>
        <w:tc>
          <w:tcPr>
            <w:tcW w:w="668" w:type="pct"/>
            <w:tcBorders>
              <w:top w:val="single" w:sz="4" w:space="0" w:color="auto"/>
              <w:left w:val="single" w:sz="4" w:space="0" w:color="auto"/>
              <w:bottom w:val="single" w:sz="4" w:space="0" w:color="auto"/>
              <w:right w:val="single" w:sz="4" w:space="0" w:color="auto"/>
            </w:tcBorders>
            <w:vAlign w:val="center"/>
          </w:tcPr>
          <w:p w14:paraId="4A8350ED" w14:textId="77777777" w:rsidR="00843998" w:rsidRPr="006F283B" w:rsidRDefault="00843998" w:rsidP="00152220">
            <w:pPr>
              <w:pStyle w:val="TableText"/>
              <w:keepLines/>
              <w:widowControl/>
              <w:jc w:val="center"/>
            </w:pPr>
            <w:r w:rsidRPr="006F283B">
              <w:t>Primary: PFS per BICR</w:t>
            </w:r>
          </w:p>
          <w:p w14:paraId="2AC47894" w14:textId="77777777" w:rsidR="00843998" w:rsidRPr="006F283B" w:rsidRDefault="00843998" w:rsidP="00152220">
            <w:pPr>
              <w:pStyle w:val="TableText"/>
              <w:keepLines/>
              <w:widowControl/>
              <w:jc w:val="center"/>
            </w:pPr>
          </w:p>
          <w:p w14:paraId="4E528F7F" w14:textId="77777777" w:rsidR="00843998" w:rsidRPr="006F283B" w:rsidRDefault="00843998" w:rsidP="00152220">
            <w:pPr>
              <w:pStyle w:val="TableText"/>
              <w:keepLines/>
              <w:widowControl/>
              <w:jc w:val="center"/>
            </w:pPr>
            <w:r w:rsidRPr="006F283B">
              <w:t>Other: OS, safety, HRQoL</w:t>
            </w:r>
          </w:p>
        </w:tc>
        <w:tc>
          <w:tcPr>
            <w:tcW w:w="739" w:type="pct"/>
            <w:tcBorders>
              <w:top w:val="single" w:sz="4" w:space="0" w:color="auto"/>
              <w:left w:val="single" w:sz="4" w:space="0" w:color="auto"/>
              <w:bottom w:val="single" w:sz="4" w:space="0" w:color="auto"/>
              <w:right w:val="single" w:sz="4" w:space="0" w:color="auto"/>
            </w:tcBorders>
            <w:vAlign w:val="center"/>
          </w:tcPr>
          <w:p w14:paraId="5057CAC9" w14:textId="77777777" w:rsidR="00843998" w:rsidRPr="006F283B" w:rsidRDefault="00843998" w:rsidP="00152220">
            <w:pPr>
              <w:pStyle w:val="TableText"/>
              <w:keepLines/>
              <w:widowControl/>
              <w:jc w:val="center"/>
            </w:pPr>
            <w:r w:rsidRPr="006F283B">
              <w:t>PFS</w:t>
            </w:r>
          </w:p>
          <w:p w14:paraId="530B5E14" w14:textId="77777777" w:rsidR="00843998" w:rsidRPr="006F283B" w:rsidRDefault="00843998" w:rsidP="00152220">
            <w:pPr>
              <w:pStyle w:val="TableText"/>
              <w:keepLines/>
              <w:widowControl/>
              <w:jc w:val="center"/>
            </w:pPr>
            <w:r w:rsidRPr="006F283B">
              <w:t>DoT</w:t>
            </w:r>
          </w:p>
        </w:tc>
      </w:tr>
    </w:tbl>
    <w:p w14:paraId="235C5EB8" w14:textId="77777777" w:rsidR="00F73E6C" w:rsidRPr="006F283B" w:rsidRDefault="00F73E6C" w:rsidP="00152220">
      <w:pPr>
        <w:pStyle w:val="TableFooter"/>
        <w:keepLines/>
        <w:widowControl/>
      </w:pPr>
      <w:r w:rsidRPr="006F283B">
        <w:t>Source: Table 47 (p111) of the submission</w:t>
      </w:r>
    </w:p>
    <w:p w14:paraId="07CB18E9" w14:textId="77777777" w:rsidR="00843998" w:rsidRPr="006F283B" w:rsidRDefault="00843998" w:rsidP="00152220">
      <w:pPr>
        <w:pStyle w:val="TableFooter"/>
        <w:keepLines/>
        <w:widowControl/>
        <w:spacing w:after="120"/>
      </w:pPr>
      <w:r w:rsidRPr="006F283B">
        <w:t xml:space="preserve">BICR = blinded independent centralised review; CR = complete response; DB = double blind; DoT = duration of treatment; FIGO = International Federation of Gynecology and Obstetrics; </w:t>
      </w:r>
      <w:r w:rsidRPr="006F283B">
        <w:rPr>
          <w:lang w:eastAsia="zh-CN"/>
        </w:rPr>
        <w:t xml:space="preserve">HRQoL = health-related quality of life; </w:t>
      </w:r>
      <w:r w:rsidRPr="006F283B">
        <w:t>INV = investigator; MC = multicentre; OC = ovarian cancer; PC = placebo controlled; PFS = progression-free survival; Ph III = phase III, PR = partial response; R = randomised; TFST, time to first subsequent anti-cancer therapy.</w:t>
      </w:r>
    </w:p>
    <w:p w14:paraId="04AC2D2E" w14:textId="4FF0FA45" w:rsidR="00843998" w:rsidRPr="006F283B" w:rsidRDefault="00843998" w:rsidP="007E584B">
      <w:pPr>
        <w:pStyle w:val="ListParagraph"/>
        <w:spacing w:before="0" w:after="120"/>
        <w:rPr>
          <w:color w:val="auto"/>
        </w:rPr>
      </w:pPr>
      <w:r w:rsidRPr="006F283B">
        <w:rPr>
          <w:color w:val="auto"/>
        </w:rPr>
        <w:lastRenderedPageBreak/>
        <w:t xml:space="preserve">Overall, </w:t>
      </w:r>
      <w:r w:rsidR="00836F86" w:rsidRPr="006F283B">
        <w:rPr>
          <w:color w:val="auto"/>
        </w:rPr>
        <w:t xml:space="preserve">the ITT results from </w:t>
      </w:r>
      <w:r w:rsidRPr="006F283B">
        <w:rPr>
          <w:color w:val="auto"/>
        </w:rPr>
        <w:t xml:space="preserve">PRIMA </w:t>
      </w:r>
      <w:r w:rsidR="00220815" w:rsidRPr="006F283B">
        <w:rPr>
          <w:color w:val="auto"/>
        </w:rPr>
        <w:t xml:space="preserve">were </w:t>
      </w:r>
      <w:r w:rsidRPr="006F283B">
        <w:rPr>
          <w:color w:val="auto"/>
        </w:rPr>
        <w:t xml:space="preserve">considered to have a low risk of bias. However, patients were not stratified by </w:t>
      </w:r>
      <w:r w:rsidR="001152C0" w:rsidRPr="001152C0">
        <w:rPr>
          <w:i/>
          <w:iCs/>
          <w:color w:val="auto"/>
        </w:rPr>
        <w:t xml:space="preserve">BRCA </w:t>
      </w:r>
      <w:r w:rsidRPr="006F283B">
        <w:rPr>
          <w:color w:val="auto"/>
        </w:rPr>
        <w:t>status</w:t>
      </w:r>
      <w:r w:rsidR="00836F86" w:rsidRPr="006F283B">
        <w:rPr>
          <w:color w:val="auto"/>
        </w:rPr>
        <w:t xml:space="preserve">, therefore </w:t>
      </w:r>
      <w:r w:rsidRPr="006F283B">
        <w:rPr>
          <w:color w:val="auto"/>
        </w:rPr>
        <w:t xml:space="preserve">the HRD positive </w:t>
      </w:r>
      <w:r w:rsidR="001152C0" w:rsidRPr="001152C0">
        <w:rPr>
          <w:i/>
          <w:iCs/>
          <w:color w:val="auto"/>
        </w:rPr>
        <w:t>BRCAwt</w:t>
      </w:r>
      <w:r w:rsidRPr="006F283B">
        <w:rPr>
          <w:color w:val="auto"/>
        </w:rPr>
        <w:t xml:space="preserve"> and complementary </w:t>
      </w:r>
      <w:r w:rsidR="00220815" w:rsidRPr="006F283B">
        <w:rPr>
          <w:color w:val="auto"/>
        </w:rPr>
        <w:t xml:space="preserve">HRD </w:t>
      </w:r>
      <w:r w:rsidRPr="006F283B">
        <w:rPr>
          <w:color w:val="auto"/>
        </w:rPr>
        <w:t xml:space="preserve">negative </w:t>
      </w:r>
      <w:r w:rsidR="001152C0" w:rsidRPr="001152C0">
        <w:rPr>
          <w:i/>
          <w:iCs/>
          <w:color w:val="auto"/>
        </w:rPr>
        <w:t>BRCAwt</w:t>
      </w:r>
      <w:r w:rsidRPr="006F283B">
        <w:rPr>
          <w:color w:val="auto"/>
        </w:rPr>
        <w:t xml:space="preserve"> subgroups were partially non-randomised between treatment arms which could lead to higher risk of selection bias. The statistical analysis plan for PRIMA also did not include the HRD positive </w:t>
      </w:r>
      <w:r w:rsidR="001152C0" w:rsidRPr="001152C0">
        <w:rPr>
          <w:i/>
          <w:iCs/>
          <w:color w:val="auto"/>
        </w:rPr>
        <w:t>BRCAwt</w:t>
      </w:r>
      <w:r w:rsidRPr="006F283B">
        <w:rPr>
          <w:color w:val="auto"/>
        </w:rPr>
        <w:t xml:space="preserve"> subgroup, therefore the results from this subgroup</w:t>
      </w:r>
      <w:r w:rsidR="00725477" w:rsidRPr="006F283B">
        <w:rPr>
          <w:color w:val="auto"/>
        </w:rPr>
        <w:t xml:space="preserve"> should be considered exploratory and</w:t>
      </w:r>
      <w:r w:rsidRPr="006F283B">
        <w:rPr>
          <w:color w:val="auto"/>
        </w:rPr>
        <w:t xml:space="preserve"> were associated with </w:t>
      </w:r>
      <w:r w:rsidR="00725477" w:rsidRPr="006F283B">
        <w:rPr>
          <w:color w:val="auto"/>
        </w:rPr>
        <w:t xml:space="preserve">risk of </w:t>
      </w:r>
      <w:r w:rsidRPr="006F283B">
        <w:rPr>
          <w:color w:val="auto"/>
        </w:rPr>
        <w:t>higher detection bias. Further, as the November 2021 DCO was unplanned, all analyses, including all subgroup analyses are therefore associated with additional risk of detection bias.</w:t>
      </w:r>
    </w:p>
    <w:p w14:paraId="5C4DDFA7" w14:textId="77777777" w:rsidR="00843998" w:rsidRPr="006F283B" w:rsidRDefault="00843998" w:rsidP="00F029F7">
      <w:pPr>
        <w:pStyle w:val="4-SubsectionHeading"/>
      </w:pPr>
      <w:bookmarkStart w:id="66" w:name="_Toc95298224"/>
      <w:bookmarkStart w:id="67" w:name="_Toc123646833"/>
      <w:bookmarkStart w:id="68" w:name="_Toc123646934"/>
      <w:bookmarkStart w:id="69" w:name="_Toc123647169"/>
      <w:bookmarkStart w:id="70" w:name="_Toc124937093"/>
      <w:r w:rsidRPr="006F283B">
        <w:t>Comparative effectiveness</w:t>
      </w:r>
      <w:bookmarkEnd w:id="66"/>
      <w:bookmarkEnd w:id="67"/>
      <w:bookmarkEnd w:id="68"/>
      <w:bookmarkEnd w:id="69"/>
      <w:bookmarkEnd w:id="70"/>
    </w:p>
    <w:p w14:paraId="3289EE5F" w14:textId="527F858D" w:rsidR="00843998" w:rsidRPr="006F283B" w:rsidRDefault="00843998" w:rsidP="007E584B">
      <w:pPr>
        <w:pStyle w:val="ListParagraph"/>
        <w:spacing w:before="0" w:after="120"/>
        <w:rPr>
          <w:color w:val="auto"/>
        </w:rPr>
      </w:pPr>
      <w:r w:rsidRPr="006F283B">
        <w:rPr>
          <w:color w:val="auto"/>
        </w:rPr>
        <w:t xml:space="preserve">The requested population of HRD positive </w:t>
      </w:r>
      <w:r w:rsidR="001152C0" w:rsidRPr="001152C0">
        <w:rPr>
          <w:i/>
          <w:iCs/>
          <w:color w:val="auto"/>
        </w:rPr>
        <w:t>BRCAwt</w:t>
      </w:r>
      <w:r w:rsidRPr="006F283B">
        <w:rPr>
          <w:color w:val="auto"/>
        </w:rPr>
        <w:t xml:space="preserve"> HGEOC patients </w:t>
      </w:r>
      <w:r w:rsidR="00A54852" w:rsidRPr="006F283B">
        <w:rPr>
          <w:color w:val="auto"/>
        </w:rPr>
        <w:t xml:space="preserve">was </w:t>
      </w:r>
      <w:r w:rsidRPr="006F283B">
        <w:rPr>
          <w:color w:val="auto"/>
        </w:rPr>
        <w:t xml:space="preserve">a subpopulation of PRIMA. </w:t>
      </w:r>
      <w:r w:rsidR="006D30D4" w:rsidRPr="006F283B">
        <w:rPr>
          <w:color w:val="auto"/>
        </w:rPr>
        <w:t>T</w:t>
      </w:r>
      <w:r w:rsidRPr="006F283B">
        <w:rPr>
          <w:color w:val="auto"/>
        </w:rPr>
        <w:t xml:space="preserve">he PBAC has previously considered data from PRIMA in the ITT population </w:t>
      </w:r>
      <w:bookmarkStart w:id="71" w:name="_Hlk130481925"/>
      <w:r w:rsidRPr="006F283B">
        <w:rPr>
          <w:color w:val="auto"/>
        </w:rPr>
        <w:t>at the primary data cut-off (DCO) of May 2019 (median follow-up ~</w:t>
      </w:r>
      <w:r w:rsidR="006B0D16" w:rsidRPr="006F283B">
        <w:rPr>
          <w:color w:val="auto"/>
        </w:rPr>
        <w:t>15</w:t>
      </w:r>
      <w:r w:rsidR="006B0D16">
        <w:rPr>
          <w:color w:val="auto"/>
        </w:rPr>
        <w:t> </w:t>
      </w:r>
      <w:r w:rsidRPr="006F283B">
        <w:rPr>
          <w:color w:val="auto"/>
        </w:rPr>
        <w:t xml:space="preserve">months), while PFS data presented in the current submission from the interim November 2021 DCO (median follow up ~3.5 years) </w:t>
      </w:r>
      <w:bookmarkEnd w:id="71"/>
      <w:r w:rsidRPr="006F283B">
        <w:rPr>
          <w:color w:val="auto"/>
        </w:rPr>
        <w:t>has not previously been considered by the PBAC.</w:t>
      </w:r>
      <w:r w:rsidR="004D5A65" w:rsidRPr="006F283B">
        <w:rPr>
          <w:color w:val="auto"/>
        </w:rPr>
        <w:t xml:space="preserve"> </w:t>
      </w:r>
    </w:p>
    <w:p w14:paraId="708A9125" w14:textId="34A98BB8" w:rsidR="00843998" w:rsidRPr="006F283B" w:rsidRDefault="00843998" w:rsidP="007E584B">
      <w:pPr>
        <w:pStyle w:val="ListParagraph"/>
        <w:spacing w:before="0" w:after="120"/>
        <w:rPr>
          <w:color w:val="auto"/>
        </w:rPr>
      </w:pPr>
      <w:r w:rsidRPr="006F283B">
        <w:rPr>
          <w:color w:val="auto"/>
        </w:rPr>
        <w:t xml:space="preserve">The number of patients in the HRD positive </w:t>
      </w:r>
      <w:r w:rsidR="001152C0" w:rsidRPr="001152C0">
        <w:rPr>
          <w:i/>
          <w:iCs/>
          <w:color w:val="auto"/>
        </w:rPr>
        <w:t>BRCAwt</w:t>
      </w:r>
      <w:r w:rsidRPr="006F283B">
        <w:rPr>
          <w:color w:val="auto"/>
        </w:rPr>
        <w:t xml:space="preserve"> subgroup was small (n=1</w:t>
      </w:r>
      <w:r w:rsidR="00E77BE0" w:rsidRPr="006F283B">
        <w:rPr>
          <w:color w:val="auto"/>
        </w:rPr>
        <w:t>50</w:t>
      </w:r>
      <w:r w:rsidRPr="006F283B">
        <w:rPr>
          <w:color w:val="auto"/>
        </w:rPr>
        <w:t xml:space="preserve">) compared to the ITT population (N=733) and may not be sufficiently powered to detect differences between treatments. </w:t>
      </w:r>
    </w:p>
    <w:p w14:paraId="0EEF2218" w14:textId="3FA4C9ED" w:rsidR="00843998" w:rsidRPr="006F283B" w:rsidRDefault="00843998" w:rsidP="007E584B">
      <w:pPr>
        <w:pStyle w:val="ListParagraph"/>
        <w:spacing w:before="0" w:after="120"/>
        <w:rPr>
          <w:color w:val="auto"/>
        </w:rPr>
      </w:pPr>
      <w:r w:rsidRPr="006F283B">
        <w:t xml:space="preserve">A summary of the investigator assessed (INV) PFS and PFS </w:t>
      </w:r>
      <w:bookmarkStart w:id="72" w:name="_Hlk130481964"/>
      <w:r w:rsidRPr="006F283B">
        <w:t xml:space="preserve">per blinded independent central review (BICR) </w:t>
      </w:r>
      <w:bookmarkEnd w:id="72"/>
      <w:r w:rsidRPr="006F283B">
        <w:rPr>
          <w:color w:val="auto"/>
        </w:rPr>
        <w:t>from the May 2019 DCO in PRIMA and INV PFS at the November 2021 DCO</w:t>
      </w:r>
      <w:r w:rsidRPr="006F283B">
        <w:t xml:space="preserve">, conditional on biomarker status is provided in </w:t>
      </w:r>
      <w:r w:rsidRPr="006F283B">
        <w:fldChar w:fldCharType="begin" w:fldLock="1"/>
      </w:r>
      <w:r w:rsidRPr="006F283B">
        <w:instrText xml:space="preserve"> REF _Ref121201049 \h </w:instrText>
      </w:r>
      <w:r w:rsidRPr="006F283B">
        <w:fldChar w:fldCharType="separate"/>
      </w:r>
      <w:r w:rsidR="00305654" w:rsidRPr="006F283B">
        <w:t xml:space="preserve">Table </w:t>
      </w:r>
      <w:r w:rsidR="00305654">
        <w:rPr>
          <w:noProof/>
        </w:rPr>
        <w:t>6</w:t>
      </w:r>
      <w:r w:rsidRPr="006F283B">
        <w:fldChar w:fldCharType="end"/>
      </w:r>
      <w:r w:rsidRPr="006F283B">
        <w:t>.</w:t>
      </w:r>
      <w:bookmarkStart w:id="73" w:name="_Toc487029168"/>
      <w:bookmarkStart w:id="74" w:name="_Toc433202796"/>
      <w:r w:rsidRPr="006F283B">
        <w:t xml:space="preserve"> A more detailed breakdown of PFS at landmark timepoints in the requested HRD positive </w:t>
      </w:r>
      <w:r w:rsidR="001152C0" w:rsidRPr="001152C0">
        <w:rPr>
          <w:i/>
          <w:iCs/>
        </w:rPr>
        <w:t>BRCAwt</w:t>
      </w:r>
      <w:r w:rsidRPr="006F283B">
        <w:t xml:space="preserve"> subgroup at the November 2021 DCO is presented in </w:t>
      </w:r>
      <w:r w:rsidRPr="006F283B">
        <w:fldChar w:fldCharType="begin" w:fldLock="1"/>
      </w:r>
      <w:r w:rsidRPr="006F283B">
        <w:instrText xml:space="preserve"> REF _Ref121201117 \h </w:instrText>
      </w:r>
      <w:r w:rsidRPr="006F283B">
        <w:fldChar w:fldCharType="separate"/>
      </w:r>
      <w:r w:rsidR="00305654" w:rsidRPr="006F283B">
        <w:t xml:space="preserve">Table </w:t>
      </w:r>
      <w:r w:rsidR="00305654">
        <w:rPr>
          <w:noProof/>
        </w:rPr>
        <w:t>7</w:t>
      </w:r>
      <w:r w:rsidRPr="006F283B">
        <w:fldChar w:fldCharType="end"/>
      </w:r>
      <w:r w:rsidRPr="006F283B">
        <w:t>.</w:t>
      </w:r>
    </w:p>
    <w:p w14:paraId="06FBAAB2" w14:textId="3CD6705E" w:rsidR="00843998" w:rsidRPr="006F283B" w:rsidRDefault="00E67EA2" w:rsidP="00152220">
      <w:pPr>
        <w:pStyle w:val="Caption"/>
        <w:pageBreakBefore/>
      </w:pPr>
      <w:bookmarkStart w:id="75" w:name="_Ref121201049"/>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6</w:t>
      </w:r>
      <w:r w:rsidR="00091054">
        <w:rPr>
          <w:noProof/>
        </w:rPr>
        <w:fldChar w:fldCharType="end"/>
      </w:r>
      <w:bookmarkEnd w:id="75"/>
      <w:r w:rsidR="007E584B">
        <w:t xml:space="preserve">: </w:t>
      </w:r>
      <w:r w:rsidR="00843998" w:rsidRPr="006F283B">
        <w:t>PFS subgroup results in PRIMA</w:t>
      </w:r>
    </w:p>
    <w:tbl>
      <w:tblPr>
        <w:tblStyle w:val="ASDTable1"/>
        <w:tblW w:w="0" w:type="auto"/>
        <w:tblLook w:val="04A0" w:firstRow="1" w:lastRow="0" w:firstColumn="1" w:lastColumn="0" w:noHBand="0" w:noVBand="1"/>
      </w:tblPr>
      <w:tblGrid>
        <w:gridCol w:w="1555"/>
        <w:gridCol w:w="1243"/>
        <w:gridCol w:w="1244"/>
        <w:gridCol w:w="1243"/>
        <w:gridCol w:w="1244"/>
        <w:gridCol w:w="1243"/>
        <w:gridCol w:w="1244"/>
      </w:tblGrid>
      <w:tr w:rsidR="00843998" w:rsidRPr="006F283B" w14:paraId="309A759B" w14:textId="77777777" w:rsidTr="00527A80">
        <w:tc>
          <w:tcPr>
            <w:tcW w:w="1555" w:type="dxa"/>
            <w:vMerge w:val="restart"/>
            <w:vAlign w:val="center"/>
          </w:tcPr>
          <w:p w14:paraId="7FD01613" w14:textId="77777777" w:rsidR="00843998" w:rsidRPr="006F283B" w:rsidRDefault="00843998" w:rsidP="00456738">
            <w:pPr>
              <w:spacing w:before="0"/>
              <w:jc w:val="left"/>
              <w:rPr>
                <w:rFonts w:ascii="Arial Narrow" w:hAnsi="Arial Narrow"/>
                <w:sz w:val="20"/>
              </w:rPr>
            </w:pPr>
          </w:p>
        </w:tc>
        <w:tc>
          <w:tcPr>
            <w:tcW w:w="4974" w:type="dxa"/>
            <w:gridSpan w:val="4"/>
          </w:tcPr>
          <w:p w14:paraId="6CEBC592"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May 2019 (primary DCO)</w:t>
            </w:r>
          </w:p>
        </w:tc>
        <w:tc>
          <w:tcPr>
            <w:tcW w:w="2487" w:type="dxa"/>
            <w:gridSpan w:val="2"/>
          </w:tcPr>
          <w:p w14:paraId="2C0756D2"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November 2021 DCO</w:t>
            </w:r>
          </w:p>
        </w:tc>
      </w:tr>
      <w:tr w:rsidR="006F1F48" w:rsidRPr="006F283B" w14:paraId="18511AAE" w14:textId="77777777" w:rsidTr="00527A80">
        <w:tc>
          <w:tcPr>
            <w:tcW w:w="1555" w:type="dxa"/>
            <w:vMerge/>
            <w:vAlign w:val="center"/>
          </w:tcPr>
          <w:p w14:paraId="309E8171" w14:textId="77777777" w:rsidR="00843998" w:rsidRPr="006F283B" w:rsidRDefault="00843998" w:rsidP="00456738">
            <w:pPr>
              <w:spacing w:before="0"/>
              <w:jc w:val="left"/>
              <w:rPr>
                <w:rFonts w:ascii="Arial Narrow" w:hAnsi="Arial Narrow"/>
                <w:sz w:val="20"/>
              </w:rPr>
            </w:pPr>
          </w:p>
        </w:tc>
        <w:tc>
          <w:tcPr>
            <w:tcW w:w="2487" w:type="dxa"/>
            <w:gridSpan w:val="2"/>
          </w:tcPr>
          <w:p w14:paraId="4BD8A67D"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Per BICR</w:t>
            </w:r>
          </w:p>
        </w:tc>
        <w:tc>
          <w:tcPr>
            <w:tcW w:w="2487" w:type="dxa"/>
            <w:gridSpan w:val="2"/>
          </w:tcPr>
          <w:p w14:paraId="5177EC77"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INV PFS</w:t>
            </w:r>
          </w:p>
        </w:tc>
        <w:tc>
          <w:tcPr>
            <w:tcW w:w="2487" w:type="dxa"/>
            <w:gridSpan w:val="2"/>
          </w:tcPr>
          <w:p w14:paraId="00B77005"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INV PFS</w:t>
            </w:r>
          </w:p>
        </w:tc>
      </w:tr>
      <w:tr w:rsidR="006F1F48" w:rsidRPr="006F283B" w14:paraId="08555D03" w14:textId="77777777" w:rsidTr="00527A80">
        <w:tc>
          <w:tcPr>
            <w:tcW w:w="1555" w:type="dxa"/>
            <w:vMerge/>
            <w:vAlign w:val="center"/>
          </w:tcPr>
          <w:p w14:paraId="7A7934CA" w14:textId="77777777" w:rsidR="00843998" w:rsidRPr="006F283B" w:rsidRDefault="00843998" w:rsidP="00456738">
            <w:pPr>
              <w:spacing w:before="0"/>
              <w:jc w:val="left"/>
              <w:rPr>
                <w:rFonts w:ascii="Arial Narrow" w:hAnsi="Arial Narrow"/>
                <w:sz w:val="20"/>
              </w:rPr>
            </w:pPr>
          </w:p>
        </w:tc>
        <w:tc>
          <w:tcPr>
            <w:tcW w:w="1243" w:type="dxa"/>
          </w:tcPr>
          <w:p w14:paraId="16EB1BD7"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NIRA</w:t>
            </w:r>
          </w:p>
        </w:tc>
        <w:tc>
          <w:tcPr>
            <w:tcW w:w="1244" w:type="dxa"/>
          </w:tcPr>
          <w:p w14:paraId="5497B8EF"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PBO</w:t>
            </w:r>
          </w:p>
        </w:tc>
        <w:tc>
          <w:tcPr>
            <w:tcW w:w="1243" w:type="dxa"/>
          </w:tcPr>
          <w:p w14:paraId="5B9E7AA5"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NIRA</w:t>
            </w:r>
          </w:p>
        </w:tc>
        <w:tc>
          <w:tcPr>
            <w:tcW w:w="1244" w:type="dxa"/>
          </w:tcPr>
          <w:p w14:paraId="69D3F344"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PBO</w:t>
            </w:r>
          </w:p>
        </w:tc>
        <w:tc>
          <w:tcPr>
            <w:tcW w:w="1243" w:type="dxa"/>
          </w:tcPr>
          <w:p w14:paraId="0328640E"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NIRA</w:t>
            </w:r>
          </w:p>
        </w:tc>
        <w:tc>
          <w:tcPr>
            <w:tcW w:w="1244" w:type="dxa"/>
          </w:tcPr>
          <w:p w14:paraId="3F93133A" w14:textId="77777777" w:rsidR="00843998" w:rsidRPr="006F283B" w:rsidRDefault="00843998" w:rsidP="004E1FEC">
            <w:pPr>
              <w:spacing w:before="0"/>
              <w:jc w:val="center"/>
              <w:rPr>
                <w:rFonts w:ascii="Arial Narrow" w:hAnsi="Arial Narrow"/>
                <w:b/>
                <w:bCs/>
                <w:sz w:val="20"/>
              </w:rPr>
            </w:pPr>
            <w:r w:rsidRPr="006F283B">
              <w:rPr>
                <w:rFonts w:ascii="Arial Narrow" w:hAnsi="Arial Narrow"/>
                <w:b/>
                <w:bCs/>
                <w:sz w:val="20"/>
              </w:rPr>
              <w:t>PBO</w:t>
            </w:r>
          </w:p>
        </w:tc>
      </w:tr>
      <w:tr w:rsidR="00843998" w:rsidRPr="006F283B" w14:paraId="5490129E" w14:textId="77777777" w:rsidTr="00456738">
        <w:tc>
          <w:tcPr>
            <w:tcW w:w="9016" w:type="dxa"/>
            <w:gridSpan w:val="7"/>
            <w:vAlign w:val="center"/>
          </w:tcPr>
          <w:p w14:paraId="4DDDE467" w14:textId="77777777" w:rsidR="00843998" w:rsidRPr="006F283B" w:rsidRDefault="00843998" w:rsidP="00456738">
            <w:pPr>
              <w:spacing w:before="0"/>
              <w:jc w:val="left"/>
              <w:rPr>
                <w:rFonts w:ascii="Arial Narrow" w:hAnsi="Arial Narrow"/>
                <w:sz w:val="20"/>
              </w:rPr>
            </w:pPr>
            <w:r w:rsidRPr="006F283B">
              <w:rPr>
                <w:rFonts w:ascii="Arial Narrow" w:hAnsi="Arial Narrow"/>
                <w:b/>
                <w:bCs/>
                <w:sz w:val="20"/>
              </w:rPr>
              <w:t>ITT</w:t>
            </w:r>
          </w:p>
        </w:tc>
      </w:tr>
      <w:tr w:rsidR="006F1F48" w:rsidRPr="006F283B" w14:paraId="788CFC83" w14:textId="77777777" w:rsidTr="00527A80">
        <w:tc>
          <w:tcPr>
            <w:tcW w:w="1555" w:type="dxa"/>
            <w:vAlign w:val="center"/>
          </w:tcPr>
          <w:p w14:paraId="36271103"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Events, n/</w:t>
            </w:r>
            <w:proofErr w:type="gramStart"/>
            <w:r w:rsidRPr="006F283B">
              <w:rPr>
                <w:rFonts w:ascii="Arial Narrow" w:hAnsi="Arial Narrow"/>
                <w:sz w:val="20"/>
              </w:rPr>
              <w:t>N(</w:t>
            </w:r>
            <w:proofErr w:type="gramEnd"/>
            <w:r w:rsidRPr="006F283B">
              <w:rPr>
                <w:rFonts w:ascii="Arial Narrow" w:hAnsi="Arial Narrow"/>
                <w:sz w:val="20"/>
              </w:rPr>
              <w:t>%)</w:t>
            </w:r>
          </w:p>
        </w:tc>
        <w:tc>
          <w:tcPr>
            <w:tcW w:w="1243" w:type="dxa"/>
            <w:shd w:val="clear" w:color="auto" w:fill="BDD6EE" w:themeFill="accent1" w:themeFillTint="66"/>
          </w:tcPr>
          <w:p w14:paraId="13C48339"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232/487</w:t>
            </w:r>
          </w:p>
          <w:p w14:paraId="74EAE118"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(47.6)</w:t>
            </w:r>
          </w:p>
        </w:tc>
        <w:tc>
          <w:tcPr>
            <w:tcW w:w="1244" w:type="dxa"/>
            <w:shd w:val="clear" w:color="auto" w:fill="BDD6EE" w:themeFill="accent1" w:themeFillTint="66"/>
          </w:tcPr>
          <w:p w14:paraId="71CA492E"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155/246 (64.0)</w:t>
            </w:r>
          </w:p>
        </w:tc>
        <w:tc>
          <w:tcPr>
            <w:tcW w:w="1243" w:type="dxa"/>
            <w:shd w:val="clear" w:color="auto" w:fill="BDD6EE" w:themeFill="accent1" w:themeFillTint="66"/>
          </w:tcPr>
          <w:p w14:paraId="78666677"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255/487</w:t>
            </w:r>
          </w:p>
          <w:p w14:paraId="0B75CDB5"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 xml:space="preserve"> (52.4)</w:t>
            </w:r>
          </w:p>
        </w:tc>
        <w:tc>
          <w:tcPr>
            <w:tcW w:w="1244" w:type="dxa"/>
            <w:shd w:val="clear" w:color="auto" w:fill="BDD6EE" w:themeFill="accent1" w:themeFillTint="66"/>
          </w:tcPr>
          <w:p w14:paraId="41615093"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166/246 (67.5)</w:t>
            </w:r>
          </w:p>
        </w:tc>
        <w:tc>
          <w:tcPr>
            <w:tcW w:w="1243" w:type="dxa"/>
          </w:tcPr>
          <w:p w14:paraId="4D5CFD9B"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332/487 (68.2)</w:t>
            </w:r>
          </w:p>
        </w:tc>
        <w:tc>
          <w:tcPr>
            <w:tcW w:w="1244" w:type="dxa"/>
          </w:tcPr>
          <w:p w14:paraId="0379F3DC"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199/246 (80.9)</w:t>
            </w:r>
          </w:p>
        </w:tc>
      </w:tr>
      <w:tr w:rsidR="006F1F48" w:rsidRPr="006F283B" w14:paraId="217E585F" w14:textId="77777777" w:rsidTr="00527A80">
        <w:tc>
          <w:tcPr>
            <w:tcW w:w="1555" w:type="dxa"/>
            <w:vAlign w:val="center"/>
          </w:tcPr>
          <w:p w14:paraId="53C01344"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Median months (95%CI)</w:t>
            </w:r>
          </w:p>
        </w:tc>
        <w:tc>
          <w:tcPr>
            <w:tcW w:w="1243" w:type="dxa"/>
            <w:shd w:val="clear" w:color="auto" w:fill="BDD6EE" w:themeFill="accent1" w:themeFillTint="66"/>
          </w:tcPr>
          <w:p w14:paraId="0AB00447"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13.8</w:t>
            </w:r>
          </w:p>
          <w:p w14:paraId="1DA0D2D7"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(11.5, 14.9)</w:t>
            </w:r>
          </w:p>
        </w:tc>
        <w:tc>
          <w:tcPr>
            <w:tcW w:w="1244" w:type="dxa"/>
            <w:shd w:val="clear" w:color="auto" w:fill="BDD6EE" w:themeFill="accent1" w:themeFillTint="66"/>
          </w:tcPr>
          <w:p w14:paraId="3DC53AAD"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8.2</w:t>
            </w:r>
          </w:p>
          <w:p w14:paraId="5268DE01"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(7.3, 8.5)</w:t>
            </w:r>
          </w:p>
        </w:tc>
        <w:tc>
          <w:tcPr>
            <w:tcW w:w="1243" w:type="dxa"/>
            <w:shd w:val="clear" w:color="auto" w:fill="BDD6EE" w:themeFill="accent1" w:themeFillTint="66"/>
          </w:tcPr>
          <w:p w14:paraId="1C19C06E"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13.8</w:t>
            </w:r>
          </w:p>
          <w:p w14:paraId="22F7FD4D"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(11.3, 14.2)</w:t>
            </w:r>
          </w:p>
        </w:tc>
        <w:tc>
          <w:tcPr>
            <w:tcW w:w="1244" w:type="dxa"/>
            <w:shd w:val="clear" w:color="auto" w:fill="BDD6EE" w:themeFill="accent1" w:themeFillTint="66"/>
          </w:tcPr>
          <w:p w14:paraId="1EBD3570"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8.2</w:t>
            </w:r>
          </w:p>
          <w:p w14:paraId="5BB7C195"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(7.6, 9.8)</w:t>
            </w:r>
          </w:p>
        </w:tc>
        <w:tc>
          <w:tcPr>
            <w:tcW w:w="1243" w:type="dxa"/>
          </w:tcPr>
          <w:p w14:paraId="338A5E4D"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13.8</w:t>
            </w:r>
          </w:p>
          <w:p w14:paraId="5E507C66"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(11.9, 16.3)</w:t>
            </w:r>
          </w:p>
        </w:tc>
        <w:tc>
          <w:tcPr>
            <w:tcW w:w="1244" w:type="dxa"/>
          </w:tcPr>
          <w:p w14:paraId="50C13962"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8.2</w:t>
            </w:r>
          </w:p>
          <w:p w14:paraId="1FC346C3"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(7.6, 9.8)</w:t>
            </w:r>
          </w:p>
        </w:tc>
      </w:tr>
      <w:tr w:rsidR="006F1F48" w:rsidRPr="006F283B" w14:paraId="12852625" w14:textId="77777777" w:rsidTr="00527A80">
        <w:tc>
          <w:tcPr>
            <w:tcW w:w="1555" w:type="dxa"/>
            <w:vAlign w:val="center"/>
          </w:tcPr>
          <w:p w14:paraId="0710EA77"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PFS HR (95%CI)</w:t>
            </w:r>
          </w:p>
        </w:tc>
        <w:tc>
          <w:tcPr>
            <w:tcW w:w="2487" w:type="dxa"/>
            <w:gridSpan w:val="2"/>
            <w:shd w:val="clear" w:color="auto" w:fill="BDD6EE" w:themeFill="accent1" w:themeFillTint="66"/>
            <w:vAlign w:val="center"/>
          </w:tcPr>
          <w:p w14:paraId="2EFF8251" w14:textId="77777777" w:rsidR="00843998" w:rsidRPr="006F283B" w:rsidRDefault="00843998" w:rsidP="00456738">
            <w:pPr>
              <w:spacing w:before="0"/>
              <w:jc w:val="center"/>
              <w:rPr>
                <w:rFonts w:ascii="Arial Narrow" w:hAnsi="Arial Narrow"/>
                <w:sz w:val="20"/>
              </w:rPr>
            </w:pPr>
            <w:r w:rsidRPr="006F283B">
              <w:rPr>
                <w:rFonts w:ascii="Arial Narrow" w:eastAsia="MS Gothic" w:hAnsi="Arial Narrow"/>
                <w:b/>
                <w:bCs/>
                <w:sz w:val="20"/>
              </w:rPr>
              <w:t>0.62 (0.502, 0.755), p&lt;0.0001</w:t>
            </w:r>
          </w:p>
        </w:tc>
        <w:tc>
          <w:tcPr>
            <w:tcW w:w="2487" w:type="dxa"/>
            <w:gridSpan w:val="2"/>
            <w:shd w:val="clear" w:color="auto" w:fill="BDD6EE" w:themeFill="accent1" w:themeFillTint="66"/>
            <w:vAlign w:val="center"/>
          </w:tcPr>
          <w:p w14:paraId="1B3721EA" w14:textId="77777777" w:rsidR="00843998" w:rsidRPr="006F283B" w:rsidRDefault="00843998" w:rsidP="00456738">
            <w:pPr>
              <w:spacing w:before="0"/>
              <w:jc w:val="center"/>
              <w:rPr>
                <w:rFonts w:ascii="Arial Narrow" w:eastAsia="MS Gothic" w:hAnsi="Arial Narrow"/>
                <w:b/>
                <w:bCs/>
                <w:sz w:val="20"/>
              </w:rPr>
            </w:pPr>
            <w:r w:rsidRPr="006F283B">
              <w:rPr>
                <w:rFonts w:ascii="Arial Narrow" w:eastAsia="MS Gothic" w:hAnsi="Arial Narrow"/>
                <w:b/>
                <w:bCs/>
                <w:sz w:val="20"/>
              </w:rPr>
              <w:t>0.</w:t>
            </w:r>
            <w:r w:rsidRPr="006F283B">
              <w:rPr>
                <w:rFonts w:ascii="Arial Narrow" w:eastAsia="MS Gothic" w:hAnsi="Arial Narrow"/>
                <w:b/>
                <w:bCs/>
                <w:sz w:val="20"/>
                <w:shd w:val="clear" w:color="auto" w:fill="BDD6EE" w:themeFill="accent1" w:themeFillTint="66"/>
              </w:rPr>
              <w:t>63 (0.</w:t>
            </w:r>
            <w:r w:rsidRPr="006F283B">
              <w:rPr>
                <w:rFonts w:ascii="Arial Narrow" w:eastAsia="MS Gothic" w:hAnsi="Arial Narrow"/>
                <w:b/>
                <w:bCs/>
                <w:sz w:val="20"/>
              </w:rPr>
              <w:t>514, 0.763),</w:t>
            </w:r>
          </w:p>
          <w:p w14:paraId="2D1CC23C" w14:textId="77777777" w:rsidR="00843998" w:rsidRPr="006F283B" w:rsidRDefault="00843998" w:rsidP="00456738">
            <w:pPr>
              <w:spacing w:before="0"/>
              <w:jc w:val="center"/>
              <w:rPr>
                <w:rFonts w:ascii="Arial Narrow" w:hAnsi="Arial Narrow"/>
                <w:sz w:val="20"/>
              </w:rPr>
            </w:pPr>
            <w:r w:rsidRPr="006F283B">
              <w:rPr>
                <w:rFonts w:ascii="Arial Narrow" w:eastAsia="MS Gothic" w:hAnsi="Arial Narrow"/>
                <w:b/>
                <w:bCs/>
                <w:sz w:val="20"/>
              </w:rPr>
              <w:t>p &lt;0.0001</w:t>
            </w:r>
          </w:p>
        </w:tc>
        <w:tc>
          <w:tcPr>
            <w:tcW w:w="2487" w:type="dxa"/>
            <w:gridSpan w:val="2"/>
            <w:vAlign w:val="center"/>
          </w:tcPr>
          <w:p w14:paraId="4354426D" w14:textId="77777777" w:rsidR="00843998" w:rsidRPr="006F283B" w:rsidRDefault="00843998" w:rsidP="00456738">
            <w:pPr>
              <w:spacing w:before="0"/>
              <w:jc w:val="center"/>
              <w:rPr>
                <w:rFonts w:ascii="Arial Narrow" w:hAnsi="Arial Narrow"/>
                <w:sz w:val="20"/>
              </w:rPr>
            </w:pPr>
            <w:r w:rsidRPr="006F283B">
              <w:rPr>
                <w:rFonts w:ascii="Arial Narrow" w:eastAsia="MS Gothic" w:hAnsi="Arial Narrow"/>
                <w:b/>
                <w:bCs/>
                <w:sz w:val="20"/>
              </w:rPr>
              <w:t>0.66 (0.556, 0.792), p&lt;0.0001</w:t>
            </w:r>
          </w:p>
        </w:tc>
      </w:tr>
      <w:tr w:rsidR="00843998" w:rsidRPr="006F283B" w14:paraId="566F929F" w14:textId="77777777" w:rsidTr="00456738">
        <w:tc>
          <w:tcPr>
            <w:tcW w:w="9016" w:type="dxa"/>
            <w:gridSpan w:val="7"/>
            <w:vAlign w:val="center"/>
          </w:tcPr>
          <w:p w14:paraId="1915050D" w14:textId="1DADAC68" w:rsidR="00843998" w:rsidRPr="006F283B" w:rsidRDefault="00843998" w:rsidP="00456738">
            <w:pPr>
              <w:spacing w:before="0"/>
              <w:jc w:val="left"/>
              <w:rPr>
                <w:rFonts w:ascii="Arial Narrow" w:hAnsi="Arial Narrow"/>
                <w:sz w:val="20"/>
              </w:rPr>
            </w:pPr>
            <w:r w:rsidRPr="006F283B">
              <w:rPr>
                <w:rFonts w:ascii="Arial Narrow" w:hAnsi="Arial Narrow"/>
                <w:b/>
                <w:bCs/>
                <w:sz w:val="20"/>
              </w:rPr>
              <w:t xml:space="preserve">HRD positive </w:t>
            </w:r>
            <w:r w:rsidR="001152C0" w:rsidRPr="001152C0">
              <w:rPr>
                <w:rFonts w:ascii="Arial Narrow" w:hAnsi="Arial Narrow"/>
                <w:b/>
                <w:bCs/>
                <w:i/>
                <w:iCs/>
                <w:sz w:val="20"/>
              </w:rPr>
              <w:t>BRCAwt</w:t>
            </w:r>
          </w:p>
        </w:tc>
      </w:tr>
      <w:tr w:rsidR="006F1F48" w:rsidRPr="006F283B" w14:paraId="4C8F9DB5" w14:textId="77777777" w:rsidTr="00527A80">
        <w:tc>
          <w:tcPr>
            <w:tcW w:w="1555" w:type="dxa"/>
            <w:vAlign w:val="center"/>
          </w:tcPr>
          <w:p w14:paraId="1158C1DE"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Events, n/</w:t>
            </w:r>
            <w:proofErr w:type="gramStart"/>
            <w:r w:rsidRPr="006F283B">
              <w:rPr>
                <w:rFonts w:ascii="Arial Narrow" w:hAnsi="Arial Narrow"/>
                <w:sz w:val="20"/>
              </w:rPr>
              <w:t>N(</w:t>
            </w:r>
            <w:proofErr w:type="gramEnd"/>
            <w:r w:rsidRPr="006F283B">
              <w:rPr>
                <w:rFonts w:ascii="Arial Narrow" w:hAnsi="Arial Narrow"/>
                <w:sz w:val="20"/>
              </w:rPr>
              <w:t>%)</w:t>
            </w:r>
          </w:p>
        </w:tc>
        <w:tc>
          <w:tcPr>
            <w:tcW w:w="1243" w:type="dxa"/>
            <w:shd w:val="clear" w:color="auto" w:fill="BDD6EE" w:themeFill="accent1" w:themeFillTint="66"/>
          </w:tcPr>
          <w:p w14:paraId="15122EE7"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32/95 (33.7)</w:t>
            </w:r>
          </w:p>
        </w:tc>
        <w:tc>
          <w:tcPr>
            <w:tcW w:w="1244" w:type="dxa"/>
            <w:shd w:val="clear" w:color="auto" w:fill="BDD6EE" w:themeFill="accent1" w:themeFillTint="66"/>
          </w:tcPr>
          <w:p w14:paraId="759E11CE"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33/55 (60.0)</w:t>
            </w:r>
          </w:p>
        </w:tc>
        <w:tc>
          <w:tcPr>
            <w:tcW w:w="1243" w:type="dxa"/>
          </w:tcPr>
          <w:p w14:paraId="4C1E0D63" w14:textId="3030B39A" w:rsidR="00843998" w:rsidRPr="006F283B" w:rsidRDefault="00843998" w:rsidP="004E1FEC">
            <w:pPr>
              <w:spacing w:before="0"/>
              <w:jc w:val="center"/>
              <w:rPr>
                <w:rFonts w:ascii="Arial Narrow" w:hAnsi="Arial Narrow"/>
                <w:sz w:val="20"/>
              </w:rPr>
            </w:pPr>
            <w:r w:rsidRPr="006F283B">
              <w:rPr>
                <w:rFonts w:ascii="Arial Narrow" w:hAnsi="Arial Narrow"/>
                <w:sz w:val="20"/>
              </w:rPr>
              <w:t>39/95 (</w:t>
            </w:r>
            <w:proofErr w:type="gramStart"/>
            <w:r w:rsidRPr="006F283B">
              <w:rPr>
                <w:rFonts w:ascii="Arial Narrow" w:hAnsi="Arial Narrow"/>
                <w:sz w:val="20"/>
              </w:rPr>
              <w:t>41.1)</w:t>
            </w:r>
            <w:r w:rsidR="00242E91">
              <w:rPr>
                <w:rFonts w:ascii="Arial Narrow" w:hAnsi="Arial Narrow"/>
                <w:sz w:val="20"/>
              </w:rPr>
              <w:t>*</w:t>
            </w:r>
            <w:proofErr w:type="gramEnd"/>
          </w:p>
        </w:tc>
        <w:tc>
          <w:tcPr>
            <w:tcW w:w="1244" w:type="dxa"/>
          </w:tcPr>
          <w:p w14:paraId="37F46B0D" w14:textId="2A5AC02F" w:rsidR="00843998" w:rsidRPr="006F283B" w:rsidRDefault="00843998" w:rsidP="004E1FEC">
            <w:pPr>
              <w:spacing w:before="0"/>
              <w:jc w:val="center"/>
              <w:rPr>
                <w:rFonts w:ascii="Arial Narrow" w:hAnsi="Arial Narrow"/>
                <w:sz w:val="20"/>
              </w:rPr>
            </w:pPr>
            <w:r w:rsidRPr="006F283B">
              <w:rPr>
                <w:rFonts w:ascii="Arial Narrow" w:hAnsi="Arial Narrow"/>
                <w:sz w:val="20"/>
              </w:rPr>
              <w:t>35/55 (</w:t>
            </w:r>
            <w:proofErr w:type="gramStart"/>
            <w:r w:rsidRPr="006F283B">
              <w:rPr>
                <w:rFonts w:ascii="Arial Narrow" w:hAnsi="Arial Narrow"/>
                <w:sz w:val="20"/>
              </w:rPr>
              <w:t>63.6)</w:t>
            </w:r>
            <w:r w:rsidR="00242E91">
              <w:rPr>
                <w:rFonts w:ascii="Arial Narrow" w:hAnsi="Arial Narrow"/>
                <w:sz w:val="20"/>
              </w:rPr>
              <w:t>*</w:t>
            </w:r>
            <w:proofErr w:type="gramEnd"/>
          </w:p>
        </w:tc>
        <w:tc>
          <w:tcPr>
            <w:tcW w:w="1243" w:type="dxa"/>
          </w:tcPr>
          <w:p w14:paraId="36BBB4A1" w14:textId="1CF95621" w:rsidR="00843998" w:rsidRPr="006F283B" w:rsidRDefault="00843998" w:rsidP="004E1FEC">
            <w:pPr>
              <w:spacing w:before="0"/>
              <w:jc w:val="center"/>
              <w:rPr>
                <w:rFonts w:ascii="Arial Narrow" w:hAnsi="Arial Narrow"/>
                <w:sz w:val="20"/>
              </w:rPr>
            </w:pPr>
            <w:r w:rsidRPr="006F283B">
              <w:rPr>
                <w:rFonts w:ascii="Arial Narrow" w:hAnsi="Arial Narrow"/>
                <w:sz w:val="20"/>
              </w:rPr>
              <w:t>54/95</w:t>
            </w:r>
            <w:r w:rsidR="00A57094" w:rsidRPr="006F283B">
              <w:rPr>
                <w:rFonts w:ascii="Arial Narrow" w:hAnsi="Arial Narrow"/>
                <w:sz w:val="20"/>
              </w:rPr>
              <w:t xml:space="preserve"> (56.8)</w:t>
            </w:r>
          </w:p>
        </w:tc>
        <w:tc>
          <w:tcPr>
            <w:tcW w:w="1244" w:type="dxa"/>
          </w:tcPr>
          <w:p w14:paraId="5A0D5556" w14:textId="66DBA209" w:rsidR="00843998" w:rsidRPr="006F283B" w:rsidRDefault="00843998" w:rsidP="004E1FEC">
            <w:pPr>
              <w:spacing w:before="0"/>
              <w:jc w:val="center"/>
              <w:rPr>
                <w:rFonts w:ascii="Arial Narrow" w:hAnsi="Arial Narrow"/>
                <w:sz w:val="20"/>
              </w:rPr>
            </w:pPr>
            <w:r w:rsidRPr="006F283B">
              <w:rPr>
                <w:rFonts w:ascii="Arial Narrow" w:hAnsi="Arial Narrow"/>
                <w:sz w:val="20"/>
              </w:rPr>
              <w:t>43/55</w:t>
            </w:r>
            <w:r w:rsidR="00A57094" w:rsidRPr="006F283B">
              <w:rPr>
                <w:rFonts w:ascii="Arial Narrow" w:hAnsi="Arial Narrow"/>
                <w:sz w:val="20"/>
              </w:rPr>
              <w:t xml:space="preserve"> (78.2)</w:t>
            </w:r>
          </w:p>
        </w:tc>
      </w:tr>
      <w:tr w:rsidR="006F1F48" w:rsidRPr="006F283B" w14:paraId="08F3C9A7" w14:textId="77777777" w:rsidTr="00527A80">
        <w:tc>
          <w:tcPr>
            <w:tcW w:w="1555" w:type="dxa"/>
            <w:vAlign w:val="center"/>
          </w:tcPr>
          <w:p w14:paraId="3CA1FDF3"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Median months (95%CI)</w:t>
            </w:r>
          </w:p>
        </w:tc>
        <w:tc>
          <w:tcPr>
            <w:tcW w:w="1243" w:type="dxa"/>
            <w:shd w:val="clear" w:color="auto" w:fill="BDD6EE" w:themeFill="accent1" w:themeFillTint="66"/>
          </w:tcPr>
          <w:p w14:paraId="2D981AE9"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19.6</w:t>
            </w:r>
          </w:p>
          <w:p w14:paraId="3F4D28FF"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(13.6, NE)</w:t>
            </w:r>
          </w:p>
        </w:tc>
        <w:tc>
          <w:tcPr>
            <w:tcW w:w="1244" w:type="dxa"/>
            <w:shd w:val="clear" w:color="auto" w:fill="BDD6EE" w:themeFill="accent1" w:themeFillTint="66"/>
          </w:tcPr>
          <w:p w14:paraId="0E2A9C00"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8.2</w:t>
            </w:r>
          </w:p>
          <w:p w14:paraId="13AF6BEB"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(6.7, 16.8)</w:t>
            </w:r>
          </w:p>
        </w:tc>
        <w:tc>
          <w:tcPr>
            <w:tcW w:w="1243" w:type="dxa"/>
          </w:tcPr>
          <w:p w14:paraId="4BCBC786"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16.6</w:t>
            </w:r>
          </w:p>
          <w:p w14:paraId="63B23F83" w14:textId="37EC3D79"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(11.9, </w:t>
            </w:r>
            <w:proofErr w:type="gramStart"/>
            <w:r w:rsidRPr="006F283B">
              <w:rPr>
                <w:rFonts w:ascii="Arial Narrow" w:eastAsia="MS Gothic" w:hAnsi="Arial Narrow"/>
                <w:sz w:val="20"/>
              </w:rPr>
              <w:t>NE)</w:t>
            </w:r>
            <w:r w:rsidR="00242E91">
              <w:rPr>
                <w:rFonts w:ascii="Arial Narrow" w:eastAsia="MS Gothic" w:hAnsi="Arial Narrow"/>
                <w:sz w:val="20"/>
              </w:rPr>
              <w:t>*</w:t>
            </w:r>
            <w:proofErr w:type="gramEnd"/>
          </w:p>
        </w:tc>
        <w:tc>
          <w:tcPr>
            <w:tcW w:w="1244" w:type="dxa"/>
          </w:tcPr>
          <w:p w14:paraId="483B6AA4"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10.4</w:t>
            </w:r>
          </w:p>
          <w:p w14:paraId="2A76FE8E" w14:textId="704D55FC"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(7.0, </w:t>
            </w:r>
            <w:proofErr w:type="gramStart"/>
            <w:r w:rsidRPr="006F283B">
              <w:rPr>
                <w:rFonts w:ascii="Arial Narrow" w:eastAsia="MS Gothic" w:hAnsi="Arial Narrow"/>
                <w:sz w:val="20"/>
              </w:rPr>
              <w:t>12.9)</w:t>
            </w:r>
            <w:r w:rsidR="00242E91">
              <w:rPr>
                <w:rFonts w:ascii="Arial Narrow" w:eastAsia="MS Gothic" w:hAnsi="Arial Narrow"/>
                <w:sz w:val="20"/>
              </w:rPr>
              <w:t>*</w:t>
            </w:r>
            <w:proofErr w:type="gramEnd"/>
          </w:p>
        </w:tc>
        <w:tc>
          <w:tcPr>
            <w:tcW w:w="1243" w:type="dxa"/>
          </w:tcPr>
          <w:p w14:paraId="3210536C"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19.4 (12.5, 33.5)</w:t>
            </w:r>
          </w:p>
        </w:tc>
        <w:tc>
          <w:tcPr>
            <w:tcW w:w="1244" w:type="dxa"/>
          </w:tcPr>
          <w:p w14:paraId="375D14CD"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10.4 (7.0,13.7)</w:t>
            </w:r>
          </w:p>
        </w:tc>
      </w:tr>
      <w:tr w:rsidR="006F1F48" w:rsidRPr="006F283B" w14:paraId="6759F1E0" w14:textId="77777777" w:rsidTr="00527A80">
        <w:tc>
          <w:tcPr>
            <w:tcW w:w="1555" w:type="dxa"/>
            <w:vAlign w:val="center"/>
          </w:tcPr>
          <w:p w14:paraId="0B8BC298" w14:textId="77777777" w:rsidR="00843998" w:rsidRPr="006F283B" w:rsidRDefault="00843998" w:rsidP="00456738">
            <w:pPr>
              <w:spacing w:before="0"/>
              <w:jc w:val="left"/>
              <w:rPr>
                <w:rFonts w:ascii="Arial Narrow" w:hAnsi="Arial Narrow"/>
                <w:sz w:val="20"/>
              </w:rPr>
            </w:pPr>
            <w:bookmarkStart w:id="76" w:name="_Hlk130481942"/>
            <w:r w:rsidRPr="006F283B">
              <w:rPr>
                <w:rFonts w:ascii="Arial Narrow" w:hAnsi="Arial Narrow"/>
                <w:sz w:val="20"/>
              </w:rPr>
              <w:t>PFS HR</w:t>
            </w:r>
          </w:p>
        </w:tc>
        <w:tc>
          <w:tcPr>
            <w:tcW w:w="2487" w:type="dxa"/>
            <w:gridSpan w:val="2"/>
            <w:shd w:val="clear" w:color="auto" w:fill="BDD6EE" w:themeFill="accent1" w:themeFillTint="66"/>
          </w:tcPr>
          <w:p w14:paraId="0BB4FA2B"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b/>
                <w:bCs/>
                <w:sz w:val="20"/>
              </w:rPr>
              <w:t>0.50 (0.305, 0.831), p=0.0064</w:t>
            </w:r>
          </w:p>
        </w:tc>
        <w:tc>
          <w:tcPr>
            <w:tcW w:w="2487" w:type="dxa"/>
            <w:gridSpan w:val="2"/>
          </w:tcPr>
          <w:p w14:paraId="38EDF8E5" w14:textId="0E818CC0" w:rsidR="00843998" w:rsidRPr="006F283B" w:rsidRDefault="00843998" w:rsidP="004E1FEC">
            <w:pPr>
              <w:spacing w:before="0"/>
              <w:jc w:val="center"/>
              <w:rPr>
                <w:rFonts w:ascii="Arial Narrow" w:hAnsi="Arial Narrow"/>
                <w:sz w:val="20"/>
              </w:rPr>
            </w:pPr>
            <w:r w:rsidRPr="006F283B">
              <w:rPr>
                <w:rFonts w:ascii="Arial Narrow" w:eastAsia="MS Gothic" w:hAnsi="Arial Narrow"/>
                <w:b/>
                <w:bCs/>
                <w:sz w:val="20"/>
              </w:rPr>
              <w:t>0.60 (0.374, 0.954), p=0.0291</w:t>
            </w:r>
            <w:r w:rsidR="00242E91">
              <w:rPr>
                <w:rFonts w:ascii="Arial Narrow" w:eastAsia="MS Gothic" w:hAnsi="Arial Narrow"/>
                <w:b/>
                <w:bCs/>
                <w:sz w:val="20"/>
              </w:rPr>
              <w:t>*</w:t>
            </w:r>
          </w:p>
        </w:tc>
        <w:tc>
          <w:tcPr>
            <w:tcW w:w="2487" w:type="dxa"/>
            <w:gridSpan w:val="2"/>
          </w:tcPr>
          <w:p w14:paraId="1C7248A7" w14:textId="77777777" w:rsidR="00843998" w:rsidRPr="006F283B" w:rsidRDefault="00843998" w:rsidP="004E1FEC">
            <w:pPr>
              <w:spacing w:before="0"/>
              <w:jc w:val="center"/>
              <w:rPr>
                <w:rFonts w:ascii="Arial Narrow" w:hAnsi="Arial Narrow"/>
                <w:sz w:val="20"/>
              </w:rPr>
            </w:pPr>
            <w:bookmarkStart w:id="77" w:name="_Hlk130469142"/>
            <w:r w:rsidRPr="006F283B">
              <w:rPr>
                <w:rFonts w:ascii="Arial Narrow" w:hAnsi="Arial Narrow"/>
                <w:b/>
                <w:bCs/>
                <w:sz w:val="20"/>
              </w:rPr>
              <w:t>0.66 (0.437, 0.999)</w:t>
            </w:r>
            <w:bookmarkEnd w:id="77"/>
          </w:p>
        </w:tc>
      </w:tr>
      <w:bookmarkEnd w:id="76"/>
      <w:tr w:rsidR="00843998" w:rsidRPr="006F283B" w14:paraId="3FBA49F7" w14:textId="77777777" w:rsidTr="00456738">
        <w:tc>
          <w:tcPr>
            <w:tcW w:w="9016" w:type="dxa"/>
            <w:gridSpan w:val="7"/>
            <w:vAlign w:val="center"/>
          </w:tcPr>
          <w:p w14:paraId="00A11BF6" w14:textId="04AFF6EE" w:rsidR="00843998" w:rsidRPr="006F283B" w:rsidRDefault="001152C0" w:rsidP="00456738">
            <w:pPr>
              <w:spacing w:before="0"/>
              <w:jc w:val="left"/>
              <w:rPr>
                <w:rFonts w:ascii="Arial Narrow" w:hAnsi="Arial Narrow"/>
                <w:b/>
                <w:bCs/>
                <w:sz w:val="20"/>
              </w:rPr>
            </w:pPr>
            <w:r w:rsidRPr="001152C0">
              <w:rPr>
                <w:rFonts w:ascii="Arial Narrow" w:hAnsi="Arial Narrow"/>
                <w:b/>
                <w:bCs/>
                <w:i/>
                <w:iCs/>
                <w:sz w:val="20"/>
              </w:rPr>
              <w:t>BRCAm</w:t>
            </w:r>
          </w:p>
        </w:tc>
      </w:tr>
      <w:tr w:rsidR="006F1F48" w:rsidRPr="006F283B" w14:paraId="02A805F0" w14:textId="77777777" w:rsidTr="00527A80">
        <w:tc>
          <w:tcPr>
            <w:tcW w:w="1555" w:type="dxa"/>
            <w:vAlign w:val="center"/>
          </w:tcPr>
          <w:p w14:paraId="68B458E7"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Events, n/</w:t>
            </w:r>
            <w:proofErr w:type="gramStart"/>
            <w:r w:rsidRPr="006F283B">
              <w:rPr>
                <w:rFonts w:ascii="Arial Narrow" w:hAnsi="Arial Narrow"/>
                <w:sz w:val="20"/>
              </w:rPr>
              <w:t>N(</w:t>
            </w:r>
            <w:proofErr w:type="gramEnd"/>
            <w:r w:rsidRPr="006F283B">
              <w:rPr>
                <w:rFonts w:ascii="Arial Narrow" w:hAnsi="Arial Narrow"/>
                <w:sz w:val="20"/>
              </w:rPr>
              <w:t>%)</w:t>
            </w:r>
          </w:p>
        </w:tc>
        <w:tc>
          <w:tcPr>
            <w:tcW w:w="1243" w:type="dxa"/>
          </w:tcPr>
          <w:p w14:paraId="69C388DB"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49/152 (32.2)</w:t>
            </w:r>
          </w:p>
        </w:tc>
        <w:tc>
          <w:tcPr>
            <w:tcW w:w="1244" w:type="dxa"/>
          </w:tcPr>
          <w:p w14:paraId="0D662BD4"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40/71 (56.3)</w:t>
            </w:r>
          </w:p>
        </w:tc>
        <w:tc>
          <w:tcPr>
            <w:tcW w:w="1243" w:type="dxa"/>
          </w:tcPr>
          <w:p w14:paraId="23AC1791" w14:textId="0B0205BA" w:rsidR="00843998" w:rsidRPr="006F283B" w:rsidRDefault="00843998" w:rsidP="004E1FEC">
            <w:pPr>
              <w:spacing w:before="0"/>
              <w:jc w:val="center"/>
              <w:rPr>
                <w:rFonts w:ascii="Arial Narrow" w:hAnsi="Arial Narrow"/>
                <w:sz w:val="20"/>
              </w:rPr>
            </w:pPr>
            <w:r w:rsidRPr="006F283B">
              <w:rPr>
                <w:rFonts w:ascii="Arial Narrow" w:hAnsi="Arial Narrow"/>
                <w:sz w:val="20"/>
              </w:rPr>
              <w:t>53/152 (</w:t>
            </w:r>
            <w:proofErr w:type="gramStart"/>
            <w:r w:rsidRPr="006F283B">
              <w:rPr>
                <w:rFonts w:ascii="Arial Narrow" w:hAnsi="Arial Narrow"/>
                <w:sz w:val="20"/>
              </w:rPr>
              <w:t>34.9)</w:t>
            </w:r>
            <w:r w:rsidR="00242E91">
              <w:rPr>
                <w:rFonts w:ascii="Arial Narrow" w:hAnsi="Arial Narrow"/>
                <w:sz w:val="20"/>
              </w:rPr>
              <w:t>*</w:t>
            </w:r>
            <w:proofErr w:type="gramEnd"/>
          </w:p>
        </w:tc>
        <w:tc>
          <w:tcPr>
            <w:tcW w:w="1244" w:type="dxa"/>
          </w:tcPr>
          <w:p w14:paraId="1C10EE52" w14:textId="56630204" w:rsidR="00843998" w:rsidRPr="006F283B" w:rsidRDefault="00843998" w:rsidP="004E1FEC">
            <w:pPr>
              <w:spacing w:before="0"/>
              <w:jc w:val="center"/>
              <w:rPr>
                <w:rFonts w:ascii="Arial Narrow" w:hAnsi="Arial Narrow"/>
                <w:sz w:val="20"/>
              </w:rPr>
            </w:pPr>
            <w:r w:rsidRPr="006F283B">
              <w:rPr>
                <w:rFonts w:ascii="Arial Narrow" w:hAnsi="Arial Narrow"/>
                <w:sz w:val="20"/>
              </w:rPr>
              <w:t>45/71 (</w:t>
            </w:r>
            <w:proofErr w:type="gramStart"/>
            <w:r w:rsidRPr="006F283B">
              <w:rPr>
                <w:rFonts w:ascii="Arial Narrow" w:hAnsi="Arial Narrow"/>
                <w:sz w:val="20"/>
              </w:rPr>
              <w:t>63.4)</w:t>
            </w:r>
            <w:r w:rsidR="00242E91">
              <w:rPr>
                <w:rFonts w:ascii="Arial Narrow" w:hAnsi="Arial Narrow"/>
                <w:sz w:val="20"/>
              </w:rPr>
              <w:t>*</w:t>
            </w:r>
            <w:proofErr w:type="gramEnd"/>
          </w:p>
        </w:tc>
        <w:tc>
          <w:tcPr>
            <w:tcW w:w="1243" w:type="dxa"/>
          </w:tcPr>
          <w:p w14:paraId="50936EB2" w14:textId="2469EF14" w:rsidR="00843998" w:rsidRPr="006F283B" w:rsidRDefault="00843998" w:rsidP="004E1FEC">
            <w:pPr>
              <w:spacing w:before="0"/>
              <w:jc w:val="center"/>
              <w:rPr>
                <w:rFonts w:ascii="Arial Narrow" w:hAnsi="Arial Narrow"/>
                <w:sz w:val="20"/>
              </w:rPr>
            </w:pPr>
            <w:r w:rsidRPr="006F283B">
              <w:rPr>
                <w:rFonts w:ascii="Arial Narrow" w:hAnsi="Arial Narrow"/>
                <w:sz w:val="20"/>
              </w:rPr>
              <w:t>83/152</w:t>
            </w:r>
            <w:r w:rsidR="00E737C1" w:rsidRPr="006F283B">
              <w:rPr>
                <w:rFonts w:ascii="Arial Narrow" w:hAnsi="Arial Narrow"/>
                <w:sz w:val="20"/>
              </w:rPr>
              <w:t xml:space="preserve"> (54.6)</w:t>
            </w:r>
          </w:p>
        </w:tc>
        <w:tc>
          <w:tcPr>
            <w:tcW w:w="1244" w:type="dxa"/>
          </w:tcPr>
          <w:p w14:paraId="430A7144" w14:textId="0F05A9DC" w:rsidR="00843998" w:rsidRPr="006F283B" w:rsidRDefault="00843998" w:rsidP="004E1FEC">
            <w:pPr>
              <w:spacing w:before="0"/>
              <w:jc w:val="center"/>
              <w:rPr>
                <w:rFonts w:ascii="Arial Narrow" w:hAnsi="Arial Narrow"/>
                <w:sz w:val="20"/>
              </w:rPr>
            </w:pPr>
            <w:r w:rsidRPr="006F283B">
              <w:rPr>
                <w:rFonts w:ascii="Arial Narrow" w:hAnsi="Arial Narrow"/>
                <w:sz w:val="20"/>
              </w:rPr>
              <w:t>55/71</w:t>
            </w:r>
            <w:r w:rsidR="00E737C1" w:rsidRPr="006F283B">
              <w:rPr>
                <w:rFonts w:ascii="Arial Narrow" w:hAnsi="Arial Narrow"/>
                <w:sz w:val="20"/>
              </w:rPr>
              <w:t xml:space="preserve"> (77.5)</w:t>
            </w:r>
          </w:p>
        </w:tc>
      </w:tr>
      <w:tr w:rsidR="006F1F48" w:rsidRPr="006F283B" w14:paraId="10B873F7" w14:textId="77777777" w:rsidTr="00527A80">
        <w:tc>
          <w:tcPr>
            <w:tcW w:w="1555" w:type="dxa"/>
            <w:vAlign w:val="center"/>
          </w:tcPr>
          <w:p w14:paraId="02F87F90"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Median months (95%CI)</w:t>
            </w:r>
          </w:p>
        </w:tc>
        <w:tc>
          <w:tcPr>
            <w:tcW w:w="1243" w:type="dxa"/>
          </w:tcPr>
          <w:p w14:paraId="124273B6"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22.1</w:t>
            </w:r>
          </w:p>
          <w:p w14:paraId="1A5DC0AA"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(19.3, NE)</w:t>
            </w:r>
          </w:p>
        </w:tc>
        <w:tc>
          <w:tcPr>
            <w:tcW w:w="1244" w:type="dxa"/>
          </w:tcPr>
          <w:p w14:paraId="19B50AC7"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10.9</w:t>
            </w:r>
          </w:p>
          <w:p w14:paraId="516B2D7B"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(8.0, 19.4)</w:t>
            </w:r>
          </w:p>
        </w:tc>
        <w:tc>
          <w:tcPr>
            <w:tcW w:w="1243" w:type="dxa"/>
          </w:tcPr>
          <w:p w14:paraId="17BCB061"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24.2</w:t>
            </w:r>
          </w:p>
          <w:p w14:paraId="3CC741B2" w14:textId="3444178B"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(18.7, </w:t>
            </w:r>
            <w:proofErr w:type="gramStart"/>
            <w:r w:rsidRPr="006F283B">
              <w:rPr>
                <w:rFonts w:ascii="Arial Narrow" w:eastAsia="MS Gothic" w:hAnsi="Arial Narrow"/>
                <w:sz w:val="20"/>
              </w:rPr>
              <w:t>NE)</w:t>
            </w:r>
            <w:r w:rsidR="00242E91">
              <w:rPr>
                <w:rFonts w:ascii="Arial Narrow" w:eastAsia="MS Gothic" w:hAnsi="Arial Narrow"/>
                <w:sz w:val="20"/>
              </w:rPr>
              <w:t>*</w:t>
            </w:r>
            <w:proofErr w:type="gramEnd"/>
          </w:p>
        </w:tc>
        <w:tc>
          <w:tcPr>
            <w:tcW w:w="1244" w:type="dxa"/>
          </w:tcPr>
          <w:p w14:paraId="433015F1"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11.5</w:t>
            </w:r>
          </w:p>
          <w:p w14:paraId="26C694F2" w14:textId="0228A213"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(8.4, </w:t>
            </w:r>
            <w:proofErr w:type="gramStart"/>
            <w:r w:rsidRPr="006F283B">
              <w:rPr>
                <w:rFonts w:ascii="Arial Narrow" w:eastAsia="MS Gothic" w:hAnsi="Arial Narrow"/>
                <w:sz w:val="20"/>
              </w:rPr>
              <w:t>16.7)</w:t>
            </w:r>
            <w:r w:rsidR="00242E91">
              <w:rPr>
                <w:rFonts w:ascii="Arial Narrow" w:eastAsia="MS Gothic" w:hAnsi="Arial Narrow"/>
                <w:sz w:val="20"/>
              </w:rPr>
              <w:t>*</w:t>
            </w:r>
            <w:proofErr w:type="gramEnd"/>
          </w:p>
        </w:tc>
        <w:tc>
          <w:tcPr>
            <w:tcW w:w="1243" w:type="dxa"/>
          </w:tcPr>
          <w:p w14:paraId="2B4CCBF3"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 xml:space="preserve">31.5 </w:t>
            </w:r>
          </w:p>
          <w:p w14:paraId="3C39006B"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(19.3, 51.8)</w:t>
            </w:r>
          </w:p>
        </w:tc>
        <w:tc>
          <w:tcPr>
            <w:tcW w:w="1244" w:type="dxa"/>
          </w:tcPr>
          <w:p w14:paraId="71D1EC39"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 xml:space="preserve">11.5 </w:t>
            </w:r>
          </w:p>
          <w:p w14:paraId="1D60415E"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(8.4, 16.6)</w:t>
            </w:r>
          </w:p>
        </w:tc>
      </w:tr>
      <w:tr w:rsidR="006F1F48" w:rsidRPr="006F283B" w14:paraId="7B50BC37" w14:textId="77777777" w:rsidTr="00527A80">
        <w:tc>
          <w:tcPr>
            <w:tcW w:w="1555" w:type="dxa"/>
            <w:vAlign w:val="center"/>
          </w:tcPr>
          <w:p w14:paraId="0F4582C8"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PFS HR</w:t>
            </w:r>
          </w:p>
        </w:tc>
        <w:tc>
          <w:tcPr>
            <w:tcW w:w="2487" w:type="dxa"/>
            <w:gridSpan w:val="2"/>
            <w:shd w:val="clear" w:color="auto" w:fill="BDD6EE" w:themeFill="accent1" w:themeFillTint="66"/>
          </w:tcPr>
          <w:p w14:paraId="78B6E109"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b/>
                <w:bCs/>
                <w:sz w:val="20"/>
              </w:rPr>
              <w:t>0.40 (0.265, 0.618); p&lt;0.0001</w:t>
            </w:r>
          </w:p>
        </w:tc>
        <w:tc>
          <w:tcPr>
            <w:tcW w:w="2487" w:type="dxa"/>
            <w:gridSpan w:val="2"/>
          </w:tcPr>
          <w:p w14:paraId="1AE400D2" w14:textId="177CF013" w:rsidR="00843998" w:rsidRPr="006F283B" w:rsidRDefault="00843998" w:rsidP="004E1FEC">
            <w:pPr>
              <w:spacing w:before="0"/>
              <w:jc w:val="center"/>
              <w:rPr>
                <w:rFonts w:ascii="Arial Narrow" w:hAnsi="Arial Narrow"/>
                <w:sz w:val="20"/>
              </w:rPr>
            </w:pPr>
            <w:r w:rsidRPr="006F283B">
              <w:rPr>
                <w:rFonts w:ascii="Arial Narrow" w:eastAsia="MS Gothic" w:hAnsi="Arial Narrow"/>
                <w:b/>
                <w:bCs/>
                <w:sz w:val="20"/>
              </w:rPr>
              <w:t>0.40 (0.266, 0.596): p&lt;0.0001</w:t>
            </w:r>
            <w:r w:rsidR="00242E91">
              <w:rPr>
                <w:rFonts w:ascii="Arial Narrow" w:eastAsia="MS Gothic" w:hAnsi="Arial Narrow"/>
                <w:b/>
                <w:bCs/>
                <w:sz w:val="20"/>
              </w:rPr>
              <w:t>*</w:t>
            </w:r>
          </w:p>
        </w:tc>
        <w:tc>
          <w:tcPr>
            <w:tcW w:w="2487" w:type="dxa"/>
            <w:gridSpan w:val="2"/>
          </w:tcPr>
          <w:p w14:paraId="38003728" w14:textId="77777777" w:rsidR="00843998" w:rsidRPr="006F283B" w:rsidRDefault="00843998" w:rsidP="004E1FEC">
            <w:pPr>
              <w:spacing w:before="0"/>
              <w:jc w:val="center"/>
              <w:rPr>
                <w:rFonts w:ascii="Arial Narrow" w:hAnsi="Arial Narrow"/>
                <w:sz w:val="20"/>
              </w:rPr>
            </w:pPr>
            <w:r w:rsidRPr="006F283B">
              <w:rPr>
                <w:rFonts w:ascii="Arial Narrow" w:hAnsi="Arial Narrow"/>
                <w:b/>
                <w:bCs/>
                <w:sz w:val="20"/>
              </w:rPr>
              <w:t>0.45 (0.322, 0.641)</w:t>
            </w:r>
          </w:p>
        </w:tc>
      </w:tr>
      <w:tr w:rsidR="00843998" w:rsidRPr="006F283B" w14:paraId="483AD553" w14:textId="77777777" w:rsidTr="00456738">
        <w:tc>
          <w:tcPr>
            <w:tcW w:w="9016" w:type="dxa"/>
            <w:gridSpan w:val="7"/>
            <w:vAlign w:val="center"/>
          </w:tcPr>
          <w:p w14:paraId="63517D25" w14:textId="77777777" w:rsidR="00843998" w:rsidRPr="006F283B" w:rsidRDefault="00843998" w:rsidP="00456738">
            <w:pPr>
              <w:spacing w:before="0"/>
              <w:jc w:val="left"/>
              <w:rPr>
                <w:rFonts w:ascii="Arial Narrow" w:hAnsi="Arial Narrow"/>
                <w:b/>
                <w:bCs/>
                <w:sz w:val="20"/>
              </w:rPr>
            </w:pPr>
            <w:r w:rsidRPr="006F283B">
              <w:rPr>
                <w:rFonts w:ascii="Arial Narrow" w:hAnsi="Arial Narrow"/>
                <w:b/>
                <w:bCs/>
                <w:sz w:val="20"/>
              </w:rPr>
              <w:t>HRD negative</w:t>
            </w:r>
          </w:p>
        </w:tc>
      </w:tr>
      <w:tr w:rsidR="006F1F48" w:rsidRPr="006F283B" w14:paraId="5A3A8092" w14:textId="77777777" w:rsidTr="00527A80">
        <w:tc>
          <w:tcPr>
            <w:tcW w:w="1555" w:type="dxa"/>
            <w:vAlign w:val="center"/>
          </w:tcPr>
          <w:p w14:paraId="1416A5AD"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Events, n/</w:t>
            </w:r>
            <w:proofErr w:type="gramStart"/>
            <w:r w:rsidRPr="006F283B">
              <w:rPr>
                <w:rFonts w:ascii="Arial Narrow" w:hAnsi="Arial Narrow"/>
                <w:sz w:val="20"/>
              </w:rPr>
              <w:t>N(</w:t>
            </w:r>
            <w:proofErr w:type="gramEnd"/>
            <w:r w:rsidRPr="006F283B">
              <w:rPr>
                <w:rFonts w:ascii="Arial Narrow" w:hAnsi="Arial Narrow"/>
                <w:sz w:val="20"/>
              </w:rPr>
              <w:t>%)</w:t>
            </w:r>
          </w:p>
        </w:tc>
        <w:tc>
          <w:tcPr>
            <w:tcW w:w="1243" w:type="dxa"/>
            <w:shd w:val="clear" w:color="auto" w:fill="BDD6EE" w:themeFill="accent1" w:themeFillTint="66"/>
          </w:tcPr>
          <w:p w14:paraId="43DE8D21"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111/169 (65.7)</w:t>
            </w:r>
          </w:p>
        </w:tc>
        <w:tc>
          <w:tcPr>
            <w:tcW w:w="1244" w:type="dxa"/>
            <w:shd w:val="clear" w:color="auto" w:fill="BDD6EE" w:themeFill="accent1" w:themeFillTint="66"/>
          </w:tcPr>
          <w:p w14:paraId="4BD8F611"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56/80 (70.0)</w:t>
            </w:r>
          </w:p>
        </w:tc>
        <w:tc>
          <w:tcPr>
            <w:tcW w:w="1243" w:type="dxa"/>
          </w:tcPr>
          <w:p w14:paraId="5D64C42A" w14:textId="0CD4731B" w:rsidR="00843998" w:rsidRPr="006F283B" w:rsidRDefault="00843998" w:rsidP="004E1FEC">
            <w:pPr>
              <w:spacing w:before="0"/>
              <w:jc w:val="center"/>
              <w:rPr>
                <w:rFonts w:ascii="Arial Narrow" w:hAnsi="Arial Narrow"/>
                <w:sz w:val="20"/>
              </w:rPr>
            </w:pPr>
            <w:r w:rsidRPr="006F283B">
              <w:rPr>
                <w:rFonts w:ascii="Arial Narrow" w:hAnsi="Arial Narrow"/>
                <w:sz w:val="20"/>
              </w:rPr>
              <w:t>118/169 (</w:t>
            </w:r>
            <w:proofErr w:type="gramStart"/>
            <w:r w:rsidRPr="006F283B">
              <w:rPr>
                <w:rFonts w:ascii="Arial Narrow" w:hAnsi="Arial Narrow"/>
                <w:sz w:val="20"/>
              </w:rPr>
              <w:t>69.8)</w:t>
            </w:r>
            <w:r w:rsidR="00242E91">
              <w:rPr>
                <w:rFonts w:ascii="Arial Narrow" w:hAnsi="Arial Narrow"/>
                <w:sz w:val="20"/>
              </w:rPr>
              <w:t>*</w:t>
            </w:r>
            <w:proofErr w:type="gramEnd"/>
          </w:p>
        </w:tc>
        <w:tc>
          <w:tcPr>
            <w:tcW w:w="1244" w:type="dxa"/>
          </w:tcPr>
          <w:p w14:paraId="7DC65EDD" w14:textId="63FE62D6" w:rsidR="00843998" w:rsidRPr="006F283B" w:rsidRDefault="00843998" w:rsidP="004E1FEC">
            <w:pPr>
              <w:spacing w:before="0"/>
              <w:jc w:val="center"/>
              <w:rPr>
                <w:rFonts w:ascii="Arial Narrow" w:hAnsi="Arial Narrow"/>
                <w:sz w:val="20"/>
              </w:rPr>
            </w:pPr>
            <w:r w:rsidRPr="006F283B">
              <w:rPr>
                <w:rFonts w:ascii="Arial Narrow" w:hAnsi="Arial Narrow"/>
                <w:sz w:val="20"/>
              </w:rPr>
              <w:t>61/80 (</w:t>
            </w:r>
            <w:proofErr w:type="gramStart"/>
            <w:r w:rsidRPr="006F283B">
              <w:rPr>
                <w:rFonts w:ascii="Arial Narrow" w:hAnsi="Arial Narrow"/>
                <w:sz w:val="20"/>
              </w:rPr>
              <w:t>76.3)</w:t>
            </w:r>
            <w:r w:rsidR="00242E91">
              <w:rPr>
                <w:rFonts w:ascii="Arial Narrow" w:hAnsi="Arial Narrow"/>
                <w:sz w:val="20"/>
              </w:rPr>
              <w:t>*</w:t>
            </w:r>
            <w:proofErr w:type="gramEnd"/>
          </w:p>
        </w:tc>
        <w:tc>
          <w:tcPr>
            <w:tcW w:w="1243" w:type="dxa"/>
          </w:tcPr>
          <w:p w14:paraId="3E323BCC"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NR</w:t>
            </w:r>
          </w:p>
        </w:tc>
        <w:tc>
          <w:tcPr>
            <w:tcW w:w="1244" w:type="dxa"/>
          </w:tcPr>
          <w:p w14:paraId="282CD029"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NR</w:t>
            </w:r>
          </w:p>
        </w:tc>
      </w:tr>
      <w:tr w:rsidR="006F1F48" w:rsidRPr="006F283B" w14:paraId="13C23701" w14:textId="77777777" w:rsidTr="00527A80">
        <w:tc>
          <w:tcPr>
            <w:tcW w:w="1555" w:type="dxa"/>
            <w:vAlign w:val="center"/>
          </w:tcPr>
          <w:p w14:paraId="11634C6A"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Median months (95%CI)</w:t>
            </w:r>
          </w:p>
        </w:tc>
        <w:tc>
          <w:tcPr>
            <w:tcW w:w="1243" w:type="dxa"/>
            <w:shd w:val="clear" w:color="auto" w:fill="BDD6EE" w:themeFill="accent1" w:themeFillTint="66"/>
          </w:tcPr>
          <w:p w14:paraId="29773D26"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8.1</w:t>
            </w:r>
          </w:p>
          <w:p w14:paraId="5E71AEF3"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(5.7, 9.4)</w:t>
            </w:r>
          </w:p>
        </w:tc>
        <w:tc>
          <w:tcPr>
            <w:tcW w:w="1244" w:type="dxa"/>
            <w:shd w:val="clear" w:color="auto" w:fill="BDD6EE" w:themeFill="accent1" w:themeFillTint="66"/>
          </w:tcPr>
          <w:p w14:paraId="4A517971"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5.4</w:t>
            </w:r>
          </w:p>
          <w:p w14:paraId="32ACC3BC"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(4.0, 7.3)</w:t>
            </w:r>
          </w:p>
        </w:tc>
        <w:tc>
          <w:tcPr>
            <w:tcW w:w="1243" w:type="dxa"/>
          </w:tcPr>
          <w:p w14:paraId="28DDDB6A"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8.3</w:t>
            </w:r>
          </w:p>
          <w:p w14:paraId="62373C5C" w14:textId="6435EE3E"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(7.2, </w:t>
            </w:r>
            <w:proofErr w:type="gramStart"/>
            <w:r w:rsidRPr="006F283B">
              <w:rPr>
                <w:rFonts w:ascii="Arial Narrow" w:eastAsia="MS Gothic" w:hAnsi="Arial Narrow"/>
                <w:sz w:val="20"/>
              </w:rPr>
              <w:t>10.5)</w:t>
            </w:r>
            <w:r w:rsidR="00242E91">
              <w:rPr>
                <w:rFonts w:ascii="Arial Narrow" w:eastAsia="MS Gothic" w:hAnsi="Arial Narrow"/>
                <w:sz w:val="20"/>
              </w:rPr>
              <w:t>*</w:t>
            </w:r>
            <w:proofErr w:type="gramEnd"/>
          </w:p>
        </w:tc>
        <w:tc>
          <w:tcPr>
            <w:tcW w:w="1244" w:type="dxa"/>
          </w:tcPr>
          <w:p w14:paraId="7C1380DE"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5.4</w:t>
            </w:r>
          </w:p>
          <w:p w14:paraId="1343B0A0" w14:textId="76E61D3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(4.5, </w:t>
            </w:r>
            <w:proofErr w:type="gramStart"/>
            <w:r w:rsidRPr="006F283B">
              <w:rPr>
                <w:rFonts w:ascii="Arial Narrow" w:eastAsia="MS Gothic" w:hAnsi="Arial Narrow"/>
                <w:sz w:val="20"/>
              </w:rPr>
              <w:t>7.0)</w:t>
            </w:r>
            <w:r w:rsidR="00242E91">
              <w:rPr>
                <w:rFonts w:ascii="Arial Narrow" w:eastAsia="MS Gothic" w:hAnsi="Arial Narrow"/>
                <w:sz w:val="20"/>
              </w:rPr>
              <w:t>*</w:t>
            </w:r>
            <w:proofErr w:type="gramEnd"/>
          </w:p>
        </w:tc>
        <w:tc>
          <w:tcPr>
            <w:tcW w:w="1243" w:type="dxa"/>
            <w:vAlign w:val="center"/>
          </w:tcPr>
          <w:p w14:paraId="26DB93DD"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8.4 (NR)</w:t>
            </w:r>
          </w:p>
        </w:tc>
        <w:tc>
          <w:tcPr>
            <w:tcW w:w="1244" w:type="dxa"/>
            <w:vAlign w:val="center"/>
          </w:tcPr>
          <w:p w14:paraId="50C43F6E"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5.4 (NR)</w:t>
            </w:r>
          </w:p>
        </w:tc>
      </w:tr>
      <w:tr w:rsidR="006F1F48" w:rsidRPr="006F283B" w14:paraId="28A0D109" w14:textId="77777777" w:rsidTr="00527A80">
        <w:tc>
          <w:tcPr>
            <w:tcW w:w="1555" w:type="dxa"/>
            <w:vAlign w:val="center"/>
          </w:tcPr>
          <w:p w14:paraId="1CC4E540"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PFS HR</w:t>
            </w:r>
          </w:p>
        </w:tc>
        <w:tc>
          <w:tcPr>
            <w:tcW w:w="2487" w:type="dxa"/>
            <w:gridSpan w:val="2"/>
            <w:shd w:val="clear" w:color="auto" w:fill="BDD6EE" w:themeFill="accent1" w:themeFillTint="66"/>
          </w:tcPr>
          <w:p w14:paraId="489B9174"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b/>
                <w:bCs/>
                <w:sz w:val="20"/>
              </w:rPr>
              <w:t>0.68 (0.492,0.944); p=0.0203</w:t>
            </w:r>
          </w:p>
        </w:tc>
        <w:tc>
          <w:tcPr>
            <w:tcW w:w="2487" w:type="dxa"/>
            <w:gridSpan w:val="2"/>
          </w:tcPr>
          <w:p w14:paraId="1327FABE" w14:textId="320E6150" w:rsidR="00843998" w:rsidRPr="006F283B" w:rsidRDefault="00843998" w:rsidP="004E1FEC">
            <w:pPr>
              <w:spacing w:before="0"/>
              <w:jc w:val="center"/>
              <w:rPr>
                <w:rFonts w:ascii="Arial Narrow" w:hAnsi="Arial Narrow"/>
                <w:sz w:val="20"/>
              </w:rPr>
            </w:pPr>
            <w:r w:rsidRPr="006F283B">
              <w:rPr>
                <w:rFonts w:ascii="Arial Narrow" w:eastAsia="MS Gothic" w:hAnsi="Arial Narrow"/>
                <w:b/>
                <w:bCs/>
                <w:sz w:val="20"/>
              </w:rPr>
              <w:t>0.63 (0.457, 0.866); p=0.004</w:t>
            </w:r>
            <w:r w:rsidR="00242E91">
              <w:rPr>
                <w:rFonts w:ascii="Arial Narrow" w:eastAsia="MS Gothic" w:hAnsi="Arial Narrow"/>
                <w:b/>
                <w:bCs/>
                <w:sz w:val="20"/>
              </w:rPr>
              <w:t>*</w:t>
            </w:r>
          </w:p>
        </w:tc>
        <w:tc>
          <w:tcPr>
            <w:tcW w:w="2487" w:type="dxa"/>
            <w:gridSpan w:val="2"/>
          </w:tcPr>
          <w:p w14:paraId="7FCAF834" w14:textId="77777777" w:rsidR="00843998" w:rsidRPr="006F283B" w:rsidRDefault="00843998" w:rsidP="004E1FEC">
            <w:pPr>
              <w:spacing w:before="0"/>
              <w:jc w:val="center"/>
              <w:rPr>
                <w:rFonts w:ascii="Arial Narrow" w:hAnsi="Arial Narrow"/>
                <w:sz w:val="20"/>
              </w:rPr>
            </w:pPr>
            <w:r w:rsidRPr="006F283B">
              <w:rPr>
                <w:rFonts w:ascii="Arial Narrow" w:hAnsi="Arial Narrow"/>
                <w:b/>
                <w:bCs/>
                <w:sz w:val="20"/>
              </w:rPr>
              <w:t>0.65 (0.49, 0.87)</w:t>
            </w:r>
          </w:p>
        </w:tc>
      </w:tr>
      <w:tr w:rsidR="00843998" w:rsidRPr="006F283B" w14:paraId="1A73A2D0" w14:textId="77777777" w:rsidTr="00456738">
        <w:tc>
          <w:tcPr>
            <w:tcW w:w="9016" w:type="dxa"/>
            <w:gridSpan w:val="7"/>
            <w:vAlign w:val="center"/>
          </w:tcPr>
          <w:p w14:paraId="3C8020B5" w14:textId="77777777" w:rsidR="00843998" w:rsidRPr="006F283B" w:rsidRDefault="00843998" w:rsidP="00456738">
            <w:pPr>
              <w:spacing w:before="0"/>
              <w:jc w:val="left"/>
              <w:rPr>
                <w:rFonts w:ascii="Arial Narrow" w:hAnsi="Arial Narrow"/>
                <w:b/>
                <w:bCs/>
                <w:sz w:val="20"/>
              </w:rPr>
            </w:pPr>
            <w:r w:rsidRPr="006F283B">
              <w:rPr>
                <w:rFonts w:ascii="Arial Narrow" w:hAnsi="Arial Narrow"/>
                <w:b/>
                <w:bCs/>
                <w:sz w:val="20"/>
              </w:rPr>
              <w:t>HRnd</w:t>
            </w:r>
          </w:p>
        </w:tc>
      </w:tr>
      <w:tr w:rsidR="006F1F48" w:rsidRPr="006F283B" w14:paraId="26BE2DB9" w14:textId="77777777" w:rsidTr="00527A80">
        <w:tc>
          <w:tcPr>
            <w:tcW w:w="1555" w:type="dxa"/>
            <w:vAlign w:val="center"/>
          </w:tcPr>
          <w:p w14:paraId="6139BDFB"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Events, n/</w:t>
            </w:r>
            <w:proofErr w:type="gramStart"/>
            <w:r w:rsidRPr="006F283B">
              <w:rPr>
                <w:rFonts w:ascii="Arial Narrow" w:hAnsi="Arial Narrow"/>
                <w:sz w:val="20"/>
              </w:rPr>
              <w:t>N(</w:t>
            </w:r>
            <w:proofErr w:type="gramEnd"/>
            <w:r w:rsidRPr="006F283B">
              <w:rPr>
                <w:rFonts w:ascii="Arial Narrow" w:hAnsi="Arial Narrow"/>
                <w:sz w:val="20"/>
              </w:rPr>
              <w:t>%)</w:t>
            </w:r>
          </w:p>
        </w:tc>
        <w:tc>
          <w:tcPr>
            <w:tcW w:w="1243" w:type="dxa"/>
            <w:shd w:val="clear" w:color="auto" w:fill="BDD6EE" w:themeFill="accent1" w:themeFillTint="66"/>
          </w:tcPr>
          <w:p w14:paraId="7F3A3DC4"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40/71 (56.3)</w:t>
            </w:r>
          </w:p>
        </w:tc>
        <w:tc>
          <w:tcPr>
            <w:tcW w:w="1244" w:type="dxa"/>
            <w:shd w:val="clear" w:color="auto" w:fill="BDD6EE" w:themeFill="accent1" w:themeFillTint="66"/>
          </w:tcPr>
          <w:p w14:paraId="78608482"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26/40 (65.0)</w:t>
            </w:r>
          </w:p>
        </w:tc>
        <w:tc>
          <w:tcPr>
            <w:tcW w:w="1243" w:type="dxa"/>
          </w:tcPr>
          <w:p w14:paraId="29C85641" w14:textId="718E9853" w:rsidR="00843998" w:rsidRPr="006F283B" w:rsidRDefault="00843998" w:rsidP="004E1FEC">
            <w:pPr>
              <w:spacing w:before="0"/>
              <w:jc w:val="center"/>
              <w:rPr>
                <w:rFonts w:ascii="Arial Narrow" w:hAnsi="Arial Narrow"/>
                <w:sz w:val="20"/>
              </w:rPr>
            </w:pPr>
            <w:r w:rsidRPr="006F283B">
              <w:rPr>
                <w:rFonts w:ascii="Arial Narrow" w:hAnsi="Arial Narrow"/>
                <w:sz w:val="20"/>
              </w:rPr>
              <w:t>45/71 (</w:t>
            </w:r>
            <w:proofErr w:type="gramStart"/>
            <w:r w:rsidRPr="006F283B">
              <w:rPr>
                <w:rFonts w:ascii="Arial Narrow" w:hAnsi="Arial Narrow"/>
                <w:sz w:val="20"/>
              </w:rPr>
              <w:t>63.4)</w:t>
            </w:r>
            <w:r w:rsidR="00242E91">
              <w:rPr>
                <w:rFonts w:ascii="Arial Narrow" w:hAnsi="Arial Narrow"/>
                <w:sz w:val="20"/>
              </w:rPr>
              <w:t>*</w:t>
            </w:r>
            <w:proofErr w:type="gramEnd"/>
          </w:p>
        </w:tc>
        <w:tc>
          <w:tcPr>
            <w:tcW w:w="1244" w:type="dxa"/>
          </w:tcPr>
          <w:p w14:paraId="05A1CC2A" w14:textId="205E8AAE" w:rsidR="00843998" w:rsidRPr="006F283B" w:rsidRDefault="00843998" w:rsidP="004E1FEC">
            <w:pPr>
              <w:spacing w:before="0"/>
              <w:jc w:val="center"/>
              <w:rPr>
                <w:rFonts w:ascii="Arial Narrow" w:hAnsi="Arial Narrow"/>
                <w:sz w:val="20"/>
              </w:rPr>
            </w:pPr>
            <w:r w:rsidRPr="006F283B">
              <w:rPr>
                <w:rFonts w:ascii="Arial Narrow" w:hAnsi="Arial Narrow"/>
                <w:sz w:val="20"/>
              </w:rPr>
              <w:t>25/40 (</w:t>
            </w:r>
            <w:proofErr w:type="gramStart"/>
            <w:r w:rsidRPr="006F283B">
              <w:rPr>
                <w:rFonts w:ascii="Arial Narrow" w:hAnsi="Arial Narrow"/>
                <w:sz w:val="20"/>
              </w:rPr>
              <w:t>62.5)</w:t>
            </w:r>
            <w:r w:rsidR="00242E91">
              <w:rPr>
                <w:rFonts w:ascii="Arial Narrow" w:hAnsi="Arial Narrow"/>
                <w:sz w:val="20"/>
              </w:rPr>
              <w:t>*</w:t>
            </w:r>
            <w:proofErr w:type="gramEnd"/>
          </w:p>
        </w:tc>
        <w:tc>
          <w:tcPr>
            <w:tcW w:w="1243" w:type="dxa"/>
          </w:tcPr>
          <w:p w14:paraId="2B2224DA"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NR</w:t>
            </w:r>
          </w:p>
        </w:tc>
        <w:tc>
          <w:tcPr>
            <w:tcW w:w="1244" w:type="dxa"/>
          </w:tcPr>
          <w:p w14:paraId="57EC7E82"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NR</w:t>
            </w:r>
          </w:p>
        </w:tc>
      </w:tr>
      <w:tr w:rsidR="006F1F48" w:rsidRPr="006F283B" w14:paraId="572C8595" w14:textId="77777777" w:rsidTr="00527A80">
        <w:tc>
          <w:tcPr>
            <w:tcW w:w="1555" w:type="dxa"/>
            <w:vAlign w:val="center"/>
          </w:tcPr>
          <w:p w14:paraId="68ECECA5"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Median months (95%CI)</w:t>
            </w:r>
          </w:p>
        </w:tc>
        <w:tc>
          <w:tcPr>
            <w:tcW w:w="1243" w:type="dxa"/>
            <w:shd w:val="clear" w:color="auto" w:fill="BDD6EE" w:themeFill="accent1" w:themeFillTint="66"/>
          </w:tcPr>
          <w:p w14:paraId="643F58FF"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11.0</w:t>
            </w:r>
          </w:p>
          <w:p w14:paraId="6D460D6B"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(7.4, 13.9)</w:t>
            </w:r>
          </w:p>
        </w:tc>
        <w:tc>
          <w:tcPr>
            <w:tcW w:w="1244" w:type="dxa"/>
            <w:shd w:val="clear" w:color="auto" w:fill="BDD6EE" w:themeFill="accent1" w:themeFillTint="66"/>
          </w:tcPr>
          <w:p w14:paraId="337DB975"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8.3</w:t>
            </w:r>
          </w:p>
          <w:p w14:paraId="79409372"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(5.7, 12.5)</w:t>
            </w:r>
          </w:p>
        </w:tc>
        <w:tc>
          <w:tcPr>
            <w:tcW w:w="1243" w:type="dxa"/>
          </w:tcPr>
          <w:p w14:paraId="3D65635E"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11.0</w:t>
            </w:r>
          </w:p>
          <w:p w14:paraId="75A1D6CD" w14:textId="1817C5E9"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(7.8, </w:t>
            </w:r>
            <w:proofErr w:type="gramStart"/>
            <w:r w:rsidRPr="006F283B">
              <w:rPr>
                <w:rFonts w:ascii="Arial Narrow" w:eastAsia="MS Gothic" w:hAnsi="Arial Narrow"/>
                <w:sz w:val="20"/>
              </w:rPr>
              <w:t>13.9)</w:t>
            </w:r>
            <w:r w:rsidR="00242E91">
              <w:rPr>
                <w:rFonts w:ascii="Arial Narrow" w:eastAsia="MS Gothic" w:hAnsi="Arial Narrow"/>
                <w:sz w:val="20"/>
              </w:rPr>
              <w:t>*</w:t>
            </w:r>
            <w:proofErr w:type="gramEnd"/>
          </w:p>
        </w:tc>
        <w:tc>
          <w:tcPr>
            <w:tcW w:w="1244" w:type="dxa"/>
          </w:tcPr>
          <w:p w14:paraId="5CBA6584" w14:textId="77777777" w:rsidR="00843998" w:rsidRPr="006F283B" w:rsidRDefault="00843998" w:rsidP="004E1FEC">
            <w:pPr>
              <w:spacing w:before="0"/>
              <w:jc w:val="center"/>
              <w:rPr>
                <w:rFonts w:ascii="Arial Narrow" w:eastAsia="MS Gothic" w:hAnsi="Arial Narrow"/>
                <w:sz w:val="20"/>
              </w:rPr>
            </w:pPr>
            <w:r w:rsidRPr="006F283B">
              <w:rPr>
                <w:rFonts w:ascii="Arial Narrow" w:eastAsia="MS Gothic" w:hAnsi="Arial Narrow"/>
                <w:sz w:val="20"/>
              </w:rPr>
              <w:t>8.3</w:t>
            </w:r>
          </w:p>
          <w:p w14:paraId="75D55A48" w14:textId="217FAE08"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 xml:space="preserve">(5.7, </w:t>
            </w:r>
            <w:proofErr w:type="gramStart"/>
            <w:r w:rsidRPr="006F283B">
              <w:rPr>
                <w:rFonts w:ascii="Arial Narrow" w:eastAsia="MS Gothic" w:hAnsi="Arial Narrow"/>
                <w:sz w:val="20"/>
              </w:rPr>
              <w:t>19.4)</w:t>
            </w:r>
            <w:r w:rsidR="00242E91">
              <w:rPr>
                <w:rFonts w:ascii="Arial Narrow" w:eastAsia="MS Gothic" w:hAnsi="Arial Narrow"/>
                <w:sz w:val="20"/>
              </w:rPr>
              <w:t>*</w:t>
            </w:r>
            <w:proofErr w:type="gramEnd"/>
          </w:p>
        </w:tc>
        <w:tc>
          <w:tcPr>
            <w:tcW w:w="1243" w:type="dxa"/>
            <w:vAlign w:val="center"/>
          </w:tcPr>
          <w:p w14:paraId="14F57A7D"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NR</w:t>
            </w:r>
          </w:p>
        </w:tc>
        <w:tc>
          <w:tcPr>
            <w:tcW w:w="1244" w:type="dxa"/>
            <w:vAlign w:val="center"/>
          </w:tcPr>
          <w:p w14:paraId="2868CA7A"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NR</w:t>
            </w:r>
          </w:p>
        </w:tc>
      </w:tr>
      <w:tr w:rsidR="006F1F48" w:rsidRPr="006F283B" w14:paraId="5F15622F" w14:textId="77777777" w:rsidTr="00527A80">
        <w:tc>
          <w:tcPr>
            <w:tcW w:w="1555" w:type="dxa"/>
            <w:vAlign w:val="center"/>
          </w:tcPr>
          <w:p w14:paraId="620D881C" w14:textId="77777777" w:rsidR="00843998" w:rsidRPr="006F283B" w:rsidRDefault="00843998" w:rsidP="00456738">
            <w:pPr>
              <w:spacing w:before="0"/>
              <w:jc w:val="left"/>
              <w:rPr>
                <w:rFonts w:ascii="Arial Narrow" w:hAnsi="Arial Narrow"/>
                <w:sz w:val="20"/>
              </w:rPr>
            </w:pPr>
            <w:r w:rsidRPr="006F283B">
              <w:rPr>
                <w:rFonts w:ascii="Arial Narrow" w:hAnsi="Arial Narrow"/>
                <w:sz w:val="20"/>
              </w:rPr>
              <w:t>PFS HR</w:t>
            </w:r>
          </w:p>
        </w:tc>
        <w:tc>
          <w:tcPr>
            <w:tcW w:w="2487" w:type="dxa"/>
            <w:gridSpan w:val="2"/>
            <w:shd w:val="clear" w:color="auto" w:fill="BDD6EE" w:themeFill="accent1" w:themeFillTint="66"/>
          </w:tcPr>
          <w:p w14:paraId="3C2B71FD" w14:textId="77777777"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0.85 (0.509,1.432); p=0.5577</w:t>
            </w:r>
          </w:p>
        </w:tc>
        <w:tc>
          <w:tcPr>
            <w:tcW w:w="2487" w:type="dxa"/>
            <w:gridSpan w:val="2"/>
          </w:tcPr>
          <w:p w14:paraId="69C0CC40" w14:textId="3C49045E" w:rsidR="00843998" w:rsidRPr="006F283B" w:rsidRDefault="00843998" w:rsidP="004E1FEC">
            <w:pPr>
              <w:spacing w:before="0"/>
              <w:jc w:val="center"/>
              <w:rPr>
                <w:rFonts w:ascii="Arial Narrow" w:hAnsi="Arial Narrow"/>
                <w:sz w:val="20"/>
              </w:rPr>
            </w:pPr>
            <w:r w:rsidRPr="006F283B">
              <w:rPr>
                <w:rFonts w:ascii="Arial Narrow" w:eastAsia="MS Gothic" w:hAnsi="Arial Narrow"/>
                <w:sz w:val="20"/>
              </w:rPr>
              <w:t>0.95 (0.571,1.589); p=0.8624</w:t>
            </w:r>
            <w:r w:rsidR="00242E91">
              <w:rPr>
                <w:rFonts w:ascii="Arial Narrow" w:eastAsia="MS Gothic" w:hAnsi="Arial Narrow"/>
                <w:sz w:val="20"/>
              </w:rPr>
              <w:t>*</w:t>
            </w:r>
          </w:p>
        </w:tc>
        <w:tc>
          <w:tcPr>
            <w:tcW w:w="2487" w:type="dxa"/>
            <w:gridSpan w:val="2"/>
          </w:tcPr>
          <w:p w14:paraId="2468AF2F" w14:textId="77777777" w:rsidR="00843998" w:rsidRPr="006F283B" w:rsidRDefault="00843998" w:rsidP="004E1FEC">
            <w:pPr>
              <w:spacing w:before="0"/>
              <w:jc w:val="center"/>
              <w:rPr>
                <w:rFonts w:ascii="Arial Narrow" w:hAnsi="Arial Narrow"/>
                <w:sz w:val="20"/>
              </w:rPr>
            </w:pPr>
            <w:r w:rsidRPr="006F283B">
              <w:rPr>
                <w:rFonts w:ascii="Arial Narrow" w:hAnsi="Arial Narrow"/>
                <w:sz w:val="20"/>
              </w:rPr>
              <w:t>NR</w:t>
            </w:r>
          </w:p>
        </w:tc>
      </w:tr>
      <w:tr w:rsidR="006F1F48" w:rsidRPr="006F283B" w14:paraId="59752185" w14:textId="77777777" w:rsidTr="00372EA1">
        <w:tc>
          <w:tcPr>
            <w:tcW w:w="9016" w:type="dxa"/>
            <w:gridSpan w:val="7"/>
            <w:vAlign w:val="center"/>
          </w:tcPr>
          <w:p w14:paraId="6319378E" w14:textId="4C5940B6" w:rsidR="006F1F48" w:rsidRPr="006F283B" w:rsidRDefault="001152C0" w:rsidP="00372EA1">
            <w:pPr>
              <w:spacing w:before="0"/>
              <w:jc w:val="left"/>
              <w:rPr>
                <w:rFonts w:ascii="Arial Narrow" w:hAnsi="Arial Narrow"/>
                <w:b/>
                <w:bCs/>
                <w:sz w:val="20"/>
              </w:rPr>
            </w:pPr>
            <w:r w:rsidRPr="001152C0">
              <w:rPr>
                <w:rFonts w:ascii="Arial Narrow" w:hAnsi="Arial Narrow"/>
                <w:b/>
                <w:bCs/>
                <w:i/>
                <w:sz w:val="20"/>
              </w:rPr>
              <w:t>BRCAwt</w:t>
            </w:r>
          </w:p>
        </w:tc>
      </w:tr>
      <w:tr w:rsidR="002728E9" w:rsidRPr="006F283B" w14:paraId="56A5EA22" w14:textId="77777777" w:rsidTr="00527A80">
        <w:tc>
          <w:tcPr>
            <w:tcW w:w="1555" w:type="dxa"/>
            <w:vAlign w:val="center"/>
          </w:tcPr>
          <w:p w14:paraId="7D93CA79" w14:textId="77777777" w:rsidR="002728E9" w:rsidRPr="006F283B" w:rsidRDefault="002728E9" w:rsidP="002728E9">
            <w:pPr>
              <w:spacing w:before="0"/>
              <w:jc w:val="left"/>
              <w:rPr>
                <w:rFonts w:ascii="Arial Narrow" w:hAnsi="Arial Narrow"/>
                <w:sz w:val="20"/>
              </w:rPr>
            </w:pPr>
            <w:r w:rsidRPr="006F283B">
              <w:rPr>
                <w:rFonts w:ascii="Arial Narrow" w:hAnsi="Arial Narrow"/>
                <w:sz w:val="20"/>
              </w:rPr>
              <w:t>Events, n/</w:t>
            </w:r>
            <w:proofErr w:type="gramStart"/>
            <w:r w:rsidRPr="006F283B">
              <w:rPr>
                <w:rFonts w:ascii="Arial Narrow" w:hAnsi="Arial Narrow"/>
                <w:sz w:val="20"/>
              </w:rPr>
              <w:t>N(</w:t>
            </w:r>
            <w:proofErr w:type="gramEnd"/>
            <w:r w:rsidRPr="006F283B">
              <w:rPr>
                <w:rFonts w:ascii="Arial Narrow" w:hAnsi="Arial Narrow"/>
                <w:sz w:val="20"/>
              </w:rPr>
              <w:t>%)</w:t>
            </w:r>
          </w:p>
        </w:tc>
        <w:tc>
          <w:tcPr>
            <w:tcW w:w="1243" w:type="dxa"/>
            <w:shd w:val="clear" w:color="auto" w:fill="BDD6EE" w:themeFill="accent1" w:themeFillTint="66"/>
          </w:tcPr>
          <w:p w14:paraId="29CB7806" w14:textId="7E803848" w:rsidR="002728E9" w:rsidRPr="006F283B" w:rsidRDefault="002728E9" w:rsidP="002728E9">
            <w:pPr>
              <w:spacing w:before="0"/>
              <w:jc w:val="center"/>
              <w:rPr>
                <w:rFonts w:ascii="Arial Narrow" w:hAnsi="Arial Narrow"/>
                <w:sz w:val="20"/>
              </w:rPr>
            </w:pPr>
            <w:r w:rsidRPr="006F283B">
              <w:rPr>
                <w:rFonts w:ascii="Arial Narrow" w:hAnsi="Arial Narrow"/>
                <w:sz w:val="20"/>
              </w:rPr>
              <w:t>170/310 (54.8)</w:t>
            </w:r>
          </w:p>
        </w:tc>
        <w:tc>
          <w:tcPr>
            <w:tcW w:w="1244" w:type="dxa"/>
            <w:shd w:val="clear" w:color="auto" w:fill="BDD6EE" w:themeFill="accent1" w:themeFillTint="66"/>
          </w:tcPr>
          <w:p w14:paraId="7DC83F97" w14:textId="09443398" w:rsidR="002728E9" w:rsidRPr="006F283B" w:rsidRDefault="002728E9" w:rsidP="002728E9">
            <w:pPr>
              <w:spacing w:before="0"/>
              <w:jc w:val="center"/>
              <w:rPr>
                <w:rFonts w:ascii="Arial Narrow" w:hAnsi="Arial Narrow"/>
                <w:sz w:val="20"/>
              </w:rPr>
            </w:pPr>
            <w:r w:rsidRPr="006F283B">
              <w:rPr>
                <w:rFonts w:ascii="Arial Narrow" w:hAnsi="Arial Narrow"/>
                <w:sz w:val="20"/>
              </w:rPr>
              <w:t>108/163 (66.3)</w:t>
            </w:r>
          </w:p>
        </w:tc>
        <w:tc>
          <w:tcPr>
            <w:tcW w:w="1243" w:type="dxa"/>
          </w:tcPr>
          <w:p w14:paraId="063C73A7" w14:textId="43AE5CBD"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c>
          <w:tcPr>
            <w:tcW w:w="1244" w:type="dxa"/>
          </w:tcPr>
          <w:p w14:paraId="582D8171" w14:textId="132892CF"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c>
          <w:tcPr>
            <w:tcW w:w="1243" w:type="dxa"/>
          </w:tcPr>
          <w:p w14:paraId="64CBB998" w14:textId="77777777"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c>
          <w:tcPr>
            <w:tcW w:w="1244" w:type="dxa"/>
          </w:tcPr>
          <w:p w14:paraId="769BEB7C" w14:textId="77777777"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r>
      <w:tr w:rsidR="002728E9" w:rsidRPr="006F283B" w14:paraId="3BEE0C3A" w14:textId="77777777" w:rsidTr="00527A80">
        <w:tc>
          <w:tcPr>
            <w:tcW w:w="1555" w:type="dxa"/>
            <w:vAlign w:val="center"/>
          </w:tcPr>
          <w:p w14:paraId="3613FE62" w14:textId="77777777" w:rsidR="002728E9" w:rsidRPr="006F283B" w:rsidRDefault="002728E9" w:rsidP="002728E9">
            <w:pPr>
              <w:spacing w:before="0"/>
              <w:jc w:val="left"/>
              <w:rPr>
                <w:rFonts w:ascii="Arial Narrow" w:hAnsi="Arial Narrow"/>
                <w:sz w:val="20"/>
              </w:rPr>
            </w:pPr>
            <w:r w:rsidRPr="006F283B">
              <w:rPr>
                <w:rFonts w:ascii="Arial Narrow" w:hAnsi="Arial Narrow"/>
                <w:sz w:val="20"/>
              </w:rPr>
              <w:t>Median months (95%CI)</w:t>
            </w:r>
          </w:p>
        </w:tc>
        <w:tc>
          <w:tcPr>
            <w:tcW w:w="1243" w:type="dxa"/>
            <w:shd w:val="clear" w:color="auto" w:fill="BDD6EE" w:themeFill="accent1" w:themeFillTint="66"/>
          </w:tcPr>
          <w:p w14:paraId="41BEB57A" w14:textId="197F66EC" w:rsidR="002728E9" w:rsidRPr="006F283B" w:rsidRDefault="002728E9" w:rsidP="002728E9">
            <w:pPr>
              <w:spacing w:before="0"/>
              <w:jc w:val="center"/>
              <w:rPr>
                <w:rFonts w:ascii="Arial Narrow" w:hAnsi="Arial Narrow"/>
                <w:sz w:val="20"/>
              </w:rPr>
            </w:pPr>
            <w:r w:rsidRPr="006F283B">
              <w:rPr>
                <w:rFonts w:ascii="Arial Narrow" w:hAnsi="Arial Narrow"/>
                <w:sz w:val="20"/>
              </w:rPr>
              <w:t>10.9 (8.3, 11.8)</w:t>
            </w:r>
          </w:p>
        </w:tc>
        <w:tc>
          <w:tcPr>
            <w:tcW w:w="1244" w:type="dxa"/>
            <w:shd w:val="clear" w:color="auto" w:fill="BDD6EE" w:themeFill="accent1" w:themeFillTint="66"/>
          </w:tcPr>
          <w:p w14:paraId="09F0CBE4" w14:textId="71C62E87" w:rsidR="002728E9" w:rsidRPr="006F283B" w:rsidRDefault="002728E9" w:rsidP="002728E9">
            <w:pPr>
              <w:spacing w:before="0"/>
              <w:jc w:val="center"/>
              <w:rPr>
                <w:rFonts w:ascii="Arial Narrow" w:hAnsi="Arial Narrow"/>
                <w:sz w:val="20"/>
              </w:rPr>
            </w:pPr>
            <w:r w:rsidRPr="006F283B">
              <w:rPr>
                <w:rFonts w:ascii="Arial Narrow" w:hAnsi="Arial Narrow"/>
                <w:sz w:val="20"/>
              </w:rPr>
              <w:t>7.4 (5.6, 8.2)</w:t>
            </w:r>
          </w:p>
        </w:tc>
        <w:tc>
          <w:tcPr>
            <w:tcW w:w="1243" w:type="dxa"/>
            <w:vAlign w:val="center"/>
          </w:tcPr>
          <w:p w14:paraId="76A8C609" w14:textId="1694C201"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c>
          <w:tcPr>
            <w:tcW w:w="1244" w:type="dxa"/>
            <w:vAlign w:val="center"/>
          </w:tcPr>
          <w:p w14:paraId="0C06A3B2" w14:textId="63E359AE"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c>
          <w:tcPr>
            <w:tcW w:w="1243" w:type="dxa"/>
            <w:vAlign w:val="center"/>
          </w:tcPr>
          <w:p w14:paraId="75C29304" w14:textId="77777777"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c>
          <w:tcPr>
            <w:tcW w:w="1244" w:type="dxa"/>
            <w:vAlign w:val="center"/>
          </w:tcPr>
          <w:p w14:paraId="448EF8DD" w14:textId="77777777"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r>
      <w:tr w:rsidR="002728E9" w:rsidRPr="006F283B" w14:paraId="0D92CB80" w14:textId="77777777" w:rsidTr="00527A80">
        <w:tc>
          <w:tcPr>
            <w:tcW w:w="1555" w:type="dxa"/>
            <w:vAlign w:val="center"/>
          </w:tcPr>
          <w:p w14:paraId="3657F406" w14:textId="77777777" w:rsidR="002728E9" w:rsidRPr="006F283B" w:rsidRDefault="002728E9" w:rsidP="002728E9">
            <w:pPr>
              <w:spacing w:before="0"/>
              <w:jc w:val="left"/>
              <w:rPr>
                <w:rFonts w:ascii="Arial Narrow" w:hAnsi="Arial Narrow"/>
                <w:sz w:val="20"/>
              </w:rPr>
            </w:pPr>
            <w:r w:rsidRPr="006F283B">
              <w:rPr>
                <w:rFonts w:ascii="Arial Narrow" w:hAnsi="Arial Narrow"/>
                <w:sz w:val="20"/>
              </w:rPr>
              <w:t>PFS HR</w:t>
            </w:r>
          </w:p>
        </w:tc>
        <w:tc>
          <w:tcPr>
            <w:tcW w:w="2487" w:type="dxa"/>
            <w:gridSpan w:val="2"/>
            <w:shd w:val="clear" w:color="auto" w:fill="BDD6EE" w:themeFill="accent1" w:themeFillTint="66"/>
          </w:tcPr>
          <w:p w14:paraId="673953AF" w14:textId="1793592E" w:rsidR="002728E9" w:rsidRPr="006F283B" w:rsidRDefault="002728E9" w:rsidP="002728E9">
            <w:pPr>
              <w:spacing w:before="0"/>
              <w:jc w:val="center"/>
              <w:rPr>
                <w:rFonts w:ascii="Arial Narrow" w:hAnsi="Arial Narrow"/>
                <w:b/>
                <w:bCs/>
                <w:sz w:val="20"/>
              </w:rPr>
            </w:pPr>
            <w:r w:rsidRPr="006F283B">
              <w:rPr>
                <w:rFonts w:ascii="Arial Narrow" w:hAnsi="Arial Narrow"/>
                <w:b/>
                <w:bCs/>
                <w:sz w:val="20"/>
              </w:rPr>
              <w:t>0.69 (0.54, 0.88); p=0.0</w:t>
            </w:r>
            <w:r w:rsidR="00900D0E">
              <w:rPr>
                <w:rFonts w:ascii="Arial Narrow" w:hAnsi="Arial Narrow"/>
                <w:b/>
                <w:bCs/>
                <w:sz w:val="20"/>
              </w:rPr>
              <w:t>0</w:t>
            </w:r>
            <w:r w:rsidRPr="006F283B">
              <w:rPr>
                <w:rFonts w:ascii="Arial Narrow" w:hAnsi="Arial Narrow"/>
                <w:b/>
                <w:bCs/>
                <w:sz w:val="20"/>
              </w:rPr>
              <w:t>29</w:t>
            </w:r>
          </w:p>
        </w:tc>
        <w:tc>
          <w:tcPr>
            <w:tcW w:w="2487" w:type="dxa"/>
            <w:gridSpan w:val="2"/>
          </w:tcPr>
          <w:p w14:paraId="1D4C41AF" w14:textId="3708E128"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c>
          <w:tcPr>
            <w:tcW w:w="2487" w:type="dxa"/>
            <w:gridSpan w:val="2"/>
          </w:tcPr>
          <w:p w14:paraId="118099A3" w14:textId="72145F27" w:rsidR="002728E9" w:rsidRPr="006F283B" w:rsidRDefault="002728E9" w:rsidP="002728E9">
            <w:pPr>
              <w:spacing w:before="0"/>
              <w:jc w:val="center"/>
              <w:rPr>
                <w:rFonts w:ascii="Arial Narrow" w:hAnsi="Arial Narrow"/>
                <w:sz w:val="20"/>
              </w:rPr>
            </w:pPr>
            <w:r w:rsidRPr="006F283B">
              <w:rPr>
                <w:rFonts w:ascii="Arial Narrow" w:hAnsi="Arial Narrow"/>
                <w:sz w:val="20"/>
              </w:rPr>
              <w:t>NR</w:t>
            </w:r>
          </w:p>
        </w:tc>
      </w:tr>
    </w:tbl>
    <w:p w14:paraId="5264832F" w14:textId="267C245F" w:rsidR="00843998" w:rsidRPr="006F283B" w:rsidRDefault="00843998" w:rsidP="00242E91">
      <w:pPr>
        <w:pStyle w:val="TableFigureFooter"/>
        <w:jc w:val="both"/>
        <w:rPr>
          <w:iCs/>
        </w:rPr>
      </w:pPr>
      <w:r w:rsidRPr="006F283B">
        <w:t>Source: Table 75 and Table 76 p155 of the submission</w:t>
      </w:r>
      <w:r w:rsidR="000940C5" w:rsidRPr="006F283B">
        <w:t xml:space="preserve">, </w:t>
      </w:r>
      <w:r w:rsidR="000940C5" w:rsidRPr="006F283B">
        <w:rPr>
          <w:iCs/>
        </w:rPr>
        <w:t>paragraph 6.18 niraparib PSD, March 2022 PBAC meeting)</w:t>
      </w:r>
    </w:p>
    <w:p w14:paraId="7509814E" w14:textId="77777777" w:rsidR="00843998" w:rsidRPr="006F283B" w:rsidRDefault="00843998" w:rsidP="00242E91">
      <w:pPr>
        <w:pStyle w:val="TableFigureFooter"/>
        <w:jc w:val="both"/>
      </w:pPr>
      <w:r w:rsidRPr="006F283B">
        <w:t xml:space="preserve">Blue shaded cells indicate data previously considered by </w:t>
      </w:r>
      <w:proofErr w:type="gramStart"/>
      <w:r w:rsidRPr="006F283B">
        <w:t>PBAC</w:t>
      </w:r>
      <w:proofErr w:type="gramEnd"/>
    </w:p>
    <w:p w14:paraId="08B2885F" w14:textId="77777777" w:rsidR="00843998" w:rsidRPr="006F283B" w:rsidRDefault="00843998" w:rsidP="00242E91">
      <w:pPr>
        <w:pStyle w:val="TableFigureFooter"/>
        <w:jc w:val="both"/>
      </w:pPr>
      <w:r w:rsidRPr="006F283B">
        <w:t>Bolded values indicate statistically significant difference (upper 95%CI does not exceed one)</w:t>
      </w:r>
    </w:p>
    <w:p w14:paraId="442661E1" w14:textId="780C5419" w:rsidR="00843998" w:rsidRDefault="00843998" w:rsidP="00242E91">
      <w:pPr>
        <w:pStyle w:val="TableFigureFooter"/>
        <w:jc w:val="both"/>
      </w:pPr>
      <w:r w:rsidRPr="006F283B">
        <w:t xml:space="preserve">BICR = blinded independent central review; </w:t>
      </w:r>
      <w:r w:rsidR="001152C0" w:rsidRPr="001152C0">
        <w:rPr>
          <w:i/>
          <w:iCs/>
        </w:rPr>
        <w:t>BRCAm</w:t>
      </w:r>
      <w:r w:rsidRPr="006F283B">
        <w:t xml:space="preserve"> = </w:t>
      </w:r>
      <w:r w:rsidR="001152C0" w:rsidRPr="001152C0">
        <w:rPr>
          <w:i/>
          <w:iCs/>
        </w:rPr>
        <w:t xml:space="preserve">BRCA </w:t>
      </w:r>
      <w:r w:rsidRPr="006F283B">
        <w:t xml:space="preserve">mutation; CI = confidence interval; </w:t>
      </w:r>
      <w:r w:rsidR="001152C0" w:rsidRPr="001152C0">
        <w:rPr>
          <w:i/>
          <w:iCs/>
        </w:rPr>
        <w:t>BRCAm</w:t>
      </w:r>
      <w:r w:rsidRPr="006F283B">
        <w:t xml:space="preserve"> = </w:t>
      </w:r>
      <w:r w:rsidR="001152C0" w:rsidRPr="001152C0">
        <w:rPr>
          <w:i/>
          <w:iCs/>
        </w:rPr>
        <w:t xml:space="preserve">BRCA </w:t>
      </w:r>
      <w:r w:rsidRPr="006F283B">
        <w:t>mutation; HR = hazard ratio; HRD = homologous deficiency repair; INV = investigator; nd = not determined; NE = not evaluable; NIRA = niraparib; NR = not reported; PBO = placebo; wt= wild type</w:t>
      </w:r>
    </w:p>
    <w:p w14:paraId="6A4327EC" w14:textId="5DD11FC1" w:rsidR="00242E91" w:rsidRPr="00242E91" w:rsidRDefault="00242E91" w:rsidP="00242E91">
      <w:pPr>
        <w:pStyle w:val="TableFigureFooter"/>
        <w:spacing w:after="120"/>
        <w:jc w:val="both"/>
        <w:rPr>
          <w:i/>
          <w:iCs/>
        </w:rPr>
      </w:pPr>
      <w:r w:rsidRPr="00242E91">
        <w:rPr>
          <w:i/>
          <w:iCs/>
        </w:rPr>
        <w:t>Note that the results denoted by (</w:t>
      </w:r>
      <w:r w:rsidR="00721ED9">
        <w:rPr>
          <w:i/>
          <w:iCs/>
        </w:rPr>
        <w:t>*</w:t>
      </w:r>
      <w:r w:rsidRPr="00242E91">
        <w:rPr>
          <w:i/>
          <w:iCs/>
        </w:rPr>
        <w:t xml:space="preserve">)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w:t>
      </w:r>
      <w:proofErr w:type="gramStart"/>
      <w:r w:rsidRPr="00242E91">
        <w:rPr>
          <w:i/>
          <w:iCs/>
        </w:rPr>
        <w:t>purpose</w:t>
      </w:r>
      <w:proofErr w:type="gramEnd"/>
    </w:p>
    <w:p w14:paraId="0F85C584" w14:textId="39D502DA" w:rsidR="00843998" w:rsidRPr="006F283B" w:rsidRDefault="00E67EA2" w:rsidP="00593A64">
      <w:pPr>
        <w:pStyle w:val="Caption"/>
      </w:pPr>
      <w:bookmarkStart w:id="78" w:name="_Ref121201117"/>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7</w:t>
      </w:r>
      <w:r w:rsidR="00091054">
        <w:rPr>
          <w:noProof/>
        </w:rPr>
        <w:fldChar w:fldCharType="end"/>
      </w:r>
      <w:bookmarkEnd w:id="78"/>
      <w:r w:rsidR="007E584B">
        <w:t xml:space="preserve">: </w:t>
      </w:r>
      <w:bookmarkStart w:id="79" w:name="_Hlk130481980"/>
      <w:r w:rsidR="00843998" w:rsidRPr="006F283B">
        <w:t xml:space="preserve">Investigator assessed PFS </w:t>
      </w:r>
      <w:bookmarkEnd w:id="79"/>
      <w:r w:rsidR="00843998" w:rsidRPr="006F283B">
        <w:t xml:space="preserve">HRD positive </w:t>
      </w:r>
      <w:r w:rsidR="001152C0" w:rsidRPr="001152C0">
        <w:rPr>
          <w:i/>
        </w:rPr>
        <w:t>BRCAwt</w:t>
      </w:r>
      <w:r w:rsidR="00843998" w:rsidRPr="006F283B">
        <w:t xml:space="preserve"> subgroup results in PRIMA (November 2021 </w:t>
      </w:r>
      <w:proofErr w:type="gramStart"/>
      <w:r w:rsidR="00843998" w:rsidRPr="006F283B">
        <w:t>DCO)</w:t>
      </w:r>
      <w:r w:rsidR="0053193A">
        <w:t>*</w:t>
      </w:r>
      <w:proofErr w:type="gramEnd"/>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1439"/>
        <w:gridCol w:w="2080"/>
        <w:gridCol w:w="2014"/>
      </w:tblGrid>
      <w:tr w:rsidR="00843998" w:rsidRPr="006F283B" w14:paraId="7DD1A215" w14:textId="77777777" w:rsidTr="004E1FEC">
        <w:trPr>
          <w:cnfStyle w:val="100000000000" w:firstRow="1" w:lastRow="0" w:firstColumn="0" w:lastColumn="0" w:oddVBand="0" w:evenVBand="0" w:oddHBand="0" w:evenHBand="0" w:firstRowFirstColumn="0" w:firstRowLastColumn="0" w:lastRowFirstColumn="0" w:lastRowLastColumn="0"/>
          <w:trHeight w:val="20"/>
        </w:trPr>
        <w:tc>
          <w:tcPr>
            <w:tcW w:w="0" w:type="auto"/>
            <w:gridSpan w:val="2"/>
            <w:shd w:val="clear" w:color="auto" w:fill="auto"/>
          </w:tcPr>
          <w:p w14:paraId="19F70517" w14:textId="77777777" w:rsidR="00843998" w:rsidRPr="006F283B" w:rsidRDefault="00843998" w:rsidP="00E23F47">
            <w:pPr>
              <w:keepNext/>
              <w:keepLines/>
              <w:spacing w:before="0"/>
              <w:jc w:val="left"/>
              <w:rPr>
                <w:rFonts w:ascii="Arial Narrow" w:eastAsia="MS Gothic" w:hAnsi="Arial Narrow" w:cs="Times New Roman"/>
                <w:b w:val="0"/>
                <w:bCs/>
                <w:sz w:val="20"/>
                <w:lang w:val="en-AU"/>
              </w:rPr>
            </w:pPr>
          </w:p>
        </w:tc>
        <w:tc>
          <w:tcPr>
            <w:tcW w:w="0" w:type="auto"/>
            <w:shd w:val="clear" w:color="auto" w:fill="auto"/>
          </w:tcPr>
          <w:p w14:paraId="348AF64F" w14:textId="77777777" w:rsidR="00843998" w:rsidRPr="006F283B" w:rsidRDefault="00843998" w:rsidP="00E23F47">
            <w:pPr>
              <w:keepNext/>
              <w:keepLines/>
              <w:spacing w:before="0"/>
              <w:jc w:val="center"/>
              <w:rPr>
                <w:rFonts w:ascii="Arial Narrow" w:eastAsia="MS Gothic" w:hAnsi="Arial Narrow" w:cs="Times New Roman"/>
                <w:b w:val="0"/>
                <w:bCs/>
                <w:sz w:val="20"/>
                <w:lang w:val="en-AU"/>
              </w:rPr>
            </w:pPr>
            <w:r w:rsidRPr="006F283B">
              <w:rPr>
                <w:rFonts w:ascii="Arial Narrow" w:eastAsia="MS Gothic" w:hAnsi="Arial Narrow" w:cs="Times New Roman"/>
                <w:bCs/>
                <w:sz w:val="20"/>
                <w:lang w:val="en-AU"/>
              </w:rPr>
              <w:t>NIRA</w:t>
            </w:r>
          </w:p>
          <w:p w14:paraId="5217FBF5" w14:textId="77777777" w:rsidR="00843998" w:rsidRPr="006F283B" w:rsidRDefault="00843998" w:rsidP="00E23F47">
            <w:pPr>
              <w:keepNext/>
              <w:keepLines/>
              <w:spacing w:before="0"/>
              <w:jc w:val="center"/>
              <w:rPr>
                <w:rFonts w:ascii="Arial Narrow" w:eastAsia="MS Gothic" w:hAnsi="Arial Narrow" w:cs="Times New Roman"/>
                <w:b w:val="0"/>
                <w:bCs/>
                <w:sz w:val="20"/>
                <w:lang w:val="en-AU"/>
              </w:rPr>
            </w:pPr>
            <w:r w:rsidRPr="006F283B">
              <w:rPr>
                <w:rFonts w:ascii="Arial Narrow" w:eastAsia="MS Gothic" w:hAnsi="Arial Narrow" w:cs="Times New Roman"/>
                <w:bCs/>
                <w:sz w:val="20"/>
                <w:lang w:val="en-AU"/>
              </w:rPr>
              <w:t>(n=95)</w:t>
            </w:r>
          </w:p>
        </w:tc>
        <w:tc>
          <w:tcPr>
            <w:tcW w:w="0" w:type="auto"/>
            <w:shd w:val="clear" w:color="auto" w:fill="auto"/>
          </w:tcPr>
          <w:p w14:paraId="7D29B5E0" w14:textId="77777777" w:rsidR="00843998" w:rsidRPr="006F283B" w:rsidRDefault="00843998" w:rsidP="00E23F47">
            <w:pPr>
              <w:keepNext/>
              <w:keepLines/>
              <w:spacing w:before="0"/>
              <w:jc w:val="center"/>
              <w:rPr>
                <w:rFonts w:ascii="Arial Narrow" w:eastAsia="MS Gothic" w:hAnsi="Arial Narrow" w:cs="Times New Roman"/>
                <w:b w:val="0"/>
                <w:bCs/>
                <w:sz w:val="20"/>
                <w:lang w:val="en-AU"/>
              </w:rPr>
            </w:pPr>
            <w:r w:rsidRPr="006F283B">
              <w:rPr>
                <w:rFonts w:ascii="Arial Narrow" w:eastAsia="MS Gothic" w:hAnsi="Arial Narrow" w:cs="Times New Roman"/>
                <w:bCs/>
                <w:sz w:val="20"/>
                <w:lang w:val="en-AU"/>
              </w:rPr>
              <w:t>PBO</w:t>
            </w:r>
          </w:p>
          <w:p w14:paraId="44334457" w14:textId="77777777" w:rsidR="00843998" w:rsidRPr="006F283B" w:rsidRDefault="00843998" w:rsidP="00E23F47">
            <w:pPr>
              <w:keepNext/>
              <w:keepLines/>
              <w:spacing w:before="0"/>
              <w:jc w:val="center"/>
              <w:rPr>
                <w:rFonts w:ascii="Arial Narrow" w:eastAsia="MS Gothic" w:hAnsi="Arial Narrow" w:cs="Times New Roman"/>
                <w:b w:val="0"/>
                <w:bCs/>
                <w:sz w:val="20"/>
                <w:lang w:val="en-AU"/>
              </w:rPr>
            </w:pPr>
            <w:r w:rsidRPr="006F283B">
              <w:rPr>
                <w:rFonts w:ascii="Arial Narrow" w:eastAsia="MS Gothic" w:hAnsi="Arial Narrow" w:cs="Times New Roman"/>
                <w:bCs/>
                <w:sz w:val="20"/>
                <w:lang w:val="en-AU"/>
              </w:rPr>
              <w:t>(n=55)</w:t>
            </w:r>
          </w:p>
        </w:tc>
      </w:tr>
      <w:tr w:rsidR="00843998" w:rsidRPr="006F283B" w14:paraId="30DA270A" w14:textId="77777777" w:rsidTr="004E1FEC">
        <w:tc>
          <w:tcPr>
            <w:tcW w:w="0" w:type="auto"/>
            <w:gridSpan w:val="2"/>
            <w:shd w:val="clear" w:color="auto" w:fill="auto"/>
            <w:vAlign w:val="center"/>
          </w:tcPr>
          <w:p w14:paraId="6E43EFB8" w14:textId="151FABF5"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Events, n (%)</w:t>
            </w:r>
          </w:p>
        </w:tc>
        <w:tc>
          <w:tcPr>
            <w:tcW w:w="0" w:type="auto"/>
            <w:shd w:val="clear" w:color="auto" w:fill="auto"/>
          </w:tcPr>
          <w:p w14:paraId="3F505BDB"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54 (56.8)</w:t>
            </w:r>
          </w:p>
        </w:tc>
        <w:tc>
          <w:tcPr>
            <w:tcW w:w="0" w:type="auto"/>
            <w:shd w:val="clear" w:color="auto" w:fill="auto"/>
          </w:tcPr>
          <w:p w14:paraId="08E0BDB3"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43 (78.2)</w:t>
            </w:r>
          </w:p>
        </w:tc>
      </w:tr>
      <w:tr w:rsidR="00843998" w:rsidRPr="006F283B" w14:paraId="67C72326" w14:textId="77777777" w:rsidTr="004E1FEC">
        <w:tc>
          <w:tcPr>
            <w:tcW w:w="0" w:type="auto"/>
            <w:vMerge w:val="restart"/>
            <w:shd w:val="clear" w:color="auto" w:fill="auto"/>
            <w:vAlign w:val="center"/>
          </w:tcPr>
          <w:p w14:paraId="3C186826" w14:textId="7B148EA5"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Survival distribution (95 % CI)</w:t>
            </w:r>
          </w:p>
        </w:tc>
        <w:tc>
          <w:tcPr>
            <w:tcW w:w="0" w:type="auto"/>
            <w:shd w:val="clear" w:color="auto" w:fill="auto"/>
            <w:vAlign w:val="center"/>
          </w:tcPr>
          <w:p w14:paraId="0F605884" w14:textId="77777777"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6 months</w:t>
            </w:r>
          </w:p>
        </w:tc>
        <w:tc>
          <w:tcPr>
            <w:tcW w:w="0" w:type="auto"/>
            <w:shd w:val="clear" w:color="auto" w:fill="auto"/>
          </w:tcPr>
          <w:p w14:paraId="7E308A34"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0.83 (0.73,0.90)</w:t>
            </w:r>
          </w:p>
        </w:tc>
        <w:tc>
          <w:tcPr>
            <w:tcW w:w="0" w:type="auto"/>
            <w:shd w:val="clear" w:color="auto" w:fill="auto"/>
          </w:tcPr>
          <w:p w14:paraId="2732ED52"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0.73 (0.59,0.83)</w:t>
            </w:r>
          </w:p>
        </w:tc>
      </w:tr>
      <w:tr w:rsidR="00843998" w:rsidRPr="006F283B" w14:paraId="2FF275DE" w14:textId="77777777" w:rsidTr="004E1FEC">
        <w:tc>
          <w:tcPr>
            <w:tcW w:w="0" w:type="auto"/>
            <w:vMerge/>
            <w:shd w:val="clear" w:color="auto" w:fill="auto"/>
            <w:vAlign w:val="center"/>
          </w:tcPr>
          <w:p w14:paraId="5D9C6A21" w14:textId="77777777" w:rsidR="00843998" w:rsidRPr="006F283B" w:rsidRDefault="00843998" w:rsidP="00E23F47">
            <w:pPr>
              <w:keepNext/>
              <w:keepLines/>
              <w:spacing w:before="0"/>
              <w:jc w:val="left"/>
              <w:rPr>
                <w:rFonts w:ascii="Arial Narrow" w:eastAsia="MS Gothic" w:hAnsi="Arial Narrow" w:cs="Times New Roman"/>
                <w:sz w:val="20"/>
                <w:lang w:val="en-AU"/>
              </w:rPr>
            </w:pPr>
          </w:p>
        </w:tc>
        <w:tc>
          <w:tcPr>
            <w:tcW w:w="0" w:type="auto"/>
            <w:shd w:val="clear" w:color="auto" w:fill="auto"/>
            <w:vAlign w:val="center"/>
          </w:tcPr>
          <w:p w14:paraId="54A06175" w14:textId="77777777"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12 months</w:t>
            </w:r>
          </w:p>
        </w:tc>
        <w:tc>
          <w:tcPr>
            <w:tcW w:w="0" w:type="auto"/>
            <w:shd w:val="clear" w:color="auto" w:fill="auto"/>
          </w:tcPr>
          <w:p w14:paraId="27C7ADCE"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0.62 (0.51,0.72)</w:t>
            </w:r>
          </w:p>
        </w:tc>
        <w:tc>
          <w:tcPr>
            <w:tcW w:w="0" w:type="auto"/>
            <w:shd w:val="clear" w:color="auto" w:fill="auto"/>
          </w:tcPr>
          <w:p w14:paraId="32638BAF"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0.44 (0.30,0.56)</w:t>
            </w:r>
          </w:p>
        </w:tc>
      </w:tr>
      <w:tr w:rsidR="00843998" w:rsidRPr="006F283B" w14:paraId="124DC5C9" w14:textId="77777777" w:rsidTr="004E1FEC">
        <w:tc>
          <w:tcPr>
            <w:tcW w:w="0" w:type="auto"/>
            <w:vMerge/>
            <w:shd w:val="clear" w:color="auto" w:fill="auto"/>
            <w:vAlign w:val="center"/>
          </w:tcPr>
          <w:p w14:paraId="03A08F75" w14:textId="77777777" w:rsidR="00843998" w:rsidRPr="006F283B" w:rsidRDefault="00843998" w:rsidP="00E23F47">
            <w:pPr>
              <w:keepNext/>
              <w:keepLines/>
              <w:spacing w:before="0"/>
              <w:jc w:val="left"/>
              <w:rPr>
                <w:rFonts w:ascii="Arial Narrow" w:eastAsia="MS Gothic" w:hAnsi="Arial Narrow" w:cs="Times New Roman"/>
                <w:sz w:val="20"/>
                <w:lang w:val="en-AU"/>
              </w:rPr>
            </w:pPr>
          </w:p>
        </w:tc>
        <w:tc>
          <w:tcPr>
            <w:tcW w:w="0" w:type="auto"/>
            <w:shd w:val="clear" w:color="auto" w:fill="auto"/>
            <w:vAlign w:val="center"/>
          </w:tcPr>
          <w:p w14:paraId="41AC2BC2" w14:textId="77777777"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18 months</w:t>
            </w:r>
          </w:p>
        </w:tc>
        <w:tc>
          <w:tcPr>
            <w:tcW w:w="0" w:type="auto"/>
            <w:shd w:val="clear" w:color="auto" w:fill="auto"/>
          </w:tcPr>
          <w:p w14:paraId="05178A6C"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0.52 (0.41,0.63)</w:t>
            </w:r>
          </w:p>
        </w:tc>
        <w:tc>
          <w:tcPr>
            <w:tcW w:w="0" w:type="auto"/>
            <w:shd w:val="clear" w:color="auto" w:fill="auto"/>
          </w:tcPr>
          <w:p w14:paraId="7325F5A6"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0.34 (0.22,0.47)</w:t>
            </w:r>
          </w:p>
        </w:tc>
      </w:tr>
      <w:tr w:rsidR="00843998" w:rsidRPr="006F283B" w14:paraId="2C415658" w14:textId="77777777" w:rsidTr="004E1FEC">
        <w:tc>
          <w:tcPr>
            <w:tcW w:w="0" w:type="auto"/>
            <w:vMerge/>
            <w:shd w:val="clear" w:color="auto" w:fill="auto"/>
            <w:vAlign w:val="center"/>
          </w:tcPr>
          <w:p w14:paraId="4CA979D3" w14:textId="77777777" w:rsidR="00843998" w:rsidRPr="006F283B" w:rsidRDefault="00843998" w:rsidP="00E23F47">
            <w:pPr>
              <w:keepNext/>
              <w:keepLines/>
              <w:spacing w:before="0"/>
              <w:jc w:val="left"/>
              <w:rPr>
                <w:rFonts w:ascii="Arial Narrow" w:eastAsia="MS Gothic" w:hAnsi="Arial Narrow" w:cs="Times New Roman"/>
                <w:sz w:val="20"/>
                <w:lang w:val="en-AU"/>
              </w:rPr>
            </w:pPr>
          </w:p>
        </w:tc>
        <w:tc>
          <w:tcPr>
            <w:tcW w:w="0" w:type="auto"/>
            <w:shd w:val="clear" w:color="auto" w:fill="auto"/>
            <w:vAlign w:val="center"/>
          </w:tcPr>
          <w:p w14:paraId="1CB36A46" w14:textId="77777777"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24 months</w:t>
            </w:r>
          </w:p>
        </w:tc>
        <w:tc>
          <w:tcPr>
            <w:tcW w:w="0" w:type="auto"/>
            <w:shd w:val="clear" w:color="auto" w:fill="auto"/>
          </w:tcPr>
          <w:p w14:paraId="2A00B202"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0.42 (0.31,0.53)</w:t>
            </w:r>
          </w:p>
        </w:tc>
        <w:tc>
          <w:tcPr>
            <w:tcW w:w="0" w:type="auto"/>
            <w:shd w:val="clear" w:color="auto" w:fill="auto"/>
          </w:tcPr>
          <w:p w14:paraId="77B9C180"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0.31 (0.19,0.43)</w:t>
            </w:r>
          </w:p>
        </w:tc>
      </w:tr>
      <w:tr w:rsidR="00843998" w:rsidRPr="006F283B" w14:paraId="211C0E9A" w14:textId="77777777" w:rsidTr="004E1FEC">
        <w:tc>
          <w:tcPr>
            <w:tcW w:w="0" w:type="auto"/>
            <w:vMerge/>
            <w:shd w:val="clear" w:color="auto" w:fill="auto"/>
            <w:vAlign w:val="center"/>
          </w:tcPr>
          <w:p w14:paraId="619A37C5" w14:textId="77777777" w:rsidR="00843998" w:rsidRPr="006F283B" w:rsidRDefault="00843998" w:rsidP="00E23F47">
            <w:pPr>
              <w:keepNext/>
              <w:keepLines/>
              <w:spacing w:before="0"/>
              <w:jc w:val="left"/>
              <w:rPr>
                <w:rFonts w:ascii="Arial Narrow" w:eastAsia="MS Gothic" w:hAnsi="Arial Narrow" w:cs="Times New Roman"/>
                <w:sz w:val="20"/>
                <w:lang w:val="en-AU"/>
              </w:rPr>
            </w:pPr>
          </w:p>
        </w:tc>
        <w:tc>
          <w:tcPr>
            <w:tcW w:w="0" w:type="auto"/>
            <w:shd w:val="clear" w:color="auto" w:fill="auto"/>
            <w:vAlign w:val="center"/>
          </w:tcPr>
          <w:p w14:paraId="745A7D8B" w14:textId="77777777"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36 months</w:t>
            </w:r>
          </w:p>
        </w:tc>
        <w:tc>
          <w:tcPr>
            <w:tcW w:w="0" w:type="auto"/>
            <w:shd w:val="clear" w:color="auto" w:fill="auto"/>
          </w:tcPr>
          <w:p w14:paraId="4E8F3CCC"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0.38 (0.27,0.49)</w:t>
            </w:r>
          </w:p>
        </w:tc>
        <w:tc>
          <w:tcPr>
            <w:tcW w:w="0" w:type="auto"/>
            <w:shd w:val="clear" w:color="auto" w:fill="auto"/>
          </w:tcPr>
          <w:p w14:paraId="681C4F53"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0.27 (0.16,0.39)</w:t>
            </w:r>
          </w:p>
        </w:tc>
      </w:tr>
      <w:tr w:rsidR="00843998" w:rsidRPr="006F283B" w14:paraId="7A95FF09" w14:textId="77777777" w:rsidTr="004E1FEC">
        <w:tc>
          <w:tcPr>
            <w:tcW w:w="0" w:type="auto"/>
            <w:vMerge/>
            <w:shd w:val="clear" w:color="auto" w:fill="auto"/>
            <w:vAlign w:val="center"/>
          </w:tcPr>
          <w:p w14:paraId="4C68EF8E" w14:textId="77777777" w:rsidR="00843998" w:rsidRPr="006F283B" w:rsidRDefault="00843998" w:rsidP="00E23F47">
            <w:pPr>
              <w:keepNext/>
              <w:keepLines/>
              <w:spacing w:before="0"/>
              <w:jc w:val="left"/>
              <w:rPr>
                <w:rFonts w:ascii="Arial Narrow" w:eastAsia="MS Gothic" w:hAnsi="Arial Narrow" w:cs="Times New Roman"/>
                <w:sz w:val="20"/>
                <w:lang w:val="en-AU"/>
              </w:rPr>
            </w:pPr>
          </w:p>
        </w:tc>
        <w:tc>
          <w:tcPr>
            <w:tcW w:w="0" w:type="auto"/>
            <w:shd w:val="clear" w:color="auto" w:fill="auto"/>
            <w:vAlign w:val="center"/>
          </w:tcPr>
          <w:p w14:paraId="70BAEA9B" w14:textId="77777777"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48 months</w:t>
            </w:r>
          </w:p>
        </w:tc>
        <w:tc>
          <w:tcPr>
            <w:tcW w:w="0" w:type="auto"/>
            <w:shd w:val="clear" w:color="auto" w:fill="auto"/>
          </w:tcPr>
          <w:p w14:paraId="4DC73C36"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0.31 (0.21,0.42)</w:t>
            </w:r>
          </w:p>
        </w:tc>
        <w:tc>
          <w:tcPr>
            <w:tcW w:w="0" w:type="auto"/>
            <w:shd w:val="clear" w:color="auto" w:fill="auto"/>
          </w:tcPr>
          <w:p w14:paraId="6F5DBFDA"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0.15 (0.04,0.31)</w:t>
            </w:r>
          </w:p>
        </w:tc>
      </w:tr>
      <w:tr w:rsidR="00843998" w:rsidRPr="006F283B" w14:paraId="4A73AD9F" w14:textId="77777777" w:rsidTr="004E1FEC">
        <w:trPr>
          <w:trHeight w:val="30"/>
        </w:trPr>
        <w:tc>
          <w:tcPr>
            <w:tcW w:w="0" w:type="auto"/>
            <w:gridSpan w:val="2"/>
            <w:shd w:val="clear" w:color="auto" w:fill="auto"/>
            <w:vAlign w:val="center"/>
          </w:tcPr>
          <w:p w14:paraId="6765EB63" w14:textId="5EB15C6E"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Median, months (95% CI)</w:t>
            </w:r>
          </w:p>
        </w:tc>
        <w:tc>
          <w:tcPr>
            <w:tcW w:w="0" w:type="auto"/>
            <w:shd w:val="clear" w:color="auto" w:fill="auto"/>
          </w:tcPr>
          <w:p w14:paraId="4C041D31"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19.4 (12.5, 33.5)</w:t>
            </w:r>
          </w:p>
        </w:tc>
        <w:tc>
          <w:tcPr>
            <w:tcW w:w="0" w:type="auto"/>
            <w:shd w:val="clear" w:color="auto" w:fill="auto"/>
          </w:tcPr>
          <w:p w14:paraId="54E0ADAD" w14:textId="77777777" w:rsidR="00843998" w:rsidRPr="006F283B" w:rsidRDefault="00843998" w:rsidP="00E23F47">
            <w:pPr>
              <w:keepNext/>
              <w:keepLines/>
              <w:spacing w:before="0"/>
              <w:jc w:val="center"/>
              <w:rPr>
                <w:rFonts w:ascii="Arial Narrow" w:eastAsia="MS Gothic" w:hAnsi="Arial Narrow" w:cs="Times New Roman"/>
                <w:sz w:val="20"/>
                <w:lang w:val="en-AU"/>
              </w:rPr>
            </w:pPr>
            <w:r w:rsidRPr="006F283B">
              <w:rPr>
                <w:rFonts w:ascii="Arial Narrow" w:eastAsia="MS Gothic" w:hAnsi="Arial Narrow" w:cs="Times New Roman"/>
                <w:sz w:val="20"/>
                <w:lang w:val="en-AU"/>
              </w:rPr>
              <w:t>10.4 (7.0, 13.7)</w:t>
            </w:r>
          </w:p>
        </w:tc>
      </w:tr>
      <w:tr w:rsidR="00843998" w:rsidRPr="006F283B" w14:paraId="62B31FC0" w14:textId="77777777" w:rsidTr="004E1FEC">
        <w:trPr>
          <w:trHeight w:val="20"/>
        </w:trPr>
        <w:tc>
          <w:tcPr>
            <w:tcW w:w="0" w:type="auto"/>
            <w:gridSpan w:val="2"/>
            <w:shd w:val="clear" w:color="auto" w:fill="auto"/>
            <w:vAlign w:val="center"/>
          </w:tcPr>
          <w:p w14:paraId="52D89C8E" w14:textId="77777777" w:rsidR="00843998" w:rsidRPr="006F283B" w:rsidRDefault="00843998" w:rsidP="00E23F47">
            <w:pPr>
              <w:keepNext/>
              <w:keepLines/>
              <w:spacing w:before="0"/>
              <w:jc w:val="left"/>
              <w:rPr>
                <w:rFonts w:ascii="Arial Narrow" w:eastAsia="MS Gothic" w:hAnsi="Arial Narrow" w:cs="Times New Roman"/>
                <w:sz w:val="20"/>
                <w:lang w:val="en-AU"/>
              </w:rPr>
            </w:pPr>
            <w:r w:rsidRPr="006F283B">
              <w:rPr>
                <w:rFonts w:ascii="Arial Narrow" w:eastAsia="MS Gothic" w:hAnsi="Arial Narrow" w:cs="Times New Roman"/>
                <w:sz w:val="20"/>
                <w:lang w:val="en-AU"/>
              </w:rPr>
              <w:t>HR (95% CI), p value</w:t>
            </w:r>
          </w:p>
        </w:tc>
        <w:tc>
          <w:tcPr>
            <w:tcW w:w="0" w:type="auto"/>
            <w:gridSpan w:val="2"/>
            <w:shd w:val="clear" w:color="auto" w:fill="auto"/>
          </w:tcPr>
          <w:p w14:paraId="5AFACDB9" w14:textId="77777777" w:rsidR="00843998" w:rsidRPr="006F283B" w:rsidRDefault="00843998" w:rsidP="00E23F47">
            <w:pPr>
              <w:keepNext/>
              <w:keepLines/>
              <w:spacing w:before="0"/>
              <w:jc w:val="center"/>
              <w:rPr>
                <w:rFonts w:ascii="Arial Narrow" w:eastAsia="MS Gothic" w:hAnsi="Arial Narrow" w:cs="Times New Roman"/>
                <w:b/>
                <w:bCs/>
                <w:sz w:val="20"/>
                <w:lang w:val="en-AU"/>
              </w:rPr>
            </w:pPr>
            <w:r w:rsidRPr="006F283B">
              <w:rPr>
                <w:rFonts w:ascii="Arial Narrow" w:eastAsia="MS Gothic" w:hAnsi="Arial Narrow" w:cs="Times New Roman"/>
                <w:b/>
                <w:bCs/>
                <w:sz w:val="20"/>
                <w:lang w:val="en-AU"/>
              </w:rPr>
              <w:t>0.66 (0.437, 0.999), p=0.0477</w:t>
            </w:r>
          </w:p>
        </w:tc>
      </w:tr>
    </w:tbl>
    <w:p w14:paraId="406FFB66" w14:textId="77777777" w:rsidR="00DA592A" w:rsidRPr="006F283B" w:rsidRDefault="00DA592A" w:rsidP="00DA592A">
      <w:pPr>
        <w:pStyle w:val="TableFooter"/>
        <w:keepNext/>
        <w:keepLines/>
        <w:rPr>
          <w:iCs/>
        </w:rPr>
      </w:pPr>
      <w:r w:rsidRPr="006F283B">
        <w:t>Source: Table 64 (p135) of the submission</w:t>
      </w:r>
    </w:p>
    <w:p w14:paraId="0CD5F806" w14:textId="0EBA632C" w:rsidR="00843998" w:rsidRDefault="001152C0" w:rsidP="00721ED9">
      <w:pPr>
        <w:pStyle w:val="TableFooter"/>
        <w:keepNext/>
        <w:keepLines/>
      </w:pPr>
      <w:r w:rsidRPr="001152C0">
        <w:rPr>
          <w:i/>
          <w:iCs/>
        </w:rPr>
        <w:t>BRCAm</w:t>
      </w:r>
      <w:r w:rsidR="00843998" w:rsidRPr="006F283B">
        <w:t xml:space="preserve"> = </w:t>
      </w:r>
      <w:r w:rsidRPr="001152C0">
        <w:rPr>
          <w:i/>
          <w:iCs/>
        </w:rPr>
        <w:t xml:space="preserve">BRCA </w:t>
      </w:r>
      <w:r w:rsidR="00843998" w:rsidRPr="006F283B">
        <w:t xml:space="preserve">mutation; CI = confidence interval; </w:t>
      </w:r>
      <w:r w:rsidRPr="001152C0">
        <w:rPr>
          <w:i/>
          <w:iCs/>
        </w:rPr>
        <w:t>BRCAm</w:t>
      </w:r>
      <w:r w:rsidR="00843998" w:rsidRPr="006F283B">
        <w:t xml:space="preserve"> = </w:t>
      </w:r>
      <w:r w:rsidRPr="001152C0">
        <w:rPr>
          <w:i/>
          <w:iCs/>
        </w:rPr>
        <w:t xml:space="preserve">BRCA </w:t>
      </w:r>
      <w:r w:rsidR="00843998" w:rsidRPr="006F283B">
        <w:t>mutation; HR = hazard ratio; INV = investigator; NE = not evaluable; NIRA = niraparib; NR = not reported; PBO = placebo</w:t>
      </w:r>
    </w:p>
    <w:p w14:paraId="1F7B3F04" w14:textId="2E05F187" w:rsidR="00721ED9" w:rsidRPr="00721ED9" w:rsidRDefault="0053193A" w:rsidP="00721ED9">
      <w:pPr>
        <w:pStyle w:val="CommentText"/>
        <w:spacing w:before="0" w:after="120"/>
        <w:rPr>
          <w:rFonts w:ascii="Arial Narrow" w:eastAsia="Times New Roman" w:hAnsi="Arial Narrow" w:cs="Arial"/>
          <w:i/>
          <w:iCs/>
          <w:snapToGrid w:val="0"/>
          <w:sz w:val="18"/>
        </w:rPr>
      </w:pPr>
      <w:r>
        <w:rPr>
          <w:rFonts w:ascii="Arial Narrow" w:eastAsia="Times New Roman" w:hAnsi="Arial Narrow" w:cs="Arial"/>
          <w:i/>
          <w:iCs/>
          <w:snapToGrid w:val="0"/>
          <w:sz w:val="18"/>
        </w:rPr>
        <w:t>*</w:t>
      </w:r>
      <w:r w:rsidR="00721ED9" w:rsidRPr="00721ED9">
        <w:rPr>
          <w:rFonts w:ascii="Arial Narrow" w:eastAsia="Times New Roman" w:hAnsi="Arial Narrow" w:cs="Arial"/>
          <w:i/>
          <w:iCs/>
          <w:snapToGrid w:val="0"/>
          <w:sz w:val="18"/>
        </w:rPr>
        <w:t xml:space="preserve">Note that the results </w:t>
      </w:r>
      <w:r>
        <w:rPr>
          <w:rFonts w:ascii="Arial Narrow" w:eastAsia="Times New Roman" w:hAnsi="Arial Narrow" w:cs="Arial"/>
          <w:i/>
          <w:iCs/>
          <w:snapToGrid w:val="0"/>
          <w:sz w:val="18"/>
        </w:rPr>
        <w:t>presented in this table</w:t>
      </w:r>
      <w:r w:rsidR="00721ED9" w:rsidRPr="00721ED9">
        <w:rPr>
          <w:rFonts w:ascii="Arial Narrow" w:eastAsia="Times New Roman" w:hAnsi="Arial Narrow" w:cs="Arial"/>
          <w:i/>
          <w:iCs/>
          <w:snapToGrid w:val="0"/>
          <w:sz w:val="18"/>
        </w:rPr>
        <w:t xml:space="preserve">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06603D2A" w14:textId="7A88E5AC" w:rsidR="00843998" w:rsidRPr="006F283B" w:rsidRDefault="00843998" w:rsidP="007E584B">
      <w:pPr>
        <w:pStyle w:val="ListParagraph"/>
        <w:spacing w:before="0" w:after="120"/>
        <w:rPr>
          <w:color w:val="auto"/>
        </w:rPr>
      </w:pPr>
      <w:bookmarkStart w:id="80" w:name="_Ref121201450"/>
      <w:r w:rsidRPr="006F283B">
        <w:t xml:space="preserve">Kaplan Meier (KM) plots of PFS per BICR by subgroup populations at the </w:t>
      </w:r>
      <w:r w:rsidR="006B0D16" w:rsidRPr="006F283B">
        <w:t>May</w:t>
      </w:r>
      <w:r w:rsidR="006B0D16">
        <w:t> </w:t>
      </w:r>
      <w:r w:rsidRPr="006F283B">
        <w:t xml:space="preserve">2019 DCO are provided in the figure below. The KM curves from the May 2019 DCO for the HRD positive </w:t>
      </w:r>
      <w:r w:rsidR="001152C0" w:rsidRPr="001152C0">
        <w:rPr>
          <w:i/>
          <w:iCs/>
        </w:rPr>
        <w:t>BRCAwt</w:t>
      </w:r>
      <w:r w:rsidRPr="006F283B">
        <w:t xml:space="preserve"> and HRD negative subgroups were used in the economic model.</w:t>
      </w:r>
      <w:bookmarkEnd w:id="80"/>
    </w:p>
    <w:p w14:paraId="35173A8B" w14:textId="3D524AB2" w:rsidR="00843998" w:rsidRPr="006F283B" w:rsidRDefault="00843998" w:rsidP="00593A64">
      <w:pPr>
        <w:pStyle w:val="Caption"/>
      </w:pPr>
      <w:r w:rsidRPr="006F283B">
        <w:t xml:space="preserve">Figure </w:t>
      </w:r>
      <w:r w:rsidR="00091054">
        <w:fldChar w:fldCharType="begin" w:fldLock="1"/>
      </w:r>
      <w:r w:rsidR="00091054">
        <w:instrText xml:space="preserve"> SEQ Figure_PBAC. \* ARABIC </w:instrText>
      </w:r>
      <w:r w:rsidR="00091054">
        <w:fldChar w:fldCharType="separate"/>
      </w:r>
      <w:r w:rsidR="00305654">
        <w:rPr>
          <w:noProof/>
        </w:rPr>
        <w:t>1</w:t>
      </w:r>
      <w:r w:rsidR="00091054">
        <w:rPr>
          <w:noProof/>
        </w:rPr>
        <w:fldChar w:fldCharType="end"/>
      </w:r>
      <w:r w:rsidR="004E1A24">
        <w:t xml:space="preserve">: </w:t>
      </w:r>
      <w:r w:rsidRPr="006F283B">
        <w:t>PFS (per BICR) subgroup KM curves (May 2019 DCO)</w:t>
      </w:r>
    </w:p>
    <w:p w14:paraId="0AE71BCA" w14:textId="77777777" w:rsidR="00DA592A" w:rsidRPr="006F283B" w:rsidRDefault="00843998" w:rsidP="00DA592A">
      <w:pPr>
        <w:pStyle w:val="TableFooter"/>
        <w:rPr>
          <w:iCs/>
        </w:rPr>
      </w:pPr>
      <w:r w:rsidRPr="006F283B">
        <w:rPr>
          <w:noProof/>
        </w:rPr>
        <w:drawing>
          <wp:inline distT="0" distB="0" distL="0" distR="0" wp14:anchorId="4AC4F24D" wp14:editId="4B2673EE">
            <wp:extent cx="5718412" cy="2934130"/>
            <wp:effectExtent l="0" t="0" r="0" b="0"/>
            <wp:docPr id="1959018434" name="Picture 1959018434" descr="Figure 1: PFS (per BICR) subgroup KM curves (May 2019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4" name="Picture 1959018434" descr="Figure 1: PFS (per BICR) subgroup KM curves (May 2019 DCO)"/>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723351" cy="2936664"/>
                    </a:xfrm>
                    <a:prstGeom prst="rect">
                      <a:avLst/>
                    </a:prstGeom>
                    <a:noFill/>
                  </pic:spPr>
                </pic:pic>
              </a:graphicData>
            </a:graphic>
          </wp:inline>
        </w:drawing>
      </w:r>
      <w:r w:rsidRPr="006F283B">
        <w:t xml:space="preserve"> </w:t>
      </w:r>
      <w:r w:rsidR="00DA592A" w:rsidRPr="006F283B">
        <w:t>Source: Figure 36 (p156) of the submission</w:t>
      </w:r>
    </w:p>
    <w:p w14:paraId="572DA882" w14:textId="4F662C9C" w:rsidR="00843998" w:rsidRPr="006F283B" w:rsidRDefault="00843998" w:rsidP="00843998">
      <w:pPr>
        <w:pStyle w:val="TableFooter"/>
        <w:jc w:val="left"/>
        <w:rPr>
          <w:snapToGrid/>
        </w:rPr>
      </w:pPr>
      <w:r w:rsidRPr="006F283B">
        <w:t xml:space="preserve">BICR = blinded independent central review; </w:t>
      </w:r>
      <w:r w:rsidR="001152C0" w:rsidRPr="001152C0">
        <w:rPr>
          <w:i/>
          <w:iCs/>
          <w:snapToGrid/>
        </w:rPr>
        <w:t>BRCAm</w:t>
      </w:r>
      <w:r w:rsidRPr="006F283B">
        <w:rPr>
          <w:snapToGrid/>
        </w:rPr>
        <w:t xml:space="preserve"> = </w:t>
      </w:r>
      <w:r w:rsidR="001152C0" w:rsidRPr="001152C0">
        <w:rPr>
          <w:i/>
          <w:iCs/>
          <w:snapToGrid/>
        </w:rPr>
        <w:t xml:space="preserve">BRCA </w:t>
      </w:r>
      <w:r w:rsidRPr="006F283B">
        <w:rPr>
          <w:snapToGrid/>
        </w:rPr>
        <w:t xml:space="preserve">mutation; CI = confidence interval; </w:t>
      </w:r>
      <w:r w:rsidR="001152C0" w:rsidRPr="001152C0">
        <w:rPr>
          <w:i/>
          <w:iCs/>
          <w:snapToGrid/>
        </w:rPr>
        <w:t>BRCAm</w:t>
      </w:r>
      <w:r w:rsidRPr="006F283B">
        <w:rPr>
          <w:snapToGrid/>
        </w:rPr>
        <w:t xml:space="preserve"> = </w:t>
      </w:r>
      <w:r w:rsidR="001152C0" w:rsidRPr="001152C0">
        <w:rPr>
          <w:i/>
          <w:iCs/>
          <w:snapToGrid/>
        </w:rPr>
        <w:t xml:space="preserve">BRCA </w:t>
      </w:r>
      <w:r w:rsidRPr="006F283B">
        <w:rPr>
          <w:snapToGrid/>
        </w:rPr>
        <w:t>mutation; DCO = data cut-off; HR = hazard ratio; INV = investigator; NIRA = niraparib; NR = not reported; PBO = placebo</w:t>
      </w:r>
    </w:p>
    <w:p w14:paraId="0DA65E0B" w14:textId="0DDDB7B1" w:rsidR="00843998" w:rsidRDefault="00843998" w:rsidP="00EA6CF7">
      <w:pPr>
        <w:pStyle w:val="TableNotes"/>
        <w:spacing w:after="0"/>
        <w:rPr>
          <w:sz w:val="18"/>
          <w:szCs w:val="24"/>
        </w:rPr>
      </w:pPr>
      <w:r w:rsidRPr="006F283B">
        <w:rPr>
          <w:sz w:val="18"/>
          <w:szCs w:val="24"/>
        </w:rPr>
        <w:t>Note: The submission used the terms HRD non-</w:t>
      </w:r>
      <w:r w:rsidR="001152C0" w:rsidRPr="001152C0">
        <w:rPr>
          <w:i/>
          <w:iCs/>
          <w:sz w:val="18"/>
          <w:szCs w:val="24"/>
        </w:rPr>
        <w:t>BRCAm</w:t>
      </w:r>
      <w:r w:rsidRPr="006F283B">
        <w:rPr>
          <w:sz w:val="18"/>
          <w:szCs w:val="24"/>
        </w:rPr>
        <w:t xml:space="preserve"> to represent the HRD positive </w:t>
      </w:r>
      <w:r w:rsidR="001152C0" w:rsidRPr="001152C0">
        <w:rPr>
          <w:i/>
          <w:iCs/>
          <w:sz w:val="18"/>
          <w:szCs w:val="24"/>
        </w:rPr>
        <w:t>BRCAwt</w:t>
      </w:r>
      <w:r w:rsidRPr="006F283B">
        <w:rPr>
          <w:sz w:val="18"/>
          <w:szCs w:val="24"/>
        </w:rPr>
        <w:t xml:space="preserve"> population and HRp to represent the HRD </w:t>
      </w:r>
      <w:r w:rsidR="0053193A">
        <w:rPr>
          <w:sz w:val="18"/>
          <w:szCs w:val="24"/>
        </w:rPr>
        <w:t>nega</w:t>
      </w:r>
      <w:r w:rsidRPr="006F283B">
        <w:rPr>
          <w:sz w:val="18"/>
          <w:szCs w:val="24"/>
        </w:rPr>
        <w:t>tive population.</w:t>
      </w:r>
    </w:p>
    <w:p w14:paraId="0589FA27" w14:textId="62B478A0" w:rsidR="00EA6CF7" w:rsidRPr="00EA6CF7" w:rsidRDefault="00EA6CF7" w:rsidP="007E584B">
      <w:pPr>
        <w:pStyle w:val="TableNotes"/>
        <w:spacing w:after="120"/>
        <w:rPr>
          <w:i/>
          <w:iCs/>
          <w:sz w:val="18"/>
          <w:szCs w:val="24"/>
        </w:rPr>
      </w:pPr>
      <w:r w:rsidRPr="00EA6CF7">
        <w:rPr>
          <w:i/>
          <w:iCs/>
          <w:sz w:val="18"/>
          <w:szCs w:val="24"/>
        </w:rPr>
        <w:t>Note that KM curves depicted for HRD non-tBRCAm</w:t>
      </w:r>
      <w:r>
        <w:rPr>
          <w:i/>
          <w:iCs/>
          <w:sz w:val="18"/>
          <w:szCs w:val="24"/>
        </w:rPr>
        <w:t xml:space="preserve"> and</w:t>
      </w:r>
      <w:r w:rsidRPr="00EA6CF7">
        <w:rPr>
          <w:i/>
          <w:iCs/>
          <w:sz w:val="18"/>
          <w:szCs w:val="24"/>
        </w:rPr>
        <w:t xml:space="preserve"> HRp subgroups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rPr>
          <w:i/>
          <w:iCs/>
          <w:sz w:val="18"/>
          <w:szCs w:val="24"/>
        </w:rPr>
        <w:t>.</w:t>
      </w:r>
    </w:p>
    <w:p w14:paraId="3E6B8CCD" w14:textId="04CB045E" w:rsidR="00843998" w:rsidRPr="006F283B" w:rsidRDefault="008D6516" w:rsidP="007E584B">
      <w:pPr>
        <w:pStyle w:val="ListParagraph"/>
        <w:spacing w:before="0" w:after="120"/>
        <w:rPr>
          <w:color w:val="auto"/>
        </w:rPr>
      </w:pPr>
      <w:r w:rsidRPr="006F283B">
        <w:t>KM</w:t>
      </w:r>
      <w:r w:rsidR="00843998" w:rsidRPr="006F283B">
        <w:t xml:space="preserve"> plots of INV PFS for the HRD positive </w:t>
      </w:r>
      <w:r w:rsidR="001152C0" w:rsidRPr="001152C0">
        <w:rPr>
          <w:i/>
          <w:iCs/>
        </w:rPr>
        <w:t>BRCAwt</w:t>
      </w:r>
      <w:r w:rsidR="00843998" w:rsidRPr="006F283B">
        <w:t xml:space="preserve"> subgroup at the </w:t>
      </w:r>
      <w:r w:rsidR="006B0D16" w:rsidRPr="006F283B">
        <w:t>November</w:t>
      </w:r>
      <w:r w:rsidR="006B0D16">
        <w:t> </w:t>
      </w:r>
      <w:r w:rsidR="00843998" w:rsidRPr="006F283B">
        <w:t xml:space="preserve">2021 DCO population are provided in </w:t>
      </w:r>
      <w:r w:rsidR="00843998" w:rsidRPr="006F283B">
        <w:fldChar w:fldCharType="begin" w:fldLock="1"/>
      </w:r>
      <w:r w:rsidR="00843998" w:rsidRPr="006F283B">
        <w:instrText xml:space="preserve"> REF _Ref121201309 \h </w:instrText>
      </w:r>
      <w:r w:rsidR="00843998" w:rsidRPr="006F283B">
        <w:fldChar w:fldCharType="separate"/>
      </w:r>
      <w:r w:rsidR="00305654" w:rsidRPr="006F283B">
        <w:t xml:space="preserve">Figure </w:t>
      </w:r>
      <w:r w:rsidR="00305654">
        <w:rPr>
          <w:noProof/>
        </w:rPr>
        <w:t>2</w:t>
      </w:r>
      <w:r w:rsidR="00843998" w:rsidRPr="006F283B">
        <w:fldChar w:fldCharType="end"/>
      </w:r>
      <w:r w:rsidR="00843998" w:rsidRPr="006F283B">
        <w:t>.</w:t>
      </w:r>
      <w:r w:rsidR="00D6253F" w:rsidRPr="006F283B">
        <w:t xml:space="preserve"> The INV PFS KM plot from November</w:t>
      </w:r>
      <w:r w:rsidR="006B0D16">
        <w:t> </w:t>
      </w:r>
      <w:r w:rsidR="00D6253F" w:rsidRPr="006F283B">
        <w:t xml:space="preserve">2021 did not appear to be substantively different to the May 2019 DCO KM plot. </w:t>
      </w:r>
    </w:p>
    <w:p w14:paraId="3F056792" w14:textId="713EB503" w:rsidR="00843998" w:rsidRPr="006F283B" w:rsidRDefault="00E67EA2" w:rsidP="00593A64">
      <w:pPr>
        <w:pStyle w:val="Caption"/>
      </w:pPr>
      <w:bookmarkStart w:id="81" w:name="_Ref121201309"/>
      <w:r w:rsidRPr="006F283B">
        <w:lastRenderedPageBreak/>
        <w:t xml:space="preserve">Figure </w:t>
      </w:r>
      <w:r w:rsidR="00091054">
        <w:fldChar w:fldCharType="begin" w:fldLock="1"/>
      </w:r>
      <w:r w:rsidR="00091054">
        <w:instrText xml:space="preserve"> SEQ Figure_PBAC. \* ARABIC </w:instrText>
      </w:r>
      <w:r w:rsidR="00091054">
        <w:fldChar w:fldCharType="separate"/>
      </w:r>
      <w:r w:rsidR="00305654">
        <w:rPr>
          <w:noProof/>
        </w:rPr>
        <w:t>2</w:t>
      </w:r>
      <w:r w:rsidR="00091054">
        <w:rPr>
          <w:noProof/>
        </w:rPr>
        <w:fldChar w:fldCharType="end"/>
      </w:r>
      <w:bookmarkEnd w:id="81"/>
      <w:r w:rsidR="004E1A24">
        <w:t xml:space="preserve">: </w:t>
      </w:r>
      <w:r w:rsidR="00843998" w:rsidRPr="006F283B">
        <w:t xml:space="preserve">INV PFS KM curve for HRD positive </w:t>
      </w:r>
      <w:r w:rsidR="001152C0" w:rsidRPr="001152C0">
        <w:rPr>
          <w:i/>
        </w:rPr>
        <w:t>BRCAwt</w:t>
      </w:r>
      <w:r w:rsidR="00843998" w:rsidRPr="006F283B">
        <w:t xml:space="preserve"> (November 2021 DCO)</w:t>
      </w:r>
    </w:p>
    <w:p w14:paraId="27DB0BB3" w14:textId="77777777" w:rsidR="00341BD9" w:rsidRPr="006F283B" w:rsidRDefault="00843998" w:rsidP="00EB364F">
      <w:pPr>
        <w:pStyle w:val="TableNotes"/>
        <w:keepNext/>
        <w:keepLines/>
        <w:spacing w:after="0"/>
        <w:rPr>
          <w:sz w:val="18"/>
          <w:szCs w:val="24"/>
        </w:rPr>
      </w:pPr>
      <w:r w:rsidRPr="006F283B">
        <w:rPr>
          <w:noProof/>
        </w:rPr>
        <w:drawing>
          <wp:inline distT="0" distB="0" distL="0" distR="0" wp14:anchorId="3D9558C0" wp14:editId="158BB2D6">
            <wp:extent cx="4823460" cy="2796581"/>
            <wp:effectExtent l="0" t="0" r="0" b="3810"/>
            <wp:docPr id="1959018435" name="Picture 1959018435" descr="Figure 2: INV PFS KM curve for HRD positive BRCAwt (November 2021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5" name="Picture 1959018435" descr="Figure 2: INV PFS KM curve for HRD positive BRCAwt (November 2021 DCO)"/>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843706" cy="2808319"/>
                    </a:xfrm>
                    <a:prstGeom prst="rect">
                      <a:avLst/>
                    </a:prstGeom>
                    <a:noFill/>
                    <a:ln>
                      <a:noFill/>
                    </a:ln>
                  </pic:spPr>
                </pic:pic>
              </a:graphicData>
            </a:graphic>
          </wp:inline>
        </w:drawing>
      </w:r>
    </w:p>
    <w:p w14:paraId="48C1B141" w14:textId="77777777" w:rsidR="0097675D" w:rsidRPr="006F283B" w:rsidRDefault="0097675D" w:rsidP="0097675D">
      <w:pPr>
        <w:pStyle w:val="TableFooter"/>
        <w:keepNext/>
        <w:keepLines/>
      </w:pPr>
      <w:r w:rsidRPr="006F283B">
        <w:t>Source: F-14-2-1-9m-pfsinv.rtf</w:t>
      </w:r>
    </w:p>
    <w:p w14:paraId="4D631060" w14:textId="3D6CC88A" w:rsidR="00843998" w:rsidRPr="006F283B" w:rsidRDefault="001152C0" w:rsidP="00EB364F">
      <w:pPr>
        <w:pStyle w:val="TableNotes"/>
        <w:keepNext/>
        <w:keepLines/>
        <w:spacing w:after="0"/>
        <w:rPr>
          <w:sz w:val="18"/>
          <w:szCs w:val="24"/>
        </w:rPr>
      </w:pPr>
      <w:r w:rsidRPr="001152C0">
        <w:rPr>
          <w:i/>
          <w:iCs/>
          <w:sz w:val="18"/>
          <w:szCs w:val="24"/>
        </w:rPr>
        <w:t>BRCAm</w:t>
      </w:r>
      <w:r w:rsidR="00843998" w:rsidRPr="006F283B">
        <w:rPr>
          <w:sz w:val="18"/>
          <w:szCs w:val="24"/>
        </w:rPr>
        <w:t xml:space="preserve">ut = </w:t>
      </w:r>
      <w:r w:rsidRPr="001152C0">
        <w:rPr>
          <w:i/>
          <w:iCs/>
          <w:sz w:val="18"/>
          <w:szCs w:val="24"/>
        </w:rPr>
        <w:t xml:space="preserve">BRCA </w:t>
      </w:r>
      <w:r w:rsidR="00843998" w:rsidRPr="006F283B">
        <w:rPr>
          <w:sz w:val="18"/>
          <w:szCs w:val="24"/>
        </w:rPr>
        <w:t xml:space="preserve">mutation; </w:t>
      </w:r>
      <w:r w:rsidRPr="001152C0">
        <w:rPr>
          <w:i/>
          <w:iCs/>
          <w:sz w:val="18"/>
          <w:szCs w:val="24"/>
        </w:rPr>
        <w:t>BRCAwt</w:t>
      </w:r>
      <w:r w:rsidR="00843998" w:rsidRPr="006F283B">
        <w:rPr>
          <w:sz w:val="18"/>
          <w:szCs w:val="24"/>
        </w:rPr>
        <w:t xml:space="preserve"> = </w:t>
      </w:r>
      <w:r w:rsidRPr="001152C0">
        <w:rPr>
          <w:i/>
          <w:iCs/>
          <w:sz w:val="18"/>
          <w:szCs w:val="24"/>
        </w:rPr>
        <w:t xml:space="preserve">BRCA </w:t>
      </w:r>
      <w:r w:rsidR="00843998" w:rsidRPr="006F283B">
        <w:rPr>
          <w:sz w:val="18"/>
          <w:szCs w:val="24"/>
        </w:rPr>
        <w:t>wild type; CI = confidence interval; DCO = data cut-off; HR = hazard ratio; INV = investigator</w:t>
      </w:r>
    </w:p>
    <w:p w14:paraId="6C77FF86" w14:textId="598CD57D" w:rsidR="00843998" w:rsidRPr="006F283B" w:rsidRDefault="00843998" w:rsidP="007E584B">
      <w:pPr>
        <w:pStyle w:val="TableNotes"/>
        <w:keepNext/>
        <w:keepLines/>
        <w:spacing w:after="120"/>
        <w:rPr>
          <w:sz w:val="18"/>
          <w:szCs w:val="24"/>
        </w:rPr>
      </w:pPr>
      <w:r w:rsidRPr="006F283B">
        <w:rPr>
          <w:sz w:val="18"/>
          <w:szCs w:val="24"/>
        </w:rPr>
        <w:t>Note: The submission used the terms HRD non-</w:t>
      </w:r>
      <w:r w:rsidR="001152C0" w:rsidRPr="001152C0">
        <w:rPr>
          <w:i/>
          <w:iCs/>
          <w:sz w:val="18"/>
          <w:szCs w:val="24"/>
        </w:rPr>
        <w:t>BRCAm</w:t>
      </w:r>
      <w:r w:rsidRPr="001A17AB">
        <w:rPr>
          <w:i/>
          <w:iCs/>
          <w:sz w:val="18"/>
          <w:szCs w:val="24"/>
        </w:rPr>
        <w:t>ut</w:t>
      </w:r>
      <w:r w:rsidRPr="006F283B">
        <w:rPr>
          <w:sz w:val="18"/>
          <w:szCs w:val="24"/>
        </w:rPr>
        <w:t xml:space="preserve"> to represent the HRD positive </w:t>
      </w:r>
      <w:r w:rsidR="001152C0" w:rsidRPr="001152C0">
        <w:rPr>
          <w:i/>
          <w:iCs/>
          <w:sz w:val="18"/>
          <w:szCs w:val="24"/>
        </w:rPr>
        <w:t>BRCAwt</w:t>
      </w:r>
      <w:r w:rsidRPr="006F283B">
        <w:rPr>
          <w:sz w:val="18"/>
          <w:szCs w:val="24"/>
        </w:rPr>
        <w:t xml:space="preserve"> population and HRDpos to represent the HRD positive population.</w:t>
      </w:r>
    </w:p>
    <w:p w14:paraId="6099D6F3" w14:textId="5A222CAE" w:rsidR="00843998" w:rsidRPr="006F283B" w:rsidRDefault="00843998" w:rsidP="007E584B">
      <w:pPr>
        <w:pStyle w:val="ListParagraph"/>
        <w:spacing w:before="0" w:after="120"/>
        <w:rPr>
          <w:color w:val="auto"/>
        </w:rPr>
      </w:pPr>
      <w:r w:rsidRPr="006F283B">
        <w:rPr>
          <w:color w:val="auto"/>
        </w:rPr>
        <w:t xml:space="preserve">While the INV PFS HR in the HRD positive </w:t>
      </w:r>
      <w:r w:rsidR="001152C0" w:rsidRPr="001152C0">
        <w:rPr>
          <w:i/>
          <w:iCs/>
          <w:color w:val="auto"/>
        </w:rPr>
        <w:t>BRCAwt</w:t>
      </w:r>
      <w:r w:rsidRPr="006F283B">
        <w:rPr>
          <w:color w:val="auto"/>
        </w:rPr>
        <w:t xml:space="preserve"> subgroup was statistically significant at the November 2021 DCO (HR = 0.66, 95% CI 0.437, 0.999), the upper 95% CI was very close to 1.0, indicating a level of uncertainty with the magnitude of the result. Compared to the other populations, the November 2021 DCO INV PFS median benefit in the HRD positive </w:t>
      </w:r>
      <w:r w:rsidR="001152C0" w:rsidRPr="001152C0">
        <w:rPr>
          <w:i/>
          <w:iCs/>
          <w:color w:val="auto"/>
        </w:rPr>
        <w:t>BRCAwt</w:t>
      </w:r>
      <w:r w:rsidRPr="006F283B">
        <w:rPr>
          <w:color w:val="auto"/>
        </w:rPr>
        <w:t xml:space="preserve"> subgroup was:</w:t>
      </w:r>
    </w:p>
    <w:p w14:paraId="08D80F3C" w14:textId="77777777" w:rsidR="00843998" w:rsidRPr="006F283B" w:rsidRDefault="00843998" w:rsidP="007E584B">
      <w:pPr>
        <w:pStyle w:val="InstructionalText"/>
        <w:numPr>
          <w:ilvl w:val="4"/>
          <w:numId w:val="25"/>
        </w:numPr>
        <w:spacing w:after="120"/>
        <w:ind w:left="992" w:hanging="357"/>
        <w:rPr>
          <w:color w:val="auto"/>
        </w:rPr>
      </w:pPr>
      <w:r w:rsidRPr="006F283B">
        <w:rPr>
          <w:color w:val="auto"/>
        </w:rPr>
        <w:t>Higher than in the ITT for INV PFS at the same DCO (median benefit of 5.6 months favouring niraparib) with the same hazard ratio point estimate (HR 0.66, 95% CI 0.56-0.79</w:t>
      </w:r>
      <w:proofErr w:type="gramStart"/>
      <w:r w:rsidRPr="006F283B">
        <w:rPr>
          <w:color w:val="auto"/>
        </w:rPr>
        <w:t>);</w:t>
      </w:r>
      <w:proofErr w:type="gramEnd"/>
    </w:p>
    <w:p w14:paraId="63CD13F0" w14:textId="68FD1DAE" w:rsidR="00843998" w:rsidRPr="006F283B" w:rsidRDefault="00843998" w:rsidP="007E584B">
      <w:pPr>
        <w:pStyle w:val="InstructionalText"/>
        <w:numPr>
          <w:ilvl w:val="4"/>
          <w:numId w:val="25"/>
        </w:numPr>
        <w:spacing w:after="120"/>
        <w:ind w:left="992" w:hanging="357"/>
        <w:rPr>
          <w:color w:val="auto"/>
        </w:rPr>
      </w:pPr>
      <w:r w:rsidRPr="006F283B">
        <w:rPr>
          <w:color w:val="auto"/>
        </w:rPr>
        <w:t xml:space="preserve">Lower than the November 2021 DCO INV PFS median benefit in the </w:t>
      </w:r>
      <w:r w:rsidR="001152C0" w:rsidRPr="001152C0">
        <w:rPr>
          <w:i/>
          <w:iCs/>
          <w:color w:val="auto"/>
        </w:rPr>
        <w:t>BRCAm</w:t>
      </w:r>
      <w:r w:rsidRPr="006F283B">
        <w:rPr>
          <w:color w:val="auto"/>
        </w:rPr>
        <w:t xml:space="preserve"> subgroup of 20.0 months favouring niraparib patients, and had a </w:t>
      </w:r>
      <w:r w:rsidR="00353393" w:rsidRPr="006F283B">
        <w:rPr>
          <w:color w:val="auto"/>
        </w:rPr>
        <w:t xml:space="preserve">less favourable </w:t>
      </w:r>
      <w:r w:rsidRPr="006F283B">
        <w:rPr>
          <w:color w:val="auto"/>
        </w:rPr>
        <w:t xml:space="preserve">hazard ratio than the </w:t>
      </w:r>
      <w:r w:rsidR="001152C0" w:rsidRPr="001152C0">
        <w:rPr>
          <w:i/>
          <w:iCs/>
          <w:color w:val="auto"/>
        </w:rPr>
        <w:t>BRCAm</w:t>
      </w:r>
      <w:r w:rsidRPr="006F283B">
        <w:rPr>
          <w:color w:val="auto"/>
        </w:rPr>
        <w:t xml:space="preserve"> subgroup (0.45, 95% CI 0.32-0.64); and</w:t>
      </w:r>
    </w:p>
    <w:p w14:paraId="4D82BF4B" w14:textId="77777777" w:rsidR="00843998" w:rsidRPr="006F283B" w:rsidRDefault="00843998" w:rsidP="007E584B">
      <w:pPr>
        <w:pStyle w:val="InstructionalText"/>
        <w:numPr>
          <w:ilvl w:val="4"/>
          <w:numId w:val="25"/>
        </w:numPr>
        <w:spacing w:after="120"/>
        <w:ind w:left="992" w:hanging="357"/>
        <w:rPr>
          <w:color w:val="auto"/>
        </w:rPr>
      </w:pPr>
      <w:r w:rsidRPr="006F283B">
        <w:rPr>
          <w:color w:val="auto"/>
        </w:rPr>
        <w:t xml:space="preserve">Higher than the HRD-negative subgroup median benefit of 3.0 months favouring niraparib patients, but numerically higher than the hazard ratio (0.65, 95% CI 0.49-0.87). </w:t>
      </w:r>
    </w:p>
    <w:p w14:paraId="67460687" w14:textId="34B5A6A6" w:rsidR="002728E9" w:rsidRPr="006F283B" w:rsidRDefault="00843998" w:rsidP="007E584B">
      <w:pPr>
        <w:pStyle w:val="ListParagraph"/>
        <w:spacing w:before="0" w:after="120"/>
        <w:rPr>
          <w:color w:val="auto"/>
        </w:rPr>
      </w:pPr>
      <w:r w:rsidRPr="006F283B">
        <w:t>No tests of interaction were provided for any subgroup results</w:t>
      </w:r>
      <w:r w:rsidR="002728E9" w:rsidRPr="006F283B">
        <w:rPr>
          <w:color w:val="auto"/>
        </w:rPr>
        <w:t xml:space="preserve"> to assess whether HRD positive </w:t>
      </w:r>
      <w:r w:rsidR="001152C0" w:rsidRPr="001152C0">
        <w:rPr>
          <w:i/>
          <w:iCs/>
          <w:color w:val="auto"/>
        </w:rPr>
        <w:t>BRCAwt</w:t>
      </w:r>
      <w:r w:rsidR="002728E9" w:rsidRPr="006F283B">
        <w:rPr>
          <w:color w:val="auto"/>
        </w:rPr>
        <w:t xml:space="preserve"> was a treatment effect modifier</w:t>
      </w:r>
      <w:r w:rsidR="0066177D" w:rsidRPr="006F283B">
        <w:t>.</w:t>
      </w:r>
    </w:p>
    <w:p w14:paraId="2F68F848" w14:textId="450D2AAC" w:rsidR="00843998" w:rsidRPr="006F283B" w:rsidRDefault="00843998" w:rsidP="007E584B">
      <w:pPr>
        <w:pStyle w:val="ListParagraph"/>
        <w:spacing w:before="0" w:after="120"/>
        <w:rPr>
          <w:color w:val="auto"/>
        </w:rPr>
      </w:pPr>
      <w:r w:rsidRPr="006F283B">
        <w:rPr>
          <w:color w:val="auto"/>
        </w:rPr>
        <w:t xml:space="preserve">At the May 2019 DCO, the INV PFS HR of niraparib compared placebo in </w:t>
      </w:r>
      <w:r w:rsidR="009C4A3F" w:rsidRPr="006F283B">
        <w:rPr>
          <w:color w:val="auto"/>
        </w:rPr>
        <w:t xml:space="preserve">the HRD negative </w:t>
      </w:r>
      <w:r w:rsidRPr="006F283B">
        <w:rPr>
          <w:color w:val="auto"/>
        </w:rPr>
        <w:t xml:space="preserve">subgroup (0.63, 95% CI 0.47, 0.866) was numerically comparable to the HRD positive </w:t>
      </w:r>
      <w:r w:rsidR="001152C0" w:rsidRPr="001152C0">
        <w:rPr>
          <w:i/>
          <w:iCs/>
          <w:color w:val="auto"/>
        </w:rPr>
        <w:t>BRCAwt</w:t>
      </w:r>
      <w:r w:rsidRPr="006F283B">
        <w:rPr>
          <w:color w:val="auto"/>
        </w:rPr>
        <w:t xml:space="preserve"> subgroup (0.60, 95%CI 0.374, 0.954) though the difference in median PFS per BICR (2.7 months) was substantially lower than in the HRD positive </w:t>
      </w:r>
      <w:r w:rsidR="001152C0" w:rsidRPr="001152C0">
        <w:rPr>
          <w:i/>
          <w:iCs/>
          <w:color w:val="auto"/>
        </w:rPr>
        <w:t>BRCAwt</w:t>
      </w:r>
      <w:r w:rsidRPr="006F283B">
        <w:rPr>
          <w:color w:val="auto"/>
        </w:rPr>
        <w:t xml:space="preserve"> </w:t>
      </w:r>
      <w:r w:rsidRPr="006F283B">
        <w:rPr>
          <w:color w:val="auto"/>
        </w:rPr>
        <w:lastRenderedPageBreak/>
        <w:t>subgroup (11.4 months)</w:t>
      </w:r>
      <w:r w:rsidR="00EA6CF7">
        <w:rPr>
          <w:rStyle w:val="FootnoteReference"/>
          <w:color w:val="auto"/>
        </w:rPr>
        <w:footnoteReference w:id="3"/>
      </w:r>
      <w:r w:rsidRPr="006F283B">
        <w:rPr>
          <w:color w:val="auto"/>
        </w:rPr>
        <w:t>.</w:t>
      </w:r>
      <w:bookmarkStart w:id="82" w:name="_Ref121204206"/>
      <w:r w:rsidR="009C4A3F" w:rsidRPr="006F283B">
        <w:rPr>
          <w:color w:val="auto"/>
        </w:rPr>
        <w:t xml:space="preserve"> </w:t>
      </w:r>
      <w:r w:rsidRPr="006F283B">
        <w:rPr>
          <w:color w:val="auto"/>
        </w:rPr>
        <w:t>The PBAC previously considered that the clinical importance of a median PFS benefit in the HRD negative subgroup was uncertain, particularly given the increase in toxicity of niraparib and uncertain OS (</w:t>
      </w:r>
      <w:r w:rsidR="009C4A3F" w:rsidRPr="006F283B">
        <w:rPr>
          <w:color w:val="auto"/>
        </w:rPr>
        <w:t>p</w:t>
      </w:r>
      <w:r w:rsidRPr="006F283B">
        <w:rPr>
          <w:color w:val="auto"/>
        </w:rPr>
        <w:t xml:space="preserve">aragraph 6.38, </w:t>
      </w:r>
      <w:r w:rsidR="006829D1" w:rsidRPr="006F283B">
        <w:rPr>
          <w:color w:val="auto"/>
        </w:rPr>
        <w:t>n</w:t>
      </w:r>
      <w:r w:rsidRPr="006F283B">
        <w:rPr>
          <w:color w:val="auto"/>
        </w:rPr>
        <w:t xml:space="preserve">iraparib PSD, March 2022 PBAC meeting). As such, it was unclear if it was reasonable to have assumed a clinical benefit in the HRD negative subgroup in the economic evaluation. </w:t>
      </w:r>
      <w:bookmarkEnd w:id="82"/>
    </w:p>
    <w:p w14:paraId="33E2E9CE" w14:textId="72BF5B78" w:rsidR="00843998" w:rsidRPr="006F283B" w:rsidRDefault="00843998" w:rsidP="007E584B">
      <w:pPr>
        <w:pStyle w:val="ListParagraph"/>
        <w:spacing w:before="0" w:after="120"/>
        <w:rPr>
          <w:color w:val="auto"/>
        </w:rPr>
      </w:pPr>
      <w:r w:rsidRPr="006F283B">
        <w:rPr>
          <w:color w:val="auto"/>
        </w:rPr>
        <w:t xml:space="preserve">A summary of the trial results for OS, for the HRD positive </w:t>
      </w:r>
      <w:r w:rsidR="001152C0" w:rsidRPr="001152C0">
        <w:rPr>
          <w:i/>
          <w:iCs/>
          <w:color w:val="auto"/>
        </w:rPr>
        <w:t>BRCAwt</w:t>
      </w:r>
      <w:r w:rsidRPr="006F283B">
        <w:rPr>
          <w:color w:val="auto"/>
        </w:rPr>
        <w:t xml:space="preserve"> subgroup in PRIMA is provided in the table below. The submission did not provide any other subgroup OS results or any OS results for the November 2021 DCO. </w:t>
      </w:r>
      <w:r w:rsidR="004D5A65" w:rsidRPr="006F283B">
        <w:rPr>
          <w:color w:val="auto"/>
        </w:rPr>
        <w:t>The submission stated that final OS results are expected in 2024 for PRIMA when approximately 440 deaths have occurred in the ITT population (60% data maturity), and that at the November</w:t>
      </w:r>
      <w:r w:rsidR="006B0D16">
        <w:rPr>
          <w:color w:val="auto"/>
        </w:rPr>
        <w:t> </w:t>
      </w:r>
      <w:r w:rsidR="004D5A65" w:rsidRPr="006F283B">
        <w:rPr>
          <w:color w:val="auto"/>
        </w:rPr>
        <w:t>2021 DCO, OS maturity was 41% for the ITT population</w:t>
      </w:r>
      <w:r w:rsidR="00895DDE" w:rsidRPr="006F283B">
        <w:rPr>
          <w:color w:val="auto"/>
        </w:rPr>
        <w:t xml:space="preserve"> (data not provided)</w:t>
      </w:r>
      <w:r w:rsidR="004D5A65" w:rsidRPr="006F283B">
        <w:rPr>
          <w:color w:val="auto"/>
        </w:rPr>
        <w:t>.</w:t>
      </w:r>
      <w:r w:rsidR="008E34C5">
        <w:rPr>
          <w:color w:val="auto"/>
        </w:rPr>
        <w:t xml:space="preserve"> </w:t>
      </w:r>
    </w:p>
    <w:p w14:paraId="233044BA" w14:textId="7AECFECD" w:rsidR="00843998" w:rsidRPr="006F283B" w:rsidRDefault="00330AF9" w:rsidP="00593A64">
      <w:pPr>
        <w:pStyle w:val="Caption"/>
      </w:pPr>
      <w:bookmarkStart w:id="83" w:name="_Ref130549260"/>
      <w:r w:rsidRPr="006F283B">
        <w:t xml:space="preserve">Table </w:t>
      </w:r>
      <w:r w:rsidR="00091054">
        <w:fldChar w:fldCharType="begin" w:fldLock="1"/>
      </w:r>
      <w:r w:rsidR="00091054">
        <w:instrText xml:space="preserve"> SEQ Table \* ARABIC </w:instrText>
      </w:r>
      <w:r w:rsidR="00091054">
        <w:fldChar w:fldCharType="separate"/>
      </w:r>
      <w:r w:rsidR="00305654">
        <w:rPr>
          <w:noProof/>
        </w:rPr>
        <w:t>8</w:t>
      </w:r>
      <w:r w:rsidR="00091054">
        <w:rPr>
          <w:noProof/>
        </w:rPr>
        <w:fldChar w:fldCharType="end"/>
      </w:r>
      <w:bookmarkEnd w:id="83"/>
      <w:r w:rsidR="004E1A24">
        <w:t xml:space="preserve">: </w:t>
      </w:r>
      <w:r w:rsidR="00843998" w:rsidRPr="006F283B">
        <w:t xml:space="preserve">OS HRD positive </w:t>
      </w:r>
      <w:r w:rsidR="001152C0" w:rsidRPr="001152C0">
        <w:rPr>
          <w:i/>
        </w:rPr>
        <w:t>BRCAwt</w:t>
      </w:r>
      <w:r w:rsidR="00843998" w:rsidRPr="006F283B">
        <w:t xml:space="preserve"> subgroup results in PRIMA (May 2019 DCO)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06"/>
        <w:gridCol w:w="1495"/>
        <w:gridCol w:w="2961"/>
        <w:gridCol w:w="2954"/>
      </w:tblGrid>
      <w:tr w:rsidR="00843998" w:rsidRPr="006F283B" w14:paraId="75693E22" w14:textId="77777777" w:rsidTr="004E1FEC">
        <w:trPr>
          <w:trHeight w:val="18"/>
          <w:tblHeader/>
        </w:trPr>
        <w:tc>
          <w:tcPr>
            <w:tcW w:w="1720" w:type="pct"/>
            <w:gridSpan w:val="2"/>
            <w:shd w:val="clear" w:color="auto" w:fill="auto"/>
            <w:vAlign w:val="center"/>
          </w:tcPr>
          <w:p w14:paraId="0DC95297" w14:textId="77777777" w:rsidR="00843998" w:rsidRPr="006F283B" w:rsidRDefault="00843998" w:rsidP="004E1FEC">
            <w:pPr>
              <w:keepNext/>
              <w:spacing w:before="0" w:after="0"/>
              <w:jc w:val="left"/>
              <w:rPr>
                <w:rFonts w:ascii="Arial Narrow" w:eastAsia="MS Gothic" w:hAnsi="Arial Narrow" w:cs="Times New Roman"/>
                <w:b/>
                <w:bCs/>
                <w:sz w:val="20"/>
              </w:rPr>
            </w:pPr>
          </w:p>
        </w:tc>
        <w:tc>
          <w:tcPr>
            <w:tcW w:w="1642" w:type="pct"/>
            <w:shd w:val="clear" w:color="auto" w:fill="auto"/>
          </w:tcPr>
          <w:p w14:paraId="7F72151D" w14:textId="77777777" w:rsidR="00843998" w:rsidRPr="006F283B" w:rsidRDefault="00843998" w:rsidP="004E1FEC">
            <w:pPr>
              <w:keepNext/>
              <w:spacing w:before="0" w:after="0"/>
              <w:jc w:val="center"/>
              <w:rPr>
                <w:rFonts w:ascii="Arial Narrow" w:eastAsia="MS Gothic" w:hAnsi="Arial Narrow" w:cs="Times New Roman"/>
                <w:b/>
                <w:bCs/>
                <w:sz w:val="20"/>
              </w:rPr>
            </w:pPr>
            <w:r w:rsidRPr="006F283B">
              <w:rPr>
                <w:rFonts w:ascii="Arial Narrow" w:eastAsia="MS Gothic" w:hAnsi="Arial Narrow" w:cs="Times New Roman"/>
                <w:b/>
                <w:bCs/>
                <w:sz w:val="20"/>
              </w:rPr>
              <w:t>NIRA (n=95)</w:t>
            </w:r>
          </w:p>
        </w:tc>
        <w:tc>
          <w:tcPr>
            <w:tcW w:w="1638" w:type="pct"/>
            <w:shd w:val="clear" w:color="auto" w:fill="auto"/>
          </w:tcPr>
          <w:p w14:paraId="56A0E475" w14:textId="77777777" w:rsidR="00843998" w:rsidRPr="006F283B" w:rsidRDefault="00843998" w:rsidP="004E1FEC">
            <w:pPr>
              <w:keepNext/>
              <w:spacing w:before="0" w:after="0"/>
              <w:jc w:val="center"/>
              <w:rPr>
                <w:rFonts w:ascii="Arial Narrow" w:eastAsia="MS Gothic" w:hAnsi="Arial Narrow" w:cs="Times New Roman"/>
                <w:b/>
                <w:bCs/>
                <w:sz w:val="20"/>
              </w:rPr>
            </w:pPr>
            <w:r w:rsidRPr="006F283B">
              <w:rPr>
                <w:rFonts w:ascii="Arial Narrow" w:eastAsia="MS Gothic" w:hAnsi="Arial Narrow" w:cs="Times New Roman"/>
                <w:b/>
                <w:bCs/>
                <w:sz w:val="20"/>
              </w:rPr>
              <w:t>PBO (n=55)</w:t>
            </w:r>
          </w:p>
        </w:tc>
      </w:tr>
      <w:tr w:rsidR="00843998" w:rsidRPr="006F283B" w14:paraId="14FB66B4" w14:textId="77777777" w:rsidTr="004E1FEC">
        <w:trPr>
          <w:trHeight w:val="39"/>
        </w:trPr>
        <w:tc>
          <w:tcPr>
            <w:tcW w:w="1720" w:type="pct"/>
            <w:gridSpan w:val="2"/>
            <w:shd w:val="clear" w:color="auto" w:fill="auto"/>
            <w:vAlign w:val="center"/>
          </w:tcPr>
          <w:p w14:paraId="61819230"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Events, n (%)</w:t>
            </w:r>
          </w:p>
        </w:tc>
        <w:tc>
          <w:tcPr>
            <w:tcW w:w="1642" w:type="pct"/>
            <w:shd w:val="clear" w:color="auto" w:fill="auto"/>
          </w:tcPr>
          <w:p w14:paraId="42D234BF"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6 (6.3)</w:t>
            </w:r>
          </w:p>
        </w:tc>
        <w:tc>
          <w:tcPr>
            <w:tcW w:w="1638" w:type="pct"/>
            <w:shd w:val="clear" w:color="auto" w:fill="auto"/>
          </w:tcPr>
          <w:p w14:paraId="153E6027"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6 (10.9)</w:t>
            </w:r>
          </w:p>
        </w:tc>
      </w:tr>
      <w:tr w:rsidR="00843998" w:rsidRPr="006F283B" w14:paraId="51F488EF" w14:textId="77777777" w:rsidTr="004E1FEC">
        <w:trPr>
          <w:trHeight w:val="18"/>
        </w:trPr>
        <w:tc>
          <w:tcPr>
            <w:tcW w:w="891" w:type="pct"/>
            <w:vMerge w:val="restart"/>
            <w:shd w:val="clear" w:color="auto" w:fill="auto"/>
            <w:vAlign w:val="center"/>
          </w:tcPr>
          <w:p w14:paraId="0B9FB327"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Survival distribution function (95 % CI)</w:t>
            </w:r>
          </w:p>
        </w:tc>
        <w:tc>
          <w:tcPr>
            <w:tcW w:w="829" w:type="pct"/>
            <w:tcBorders>
              <w:bottom w:val="single" w:sz="4" w:space="0" w:color="auto"/>
            </w:tcBorders>
            <w:shd w:val="clear" w:color="auto" w:fill="auto"/>
            <w:vAlign w:val="center"/>
          </w:tcPr>
          <w:p w14:paraId="08A895A5"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6 months</w:t>
            </w:r>
          </w:p>
        </w:tc>
        <w:tc>
          <w:tcPr>
            <w:tcW w:w="1642" w:type="pct"/>
            <w:tcBorders>
              <w:bottom w:val="single" w:sz="4" w:space="0" w:color="auto"/>
            </w:tcBorders>
            <w:shd w:val="clear" w:color="auto" w:fill="auto"/>
          </w:tcPr>
          <w:p w14:paraId="46819071"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1.00 (1.00,1.00)</w:t>
            </w:r>
          </w:p>
        </w:tc>
        <w:tc>
          <w:tcPr>
            <w:tcW w:w="1638" w:type="pct"/>
            <w:tcBorders>
              <w:bottom w:val="single" w:sz="4" w:space="0" w:color="auto"/>
            </w:tcBorders>
            <w:shd w:val="clear" w:color="auto" w:fill="auto"/>
          </w:tcPr>
          <w:p w14:paraId="738F0D0C"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1.00 (1.00,1.00)</w:t>
            </w:r>
          </w:p>
        </w:tc>
      </w:tr>
      <w:tr w:rsidR="00843998" w:rsidRPr="006F283B" w14:paraId="60AB1E1B" w14:textId="77777777" w:rsidTr="004E1FEC">
        <w:trPr>
          <w:trHeight w:val="18"/>
        </w:trPr>
        <w:tc>
          <w:tcPr>
            <w:tcW w:w="891" w:type="pct"/>
            <w:vMerge/>
            <w:shd w:val="clear" w:color="auto" w:fill="auto"/>
            <w:vAlign w:val="center"/>
          </w:tcPr>
          <w:p w14:paraId="2D36112B" w14:textId="77777777" w:rsidR="00843998" w:rsidRPr="006F283B" w:rsidRDefault="00843998" w:rsidP="004E1FEC">
            <w:pPr>
              <w:keepNext/>
              <w:spacing w:before="0" w:after="0"/>
              <w:jc w:val="left"/>
              <w:rPr>
                <w:rFonts w:ascii="Arial Narrow" w:eastAsia="MS Gothic" w:hAnsi="Arial Narrow" w:cs="Times New Roman"/>
                <w:sz w:val="20"/>
              </w:rPr>
            </w:pPr>
          </w:p>
        </w:tc>
        <w:tc>
          <w:tcPr>
            <w:tcW w:w="829" w:type="pct"/>
            <w:tcBorders>
              <w:top w:val="single" w:sz="4" w:space="0" w:color="auto"/>
              <w:bottom w:val="single" w:sz="4" w:space="0" w:color="auto"/>
            </w:tcBorders>
            <w:shd w:val="clear" w:color="auto" w:fill="auto"/>
            <w:vAlign w:val="center"/>
          </w:tcPr>
          <w:p w14:paraId="0E3D5805"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12 months</w:t>
            </w:r>
          </w:p>
        </w:tc>
        <w:tc>
          <w:tcPr>
            <w:tcW w:w="1642" w:type="pct"/>
            <w:tcBorders>
              <w:top w:val="single" w:sz="4" w:space="0" w:color="auto"/>
              <w:bottom w:val="single" w:sz="4" w:space="0" w:color="auto"/>
            </w:tcBorders>
            <w:shd w:val="clear" w:color="auto" w:fill="auto"/>
          </w:tcPr>
          <w:p w14:paraId="62667089"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0.95 (0.88,0.98)</w:t>
            </w:r>
          </w:p>
        </w:tc>
        <w:tc>
          <w:tcPr>
            <w:tcW w:w="1638" w:type="pct"/>
            <w:tcBorders>
              <w:top w:val="single" w:sz="4" w:space="0" w:color="auto"/>
              <w:bottom w:val="single" w:sz="4" w:space="0" w:color="auto"/>
            </w:tcBorders>
            <w:shd w:val="clear" w:color="auto" w:fill="auto"/>
          </w:tcPr>
          <w:p w14:paraId="0EF824DE"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0.90 (0.78,0.96)</w:t>
            </w:r>
          </w:p>
        </w:tc>
      </w:tr>
      <w:tr w:rsidR="00843998" w:rsidRPr="006F283B" w14:paraId="363C6840" w14:textId="77777777" w:rsidTr="004E1FEC">
        <w:trPr>
          <w:trHeight w:val="18"/>
        </w:trPr>
        <w:tc>
          <w:tcPr>
            <w:tcW w:w="891" w:type="pct"/>
            <w:vMerge/>
            <w:shd w:val="clear" w:color="auto" w:fill="auto"/>
            <w:vAlign w:val="center"/>
          </w:tcPr>
          <w:p w14:paraId="1FAEDA43" w14:textId="77777777" w:rsidR="00843998" w:rsidRPr="006F283B" w:rsidRDefault="00843998" w:rsidP="004E1FEC">
            <w:pPr>
              <w:keepNext/>
              <w:spacing w:before="0" w:after="0"/>
              <w:jc w:val="left"/>
              <w:rPr>
                <w:rFonts w:ascii="Arial Narrow" w:eastAsia="MS Gothic" w:hAnsi="Arial Narrow" w:cs="Times New Roman"/>
                <w:sz w:val="20"/>
              </w:rPr>
            </w:pPr>
          </w:p>
        </w:tc>
        <w:tc>
          <w:tcPr>
            <w:tcW w:w="829" w:type="pct"/>
            <w:tcBorders>
              <w:top w:val="single" w:sz="4" w:space="0" w:color="auto"/>
              <w:bottom w:val="single" w:sz="4" w:space="0" w:color="auto"/>
            </w:tcBorders>
            <w:shd w:val="clear" w:color="auto" w:fill="auto"/>
            <w:vAlign w:val="center"/>
          </w:tcPr>
          <w:p w14:paraId="11F7F7C3"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18 months</w:t>
            </w:r>
          </w:p>
        </w:tc>
        <w:tc>
          <w:tcPr>
            <w:tcW w:w="1642" w:type="pct"/>
            <w:tcBorders>
              <w:top w:val="single" w:sz="4" w:space="0" w:color="auto"/>
              <w:bottom w:val="single" w:sz="4" w:space="0" w:color="auto"/>
            </w:tcBorders>
            <w:shd w:val="clear" w:color="auto" w:fill="auto"/>
          </w:tcPr>
          <w:p w14:paraId="70E8A8E3"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0.95 (0.88,0.98)</w:t>
            </w:r>
          </w:p>
        </w:tc>
        <w:tc>
          <w:tcPr>
            <w:tcW w:w="1638" w:type="pct"/>
            <w:tcBorders>
              <w:top w:val="single" w:sz="4" w:space="0" w:color="auto"/>
              <w:bottom w:val="single" w:sz="4" w:space="0" w:color="auto"/>
            </w:tcBorders>
            <w:shd w:val="clear" w:color="auto" w:fill="auto"/>
          </w:tcPr>
          <w:p w14:paraId="28A3FD62"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0.90 (0.78,0.96)</w:t>
            </w:r>
          </w:p>
        </w:tc>
      </w:tr>
      <w:tr w:rsidR="00843998" w:rsidRPr="006F283B" w14:paraId="7AD7586A" w14:textId="77777777" w:rsidTr="004E1FEC">
        <w:trPr>
          <w:trHeight w:val="18"/>
        </w:trPr>
        <w:tc>
          <w:tcPr>
            <w:tcW w:w="891" w:type="pct"/>
            <w:vMerge/>
            <w:shd w:val="clear" w:color="auto" w:fill="auto"/>
            <w:vAlign w:val="center"/>
          </w:tcPr>
          <w:p w14:paraId="46783C50" w14:textId="77777777" w:rsidR="00843998" w:rsidRPr="006F283B" w:rsidRDefault="00843998" w:rsidP="004E1FEC">
            <w:pPr>
              <w:keepNext/>
              <w:spacing w:before="0" w:after="0"/>
              <w:jc w:val="left"/>
              <w:rPr>
                <w:rFonts w:ascii="Arial Narrow" w:eastAsia="MS Gothic" w:hAnsi="Arial Narrow" w:cs="Times New Roman"/>
                <w:sz w:val="20"/>
              </w:rPr>
            </w:pPr>
          </w:p>
        </w:tc>
        <w:tc>
          <w:tcPr>
            <w:tcW w:w="829" w:type="pct"/>
            <w:tcBorders>
              <w:top w:val="single" w:sz="4" w:space="0" w:color="auto"/>
              <w:bottom w:val="single" w:sz="4" w:space="0" w:color="auto"/>
            </w:tcBorders>
            <w:shd w:val="clear" w:color="auto" w:fill="auto"/>
            <w:vAlign w:val="center"/>
          </w:tcPr>
          <w:p w14:paraId="0DAE9378"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24 months</w:t>
            </w:r>
          </w:p>
        </w:tc>
        <w:tc>
          <w:tcPr>
            <w:tcW w:w="1642" w:type="pct"/>
            <w:tcBorders>
              <w:top w:val="single" w:sz="4" w:space="0" w:color="auto"/>
              <w:bottom w:val="single" w:sz="4" w:space="0" w:color="auto"/>
            </w:tcBorders>
            <w:shd w:val="clear" w:color="auto" w:fill="auto"/>
          </w:tcPr>
          <w:p w14:paraId="7D5C243A"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NR</w:t>
            </w:r>
          </w:p>
        </w:tc>
        <w:tc>
          <w:tcPr>
            <w:tcW w:w="1638" w:type="pct"/>
            <w:tcBorders>
              <w:top w:val="single" w:sz="4" w:space="0" w:color="auto"/>
              <w:bottom w:val="single" w:sz="4" w:space="0" w:color="auto"/>
            </w:tcBorders>
            <w:shd w:val="clear" w:color="auto" w:fill="auto"/>
          </w:tcPr>
          <w:p w14:paraId="52E6C9C4"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NR</w:t>
            </w:r>
          </w:p>
        </w:tc>
      </w:tr>
      <w:tr w:rsidR="00843998" w:rsidRPr="006F283B" w14:paraId="31DF18A9" w14:textId="77777777" w:rsidTr="004E1FEC">
        <w:trPr>
          <w:trHeight w:val="18"/>
        </w:trPr>
        <w:tc>
          <w:tcPr>
            <w:tcW w:w="891" w:type="pct"/>
            <w:vMerge/>
            <w:shd w:val="clear" w:color="auto" w:fill="auto"/>
            <w:vAlign w:val="center"/>
          </w:tcPr>
          <w:p w14:paraId="3267D025" w14:textId="77777777" w:rsidR="00843998" w:rsidRPr="006F283B" w:rsidRDefault="00843998" w:rsidP="004E1FEC">
            <w:pPr>
              <w:keepNext/>
              <w:spacing w:before="0" w:after="0"/>
              <w:jc w:val="left"/>
              <w:rPr>
                <w:rFonts w:ascii="Arial Narrow" w:eastAsia="MS Gothic" w:hAnsi="Arial Narrow" w:cs="Times New Roman"/>
                <w:sz w:val="20"/>
              </w:rPr>
            </w:pPr>
          </w:p>
        </w:tc>
        <w:tc>
          <w:tcPr>
            <w:tcW w:w="829" w:type="pct"/>
            <w:tcBorders>
              <w:top w:val="single" w:sz="4" w:space="0" w:color="auto"/>
              <w:bottom w:val="single" w:sz="4" w:space="0" w:color="auto"/>
            </w:tcBorders>
            <w:shd w:val="clear" w:color="auto" w:fill="auto"/>
            <w:vAlign w:val="center"/>
          </w:tcPr>
          <w:p w14:paraId="53A8FC2C"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30 months</w:t>
            </w:r>
          </w:p>
        </w:tc>
        <w:tc>
          <w:tcPr>
            <w:tcW w:w="1642" w:type="pct"/>
            <w:tcBorders>
              <w:top w:val="single" w:sz="4" w:space="0" w:color="auto"/>
              <w:bottom w:val="single" w:sz="4" w:space="0" w:color="auto"/>
            </w:tcBorders>
            <w:shd w:val="clear" w:color="auto" w:fill="auto"/>
          </w:tcPr>
          <w:p w14:paraId="14DF10EF"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NR</w:t>
            </w:r>
          </w:p>
        </w:tc>
        <w:tc>
          <w:tcPr>
            <w:tcW w:w="1638" w:type="pct"/>
            <w:tcBorders>
              <w:top w:val="single" w:sz="4" w:space="0" w:color="auto"/>
              <w:bottom w:val="single" w:sz="4" w:space="0" w:color="auto"/>
            </w:tcBorders>
            <w:shd w:val="clear" w:color="auto" w:fill="auto"/>
          </w:tcPr>
          <w:p w14:paraId="4C995858"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NR</w:t>
            </w:r>
          </w:p>
        </w:tc>
      </w:tr>
      <w:tr w:rsidR="00843998" w:rsidRPr="006F283B" w14:paraId="001FA93E" w14:textId="77777777" w:rsidTr="004E1FEC">
        <w:trPr>
          <w:trHeight w:val="18"/>
        </w:trPr>
        <w:tc>
          <w:tcPr>
            <w:tcW w:w="1720" w:type="pct"/>
            <w:gridSpan w:val="2"/>
            <w:shd w:val="clear" w:color="auto" w:fill="auto"/>
            <w:vAlign w:val="center"/>
          </w:tcPr>
          <w:p w14:paraId="56C1EC6D"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Median, months (95% CI)</w:t>
            </w:r>
          </w:p>
        </w:tc>
        <w:tc>
          <w:tcPr>
            <w:tcW w:w="1642" w:type="pct"/>
            <w:shd w:val="clear" w:color="auto" w:fill="auto"/>
          </w:tcPr>
          <w:p w14:paraId="6897F40D" w14:textId="2AD1DD3C"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30.3 (NE, NE)</w:t>
            </w:r>
          </w:p>
        </w:tc>
        <w:tc>
          <w:tcPr>
            <w:tcW w:w="1638" w:type="pct"/>
            <w:shd w:val="clear" w:color="auto" w:fill="auto"/>
          </w:tcPr>
          <w:p w14:paraId="287A8A7D"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NE (22.7, NE)</w:t>
            </w:r>
          </w:p>
        </w:tc>
      </w:tr>
      <w:tr w:rsidR="00843998" w:rsidRPr="006F283B" w14:paraId="3EF74852" w14:textId="77777777" w:rsidTr="004E1FEC">
        <w:trPr>
          <w:trHeight w:val="18"/>
        </w:trPr>
        <w:tc>
          <w:tcPr>
            <w:tcW w:w="1720" w:type="pct"/>
            <w:gridSpan w:val="2"/>
            <w:shd w:val="clear" w:color="auto" w:fill="auto"/>
            <w:vAlign w:val="center"/>
          </w:tcPr>
          <w:p w14:paraId="59AC5C1B" w14:textId="77777777" w:rsidR="00843998" w:rsidRPr="006F283B" w:rsidRDefault="00843998" w:rsidP="004E1FEC">
            <w:pPr>
              <w:keepNext/>
              <w:spacing w:before="0" w:after="0"/>
              <w:jc w:val="left"/>
              <w:rPr>
                <w:rFonts w:ascii="Arial Narrow" w:eastAsia="MS Gothic" w:hAnsi="Arial Narrow" w:cs="Times New Roman"/>
                <w:sz w:val="20"/>
              </w:rPr>
            </w:pPr>
            <w:r w:rsidRPr="006F283B">
              <w:rPr>
                <w:rFonts w:ascii="Arial Narrow" w:eastAsia="MS Gothic" w:hAnsi="Arial Narrow" w:cs="Times New Roman"/>
                <w:sz w:val="20"/>
              </w:rPr>
              <w:t>HR (95% CI)</w:t>
            </w:r>
          </w:p>
        </w:tc>
        <w:tc>
          <w:tcPr>
            <w:tcW w:w="3280" w:type="pct"/>
            <w:gridSpan w:val="2"/>
            <w:shd w:val="clear" w:color="auto" w:fill="auto"/>
          </w:tcPr>
          <w:p w14:paraId="44565492" w14:textId="77777777" w:rsidR="00843998" w:rsidRPr="006F283B" w:rsidRDefault="00843998" w:rsidP="004E1FEC">
            <w:pPr>
              <w:keepNext/>
              <w:spacing w:before="0" w:after="0"/>
              <w:jc w:val="center"/>
              <w:rPr>
                <w:rFonts w:ascii="Arial Narrow" w:eastAsia="MS Gothic" w:hAnsi="Arial Narrow" w:cs="Times New Roman"/>
                <w:sz w:val="20"/>
              </w:rPr>
            </w:pPr>
            <w:r w:rsidRPr="006F283B">
              <w:rPr>
                <w:rFonts w:ascii="Arial Narrow" w:eastAsia="MS Gothic" w:hAnsi="Arial Narrow" w:cs="Times New Roman"/>
                <w:sz w:val="20"/>
              </w:rPr>
              <w:t>0.52 (0.157, 1.746)</w:t>
            </w:r>
          </w:p>
        </w:tc>
      </w:tr>
    </w:tbl>
    <w:p w14:paraId="2F9E3F1E" w14:textId="77777777" w:rsidR="00843998" w:rsidRPr="006F283B" w:rsidRDefault="00843998" w:rsidP="00843998">
      <w:pPr>
        <w:pStyle w:val="TableFooter"/>
      </w:pPr>
      <w:r w:rsidRPr="006F283B">
        <w:t>CI = confidence interval; HR = hazard ratio; ITT = intent to treat; NE = not evaluable; NIRA = niraparib; NR = not reached; PBO = placebo</w:t>
      </w:r>
    </w:p>
    <w:p w14:paraId="64E826C1" w14:textId="4539B5B1" w:rsidR="00843998" w:rsidRDefault="00843998" w:rsidP="004E1A24">
      <w:pPr>
        <w:pStyle w:val="TableFooter"/>
        <w:spacing w:after="120"/>
      </w:pPr>
      <w:r w:rsidRPr="006F283B">
        <w:t>Source: Table 66 (p140) of the submission</w:t>
      </w:r>
    </w:p>
    <w:p w14:paraId="51FC18E6" w14:textId="1565846E" w:rsidR="00EA6CF7" w:rsidRPr="00EA6CF7" w:rsidRDefault="00EA6CF7" w:rsidP="004E1A24">
      <w:pPr>
        <w:pStyle w:val="TableFooter"/>
        <w:spacing w:after="120"/>
        <w:rPr>
          <w:i/>
        </w:rPr>
      </w:pPr>
      <w:r w:rsidRPr="00EA6CF7">
        <w:rPr>
          <w:i/>
        </w:rPr>
        <w:t>Note that the OS results for the HRD positive BRCAwt subgroup from the May 2019 DC</w:t>
      </w:r>
      <w:r>
        <w:rPr>
          <w:i/>
        </w:rPr>
        <w:t>O</w:t>
      </w:r>
      <w:r w:rsidRPr="00EA6CF7">
        <w:rPr>
          <w:i/>
        </w:rPr>
        <w:t xml:space="preserve"> of PRIMA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w:t>
      </w:r>
      <w:proofErr w:type="gramStart"/>
      <w:r w:rsidRPr="00EA6CF7">
        <w:rPr>
          <w:i/>
        </w:rPr>
        <w:t>purpose</w:t>
      </w:r>
      <w:proofErr w:type="gramEnd"/>
    </w:p>
    <w:p w14:paraId="3923B78B" w14:textId="57DC4ACE" w:rsidR="00843998" w:rsidRPr="006F283B" w:rsidRDefault="00843998" w:rsidP="004E1A24">
      <w:pPr>
        <w:pStyle w:val="ListParagraph"/>
        <w:spacing w:before="0" w:after="120"/>
        <w:rPr>
          <w:color w:val="auto"/>
        </w:rPr>
      </w:pPr>
      <w:r w:rsidRPr="006F283B">
        <w:rPr>
          <w:color w:val="auto"/>
        </w:rPr>
        <w:t xml:space="preserve">KM plots of OS for the HRD positive </w:t>
      </w:r>
      <w:r w:rsidR="001152C0" w:rsidRPr="001152C0">
        <w:rPr>
          <w:i/>
          <w:iCs/>
          <w:color w:val="auto"/>
        </w:rPr>
        <w:t>BRCAwt</w:t>
      </w:r>
      <w:r w:rsidRPr="006F283B">
        <w:rPr>
          <w:color w:val="auto"/>
        </w:rPr>
        <w:t xml:space="preserve"> and the HRD negative patient subpopulations are provided in the figures below. </w:t>
      </w:r>
    </w:p>
    <w:p w14:paraId="2A452BE2" w14:textId="1ACC4DA3" w:rsidR="00843998" w:rsidRPr="006F283B" w:rsidRDefault="00330AF9" w:rsidP="00593A64">
      <w:pPr>
        <w:pStyle w:val="Caption"/>
      </w:pPr>
      <w:bookmarkStart w:id="84" w:name="_Ref130485065"/>
      <w:r w:rsidRPr="006F283B">
        <w:lastRenderedPageBreak/>
        <w:t xml:space="preserve">Figure </w:t>
      </w:r>
      <w:r w:rsidR="00091054">
        <w:fldChar w:fldCharType="begin" w:fldLock="1"/>
      </w:r>
      <w:r w:rsidR="00091054">
        <w:instrText xml:space="preserve"> SEQ Figure_PBAC. \* ARABIC </w:instrText>
      </w:r>
      <w:r w:rsidR="00091054">
        <w:fldChar w:fldCharType="separate"/>
      </w:r>
      <w:r w:rsidR="00305654">
        <w:rPr>
          <w:noProof/>
        </w:rPr>
        <w:t>3</w:t>
      </w:r>
      <w:r w:rsidR="00091054">
        <w:rPr>
          <w:noProof/>
        </w:rPr>
        <w:fldChar w:fldCharType="end"/>
      </w:r>
      <w:bookmarkEnd w:id="84"/>
      <w:r w:rsidR="004E1A24">
        <w:t xml:space="preserve">: </w:t>
      </w:r>
      <w:r w:rsidR="00843998" w:rsidRPr="006F283B">
        <w:t xml:space="preserve">OS HRD positive </w:t>
      </w:r>
      <w:r w:rsidR="001152C0" w:rsidRPr="001152C0">
        <w:rPr>
          <w:i/>
        </w:rPr>
        <w:t>BRCAwt</w:t>
      </w:r>
      <w:r w:rsidR="00843998" w:rsidRPr="006F283B">
        <w:t xml:space="preserve"> subgroup KM curves (May 2019 DCO)</w:t>
      </w:r>
    </w:p>
    <w:p w14:paraId="3AB15585" w14:textId="77777777" w:rsidR="00843998" w:rsidRPr="006F283B" w:rsidRDefault="00843998" w:rsidP="0066177D">
      <w:pPr>
        <w:pStyle w:val="TableFooter"/>
        <w:keepNext/>
        <w:keepLines/>
      </w:pPr>
      <w:r w:rsidRPr="006F283B">
        <w:rPr>
          <w:noProof/>
        </w:rPr>
        <w:drawing>
          <wp:inline distT="0" distB="0" distL="0" distR="0" wp14:anchorId="6830BA5B" wp14:editId="39272209">
            <wp:extent cx="4632385" cy="2919401"/>
            <wp:effectExtent l="0" t="0" r="0" b="0"/>
            <wp:docPr id="1959018436" name="Picture 1959018436" descr="Figure 3: OS HRD positive BRCAwt subgroup KM curves (May 2019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6" name="Picture 1959018436" descr="Figure 3: OS HRD positive BRCAwt subgroup KM curves (May 2019 DCO)"/>
                    <pic:cNvPicPr/>
                  </pic:nvPicPr>
                  <pic:blipFill rotWithShape="1">
                    <a:blip r:embed="rId10" cstate="print">
                      <a:extLst>
                        <a:ext uri="{28A0092B-C50C-407E-A947-70E740481C1C}">
                          <a14:useLocalDpi xmlns:a14="http://schemas.microsoft.com/office/drawing/2010/main"/>
                        </a:ext>
                      </a:extLst>
                    </a:blip>
                    <a:srcRect l="961" t="2621"/>
                    <a:stretch/>
                  </pic:blipFill>
                  <pic:spPr bwMode="auto">
                    <a:xfrm>
                      <a:off x="0" y="0"/>
                      <a:ext cx="4647826" cy="2929132"/>
                    </a:xfrm>
                    <a:prstGeom prst="rect">
                      <a:avLst/>
                    </a:prstGeom>
                    <a:ln>
                      <a:noFill/>
                    </a:ln>
                    <a:extLst>
                      <a:ext uri="{53640926-AAD7-44D8-BBD7-CCE9431645EC}">
                        <a14:shadowObscured xmlns:a14="http://schemas.microsoft.com/office/drawing/2010/main"/>
                      </a:ext>
                    </a:extLst>
                  </pic:spPr>
                </pic:pic>
              </a:graphicData>
            </a:graphic>
          </wp:inline>
        </w:drawing>
      </w:r>
    </w:p>
    <w:p w14:paraId="5AAEEAA7" w14:textId="77777777" w:rsidR="00330AF9" w:rsidRPr="006F283B" w:rsidRDefault="00330AF9" w:rsidP="00330AF9">
      <w:pPr>
        <w:pStyle w:val="TableFooter"/>
        <w:keepNext/>
        <w:keepLines/>
      </w:pPr>
      <w:r w:rsidRPr="006F283B">
        <w:t>Source: Figure 28 (p141) of the submission</w:t>
      </w:r>
    </w:p>
    <w:p w14:paraId="402A8FAE" w14:textId="7228F24E" w:rsidR="00843998" w:rsidRDefault="001152C0" w:rsidP="0066177D">
      <w:pPr>
        <w:pStyle w:val="TableFooter"/>
        <w:keepNext/>
        <w:keepLines/>
      </w:pPr>
      <w:r w:rsidRPr="001152C0">
        <w:rPr>
          <w:i/>
          <w:iCs/>
          <w:szCs w:val="24"/>
        </w:rPr>
        <w:t>BRCAwt</w:t>
      </w:r>
      <w:r w:rsidR="00843998" w:rsidRPr="006F283B">
        <w:rPr>
          <w:szCs w:val="24"/>
        </w:rPr>
        <w:t xml:space="preserve"> = </w:t>
      </w:r>
      <w:r w:rsidRPr="001152C0">
        <w:rPr>
          <w:i/>
          <w:iCs/>
          <w:szCs w:val="24"/>
        </w:rPr>
        <w:t xml:space="preserve">BRCA </w:t>
      </w:r>
      <w:r w:rsidR="00843998" w:rsidRPr="006F283B">
        <w:rPr>
          <w:szCs w:val="24"/>
        </w:rPr>
        <w:t xml:space="preserve">wild type; CI = confidence interval; </w:t>
      </w:r>
      <w:r w:rsidR="00843998" w:rsidRPr="006F283B">
        <w:t>DCO = data cut-off; HRD = homologous recombination deficient; KM = Kaplan Meier</w:t>
      </w:r>
    </w:p>
    <w:p w14:paraId="3D894275" w14:textId="13268EBC" w:rsidR="00843998" w:rsidRPr="003915F9" w:rsidRDefault="00EA6CF7" w:rsidP="003915F9">
      <w:pPr>
        <w:pStyle w:val="TableFooter"/>
        <w:keepNext/>
        <w:keepLines/>
        <w:spacing w:after="120"/>
        <w:rPr>
          <w:i/>
          <w:iCs/>
        </w:rPr>
      </w:pPr>
      <w:r w:rsidRPr="00EA6CF7">
        <w:rPr>
          <w:i/>
          <w:iCs/>
        </w:rPr>
        <w:t xml:space="preserve">Note that Figure 3 depicts results that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w:t>
      </w:r>
      <w:proofErr w:type="gramStart"/>
      <w:r w:rsidRPr="00EA6CF7">
        <w:rPr>
          <w:i/>
          <w:iCs/>
        </w:rPr>
        <w:t>purpose</w:t>
      </w:r>
      <w:proofErr w:type="gramEnd"/>
    </w:p>
    <w:p w14:paraId="55C74471" w14:textId="4C36D2B6" w:rsidR="00843998" w:rsidRPr="006F283B" w:rsidRDefault="00330AF9" w:rsidP="00593A64">
      <w:pPr>
        <w:pStyle w:val="Caption"/>
      </w:pPr>
      <w:r w:rsidRPr="006F283B">
        <w:t xml:space="preserve">Figure </w:t>
      </w:r>
      <w:r w:rsidR="00091054">
        <w:fldChar w:fldCharType="begin" w:fldLock="1"/>
      </w:r>
      <w:r w:rsidR="00091054">
        <w:instrText xml:space="preserve"> SEQ Figure_PBAC. \* ARABIC </w:instrText>
      </w:r>
      <w:r w:rsidR="00091054">
        <w:fldChar w:fldCharType="separate"/>
      </w:r>
      <w:r w:rsidR="00305654">
        <w:rPr>
          <w:noProof/>
        </w:rPr>
        <w:t>4</w:t>
      </w:r>
      <w:r w:rsidR="00091054">
        <w:rPr>
          <w:noProof/>
        </w:rPr>
        <w:fldChar w:fldCharType="end"/>
      </w:r>
      <w:r w:rsidR="004E1A24">
        <w:t xml:space="preserve">: </w:t>
      </w:r>
      <w:r w:rsidR="00843998" w:rsidRPr="006F283B">
        <w:t>OS HRD negative subgroup KM curves (May 2019 DCO)</w:t>
      </w:r>
    </w:p>
    <w:p w14:paraId="589976E5" w14:textId="77777777" w:rsidR="00843998" w:rsidRPr="006F283B" w:rsidRDefault="00843998" w:rsidP="00843998">
      <w:pPr>
        <w:pStyle w:val="TableFooter"/>
      </w:pPr>
      <w:r w:rsidRPr="006F283B">
        <w:rPr>
          <w:noProof/>
        </w:rPr>
        <w:drawing>
          <wp:inline distT="0" distB="0" distL="0" distR="0" wp14:anchorId="72A19E81" wp14:editId="3AA30814">
            <wp:extent cx="5132717" cy="2970643"/>
            <wp:effectExtent l="0" t="0" r="0" b="1270"/>
            <wp:docPr id="1959018437" name="Picture 1959018437" descr="Figure 4: OS HRD negative subgroup KM curves (May 2019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7" name="Picture 1959018437" descr="Figure 4: OS HRD negative subgroup KM curves (May 2019 DCO)"/>
                    <pic:cNvPicPr/>
                  </pic:nvPicPr>
                  <pic:blipFill>
                    <a:blip r:embed="rId11" cstate="screen">
                      <a:extLst>
                        <a:ext uri="{28A0092B-C50C-407E-A947-70E740481C1C}">
                          <a14:useLocalDpi xmlns:a14="http://schemas.microsoft.com/office/drawing/2010/main"/>
                        </a:ext>
                      </a:extLst>
                    </a:blip>
                    <a:stretch>
                      <a:fillRect/>
                    </a:stretch>
                  </pic:blipFill>
                  <pic:spPr>
                    <a:xfrm>
                      <a:off x="0" y="0"/>
                      <a:ext cx="5152641" cy="2982174"/>
                    </a:xfrm>
                    <a:prstGeom prst="rect">
                      <a:avLst/>
                    </a:prstGeom>
                  </pic:spPr>
                </pic:pic>
              </a:graphicData>
            </a:graphic>
          </wp:inline>
        </w:drawing>
      </w:r>
    </w:p>
    <w:p w14:paraId="39AEC9E1" w14:textId="77777777" w:rsidR="00330AF9" w:rsidRPr="006F283B" w:rsidRDefault="00330AF9" w:rsidP="00330AF9">
      <w:pPr>
        <w:pStyle w:val="TableFooter"/>
      </w:pPr>
      <w:r w:rsidRPr="006F283B">
        <w:t>Source Figure 54, p 199 of the submission</w:t>
      </w:r>
    </w:p>
    <w:p w14:paraId="127312D9" w14:textId="4A92B479" w:rsidR="00843998" w:rsidRDefault="00843998" w:rsidP="00EA6CF7">
      <w:pPr>
        <w:pStyle w:val="TableNotes"/>
        <w:spacing w:after="0"/>
        <w:rPr>
          <w:sz w:val="18"/>
          <w:szCs w:val="24"/>
        </w:rPr>
      </w:pPr>
      <w:r w:rsidRPr="006F283B">
        <w:rPr>
          <w:sz w:val="18"/>
          <w:szCs w:val="24"/>
        </w:rPr>
        <w:t>CI = confidence interval; DCO = data cut-off; HR = hazard ratio</w:t>
      </w:r>
    </w:p>
    <w:p w14:paraId="79225745" w14:textId="4A6D448C" w:rsidR="00EA6CF7" w:rsidRPr="00EA6CF7" w:rsidRDefault="00EA6CF7" w:rsidP="004E1A24">
      <w:pPr>
        <w:pStyle w:val="TableNotes"/>
        <w:spacing w:after="120"/>
        <w:rPr>
          <w:i/>
          <w:iCs/>
          <w:sz w:val="18"/>
          <w:szCs w:val="24"/>
        </w:rPr>
      </w:pPr>
      <w:r w:rsidRPr="00EA6CF7">
        <w:rPr>
          <w:i/>
          <w:iCs/>
          <w:sz w:val="18"/>
          <w:szCs w:val="24"/>
        </w:rPr>
        <w:t xml:space="preserve">Note that Figure 4 depicts results that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w:t>
      </w:r>
      <w:proofErr w:type="gramStart"/>
      <w:r w:rsidRPr="00EA6CF7">
        <w:rPr>
          <w:i/>
          <w:iCs/>
          <w:sz w:val="18"/>
          <w:szCs w:val="24"/>
        </w:rPr>
        <w:t>purpose</w:t>
      </w:r>
      <w:proofErr w:type="gramEnd"/>
    </w:p>
    <w:p w14:paraId="12D1BBD6" w14:textId="6361E6D5" w:rsidR="00843998" w:rsidRPr="006F283B" w:rsidRDefault="00843998" w:rsidP="004E1A24">
      <w:pPr>
        <w:pStyle w:val="ListParagraph"/>
        <w:spacing w:before="0" w:after="120"/>
        <w:rPr>
          <w:color w:val="auto"/>
        </w:rPr>
      </w:pPr>
      <w:r w:rsidRPr="006F283B">
        <w:rPr>
          <w:color w:val="auto"/>
        </w:rPr>
        <w:t xml:space="preserve">The OS data </w:t>
      </w:r>
      <w:r w:rsidR="00D45FD2" w:rsidRPr="006F283B">
        <w:rPr>
          <w:color w:val="auto"/>
        </w:rPr>
        <w:t>from the PRIMA trial</w:t>
      </w:r>
      <w:r w:rsidRPr="006F283B">
        <w:rPr>
          <w:color w:val="auto"/>
        </w:rPr>
        <w:t xml:space="preserve"> was immature</w:t>
      </w:r>
      <w:r w:rsidR="00D45FD2" w:rsidRPr="006F283B">
        <w:rPr>
          <w:color w:val="auto"/>
        </w:rPr>
        <w:t xml:space="preserve">. </w:t>
      </w:r>
      <w:r w:rsidRPr="006F283B">
        <w:rPr>
          <w:color w:val="auto"/>
        </w:rPr>
        <w:t xml:space="preserve">The OS HR (0.52, 95%CI 0.16-1.75) </w:t>
      </w:r>
      <w:r w:rsidR="00D81ACA" w:rsidRPr="006F283B">
        <w:rPr>
          <w:color w:val="auto"/>
        </w:rPr>
        <w:t xml:space="preserve">in the HRD positive </w:t>
      </w:r>
      <w:r w:rsidR="001152C0" w:rsidRPr="001152C0">
        <w:rPr>
          <w:i/>
          <w:iCs/>
          <w:color w:val="auto"/>
        </w:rPr>
        <w:t>BRCAwt</w:t>
      </w:r>
      <w:r w:rsidR="00D81ACA" w:rsidRPr="006F283B">
        <w:rPr>
          <w:color w:val="auto"/>
        </w:rPr>
        <w:t xml:space="preserve"> subgroup </w:t>
      </w:r>
      <w:r w:rsidRPr="006F283B">
        <w:rPr>
          <w:color w:val="auto"/>
        </w:rPr>
        <w:t xml:space="preserve">was not statistically significantly different between </w:t>
      </w:r>
      <w:r w:rsidRPr="006F283B">
        <w:rPr>
          <w:color w:val="auto"/>
        </w:rPr>
        <w:lastRenderedPageBreak/>
        <w:t xml:space="preserve">treatments and had a </w:t>
      </w:r>
      <w:r w:rsidR="00D45FD2" w:rsidRPr="006F283B">
        <w:rPr>
          <w:color w:val="auto"/>
        </w:rPr>
        <w:t xml:space="preserve">wide </w:t>
      </w:r>
      <w:r w:rsidRPr="006F283B">
        <w:rPr>
          <w:color w:val="auto"/>
        </w:rPr>
        <w:t xml:space="preserve">95% confidence interval, indicating a high level of uncertainty. The </w:t>
      </w:r>
      <w:r w:rsidR="00D45FD2" w:rsidRPr="006F283B">
        <w:rPr>
          <w:color w:val="auto"/>
        </w:rPr>
        <w:t>HR</w:t>
      </w:r>
      <w:r w:rsidRPr="006F283B">
        <w:rPr>
          <w:color w:val="auto"/>
        </w:rPr>
        <w:t xml:space="preserve"> in the HRD positive </w:t>
      </w:r>
      <w:r w:rsidR="001152C0" w:rsidRPr="001152C0">
        <w:rPr>
          <w:i/>
          <w:iCs/>
          <w:color w:val="auto"/>
        </w:rPr>
        <w:t>BRCAwt</w:t>
      </w:r>
      <w:r w:rsidRPr="006F283B">
        <w:rPr>
          <w:color w:val="auto"/>
        </w:rPr>
        <w:t xml:space="preserve"> subgroup was numerically better than for the ITT population (0.70, 95%CI 0.44-1.11</w:t>
      </w:r>
      <w:r w:rsidR="00D45FD2" w:rsidRPr="006F283B">
        <w:rPr>
          <w:color w:val="auto"/>
        </w:rPr>
        <w:t>)</w:t>
      </w:r>
      <w:r w:rsidR="00F30289">
        <w:rPr>
          <w:rStyle w:val="FootnoteReference"/>
          <w:color w:val="auto"/>
        </w:rPr>
        <w:footnoteReference w:id="4"/>
      </w:r>
      <w:r w:rsidRPr="006F283B">
        <w:rPr>
          <w:color w:val="auto"/>
        </w:rPr>
        <w:t xml:space="preserve">. </w:t>
      </w:r>
    </w:p>
    <w:p w14:paraId="131FB352" w14:textId="6490E0A6" w:rsidR="00843998" w:rsidRPr="006F283B" w:rsidRDefault="00330AF9" w:rsidP="004E1A24">
      <w:pPr>
        <w:pStyle w:val="ListParagraph"/>
        <w:spacing w:before="0" w:after="120"/>
        <w:rPr>
          <w:color w:val="auto"/>
        </w:rPr>
      </w:pPr>
      <w:r w:rsidRPr="006F283B">
        <w:rPr>
          <w:color w:val="auto"/>
        </w:rPr>
        <w:t>F</w:t>
      </w:r>
      <w:r w:rsidR="00FE2C8A" w:rsidRPr="006F283B">
        <w:rPr>
          <w:color w:val="auto"/>
        </w:rPr>
        <w:t xml:space="preserve">or </w:t>
      </w:r>
      <w:r w:rsidR="00843998" w:rsidRPr="006F283B">
        <w:rPr>
          <w:color w:val="auto"/>
        </w:rPr>
        <w:t>the HRD negative subgroup, an OS HR = 0.51 (95% CI: 0.271, 0.973, p=0.0376) over a median follow-up of 14.8 months in the niraparib arm and 15.2 months in the placebo arm months was reported at the May 2019 DCO. At primary analysis, only 13.0% of niraparib patient</w:t>
      </w:r>
      <w:r w:rsidR="00FE2C8A" w:rsidRPr="006F283B">
        <w:rPr>
          <w:color w:val="auto"/>
        </w:rPr>
        <w:t>s</w:t>
      </w:r>
      <w:r w:rsidR="00843998" w:rsidRPr="006F283B">
        <w:rPr>
          <w:color w:val="auto"/>
        </w:rPr>
        <w:t xml:space="preserve"> and 21.3% of placebo patients had experienced an event. This information was used to inform the outcome of false positive patients treated in the economic model</w:t>
      </w:r>
      <w:r w:rsidR="00F30289">
        <w:rPr>
          <w:rStyle w:val="FootnoteReference"/>
          <w:color w:val="auto"/>
        </w:rPr>
        <w:footnoteReference w:id="5"/>
      </w:r>
      <w:r w:rsidR="00843998" w:rsidRPr="006F283B">
        <w:rPr>
          <w:color w:val="auto"/>
        </w:rPr>
        <w:t>.</w:t>
      </w:r>
    </w:p>
    <w:p w14:paraId="422F1B91" w14:textId="6F1A9EA6" w:rsidR="00843998" w:rsidRPr="006F283B" w:rsidRDefault="00843998" w:rsidP="004E1A24">
      <w:pPr>
        <w:pStyle w:val="ListParagraph"/>
        <w:spacing w:before="0" w:after="120"/>
        <w:rPr>
          <w:color w:val="auto"/>
        </w:rPr>
      </w:pPr>
      <w:r w:rsidRPr="006F283B">
        <w:rPr>
          <w:color w:val="auto"/>
        </w:rPr>
        <w:t xml:space="preserve">While health-related quality of life data was collected in PRIMA, no results by HRD or </w:t>
      </w:r>
      <w:r w:rsidR="001152C0" w:rsidRPr="001152C0">
        <w:rPr>
          <w:i/>
          <w:iCs/>
          <w:color w:val="auto"/>
        </w:rPr>
        <w:t xml:space="preserve">BRCA </w:t>
      </w:r>
      <w:r w:rsidRPr="006F283B">
        <w:rPr>
          <w:color w:val="auto"/>
        </w:rPr>
        <w:t xml:space="preserve">status subgroups was presented in the submission. </w:t>
      </w:r>
    </w:p>
    <w:p w14:paraId="1712BA95" w14:textId="5924702A" w:rsidR="003B108D" w:rsidRPr="006F283B" w:rsidRDefault="00952AD6" w:rsidP="006B0D16">
      <w:pPr>
        <w:spacing w:after="120"/>
        <w:rPr>
          <w:b/>
          <w:bCs/>
        </w:rPr>
      </w:pPr>
      <w:r w:rsidRPr="006F283B">
        <w:rPr>
          <w:b/>
          <w:bCs/>
        </w:rPr>
        <w:t>Niraparib vs olaparib</w:t>
      </w:r>
    </w:p>
    <w:p w14:paraId="24416E28" w14:textId="6EA35FE7" w:rsidR="00843998" w:rsidRPr="006F283B" w:rsidRDefault="00D45FD2" w:rsidP="004E1A24">
      <w:pPr>
        <w:pStyle w:val="ListParagraph"/>
        <w:spacing w:before="0" w:after="120"/>
        <w:rPr>
          <w:color w:val="auto"/>
        </w:rPr>
      </w:pPr>
      <w:r w:rsidRPr="006F283B">
        <w:t>For the</w:t>
      </w:r>
      <w:r w:rsidR="00F23451" w:rsidRPr="006F283B">
        <w:t xml:space="preserve"> comparison against the near market comparator olaparib, </w:t>
      </w:r>
      <w:r w:rsidR="00843998" w:rsidRPr="006F283B">
        <w:t xml:space="preserve">the submission presented an unanchored side-by-side comparison of niraparib (from PRIMA) with olaparib + bevacizumab (from PAOLA-1), and a population adjusted indirect comparison (PAIC) of HRD positive patients from PRIMA and PAOLA-1 (Hettle 2021). </w:t>
      </w:r>
    </w:p>
    <w:p w14:paraId="7D2BBE42" w14:textId="1A8D6384" w:rsidR="00843998" w:rsidRPr="006F283B" w:rsidRDefault="00843998" w:rsidP="004E1A24">
      <w:pPr>
        <w:pStyle w:val="ListParagraph"/>
        <w:spacing w:before="0" w:after="120"/>
        <w:rPr>
          <w:color w:val="auto"/>
        </w:rPr>
      </w:pPr>
      <w:r w:rsidRPr="006F283B">
        <w:rPr>
          <w:color w:val="auto"/>
        </w:rPr>
        <w:t>As PRIMA excluded Stage III R0 post PDS patients, similar results excluding stage III R0 post PDS patients from PAOLA-1 from Harter 2021</w:t>
      </w:r>
      <w:r w:rsidR="006C46C4" w:rsidRPr="006F283B">
        <w:rPr>
          <w:rStyle w:val="FootnoteReference"/>
          <w:color w:val="auto"/>
        </w:rPr>
        <w:footnoteReference w:id="6"/>
      </w:r>
      <w:r w:rsidRPr="006F283B">
        <w:rPr>
          <w:color w:val="auto"/>
        </w:rPr>
        <w:t xml:space="preserve"> </w:t>
      </w:r>
      <w:r w:rsidR="004E09B8" w:rsidRPr="006F283B">
        <w:rPr>
          <w:color w:val="auto"/>
        </w:rPr>
        <w:t xml:space="preserve">were </w:t>
      </w:r>
      <w:r w:rsidRPr="006F283B">
        <w:rPr>
          <w:color w:val="auto"/>
        </w:rPr>
        <w:t>used in the unanchored side</w:t>
      </w:r>
      <w:r w:rsidRPr="006F283B">
        <w:rPr>
          <w:color w:val="auto"/>
        </w:rPr>
        <w:noBreakHyphen/>
        <w:t>by</w:t>
      </w:r>
      <w:r w:rsidRPr="006F283B">
        <w:rPr>
          <w:color w:val="auto"/>
        </w:rPr>
        <w:noBreakHyphen/>
        <w:t xml:space="preserve">side comparison. The submission claimed that in the HRD positive </w:t>
      </w:r>
      <w:r w:rsidR="001152C0" w:rsidRPr="001152C0">
        <w:rPr>
          <w:i/>
          <w:iCs/>
          <w:color w:val="auto"/>
        </w:rPr>
        <w:t>BRCAwt</w:t>
      </w:r>
      <w:r w:rsidRPr="006F283B">
        <w:rPr>
          <w:color w:val="auto"/>
        </w:rPr>
        <w:t xml:space="preserve"> subgroup, the median INV PFS was similar for niraparib (19.4 months) and olaparib + bevacizumab (20.3 months) when patients with stage III R0 PDS were excluded</w:t>
      </w:r>
      <w:r w:rsidR="00952AD6" w:rsidRPr="006F283B">
        <w:rPr>
          <w:color w:val="auto"/>
        </w:rPr>
        <w:t xml:space="preserve"> (</w:t>
      </w:r>
      <w:r w:rsidR="00952AD6" w:rsidRPr="006F283B">
        <w:rPr>
          <w:color w:val="auto"/>
        </w:rPr>
        <w:fldChar w:fldCharType="begin" w:fldLock="1"/>
      </w:r>
      <w:r w:rsidR="00952AD6" w:rsidRPr="006F283B">
        <w:rPr>
          <w:color w:val="auto"/>
        </w:rPr>
        <w:instrText xml:space="preserve"> REF _Ref130486097 \h </w:instrText>
      </w:r>
      <w:r w:rsidR="00952AD6" w:rsidRPr="006F283B">
        <w:rPr>
          <w:color w:val="auto"/>
        </w:rPr>
      </w:r>
      <w:r w:rsidR="00952AD6" w:rsidRPr="006F283B">
        <w:rPr>
          <w:color w:val="auto"/>
        </w:rPr>
        <w:fldChar w:fldCharType="separate"/>
      </w:r>
      <w:r w:rsidR="00305654" w:rsidRPr="006F283B">
        <w:t xml:space="preserve">Table </w:t>
      </w:r>
      <w:r w:rsidR="00305654">
        <w:rPr>
          <w:noProof/>
        </w:rPr>
        <w:t>9</w:t>
      </w:r>
      <w:r w:rsidR="00952AD6" w:rsidRPr="006F283B">
        <w:rPr>
          <w:color w:val="auto"/>
        </w:rPr>
        <w:fldChar w:fldCharType="end"/>
      </w:r>
      <w:r w:rsidR="00952AD6" w:rsidRPr="006F283B">
        <w:rPr>
          <w:color w:val="auto"/>
        </w:rPr>
        <w:t>)</w:t>
      </w:r>
      <w:r w:rsidRPr="006F283B">
        <w:rPr>
          <w:color w:val="auto"/>
        </w:rPr>
        <w:t xml:space="preserve">. </w:t>
      </w:r>
    </w:p>
    <w:p w14:paraId="122EDFFE" w14:textId="750E72F0" w:rsidR="00843998" w:rsidRPr="006F283B" w:rsidRDefault="00843998" w:rsidP="004E1A24">
      <w:pPr>
        <w:pStyle w:val="ListParagraph"/>
        <w:spacing w:before="0" w:after="120"/>
        <w:rPr>
          <w:iCs/>
          <w:color w:val="auto"/>
        </w:rPr>
      </w:pPr>
      <w:bookmarkStart w:id="85" w:name="_Ref130486345"/>
      <w:r w:rsidRPr="006F283B">
        <w:rPr>
          <w:color w:val="auto"/>
        </w:rPr>
        <w:t>Unanchored side by side comparisons between single arms of the PRIMA and PAOLA</w:t>
      </w:r>
      <w:r w:rsidR="006C0B1C" w:rsidRPr="006F283B">
        <w:rPr>
          <w:color w:val="auto"/>
        </w:rPr>
        <w:noBreakHyphen/>
      </w:r>
      <w:r w:rsidRPr="006F283B">
        <w:rPr>
          <w:color w:val="auto"/>
        </w:rPr>
        <w:t>1 trials should be considered as highly uncertain due to lack of adjustment for confounding factors and multiple sources of heterogeneity between trials. The PFS HR between the two trials could not be used in a comparison as the control arm in both trials (placebo in PRIMA and bevacizumab in PAOLA-1) differed.</w:t>
      </w:r>
      <w:r w:rsidRPr="006F283B">
        <w:rPr>
          <w:iCs/>
          <w:color w:val="auto"/>
        </w:rPr>
        <w:t xml:space="preserve"> </w:t>
      </w:r>
      <w:r w:rsidRPr="006F283B">
        <w:rPr>
          <w:color w:val="auto"/>
        </w:rPr>
        <w:t>OS HR was not statistically significantly different between the PARP inhibitor arm and the control arm in either PRIMA or PAOLA-1</w:t>
      </w:r>
      <w:r w:rsidR="00982F0F" w:rsidRPr="006F283B">
        <w:rPr>
          <w:color w:val="auto"/>
        </w:rPr>
        <w:t xml:space="preserve"> (</w:t>
      </w:r>
      <w:r w:rsidR="00982F0F" w:rsidRPr="006F283B">
        <w:rPr>
          <w:color w:val="auto"/>
        </w:rPr>
        <w:fldChar w:fldCharType="begin" w:fldLock="1"/>
      </w:r>
      <w:r w:rsidR="00982F0F" w:rsidRPr="006F283B">
        <w:rPr>
          <w:color w:val="auto"/>
        </w:rPr>
        <w:instrText xml:space="preserve"> REF _Ref130487022 \h </w:instrText>
      </w:r>
      <w:r w:rsidR="00982F0F" w:rsidRPr="006F283B">
        <w:rPr>
          <w:color w:val="auto"/>
        </w:rPr>
      </w:r>
      <w:r w:rsidR="00982F0F" w:rsidRPr="006F283B">
        <w:rPr>
          <w:color w:val="auto"/>
        </w:rPr>
        <w:fldChar w:fldCharType="separate"/>
      </w:r>
      <w:r w:rsidR="00305654" w:rsidRPr="006F283B">
        <w:t xml:space="preserve">Table </w:t>
      </w:r>
      <w:r w:rsidR="00305654">
        <w:rPr>
          <w:noProof/>
        </w:rPr>
        <w:t>10</w:t>
      </w:r>
      <w:r w:rsidR="00982F0F" w:rsidRPr="006F283B">
        <w:rPr>
          <w:color w:val="auto"/>
        </w:rPr>
        <w:fldChar w:fldCharType="end"/>
      </w:r>
      <w:r w:rsidR="00982F0F" w:rsidRPr="006F283B">
        <w:rPr>
          <w:color w:val="auto"/>
        </w:rPr>
        <w:t>)</w:t>
      </w:r>
      <w:r w:rsidRPr="006F283B">
        <w:rPr>
          <w:color w:val="auto"/>
        </w:rPr>
        <w:t>.</w:t>
      </w:r>
      <w:bookmarkEnd w:id="85"/>
    </w:p>
    <w:p w14:paraId="6BC0F581" w14:textId="54F5811C" w:rsidR="00D95C2B" w:rsidRPr="006F283B" w:rsidRDefault="00330AF9" w:rsidP="00593A64">
      <w:pPr>
        <w:pStyle w:val="Caption"/>
      </w:pPr>
      <w:bookmarkStart w:id="86" w:name="_Ref130486097"/>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9</w:t>
      </w:r>
      <w:r w:rsidR="00091054">
        <w:rPr>
          <w:noProof/>
        </w:rPr>
        <w:fldChar w:fldCharType="end"/>
      </w:r>
      <w:bookmarkEnd w:id="86"/>
      <w:r w:rsidR="004E1A24">
        <w:t xml:space="preserve">: </w:t>
      </w:r>
      <w:r w:rsidR="00D95C2B" w:rsidRPr="006F283B">
        <w:t xml:space="preserve">Results from individual trials for PFS per INV </w:t>
      </w:r>
    </w:p>
    <w:tbl>
      <w:tblPr>
        <w:tblStyle w:val="newstyle12"/>
        <w:tblW w:w="5000" w:type="pct"/>
        <w:tblCellMar>
          <w:left w:w="28" w:type="dxa"/>
          <w:right w:w="28" w:type="dxa"/>
        </w:tblCellMar>
        <w:tblLook w:val="04A0" w:firstRow="1" w:lastRow="0" w:firstColumn="1" w:lastColumn="0" w:noHBand="0" w:noVBand="1"/>
      </w:tblPr>
      <w:tblGrid>
        <w:gridCol w:w="738"/>
        <w:gridCol w:w="1021"/>
        <w:gridCol w:w="838"/>
        <w:gridCol w:w="16"/>
        <w:gridCol w:w="857"/>
        <w:gridCol w:w="857"/>
        <w:gridCol w:w="858"/>
        <w:gridCol w:w="927"/>
        <w:gridCol w:w="934"/>
        <w:gridCol w:w="985"/>
        <w:gridCol w:w="985"/>
      </w:tblGrid>
      <w:tr w:rsidR="00D95C2B" w:rsidRPr="006F283B" w14:paraId="3D549248" w14:textId="77777777" w:rsidTr="00372EA1">
        <w:trPr>
          <w:tblHeader/>
        </w:trPr>
        <w:tc>
          <w:tcPr>
            <w:tcW w:w="976" w:type="pct"/>
            <w:gridSpan w:val="2"/>
            <w:vMerge w:val="restart"/>
            <w:shd w:val="clear" w:color="auto" w:fill="auto"/>
            <w:vAlign w:val="center"/>
          </w:tcPr>
          <w:p w14:paraId="64974475" w14:textId="77777777" w:rsidR="00D95C2B" w:rsidRPr="006F283B" w:rsidRDefault="00D95C2B" w:rsidP="00372EA1">
            <w:pPr>
              <w:keepNext/>
              <w:keepLines/>
              <w:spacing w:before="0"/>
              <w:jc w:val="left"/>
              <w:rPr>
                <w:b/>
                <w:bCs/>
                <w:sz w:val="20"/>
                <w:szCs w:val="20"/>
                <w:lang w:val="en-AU"/>
              </w:rPr>
            </w:pPr>
            <w:r w:rsidRPr="006F283B">
              <w:rPr>
                <w:b/>
                <w:bCs/>
                <w:sz w:val="20"/>
                <w:szCs w:val="20"/>
                <w:lang w:val="en-AU"/>
              </w:rPr>
              <w:t>PFS per INV</w:t>
            </w:r>
          </w:p>
        </w:tc>
        <w:tc>
          <w:tcPr>
            <w:tcW w:w="1899" w:type="pct"/>
            <w:gridSpan w:val="5"/>
            <w:shd w:val="clear" w:color="auto" w:fill="auto"/>
            <w:vAlign w:val="center"/>
          </w:tcPr>
          <w:p w14:paraId="1A2A1A3E"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PRIMA</w:t>
            </w:r>
          </w:p>
        </w:tc>
        <w:tc>
          <w:tcPr>
            <w:tcW w:w="2125" w:type="pct"/>
            <w:gridSpan w:val="4"/>
            <w:shd w:val="clear" w:color="auto" w:fill="auto"/>
            <w:vAlign w:val="center"/>
          </w:tcPr>
          <w:p w14:paraId="5C3D78EA"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PAOLA-1</w:t>
            </w:r>
          </w:p>
        </w:tc>
      </w:tr>
      <w:tr w:rsidR="00D95C2B" w:rsidRPr="006F283B" w14:paraId="611B4D76" w14:textId="77777777" w:rsidTr="00372EA1">
        <w:trPr>
          <w:tblHeader/>
        </w:trPr>
        <w:tc>
          <w:tcPr>
            <w:tcW w:w="976" w:type="pct"/>
            <w:gridSpan w:val="2"/>
            <w:vMerge/>
            <w:shd w:val="clear" w:color="auto" w:fill="D9D9D9"/>
            <w:vAlign w:val="center"/>
          </w:tcPr>
          <w:p w14:paraId="707CB5DC" w14:textId="77777777" w:rsidR="00D95C2B" w:rsidRPr="006F283B" w:rsidRDefault="00D95C2B" w:rsidP="00372EA1">
            <w:pPr>
              <w:keepNext/>
              <w:keepLines/>
              <w:spacing w:before="0"/>
              <w:jc w:val="left"/>
              <w:rPr>
                <w:sz w:val="20"/>
                <w:szCs w:val="20"/>
                <w:lang w:val="en-AU"/>
              </w:rPr>
            </w:pPr>
          </w:p>
        </w:tc>
        <w:tc>
          <w:tcPr>
            <w:tcW w:w="949" w:type="pct"/>
            <w:gridSpan w:val="3"/>
            <w:shd w:val="clear" w:color="auto" w:fill="auto"/>
            <w:vAlign w:val="center"/>
          </w:tcPr>
          <w:p w14:paraId="7B59B3BA"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(DCO: 17/5/19)</w:t>
            </w:r>
          </w:p>
          <w:p w14:paraId="3B50DBAF"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Median FU = 13.8 months</w:t>
            </w:r>
          </w:p>
        </w:tc>
        <w:tc>
          <w:tcPr>
            <w:tcW w:w="951" w:type="pct"/>
            <w:gridSpan w:val="2"/>
            <w:shd w:val="clear" w:color="auto" w:fill="auto"/>
            <w:vAlign w:val="center"/>
          </w:tcPr>
          <w:p w14:paraId="28089ED2"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(DCO: 17/11/21)</w:t>
            </w:r>
          </w:p>
          <w:p w14:paraId="6DC19463"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Median FU = 3.5 years</w:t>
            </w:r>
          </w:p>
        </w:tc>
        <w:tc>
          <w:tcPr>
            <w:tcW w:w="1032" w:type="pct"/>
            <w:gridSpan w:val="2"/>
            <w:shd w:val="clear" w:color="auto" w:fill="auto"/>
            <w:vAlign w:val="center"/>
          </w:tcPr>
          <w:p w14:paraId="36667959"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(DCO: 22/3/19)</w:t>
            </w:r>
          </w:p>
          <w:p w14:paraId="144A2E04"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Median FU = 22.9 months</w:t>
            </w:r>
          </w:p>
        </w:tc>
        <w:tc>
          <w:tcPr>
            <w:tcW w:w="1093" w:type="pct"/>
            <w:gridSpan w:val="2"/>
            <w:shd w:val="clear" w:color="auto" w:fill="auto"/>
            <w:vAlign w:val="center"/>
          </w:tcPr>
          <w:p w14:paraId="7CD40B64"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(Excl PDS Stage III R0)</w:t>
            </w:r>
          </w:p>
          <w:p w14:paraId="6DC60784"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Median FU = 22.9 months</w:t>
            </w:r>
          </w:p>
        </w:tc>
      </w:tr>
      <w:tr w:rsidR="00D95C2B" w:rsidRPr="006F283B" w14:paraId="40109DFC" w14:textId="77777777" w:rsidTr="00372EA1">
        <w:trPr>
          <w:tblHeader/>
        </w:trPr>
        <w:tc>
          <w:tcPr>
            <w:tcW w:w="976" w:type="pct"/>
            <w:gridSpan w:val="2"/>
            <w:vMerge/>
            <w:shd w:val="clear" w:color="auto" w:fill="D9D9D9"/>
            <w:vAlign w:val="center"/>
          </w:tcPr>
          <w:p w14:paraId="6F77811B" w14:textId="77777777" w:rsidR="00D95C2B" w:rsidRPr="006F283B" w:rsidRDefault="00D95C2B" w:rsidP="00372EA1">
            <w:pPr>
              <w:keepNext/>
              <w:keepLines/>
              <w:spacing w:before="0"/>
              <w:jc w:val="left"/>
              <w:rPr>
                <w:sz w:val="20"/>
                <w:szCs w:val="20"/>
                <w:lang w:val="en-AU"/>
              </w:rPr>
            </w:pPr>
          </w:p>
        </w:tc>
        <w:tc>
          <w:tcPr>
            <w:tcW w:w="474" w:type="pct"/>
            <w:gridSpan w:val="2"/>
            <w:shd w:val="clear" w:color="auto" w:fill="auto"/>
            <w:vAlign w:val="center"/>
          </w:tcPr>
          <w:p w14:paraId="56A0CF76"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NIRA</w:t>
            </w:r>
          </w:p>
        </w:tc>
        <w:tc>
          <w:tcPr>
            <w:tcW w:w="475" w:type="pct"/>
            <w:shd w:val="clear" w:color="auto" w:fill="auto"/>
            <w:vAlign w:val="center"/>
          </w:tcPr>
          <w:p w14:paraId="7243B602"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PBO</w:t>
            </w:r>
          </w:p>
        </w:tc>
        <w:tc>
          <w:tcPr>
            <w:tcW w:w="475" w:type="pct"/>
            <w:shd w:val="clear" w:color="auto" w:fill="auto"/>
            <w:vAlign w:val="center"/>
          </w:tcPr>
          <w:p w14:paraId="2AAA6A42"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NIRA</w:t>
            </w:r>
          </w:p>
        </w:tc>
        <w:tc>
          <w:tcPr>
            <w:tcW w:w="475" w:type="pct"/>
            <w:shd w:val="clear" w:color="auto" w:fill="auto"/>
            <w:vAlign w:val="center"/>
          </w:tcPr>
          <w:p w14:paraId="66BB1F72"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PBO</w:t>
            </w:r>
          </w:p>
        </w:tc>
        <w:tc>
          <w:tcPr>
            <w:tcW w:w="514" w:type="pct"/>
            <w:shd w:val="clear" w:color="auto" w:fill="auto"/>
            <w:vAlign w:val="center"/>
          </w:tcPr>
          <w:p w14:paraId="33B23E78"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OLA/BEVA</w:t>
            </w:r>
          </w:p>
        </w:tc>
        <w:tc>
          <w:tcPr>
            <w:tcW w:w="518" w:type="pct"/>
            <w:shd w:val="clear" w:color="auto" w:fill="auto"/>
            <w:vAlign w:val="center"/>
          </w:tcPr>
          <w:p w14:paraId="58134434"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PBO/BEVA</w:t>
            </w:r>
          </w:p>
        </w:tc>
        <w:tc>
          <w:tcPr>
            <w:tcW w:w="546" w:type="pct"/>
            <w:shd w:val="clear" w:color="auto" w:fill="auto"/>
            <w:vAlign w:val="center"/>
          </w:tcPr>
          <w:p w14:paraId="762C6B16"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OLA/BEVA</w:t>
            </w:r>
          </w:p>
        </w:tc>
        <w:tc>
          <w:tcPr>
            <w:tcW w:w="546" w:type="pct"/>
            <w:shd w:val="clear" w:color="auto" w:fill="auto"/>
            <w:vAlign w:val="center"/>
          </w:tcPr>
          <w:p w14:paraId="21150FEC" w14:textId="77777777" w:rsidR="00D95C2B" w:rsidRPr="006F283B" w:rsidRDefault="00D95C2B" w:rsidP="00372EA1">
            <w:pPr>
              <w:keepNext/>
              <w:keepLines/>
              <w:spacing w:before="0"/>
              <w:jc w:val="center"/>
              <w:rPr>
                <w:b/>
                <w:bCs/>
                <w:sz w:val="20"/>
                <w:szCs w:val="20"/>
                <w:lang w:val="en-AU"/>
              </w:rPr>
            </w:pPr>
            <w:r w:rsidRPr="006F283B">
              <w:rPr>
                <w:b/>
                <w:bCs/>
                <w:sz w:val="20"/>
                <w:szCs w:val="20"/>
                <w:lang w:val="en-AU"/>
              </w:rPr>
              <w:t>PBO/BEVA</w:t>
            </w:r>
          </w:p>
        </w:tc>
      </w:tr>
      <w:tr w:rsidR="00D95C2B" w:rsidRPr="006F283B" w14:paraId="2D12E6A8" w14:textId="77777777" w:rsidTr="00372EA1">
        <w:tc>
          <w:tcPr>
            <w:tcW w:w="410" w:type="pct"/>
            <w:vMerge w:val="restart"/>
            <w:vAlign w:val="center"/>
          </w:tcPr>
          <w:p w14:paraId="5889B0CD" w14:textId="77777777" w:rsidR="00D95C2B" w:rsidRPr="006F283B" w:rsidRDefault="00D95C2B" w:rsidP="00372EA1">
            <w:pPr>
              <w:keepNext/>
              <w:keepLines/>
              <w:spacing w:before="0"/>
              <w:jc w:val="left"/>
              <w:rPr>
                <w:sz w:val="20"/>
                <w:szCs w:val="20"/>
                <w:lang w:val="en-AU"/>
              </w:rPr>
            </w:pPr>
            <w:r w:rsidRPr="006F283B">
              <w:rPr>
                <w:sz w:val="20"/>
                <w:szCs w:val="20"/>
                <w:lang w:val="en-AU"/>
              </w:rPr>
              <w:t>ITT</w:t>
            </w:r>
          </w:p>
        </w:tc>
        <w:tc>
          <w:tcPr>
            <w:tcW w:w="566" w:type="pct"/>
            <w:vAlign w:val="center"/>
          </w:tcPr>
          <w:p w14:paraId="355083A9" w14:textId="77777777" w:rsidR="00D95C2B" w:rsidRPr="006F283B" w:rsidRDefault="00D95C2B" w:rsidP="00372EA1">
            <w:pPr>
              <w:keepNext/>
              <w:keepLines/>
              <w:spacing w:before="0"/>
              <w:jc w:val="left"/>
              <w:rPr>
                <w:sz w:val="20"/>
                <w:szCs w:val="20"/>
                <w:lang w:val="en-AU"/>
              </w:rPr>
            </w:pPr>
            <w:r w:rsidRPr="006F283B">
              <w:rPr>
                <w:sz w:val="20"/>
                <w:szCs w:val="20"/>
                <w:lang w:val="en-AU"/>
              </w:rPr>
              <w:t>Events/N</w:t>
            </w:r>
          </w:p>
        </w:tc>
        <w:tc>
          <w:tcPr>
            <w:tcW w:w="474" w:type="pct"/>
            <w:gridSpan w:val="2"/>
            <w:vAlign w:val="center"/>
          </w:tcPr>
          <w:p w14:paraId="6CD7C667" w14:textId="77777777" w:rsidR="00D95C2B" w:rsidRPr="006F283B" w:rsidRDefault="00D95C2B" w:rsidP="00372EA1">
            <w:pPr>
              <w:keepNext/>
              <w:keepLines/>
              <w:spacing w:before="0"/>
              <w:jc w:val="center"/>
              <w:rPr>
                <w:sz w:val="20"/>
                <w:szCs w:val="20"/>
                <w:lang w:val="en-AU"/>
              </w:rPr>
            </w:pPr>
            <w:r w:rsidRPr="006F283B">
              <w:rPr>
                <w:sz w:val="20"/>
                <w:szCs w:val="20"/>
                <w:lang w:val="en-AU"/>
              </w:rPr>
              <w:t>255/487</w:t>
            </w:r>
          </w:p>
        </w:tc>
        <w:tc>
          <w:tcPr>
            <w:tcW w:w="475" w:type="pct"/>
            <w:vAlign w:val="center"/>
          </w:tcPr>
          <w:p w14:paraId="2CE35FB8" w14:textId="77777777" w:rsidR="00D95C2B" w:rsidRPr="006F283B" w:rsidRDefault="00D95C2B" w:rsidP="00372EA1">
            <w:pPr>
              <w:keepNext/>
              <w:keepLines/>
              <w:spacing w:before="0"/>
              <w:jc w:val="center"/>
              <w:rPr>
                <w:sz w:val="20"/>
                <w:szCs w:val="20"/>
                <w:lang w:val="en-AU"/>
              </w:rPr>
            </w:pPr>
            <w:r w:rsidRPr="006F283B">
              <w:rPr>
                <w:sz w:val="20"/>
                <w:szCs w:val="20"/>
                <w:lang w:val="en-AU"/>
              </w:rPr>
              <w:t>166/246</w:t>
            </w:r>
          </w:p>
        </w:tc>
        <w:tc>
          <w:tcPr>
            <w:tcW w:w="475" w:type="pct"/>
            <w:vAlign w:val="center"/>
          </w:tcPr>
          <w:p w14:paraId="29DBEAE4" w14:textId="77777777" w:rsidR="00D95C2B" w:rsidRPr="006F283B" w:rsidRDefault="00D95C2B" w:rsidP="00372EA1">
            <w:pPr>
              <w:keepNext/>
              <w:keepLines/>
              <w:spacing w:before="0"/>
              <w:jc w:val="center"/>
              <w:rPr>
                <w:sz w:val="20"/>
                <w:szCs w:val="20"/>
                <w:lang w:val="en-AU"/>
              </w:rPr>
            </w:pPr>
            <w:r w:rsidRPr="006F283B">
              <w:rPr>
                <w:sz w:val="20"/>
                <w:szCs w:val="20"/>
                <w:lang w:val="en-AU"/>
              </w:rPr>
              <w:t>332/487</w:t>
            </w:r>
          </w:p>
        </w:tc>
        <w:tc>
          <w:tcPr>
            <w:tcW w:w="475" w:type="pct"/>
            <w:vAlign w:val="center"/>
          </w:tcPr>
          <w:p w14:paraId="74CEE685" w14:textId="77777777" w:rsidR="00D95C2B" w:rsidRPr="006F283B" w:rsidRDefault="00D95C2B" w:rsidP="00372EA1">
            <w:pPr>
              <w:keepNext/>
              <w:keepLines/>
              <w:spacing w:before="0"/>
              <w:jc w:val="center"/>
              <w:rPr>
                <w:sz w:val="20"/>
                <w:szCs w:val="20"/>
                <w:lang w:val="en-AU"/>
              </w:rPr>
            </w:pPr>
            <w:r w:rsidRPr="006F283B">
              <w:rPr>
                <w:sz w:val="20"/>
                <w:szCs w:val="20"/>
                <w:lang w:val="en-AU"/>
              </w:rPr>
              <w:t>199/246</w:t>
            </w:r>
          </w:p>
        </w:tc>
        <w:tc>
          <w:tcPr>
            <w:tcW w:w="514" w:type="pct"/>
            <w:vAlign w:val="center"/>
          </w:tcPr>
          <w:p w14:paraId="406E7746" w14:textId="77777777" w:rsidR="00D95C2B" w:rsidRPr="006F283B" w:rsidRDefault="00D95C2B" w:rsidP="00372EA1">
            <w:pPr>
              <w:keepNext/>
              <w:keepLines/>
              <w:spacing w:before="0"/>
              <w:jc w:val="center"/>
              <w:rPr>
                <w:sz w:val="20"/>
                <w:szCs w:val="20"/>
                <w:lang w:val="en-AU"/>
              </w:rPr>
            </w:pPr>
            <w:r w:rsidRPr="006F283B">
              <w:rPr>
                <w:sz w:val="20"/>
                <w:szCs w:val="20"/>
                <w:lang w:val="en-AU"/>
              </w:rPr>
              <w:t>280/537</w:t>
            </w:r>
          </w:p>
        </w:tc>
        <w:tc>
          <w:tcPr>
            <w:tcW w:w="518" w:type="pct"/>
            <w:vAlign w:val="center"/>
          </w:tcPr>
          <w:p w14:paraId="68E2951D" w14:textId="77777777" w:rsidR="00D95C2B" w:rsidRPr="006F283B" w:rsidRDefault="00D95C2B" w:rsidP="00372EA1">
            <w:pPr>
              <w:keepNext/>
              <w:keepLines/>
              <w:spacing w:before="0"/>
              <w:jc w:val="center"/>
              <w:rPr>
                <w:sz w:val="20"/>
                <w:szCs w:val="20"/>
                <w:lang w:val="en-AU"/>
              </w:rPr>
            </w:pPr>
            <w:r w:rsidRPr="006F283B">
              <w:rPr>
                <w:sz w:val="20"/>
                <w:szCs w:val="20"/>
                <w:lang w:val="en-AU"/>
              </w:rPr>
              <w:t>194/269</w:t>
            </w:r>
          </w:p>
        </w:tc>
        <w:tc>
          <w:tcPr>
            <w:tcW w:w="546" w:type="pct"/>
            <w:shd w:val="clear" w:color="auto" w:fill="auto"/>
            <w:vAlign w:val="center"/>
          </w:tcPr>
          <w:p w14:paraId="577F6DD3" w14:textId="77777777" w:rsidR="00D95C2B" w:rsidRPr="006F283B" w:rsidRDefault="00D95C2B" w:rsidP="00372EA1">
            <w:pPr>
              <w:keepNext/>
              <w:keepLines/>
              <w:spacing w:before="0"/>
              <w:jc w:val="center"/>
              <w:rPr>
                <w:sz w:val="20"/>
                <w:szCs w:val="20"/>
                <w:lang w:val="en-AU"/>
              </w:rPr>
            </w:pPr>
            <w:r w:rsidRPr="006F283B">
              <w:rPr>
                <w:sz w:val="20"/>
                <w:szCs w:val="20"/>
                <w:lang w:val="en-AU"/>
              </w:rPr>
              <w:t>239/399</w:t>
            </w:r>
          </w:p>
        </w:tc>
        <w:tc>
          <w:tcPr>
            <w:tcW w:w="546" w:type="pct"/>
            <w:shd w:val="clear" w:color="auto" w:fill="auto"/>
            <w:vAlign w:val="center"/>
          </w:tcPr>
          <w:p w14:paraId="4EA50DE5" w14:textId="77777777" w:rsidR="00D95C2B" w:rsidRPr="006F283B" w:rsidRDefault="00D95C2B" w:rsidP="00372EA1">
            <w:pPr>
              <w:keepNext/>
              <w:keepLines/>
              <w:spacing w:before="0"/>
              <w:jc w:val="center"/>
              <w:rPr>
                <w:sz w:val="20"/>
                <w:szCs w:val="20"/>
                <w:lang w:val="en-AU"/>
              </w:rPr>
            </w:pPr>
            <w:r w:rsidRPr="006F283B">
              <w:rPr>
                <w:sz w:val="20"/>
                <w:szCs w:val="20"/>
                <w:lang w:val="en-AU"/>
              </w:rPr>
              <w:t>154/196</w:t>
            </w:r>
          </w:p>
        </w:tc>
      </w:tr>
      <w:tr w:rsidR="00D95C2B" w:rsidRPr="006F283B" w14:paraId="455032E4" w14:textId="77777777" w:rsidTr="00372EA1">
        <w:tc>
          <w:tcPr>
            <w:tcW w:w="410" w:type="pct"/>
            <w:vMerge/>
            <w:vAlign w:val="center"/>
          </w:tcPr>
          <w:p w14:paraId="4927740D" w14:textId="77777777" w:rsidR="00D95C2B" w:rsidRPr="006F283B" w:rsidRDefault="00D95C2B" w:rsidP="00372EA1">
            <w:pPr>
              <w:keepNext/>
              <w:keepLines/>
              <w:spacing w:before="0"/>
              <w:jc w:val="left"/>
              <w:rPr>
                <w:sz w:val="20"/>
                <w:szCs w:val="20"/>
                <w:lang w:val="en-AU"/>
              </w:rPr>
            </w:pPr>
          </w:p>
        </w:tc>
        <w:tc>
          <w:tcPr>
            <w:tcW w:w="566" w:type="pct"/>
            <w:vAlign w:val="center"/>
          </w:tcPr>
          <w:p w14:paraId="099BF955" w14:textId="77777777" w:rsidR="00D95C2B" w:rsidRPr="006F283B" w:rsidRDefault="00D95C2B" w:rsidP="00372EA1">
            <w:pPr>
              <w:keepNext/>
              <w:keepLines/>
              <w:spacing w:before="0"/>
              <w:jc w:val="left"/>
              <w:rPr>
                <w:sz w:val="20"/>
                <w:szCs w:val="20"/>
                <w:lang w:val="en-AU"/>
              </w:rPr>
            </w:pPr>
            <w:r w:rsidRPr="006F283B">
              <w:rPr>
                <w:sz w:val="20"/>
                <w:szCs w:val="20"/>
                <w:lang w:val="en-AU"/>
              </w:rPr>
              <w:t>Median, months</w:t>
            </w:r>
          </w:p>
        </w:tc>
        <w:tc>
          <w:tcPr>
            <w:tcW w:w="474" w:type="pct"/>
            <w:gridSpan w:val="2"/>
            <w:vAlign w:val="center"/>
          </w:tcPr>
          <w:p w14:paraId="3FB8E6DB" w14:textId="77777777" w:rsidR="00D95C2B" w:rsidRPr="006F283B" w:rsidRDefault="00D95C2B" w:rsidP="00372EA1">
            <w:pPr>
              <w:keepNext/>
              <w:keepLines/>
              <w:spacing w:before="0"/>
              <w:jc w:val="center"/>
              <w:rPr>
                <w:sz w:val="20"/>
                <w:szCs w:val="20"/>
                <w:lang w:val="en-AU"/>
              </w:rPr>
            </w:pPr>
            <w:r w:rsidRPr="006F283B">
              <w:rPr>
                <w:sz w:val="20"/>
                <w:szCs w:val="20"/>
                <w:lang w:val="en-AU"/>
              </w:rPr>
              <w:t>13.8</w:t>
            </w:r>
          </w:p>
          <w:p w14:paraId="337D2325" w14:textId="77777777" w:rsidR="00D95C2B" w:rsidRPr="006F283B" w:rsidRDefault="00D95C2B" w:rsidP="00372EA1">
            <w:pPr>
              <w:keepNext/>
              <w:keepLines/>
              <w:spacing w:before="0"/>
              <w:jc w:val="center"/>
              <w:rPr>
                <w:sz w:val="20"/>
                <w:szCs w:val="20"/>
                <w:lang w:val="en-AU"/>
              </w:rPr>
            </w:pPr>
            <w:r w:rsidRPr="006F283B">
              <w:rPr>
                <w:sz w:val="20"/>
                <w:szCs w:val="20"/>
                <w:lang w:val="en-AU"/>
              </w:rPr>
              <w:t>(11.3, 14.2)</w:t>
            </w:r>
          </w:p>
        </w:tc>
        <w:tc>
          <w:tcPr>
            <w:tcW w:w="475" w:type="pct"/>
            <w:vAlign w:val="center"/>
          </w:tcPr>
          <w:p w14:paraId="62BA1622" w14:textId="77777777" w:rsidR="00D95C2B" w:rsidRPr="006F283B" w:rsidRDefault="00D95C2B" w:rsidP="00372EA1">
            <w:pPr>
              <w:keepNext/>
              <w:keepLines/>
              <w:spacing w:before="0"/>
              <w:jc w:val="center"/>
              <w:rPr>
                <w:sz w:val="20"/>
                <w:szCs w:val="20"/>
                <w:lang w:val="en-AU"/>
              </w:rPr>
            </w:pPr>
            <w:r w:rsidRPr="006F283B">
              <w:rPr>
                <w:sz w:val="20"/>
                <w:szCs w:val="20"/>
                <w:lang w:val="en-AU"/>
              </w:rPr>
              <w:t>8.2</w:t>
            </w:r>
          </w:p>
          <w:p w14:paraId="17F01270" w14:textId="77777777" w:rsidR="00D95C2B" w:rsidRPr="006F283B" w:rsidRDefault="00D95C2B" w:rsidP="00372EA1">
            <w:pPr>
              <w:keepNext/>
              <w:keepLines/>
              <w:spacing w:before="0"/>
              <w:jc w:val="center"/>
              <w:rPr>
                <w:sz w:val="20"/>
                <w:szCs w:val="20"/>
                <w:lang w:val="en-AU"/>
              </w:rPr>
            </w:pPr>
            <w:r w:rsidRPr="006F283B">
              <w:rPr>
                <w:sz w:val="20"/>
                <w:szCs w:val="20"/>
                <w:lang w:val="en-AU"/>
              </w:rPr>
              <w:t>(7.6, 9.8)</w:t>
            </w:r>
          </w:p>
        </w:tc>
        <w:tc>
          <w:tcPr>
            <w:tcW w:w="475" w:type="pct"/>
            <w:vAlign w:val="center"/>
          </w:tcPr>
          <w:p w14:paraId="6FFFFE5E" w14:textId="77777777" w:rsidR="00D95C2B" w:rsidRPr="006F283B" w:rsidRDefault="00D95C2B" w:rsidP="00372EA1">
            <w:pPr>
              <w:keepNext/>
              <w:keepLines/>
              <w:spacing w:before="0"/>
              <w:jc w:val="center"/>
              <w:rPr>
                <w:sz w:val="20"/>
                <w:szCs w:val="20"/>
                <w:lang w:val="en-AU"/>
              </w:rPr>
            </w:pPr>
            <w:r w:rsidRPr="006F283B">
              <w:rPr>
                <w:sz w:val="20"/>
                <w:szCs w:val="20"/>
                <w:lang w:val="en-AU"/>
              </w:rPr>
              <w:t>13.8</w:t>
            </w:r>
          </w:p>
          <w:p w14:paraId="4ACE5861" w14:textId="77777777" w:rsidR="00D95C2B" w:rsidRPr="006F283B" w:rsidRDefault="00D95C2B" w:rsidP="00372EA1">
            <w:pPr>
              <w:keepNext/>
              <w:keepLines/>
              <w:spacing w:before="0"/>
              <w:jc w:val="center"/>
              <w:rPr>
                <w:sz w:val="20"/>
                <w:szCs w:val="20"/>
                <w:lang w:val="en-AU"/>
              </w:rPr>
            </w:pPr>
            <w:r w:rsidRPr="006F283B">
              <w:rPr>
                <w:sz w:val="20"/>
                <w:szCs w:val="20"/>
                <w:lang w:val="en-AU"/>
              </w:rPr>
              <w:t>(11.9, 16.3)</w:t>
            </w:r>
          </w:p>
        </w:tc>
        <w:tc>
          <w:tcPr>
            <w:tcW w:w="475" w:type="pct"/>
            <w:vAlign w:val="center"/>
          </w:tcPr>
          <w:p w14:paraId="6921615E" w14:textId="77777777" w:rsidR="00D95C2B" w:rsidRPr="006F283B" w:rsidRDefault="00D95C2B" w:rsidP="00372EA1">
            <w:pPr>
              <w:keepNext/>
              <w:keepLines/>
              <w:spacing w:before="0"/>
              <w:jc w:val="center"/>
              <w:rPr>
                <w:sz w:val="20"/>
                <w:szCs w:val="20"/>
                <w:lang w:val="en-AU"/>
              </w:rPr>
            </w:pPr>
            <w:r w:rsidRPr="006F283B">
              <w:rPr>
                <w:sz w:val="20"/>
                <w:szCs w:val="20"/>
                <w:lang w:val="en-AU"/>
              </w:rPr>
              <w:t>8.2</w:t>
            </w:r>
          </w:p>
          <w:p w14:paraId="40A15513" w14:textId="77777777" w:rsidR="00D95C2B" w:rsidRPr="006F283B" w:rsidRDefault="00D95C2B" w:rsidP="00372EA1">
            <w:pPr>
              <w:keepNext/>
              <w:keepLines/>
              <w:spacing w:before="0"/>
              <w:jc w:val="center"/>
              <w:rPr>
                <w:sz w:val="20"/>
                <w:szCs w:val="20"/>
                <w:lang w:val="en-AU"/>
              </w:rPr>
            </w:pPr>
            <w:r w:rsidRPr="006F283B">
              <w:rPr>
                <w:sz w:val="20"/>
                <w:szCs w:val="20"/>
                <w:lang w:val="en-AU"/>
              </w:rPr>
              <w:t>(7.6, 9.8(</w:t>
            </w:r>
          </w:p>
        </w:tc>
        <w:tc>
          <w:tcPr>
            <w:tcW w:w="514" w:type="pct"/>
            <w:vAlign w:val="center"/>
          </w:tcPr>
          <w:p w14:paraId="08499265" w14:textId="77777777" w:rsidR="00D95C2B" w:rsidRPr="006F283B" w:rsidRDefault="00D95C2B" w:rsidP="00372EA1">
            <w:pPr>
              <w:keepNext/>
              <w:keepLines/>
              <w:spacing w:before="0"/>
              <w:jc w:val="center"/>
              <w:rPr>
                <w:sz w:val="20"/>
                <w:szCs w:val="20"/>
                <w:lang w:val="en-AU"/>
              </w:rPr>
            </w:pPr>
            <w:r w:rsidRPr="006F283B">
              <w:rPr>
                <w:sz w:val="20"/>
                <w:szCs w:val="20"/>
                <w:lang w:val="en-AU"/>
              </w:rPr>
              <w:t>22.1</w:t>
            </w:r>
          </w:p>
          <w:p w14:paraId="0981F407" w14:textId="77777777" w:rsidR="00D95C2B" w:rsidRPr="006F283B" w:rsidRDefault="00D95C2B" w:rsidP="00372EA1">
            <w:pPr>
              <w:keepNext/>
              <w:keepLines/>
              <w:spacing w:before="0"/>
              <w:jc w:val="center"/>
              <w:rPr>
                <w:sz w:val="20"/>
                <w:szCs w:val="20"/>
                <w:lang w:val="en-AU"/>
              </w:rPr>
            </w:pPr>
            <w:r w:rsidRPr="006F283B">
              <w:rPr>
                <w:sz w:val="20"/>
                <w:szCs w:val="20"/>
                <w:lang w:val="en-AU"/>
              </w:rPr>
              <w:t>(21.8, 24.1)</w:t>
            </w:r>
          </w:p>
        </w:tc>
        <w:tc>
          <w:tcPr>
            <w:tcW w:w="518" w:type="pct"/>
            <w:vAlign w:val="center"/>
          </w:tcPr>
          <w:p w14:paraId="597B6105" w14:textId="77777777" w:rsidR="00D95C2B" w:rsidRPr="006F283B" w:rsidRDefault="00D95C2B" w:rsidP="00372EA1">
            <w:pPr>
              <w:keepNext/>
              <w:keepLines/>
              <w:spacing w:before="0"/>
              <w:jc w:val="center"/>
              <w:rPr>
                <w:sz w:val="20"/>
                <w:szCs w:val="20"/>
                <w:lang w:val="en-AU"/>
              </w:rPr>
            </w:pPr>
            <w:r w:rsidRPr="006F283B">
              <w:rPr>
                <w:sz w:val="20"/>
                <w:szCs w:val="20"/>
                <w:lang w:val="en-AU"/>
              </w:rPr>
              <w:t>16.6</w:t>
            </w:r>
          </w:p>
          <w:p w14:paraId="6D45EAA9" w14:textId="77777777" w:rsidR="00D95C2B" w:rsidRPr="006F283B" w:rsidRDefault="00D95C2B" w:rsidP="00372EA1">
            <w:pPr>
              <w:keepNext/>
              <w:keepLines/>
              <w:spacing w:before="0"/>
              <w:jc w:val="center"/>
              <w:rPr>
                <w:sz w:val="20"/>
                <w:szCs w:val="20"/>
                <w:lang w:val="en-AU"/>
              </w:rPr>
            </w:pPr>
            <w:r w:rsidRPr="006F283B">
              <w:rPr>
                <w:sz w:val="20"/>
                <w:szCs w:val="20"/>
                <w:lang w:val="en-AU"/>
              </w:rPr>
              <w:t>(15.4, 18.6)</w:t>
            </w:r>
          </w:p>
        </w:tc>
        <w:tc>
          <w:tcPr>
            <w:tcW w:w="546" w:type="pct"/>
            <w:shd w:val="clear" w:color="auto" w:fill="auto"/>
            <w:vAlign w:val="center"/>
          </w:tcPr>
          <w:p w14:paraId="2E483A2D" w14:textId="77777777" w:rsidR="00D95C2B" w:rsidRPr="006F283B" w:rsidRDefault="00D95C2B" w:rsidP="00372EA1">
            <w:pPr>
              <w:keepNext/>
              <w:keepLines/>
              <w:spacing w:before="0"/>
              <w:jc w:val="center"/>
              <w:rPr>
                <w:sz w:val="20"/>
                <w:szCs w:val="20"/>
                <w:lang w:val="en-AU"/>
              </w:rPr>
            </w:pPr>
            <w:r w:rsidRPr="006F283B">
              <w:rPr>
                <w:sz w:val="20"/>
                <w:szCs w:val="20"/>
                <w:lang w:val="en-AU"/>
              </w:rPr>
              <w:t>20.3 (NR)</w:t>
            </w:r>
          </w:p>
        </w:tc>
        <w:tc>
          <w:tcPr>
            <w:tcW w:w="546" w:type="pct"/>
            <w:shd w:val="clear" w:color="auto" w:fill="auto"/>
            <w:vAlign w:val="center"/>
          </w:tcPr>
          <w:p w14:paraId="23EC8FAA" w14:textId="77777777" w:rsidR="00D95C2B" w:rsidRPr="006F283B" w:rsidRDefault="00D95C2B" w:rsidP="00372EA1">
            <w:pPr>
              <w:keepNext/>
              <w:keepLines/>
              <w:spacing w:before="0"/>
              <w:jc w:val="center"/>
              <w:rPr>
                <w:sz w:val="20"/>
                <w:szCs w:val="20"/>
                <w:lang w:val="en-AU"/>
              </w:rPr>
            </w:pPr>
            <w:r w:rsidRPr="006F283B">
              <w:rPr>
                <w:sz w:val="20"/>
                <w:szCs w:val="20"/>
                <w:lang w:val="en-AU"/>
              </w:rPr>
              <w:t>14.7 (NR)</w:t>
            </w:r>
          </w:p>
        </w:tc>
      </w:tr>
      <w:tr w:rsidR="00D95C2B" w:rsidRPr="006F283B" w14:paraId="7FB48854" w14:textId="77777777" w:rsidTr="00372EA1">
        <w:tc>
          <w:tcPr>
            <w:tcW w:w="410" w:type="pct"/>
            <w:vMerge/>
            <w:vAlign w:val="center"/>
          </w:tcPr>
          <w:p w14:paraId="30BD2F45" w14:textId="77777777" w:rsidR="00D95C2B" w:rsidRPr="006F283B" w:rsidRDefault="00D95C2B" w:rsidP="00372EA1">
            <w:pPr>
              <w:keepNext/>
              <w:keepLines/>
              <w:spacing w:before="0"/>
              <w:jc w:val="left"/>
              <w:rPr>
                <w:sz w:val="20"/>
                <w:szCs w:val="20"/>
                <w:lang w:val="en-AU"/>
              </w:rPr>
            </w:pPr>
          </w:p>
        </w:tc>
        <w:tc>
          <w:tcPr>
            <w:tcW w:w="566" w:type="pct"/>
            <w:vAlign w:val="center"/>
          </w:tcPr>
          <w:p w14:paraId="64CB26C2" w14:textId="77777777" w:rsidR="00D95C2B" w:rsidRPr="006F283B" w:rsidRDefault="00D95C2B" w:rsidP="00372EA1">
            <w:pPr>
              <w:keepNext/>
              <w:keepLines/>
              <w:spacing w:before="0"/>
              <w:jc w:val="left"/>
              <w:rPr>
                <w:sz w:val="20"/>
                <w:szCs w:val="20"/>
                <w:lang w:val="en-AU"/>
              </w:rPr>
            </w:pPr>
            <w:r w:rsidRPr="006F283B">
              <w:rPr>
                <w:sz w:val="20"/>
                <w:szCs w:val="20"/>
                <w:lang w:val="en-AU"/>
              </w:rPr>
              <w:t>HR (95% CI)</w:t>
            </w:r>
          </w:p>
        </w:tc>
        <w:tc>
          <w:tcPr>
            <w:tcW w:w="949" w:type="pct"/>
            <w:gridSpan w:val="3"/>
            <w:vAlign w:val="center"/>
          </w:tcPr>
          <w:p w14:paraId="609ABF42" w14:textId="77777777" w:rsidR="00D95C2B" w:rsidRPr="006F283B" w:rsidRDefault="00D95C2B" w:rsidP="00372EA1">
            <w:pPr>
              <w:keepNext/>
              <w:keepLines/>
              <w:spacing w:before="0"/>
              <w:jc w:val="center"/>
              <w:rPr>
                <w:sz w:val="20"/>
                <w:szCs w:val="20"/>
                <w:lang w:val="en-AU"/>
              </w:rPr>
            </w:pPr>
            <w:r w:rsidRPr="006F283B">
              <w:rPr>
                <w:sz w:val="20"/>
                <w:szCs w:val="20"/>
                <w:lang w:val="en-AU"/>
              </w:rPr>
              <w:t>0.63 (0.514, 0.763)</w:t>
            </w:r>
          </w:p>
        </w:tc>
        <w:tc>
          <w:tcPr>
            <w:tcW w:w="951" w:type="pct"/>
            <w:gridSpan w:val="2"/>
            <w:vAlign w:val="center"/>
          </w:tcPr>
          <w:p w14:paraId="2BA83E90" w14:textId="77777777" w:rsidR="00D95C2B" w:rsidRPr="006F283B" w:rsidRDefault="00D95C2B" w:rsidP="00372EA1">
            <w:pPr>
              <w:keepNext/>
              <w:keepLines/>
              <w:spacing w:before="0"/>
              <w:jc w:val="center"/>
              <w:rPr>
                <w:sz w:val="20"/>
                <w:szCs w:val="20"/>
                <w:lang w:val="en-AU"/>
              </w:rPr>
            </w:pPr>
            <w:r w:rsidRPr="006F283B">
              <w:rPr>
                <w:sz w:val="20"/>
                <w:szCs w:val="20"/>
                <w:lang w:val="en-AU"/>
              </w:rPr>
              <w:t>0.66 (0.556, 0.792)</w:t>
            </w:r>
          </w:p>
        </w:tc>
        <w:tc>
          <w:tcPr>
            <w:tcW w:w="1032" w:type="pct"/>
            <w:gridSpan w:val="2"/>
            <w:vAlign w:val="center"/>
          </w:tcPr>
          <w:p w14:paraId="7074F041" w14:textId="77777777" w:rsidR="00D95C2B" w:rsidRPr="006F283B" w:rsidRDefault="00D95C2B" w:rsidP="00372EA1">
            <w:pPr>
              <w:keepNext/>
              <w:keepLines/>
              <w:spacing w:before="0"/>
              <w:jc w:val="center"/>
              <w:rPr>
                <w:sz w:val="20"/>
                <w:szCs w:val="20"/>
                <w:lang w:val="en-AU"/>
              </w:rPr>
            </w:pPr>
            <w:r w:rsidRPr="006F283B">
              <w:rPr>
                <w:sz w:val="20"/>
                <w:szCs w:val="20"/>
                <w:lang w:val="en-AU"/>
              </w:rPr>
              <w:t>0.59 (0.49, 0.72)</w:t>
            </w:r>
          </w:p>
        </w:tc>
        <w:tc>
          <w:tcPr>
            <w:tcW w:w="1093" w:type="pct"/>
            <w:gridSpan w:val="2"/>
            <w:shd w:val="clear" w:color="auto" w:fill="auto"/>
            <w:vAlign w:val="center"/>
          </w:tcPr>
          <w:p w14:paraId="5131D490" w14:textId="77777777" w:rsidR="00D95C2B" w:rsidRPr="006F283B" w:rsidRDefault="00D95C2B" w:rsidP="00372EA1">
            <w:pPr>
              <w:keepNext/>
              <w:keepLines/>
              <w:spacing w:before="0"/>
              <w:jc w:val="center"/>
              <w:rPr>
                <w:sz w:val="20"/>
                <w:szCs w:val="20"/>
                <w:lang w:val="en-AU"/>
              </w:rPr>
            </w:pPr>
            <w:r w:rsidRPr="006F283B">
              <w:rPr>
                <w:sz w:val="20"/>
                <w:szCs w:val="20"/>
                <w:lang w:val="en-AU"/>
              </w:rPr>
              <w:t>0.60 (0.49, 0.74)</w:t>
            </w:r>
          </w:p>
        </w:tc>
      </w:tr>
      <w:tr w:rsidR="00D95C2B" w:rsidRPr="006F283B" w14:paraId="4223E52E" w14:textId="77777777" w:rsidTr="00372EA1">
        <w:tc>
          <w:tcPr>
            <w:tcW w:w="410" w:type="pct"/>
            <w:vMerge w:val="restart"/>
            <w:vAlign w:val="center"/>
          </w:tcPr>
          <w:p w14:paraId="4BDEED8F" w14:textId="75A32195" w:rsidR="00D95C2B" w:rsidRPr="006F283B" w:rsidRDefault="007B562D" w:rsidP="00372EA1">
            <w:pPr>
              <w:keepNext/>
              <w:keepLines/>
              <w:spacing w:before="0"/>
              <w:jc w:val="left"/>
              <w:rPr>
                <w:sz w:val="20"/>
                <w:szCs w:val="20"/>
                <w:lang w:val="en-AU"/>
              </w:rPr>
            </w:pPr>
            <w:r>
              <w:rPr>
                <w:sz w:val="20"/>
                <w:szCs w:val="20"/>
                <w:lang w:val="en-AU"/>
              </w:rPr>
              <w:t>HRD positive</w:t>
            </w:r>
          </w:p>
        </w:tc>
        <w:tc>
          <w:tcPr>
            <w:tcW w:w="566" w:type="pct"/>
            <w:vAlign w:val="center"/>
          </w:tcPr>
          <w:p w14:paraId="424C6848" w14:textId="77777777" w:rsidR="00D95C2B" w:rsidRPr="006F283B" w:rsidRDefault="00D95C2B" w:rsidP="00372EA1">
            <w:pPr>
              <w:keepNext/>
              <w:keepLines/>
              <w:spacing w:before="0"/>
              <w:jc w:val="left"/>
              <w:rPr>
                <w:sz w:val="20"/>
                <w:szCs w:val="20"/>
                <w:lang w:val="en-AU"/>
              </w:rPr>
            </w:pPr>
            <w:r w:rsidRPr="006F283B">
              <w:rPr>
                <w:sz w:val="20"/>
                <w:szCs w:val="20"/>
                <w:lang w:val="en-AU"/>
              </w:rPr>
              <w:t>Events/N</w:t>
            </w:r>
          </w:p>
        </w:tc>
        <w:tc>
          <w:tcPr>
            <w:tcW w:w="465" w:type="pct"/>
            <w:vAlign w:val="center"/>
          </w:tcPr>
          <w:p w14:paraId="08496A20" w14:textId="49AB7B42" w:rsidR="00D95C2B" w:rsidRPr="006F283B" w:rsidRDefault="00D95C2B" w:rsidP="00372EA1">
            <w:pPr>
              <w:keepNext/>
              <w:keepLines/>
              <w:spacing w:before="0"/>
              <w:jc w:val="center"/>
              <w:rPr>
                <w:sz w:val="20"/>
                <w:szCs w:val="20"/>
                <w:lang w:val="en-AU"/>
              </w:rPr>
            </w:pPr>
            <w:r w:rsidRPr="006F283B">
              <w:rPr>
                <w:sz w:val="20"/>
                <w:szCs w:val="20"/>
                <w:lang w:val="en-AU"/>
              </w:rPr>
              <w:t>92/247</w:t>
            </w:r>
          </w:p>
        </w:tc>
        <w:tc>
          <w:tcPr>
            <w:tcW w:w="484" w:type="pct"/>
            <w:gridSpan w:val="2"/>
            <w:vAlign w:val="center"/>
          </w:tcPr>
          <w:p w14:paraId="03790A8C" w14:textId="52A47595" w:rsidR="00D95C2B" w:rsidRPr="006F283B" w:rsidRDefault="00D95C2B" w:rsidP="00372EA1">
            <w:pPr>
              <w:keepNext/>
              <w:keepLines/>
              <w:spacing w:before="0"/>
              <w:jc w:val="center"/>
              <w:rPr>
                <w:sz w:val="20"/>
                <w:szCs w:val="20"/>
                <w:lang w:val="en-AU"/>
              </w:rPr>
            </w:pPr>
            <w:r w:rsidRPr="006F283B">
              <w:rPr>
                <w:sz w:val="20"/>
                <w:szCs w:val="20"/>
                <w:lang w:val="en-AU"/>
              </w:rPr>
              <w:t>80/126</w:t>
            </w:r>
          </w:p>
        </w:tc>
        <w:tc>
          <w:tcPr>
            <w:tcW w:w="475" w:type="pct"/>
            <w:vAlign w:val="center"/>
          </w:tcPr>
          <w:p w14:paraId="559643D2" w14:textId="77777777" w:rsidR="00D95C2B" w:rsidRPr="006F283B" w:rsidRDefault="00D95C2B" w:rsidP="00372EA1">
            <w:pPr>
              <w:keepNext/>
              <w:keepLines/>
              <w:spacing w:before="0"/>
              <w:jc w:val="center"/>
              <w:rPr>
                <w:sz w:val="20"/>
                <w:szCs w:val="20"/>
                <w:lang w:val="en-AU"/>
              </w:rPr>
            </w:pPr>
            <w:r w:rsidRPr="006F283B">
              <w:rPr>
                <w:sz w:val="20"/>
                <w:szCs w:val="20"/>
                <w:lang w:val="en-AU"/>
              </w:rPr>
              <w:t>137/247</w:t>
            </w:r>
          </w:p>
        </w:tc>
        <w:tc>
          <w:tcPr>
            <w:tcW w:w="475" w:type="pct"/>
            <w:vAlign w:val="center"/>
          </w:tcPr>
          <w:p w14:paraId="00B4BA84" w14:textId="77777777" w:rsidR="00D95C2B" w:rsidRPr="006F283B" w:rsidRDefault="00D95C2B" w:rsidP="00372EA1">
            <w:pPr>
              <w:keepNext/>
              <w:keepLines/>
              <w:spacing w:before="0"/>
              <w:jc w:val="center"/>
              <w:rPr>
                <w:sz w:val="20"/>
                <w:szCs w:val="20"/>
                <w:lang w:val="en-AU"/>
              </w:rPr>
            </w:pPr>
            <w:r w:rsidRPr="006F283B">
              <w:rPr>
                <w:sz w:val="20"/>
                <w:szCs w:val="20"/>
                <w:lang w:val="en-AU"/>
              </w:rPr>
              <w:t>98/126</w:t>
            </w:r>
          </w:p>
        </w:tc>
        <w:tc>
          <w:tcPr>
            <w:tcW w:w="514" w:type="pct"/>
            <w:vAlign w:val="center"/>
          </w:tcPr>
          <w:p w14:paraId="30640AA8" w14:textId="77777777" w:rsidR="00D95C2B" w:rsidRPr="006F283B" w:rsidRDefault="00D95C2B" w:rsidP="00372EA1">
            <w:pPr>
              <w:keepNext/>
              <w:keepLines/>
              <w:spacing w:before="0"/>
              <w:jc w:val="center"/>
              <w:rPr>
                <w:sz w:val="20"/>
                <w:szCs w:val="20"/>
                <w:lang w:val="en-AU"/>
              </w:rPr>
            </w:pPr>
            <w:r w:rsidRPr="006F283B">
              <w:rPr>
                <w:sz w:val="20"/>
                <w:szCs w:val="20"/>
                <w:lang w:val="en-AU"/>
              </w:rPr>
              <w:t>87/255</w:t>
            </w:r>
          </w:p>
        </w:tc>
        <w:tc>
          <w:tcPr>
            <w:tcW w:w="518" w:type="pct"/>
            <w:vAlign w:val="center"/>
          </w:tcPr>
          <w:p w14:paraId="08F9AB6C" w14:textId="77777777" w:rsidR="00D95C2B" w:rsidRPr="006F283B" w:rsidRDefault="00D95C2B" w:rsidP="00372EA1">
            <w:pPr>
              <w:keepNext/>
              <w:keepLines/>
              <w:spacing w:before="0"/>
              <w:jc w:val="center"/>
              <w:rPr>
                <w:sz w:val="20"/>
                <w:szCs w:val="20"/>
                <w:lang w:val="en-AU"/>
              </w:rPr>
            </w:pPr>
            <w:r w:rsidRPr="006F283B">
              <w:rPr>
                <w:sz w:val="20"/>
                <w:szCs w:val="20"/>
                <w:lang w:val="en-AU"/>
              </w:rPr>
              <w:t>92/132</w:t>
            </w:r>
          </w:p>
        </w:tc>
        <w:tc>
          <w:tcPr>
            <w:tcW w:w="546" w:type="pct"/>
            <w:shd w:val="clear" w:color="auto" w:fill="auto"/>
            <w:vAlign w:val="center"/>
          </w:tcPr>
          <w:p w14:paraId="6D320BC9" w14:textId="77777777" w:rsidR="00D95C2B" w:rsidRPr="006F283B" w:rsidRDefault="00D95C2B" w:rsidP="00372EA1">
            <w:pPr>
              <w:keepNext/>
              <w:keepLines/>
              <w:spacing w:before="0"/>
              <w:jc w:val="center"/>
              <w:rPr>
                <w:sz w:val="20"/>
                <w:szCs w:val="20"/>
                <w:lang w:val="en-AU"/>
              </w:rPr>
            </w:pPr>
            <w:r w:rsidRPr="006F283B">
              <w:rPr>
                <w:sz w:val="20"/>
                <w:szCs w:val="20"/>
                <w:lang w:val="en-AU"/>
              </w:rPr>
              <w:t>77/177</w:t>
            </w:r>
          </w:p>
        </w:tc>
        <w:tc>
          <w:tcPr>
            <w:tcW w:w="546" w:type="pct"/>
            <w:shd w:val="clear" w:color="auto" w:fill="auto"/>
            <w:vAlign w:val="center"/>
          </w:tcPr>
          <w:p w14:paraId="33FB1365" w14:textId="77777777" w:rsidR="00D95C2B" w:rsidRPr="006F283B" w:rsidRDefault="00D95C2B" w:rsidP="00372EA1">
            <w:pPr>
              <w:keepNext/>
              <w:keepLines/>
              <w:spacing w:before="0"/>
              <w:jc w:val="center"/>
              <w:rPr>
                <w:sz w:val="20"/>
                <w:szCs w:val="20"/>
                <w:lang w:val="en-AU"/>
              </w:rPr>
            </w:pPr>
            <w:r w:rsidRPr="006F283B">
              <w:rPr>
                <w:sz w:val="20"/>
                <w:szCs w:val="20"/>
                <w:lang w:val="en-AU"/>
              </w:rPr>
              <w:t>67/89</w:t>
            </w:r>
          </w:p>
        </w:tc>
      </w:tr>
      <w:tr w:rsidR="00D95C2B" w:rsidRPr="006F283B" w14:paraId="6C256187" w14:textId="77777777" w:rsidTr="00372EA1">
        <w:tc>
          <w:tcPr>
            <w:tcW w:w="410" w:type="pct"/>
            <w:vMerge/>
            <w:vAlign w:val="center"/>
          </w:tcPr>
          <w:p w14:paraId="761BE73B" w14:textId="77777777" w:rsidR="00D95C2B" w:rsidRPr="006F283B" w:rsidRDefault="00D95C2B" w:rsidP="00372EA1">
            <w:pPr>
              <w:keepNext/>
              <w:keepLines/>
              <w:spacing w:before="0"/>
              <w:jc w:val="left"/>
              <w:rPr>
                <w:sz w:val="20"/>
                <w:szCs w:val="20"/>
                <w:lang w:val="en-AU"/>
              </w:rPr>
            </w:pPr>
          </w:p>
        </w:tc>
        <w:tc>
          <w:tcPr>
            <w:tcW w:w="566" w:type="pct"/>
            <w:vAlign w:val="center"/>
          </w:tcPr>
          <w:p w14:paraId="2782B440" w14:textId="77777777" w:rsidR="00D95C2B" w:rsidRPr="006F283B" w:rsidRDefault="00D95C2B" w:rsidP="00372EA1">
            <w:pPr>
              <w:keepNext/>
              <w:keepLines/>
              <w:spacing w:before="0"/>
              <w:jc w:val="left"/>
              <w:rPr>
                <w:sz w:val="20"/>
                <w:szCs w:val="20"/>
                <w:lang w:val="en-AU"/>
              </w:rPr>
            </w:pPr>
            <w:r w:rsidRPr="006F283B">
              <w:rPr>
                <w:sz w:val="20"/>
                <w:szCs w:val="20"/>
                <w:lang w:val="en-AU"/>
              </w:rPr>
              <w:t>Median, months</w:t>
            </w:r>
          </w:p>
        </w:tc>
        <w:tc>
          <w:tcPr>
            <w:tcW w:w="465" w:type="pct"/>
            <w:vAlign w:val="center"/>
          </w:tcPr>
          <w:p w14:paraId="5C49D1CA" w14:textId="77777777" w:rsidR="00D95C2B" w:rsidRPr="006F283B" w:rsidRDefault="00D95C2B" w:rsidP="00372EA1">
            <w:pPr>
              <w:keepNext/>
              <w:keepLines/>
              <w:spacing w:before="0"/>
              <w:jc w:val="center"/>
              <w:rPr>
                <w:sz w:val="20"/>
                <w:szCs w:val="20"/>
                <w:lang w:val="en-AU"/>
              </w:rPr>
            </w:pPr>
            <w:r w:rsidRPr="006F283B">
              <w:rPr>
                <w:sz w:val="20"/>
                <w:szCs w:val="20"/>
                <w:lang w:val="en-AU"/>
              </w:rPr>
              <w:t>21.9</w:t>
            </w:r>
          </w:p>
          <w:p w14:paraId="17022AB8" w14:textId="0A3FB078" w:rsidR="00D95C2B" w:rsidRPr="006F283B" w:rsidRDefault="00D95C2B" w:rsidP="00372EA1">
            <w:pPr>
              <w:keepNext/>
              <w:keepLines/>
              <w:spacing w:before="0"/>
              <w:jc w:val="center"/>
              <w:rPr>
                <w:sz w:val="20"/>
                <w:szCs w:val="20"/>
                <w:lang w:val="en-AU"/>
              </w:rPr>
            </w:pPr>
            <w:r w:rsidRPr="006F283B">
              <w:rPr>
                <w:sz w:val="20"/>
                <w:szCs w:val="20"/>
                <w:lang w:val="en-AU"/>
              </w:rPr>
              <w:t>(16.5, NE)</w:t>
            </w:r>
          </w:p>
        </w:tc>
        <w:tc>
          <w:tcPr>
            <w:tcW w:w="484" w:type="pct"/>
            <w:gridSpan w:val="2"/>
            <w:vAlign w:val="center"/>
          </w:tcPr>
          <w:p w14:paraId="492DA3BE" w14:textId="77777777" w:rsidR="00D95C2B" w:rsidRPr="006F283B" w:rsidRDefault="00D95C2B" w:rsidP="00372EA1">
            <w:pPr>
              <w:keepNext/>
              <w:keepLines/>
              <w:spacing w:before="0"/>
              <w:jc w:val="center"/>
              <w:rPr>
                <w:sz w:val="20"/>
                <w:szCs w:val="20"/>
                <w:lang w:val="en-AU"/>
              </w:rPr>
            </w:pPr>
            <w:r w:rsidRPr="006F283B">
              <w:rPr>
                <w:sz w:val="20"/>
                <w:szCs w:val="20"/>
                <w:lang w:val="en-AU"/>
              </w:rPr>
              <w:t>11.2</w:t>
            </w:r>
          </w:p>
          <w:p w14:paraId="76EF9420" w14:textId="4861AF2E" w:rsidR="00D95C2B" w:rsidRPr="006F283B" w:rsidRDefault="00D95C2B" w:rsidP="00372EA1">
            <w:pPr>
              <w:keepNext/>
              <w:keepLines/>
              <w:spacing w:before="0"/>
              <w:jc w:val="center"/>
              <w:rPr>
                <w:sz w:val="20"/>
                <w:szCs w:val="20"/>
                <w:lang w:val="en-AU"/>
              </w:rPr>
            </w:pPr>
            <w:r w:rsidRPr="006F283B">
              <w:rPr>
                <w:sz w:val="20"/>
                <w:szCs w:val="20"/>
                <w:lang w:val="en-AU"/>
              </w:rPr>
              <w:t>(8.4, 13.1)</w:t>
            </w:r>
          </w:p>
        </w:tc>
        <w:tc>
          <w:tcPr>
            <w:tcW w:w="475" w:type="pct"/>
            <w:vAlign w:val="center"/>
          </w:tcPr>
          <w:p w14:paraId="6012833D" w14:textId="77777777" w:rsidR="00D95C2B" w:rsidRPr="006F283B" w:rsidRDefault="00D95C2B" w:rsidP="00372EA1">
            <w:pPr>
              <w:keepNext/>
              <w:keepLines/>
              <w:spacing w:before="0"/>
              <w:jc w:val="center"/>
              <w:rPr>
                <w:sz w:val="20"/>
                <w:szCs w:val="20"/>
                <w:lang w:val="en-AU"/>
              </w:rPr>
            </w:pPr>
            <w:r w:rsidRPr="006F283B">
              <w:rPr>
                <w:sz w:val="20"/>
                <w:szCs w:val="20"/>
                <w:lang w:val="en-AU"/>
              </w:rPr>
              <w:t>24.5</w:t>
            </w:r>
          </w:p>
          <w:p w14:paraId="41419F7D" w14:textId="77777777" w:rsidR="00D95C2B" w:rsidRPr="006F283B" w:rsidRDefault="00D95C2B" w:rsidP="00372EA1">
            <w:pPr>
              <w:keepNext/>
              <w:keepLines/>
              <w:spacing w:before="0"/>
              <w:jc w:val="center"/>
              <w:rPr>
                <w:sz w:val="20"/>
                <w:szCs w:val="20"/>
                <w:lang w:val="en-AU"/>
              </w:rPr>
            </w:pPr>
            <w:r w:rsidRPr="006F283B">
              <w:rPr>
                <w:sz w:val="20"/>
                <w:szCs w:val="20"/>
                <w:lang w:val="en-AU"/>
              </w:rPr>
              <w:t>(18.7, 36.1)</w:t>
            </w:r>
          </w:p>
        </w:tc>
        <w:tc>
          <w:tcPr>
            <w:tcW w:w="475" w:type="pct"/>
            <w:vAlign w:val="center"/>
          </w:tcPr>
          <w:p w14:paraId="0D906092" w14:textId="77777777" w:rsidR="00D95C2B" w:rsidRPr="006F283B" w:rsidRDefault="00D95C2B" w:rsidP="00372EA1">
            <w:pPr>
              <w:keepNext/>
              <w:keepLines/>
              <w:spacing w:before="0"/>
              <w:jc w:val="center"/>
              <w:rPr>
                <w:sz w:val="20"/>
                <w:szCs w:val="20"/>
                <w:lang w:val="en-AU"/>
              </w:rPr>
            </w:pPr>
            <w:r w:rsidRPr="006F283B">
              <w:rPr>
                <w:sz w:val="20"/>
                <w:szCs w:val="20"/>
                <w:lang w:val="en-AU"/>
              </w:rPr>
              <w:t>11.2</w:t>
            </w:r>
          </w:p>
          <w:p w14:paraId="76D57290" w14:textId="77777777" w:rsidR="00D95C2B" w:rsidRPr="006F283B" w:rsidRDefault="00D95C2B" w:rsidP="00372EA1">
            <w:pPr>
              <w:keepNext/>
              <w:keepLines/>
              <w:spacing w:before="0"/>
              <w:jc w:val="center"/>
              <w:rPr>
                <w:sz w:val="20"/>
                <w:szCs w:val="20"/>
                <w:lang w:val="en-AU"/>
              </w:rPr>
            </w:pPr>
            <w:r w:rsidRPr="006F283B">
              <w:rPr>
                <w:sz w:val="20"/>
                <w:szCs w:val="20"/>
                <w:lang w:val="en-AU"/>
              </w:rPr>
              <w:t>(8.4, 13.7)</w:t>
            </w:r>
          </w:p>
        </w:tc>
        <w:tc>
          <w:tcPr>
            <w:tcW w:w="514" w:type="pct"/>
            <w:vAlign w:val="center"/>
          </w:tcPr>
          <w:p w14:paraId="759900FC" w14:textId="77777777" w:rsidR="00D95C2B" w:rsidRPr="006F283B" w:rsidRDefault="00D95C2B" w:rsidP="00372EA1">
            <w:pPr>
              <w:keepNext/>
              <w:keepLines/>
              <w:spacing w:before="0"/>
              <w:jc w:val="center"/>
              <w:rPr>
                <w:sz w:val="20"/>
                <w:szCs w:val="20"/>
                <w:lang w:val="en-AU"/>
              </w:rPr>
            </w:pPr>
            <w:r w:rsidRPr="006F283B">
              <w:rPr>
                <w:sz w:val="20"/>
                <w:szCs w:val="20"/>
                <w:lang w:val="en-AU"/>
              </w:rPr>
              <w:t>37.2 (NR)</w:t>
            </w:r>
          </w:p>
        </w:tc>
        <w:tc>
          <w:tcPr>
            <w:tcW w:w="518" w:type="pct"/>
            <w:vAlign w:val="center"/>
          </w:tcPr>
          <w:p w14:paraId="09C7BB5C" w14:textId="77777777" w:rsidR="00D95C2B" w:rsidRPr="006F283B" w:rsidRDefault="00D95C2B" w:rsidP="00372EA1">
            <w:pPr>
              <w:keepNext/>
              <w:keepLines/>
              <w:spacing w:before="0"/>
              <w:jc w:val="center"/>
              <w:rPr>
                <w:sz w:val="20"/>
                <w:szCs w:val="20"/>
                <w:lang w:val="en-AU"/>
              </w:rPr>
            </w:pPr>
            <w:r w:rsidRPr="006F283B">
              <w:rPr>
                <w:sz w:val="20"/>
                <w:szCs w:val="20"/>
                <w:lang w:val="en-AU"/>
              </w:rPr>
              <w:t>17.7 (NR)</w:t>
            </w:r>
          </w:p>
        </w:tc>
        <w:tc>
          <w:tcPr>
            <w:tcW w:w="546" w:type="pct"/>
            <w:shd w:val="clear" w:color="auto" w:fill="auto"/>
            <w:vAlign w:val="center"/>
          </w:tcPr>
          <w:p w14:paraId="4E6B7CFB" w14:textId="77777777" w:rsidR="00D95C2B" w:rsidRPr="006F283B" w:rsidRDefault="00D95C2B" w:rsidP="00372EA1">
            <w:pPr>
              <w:keepNext/>
              <w:keepLines/>
              <w:spacing w:before="0"/>
              <w:jc w:val="center"/>
              <w:rPr>
                <w:sz w:val="20"/>
                <w:szCs w:val="20"/>
                <w:lang w:val="en-AU"/>
              </w:rPr>
            </w:pPr>
            <w:r w:rsidRPr="006F283B">
              <w:rPr>
                <w:sz w:val="20"/>
                <w:szCs w:val="20"/>
                <w:lang w:val="en-AU"/>
              </w:rPr>
              <w:t>36.0 (NR)</w:t>
            </w:r>
          </w:p>
        </w:tc>
        <w:tc>
          <w:tcPr>
            <w:tcW w:w="546" w:type="pct"/>
            <w:shd w:val="clear" w:color="auto" w:fill="auto"/>
            <w:vAlign w:val="center"/>
          </w:tcPr>
          <w:p w14:paraId="0CA68ABE" w14:textId="77777777" w:rsidR="00D95C2B" w:rsidRPr="006F283B" w:rsidRDefault="00D95C2B" w:rsidP="00372EA1">
            <w:pPr>
              <w:keepNext/>
              <w:keepLines/>
              <w:spacing w:before="0"/>
              <w:jc w:val="center"/>
              <w:rPr>
                <w:sz w:val="20"/>
                <w:szCs w:val="20"/>
                <w:lang w:val="en-AU"/>
              </w:rPr>
            </w:pPr>
            <w:r w:rsidRPr="006F283B">
              <w:rPr>
                <w:sz w:val="20"/>
                <w:szCs w:val="20"/>
                <w:lang w:val="en-AU"/>
              </w:rPr>
              <w:t>16.0 (NR)</w:t>
            </w:r>
          </w:p>
        </w:tc>
      </w:tr>
      <w:tr w:rsidR="00D95C2B" w:rsidRPr="006F283B" w14:paraId="7C6787BE" w14:textId="77777777" w:rsidTr="00372EA1">
        <w:tc>
          <w:tcPr>
            <w:tcW w:w="410" w:type="pct"/>
            <w:vMerge/>
            <w:vAlign w:val="center"/>
          </w:tcPr>
          <w:p w14:paraId="711B7552" w14:textId="77777777" w:rsidR="00D95C2B" w:rsidRPr="006F283B" w:rsidRDefault="00D95C2B" w:rsidP="00372EA1">
            <w:pPr>
              <w:keepNext/>
              <w:keepLines/>
              <w:spacing w:before="0"/>
              <w:jc w:val="left"/>
              <w:rPr>
                <w:sz w:val="20"/>
                <w:szCs w:val="20"/>
                <w:lang w:val="en-AU"/>
              </w:rPr>
            </w:pPr>
          </w:p>
        </w:tc>
        <w:tc>
          <w:tcPr>
            <w:tcW w:w="566" w:type="pct"/>
            <w:vAlign w:val="center"/>
          </w:tcPr>
          <w:p w14:paraId="4570BF9A" w14:textId="77777777" w:rsidR="00D95C2B" w:rsidRPr="006F283B" w:rsidRDefault="00D95C2B" w:rsidP="00372EA1">
            <w:pPr>
              <w:keepNext/>
              <w:keepLines/>
              <w:spacing w:before="0"/>
              <w:jc w:val="left"/>
              <w:rPr>
                <w:sz w:val="20"/>
                <w:szCs w:val="20"/>
                <w:lang w:val="en-AU"/>
              </w:rPr>
            </w:pPr>
            <w:r w:rsidRPr="006F283B">
              <w:rPr>
                <w:sz w:val="20"/>
                <w:szCs w:val="20"/>
                <w:lang w:val="en-AU"/>
              </w:rPr>
              <w:t>HR (95% CI)</w:t>
            </w:r>
          </w:p>
        </w:tc>
        <w:tc>
          <w:tcPr>
            <w:tcW w:w="949" w:type="pct"/>
            <w:gridSpan w:val="3"/>
            <w:vAlign w:val="center"/>
          </w:tcPr>
          <w:p w14:paraId="117357AE" w14:textId="668A4B67" w:rsidR="00D95C2B" w:rsidRPr="006F283B" w:rsidRDefault="00D95C2B" w:rsidP="00372EA1">
            <w:pPr>
              <w:keepNext/>
              <w:keepLines/>
              <w:spacing w:before="0"/>
              <w:jc w:val="center"/>
              <w:rPr>
                <w:sz w:val="20"/>
                <w:szCs w:val="20"/>
                <w:lang w:val="en-AU"/>
              </w:rPr>
            </w:pPr>
            <w:r w:rsidRPr="006F283B">
              <w:rPr>
                <w:sz w:val="20"/>
                <w:szCs w:val="20"/>
                <w:lang w:val="en-AU"/>
              </w:rPr>
              <w:t>0.46 (0.342, 0626)</w:t>
            </w:r>
          </w:p>
        </w:tc>
        <w:tc>
          <w:tcPr>
            <w:tcW w:w="951" w:type="pct"/>
            <w:gridSpan w:val="2"/>
            <w:vAlign w:val="center"/>
          </w:tcPr>
          <w:p w14:paraId="10F774CC" w14:textId="77777777" w:rsidR="00D95C2B" w:rsidRPr="006F283B" w:rsidRDefault="00D95C2B" w:rsidP="00372EA1">
            <w:pPr>
              <w:keepNext/>
              <w:keepLines/>
              <w:spacing w:before="0"/>
              <w:jc w:val="center"/>
              <w:rPr>
                <w:sz w:val="20"/>
                <w:szCs w:val="20"/>
                <w:lang w:val="en-AU"/>
              </w:rPr>
            </w:pPr>
            <w:r w:rsidRPr="006F283B">
              <w:rPr>
                <w:sz w:val="20"/>
                <w:szCs w:val="20"/>
                <w:lang w:val="en-AU"/>
              </w:rPr>
              <w:t>0.52 (0.401, 0.677)</w:t>
            </w:r>
          </w:p>
        </w:tc>
        <w:tc>
          <w:tcPr>
            <w:tcW w:w="1032" w:type="pct"/>
            <w:gridSpan w:val="2"/>
            <w:vAlign w:val="center"/>
          </w:tcPr>
          <w:p w14:paraId="00486DA3" w14:textId="77777777" w:rsidR="00D95C2B" w:rsidRPr="006F283B" w:rsidRDefault="00D95C2B" w:rsidP="00372EA1">
            <w:pPr>
              <w:keepNext/>
              <w:keepLines/>
              <w:spacing w:before="0"/>
              <w:jc w:val="center"/>
              <w:rPr>
                <w:sz w:val="20"/>
                <w:szCs w:val="20"/>
                <w:lang w:val="en-AU"/>
              </w:rPr>
            </w:pPr>
            <w:r w:rsidRPr="006F283B">
              <w:rPr>
                <w:sz w:val="20"/>
                <w:szCs w:val="20"/>
                <w:lang w:val="en-AU"/>
              </w:rPr>
              <w:t>0.33 (0.25, 0.45)</w:t>
            </w:r>
          </w:p>
        </w:tc>
        <w:tc>
          <w:tcPr>
            <w:tcW w:w="1093" w:type="pct"/>
            <w:gridSpan w:val="2"/>
            <w:shd w:val="clear" w:color="auto" w:fill="auto"/>
            <w:vAlign w:val="center"/>
          </w:tcPr>
          <w:p w14:paraId="75A2AA2D" w14:textId="77777777" w:rsidR="00D95C2B" w:rsidRPr="006F283B" w:rsidRDefault="00D95C2B" w:rsidP="00372EA1">
            <w:pPr>
              <w:keepNext/>
              <w:keepLines/>
              <w:spacing w:before="0"/>
              <w:jc w:val="center"/>
              <w:rPr>
                <w:sz w:val="20"/>
                <w:szCs w:val="20"/>
                <w:lang w:val="en-AU"/>
              </w:rPr>
            </w:pPr>
            <w:r w:rsidRPr="006F283B">
              <w:rPr>
                <w:sz w:val="20"/>
                <w:szCs w:val="20"/>
                <w:lang w:val="en-AU"/>
              </w:rPr>
              <w:t>0.39 (0.28, 0.54)</w:t>
            </w:r>
          </w:p>
        </w:tc>
      </w:tr>
      <w:tr w:rsidR="00D95C2B" w:rsidRPr="006F283B" w14:paraId="5BC3CDB1" w14:textId="77777777" w:rsidTr="00372EA1">
        <w:tc>
          <w:tcPr>
            <w:tcW w:w="410" w:type="pct"/>
            <w:vMerge w:val="restart"/>
            <w:vAlign w:val="center"/>
          </w:tcPr>
          <w:p w14:paraId="2ACF74F1" w14:textId="79C69306" w:rsidR="00D95C2B" w:rsidRPr="006F283B" w:rsidRDefault="001152C0" w:rsidP="00372EA1">
            <w:pPr>
              <w:keepNext/>
              <w:keepLines/>
              <w:spacing w:before="0"/>
              <w:jc w:val="left"/>
              <w:rPr>
                <w:sz w:val="20"/>
                <w:szCs w:val="20"/>
                <w:lang w:val="en-AU"/>
              </w:rPr>
            </w:pPr>
            <w:r w:rsidRPr="001152C0">
              <w:rPr>
                <w:i/>
                <w:iCs/>
                <w:sz w:val="20"/>
                <w:szCs w:val="20"/>
                <w:lang w:val="en-AU"/>
              </w:rPr>
              <w:t>BRCAm</w:t>
            </w:r>
          </w:p>
        </w:tc>
        <w:tc>
          <w:tcPr>
            <w:tcW w:w="566" w:type="pct"/>
            <w:vAlign w:val="center"/>
          </w:tcPr>
          <w:p w14:paraId="73C61132" w14:textId="77777777" w:rsidR="00D95C2B" w:rsidRPr="006F283B" w:rsidRDefault="00D95C2B" w:rsidP="00372EA1">
            <w:pPr>
              <w:keepNext/>
              <w:keepLines/>
              <w:spacing w:before="0"/>
              <w:jc w:val="left"/>
              <w:rPr>
                <w:sz w:val="20"/>
                <w:szCs w:val="20"/>
                <w:lang w:val="en-AU"/>
              </w:rPr>
            </w:pPr>
            <w:r w:rsidRPr="006F283B">
              <w:rPr>
                <w:sz w:val="20"/>
                <w:szCs w:val="20"/>
                <w:lang w:val="en-AU"/>
              </w:rPr>
              <w:t>Events/N</w:t>
            </w:r>
          </w:p>
        </w:tc>
        <w:tc>
          <w:tcPr>
            <w:tcW w:w="465" w:type="pct"/>
            <w:vAlign w:val="center"/>
          </w:tcPr>
          <w:p w14:paraId="108EAE97" w14:textId="28D9CB8D" w:rsidR="00D95C2B" w:rsidRPr="006F283B" w:rsidRDefault="00D95C2B" w:rsidP="00372EA1">
            <w:pPr>
              <w:keepNext/>
              <w:keepLines/>
              <w:spacing w:before="0"/>
              <w:jc w:val="center"/>
              <w:rPr>
                <w:sz w:val="20"/>
                <w:szCs w:val="20"/>
                <w:lang w:val="en-AU"/>
              </w:rPr>
            </w:pPr>
            <w:r w:rsidRPr="006F283B">
              <w:rPr>
                <w:sz w:val="20"/>
                <w:szCs w:val="20"/>
                <w:lang w:val="en-AU"/>
              </w:rPr>
              <w:t>53/152</w:t>
            </w:r>
            <w:r w:rsidR="00F30289">
              <w:rPr>
                <w:sz w:val="20"/>
                <w:szCs w:val="20"/>
                <w:lang w:val="en-AU"/>
              </w:rPr>
              <w:t>*</w:t>
            </w:r>
          </w:p>
        </w:tc>
        <w:tc>
          <w:tcPr>
            <w:tcW w:w="484" w:type="pct"/>
            <w:gridSpan w:val="2"/>
            <w:vAlign w:val="center"/>
          </w:tcPr>
          <w:p w14:paraId="4CCCA169" w14:textId="052F824A" w:rsidR="00D95C2B" w:rsidRPr="006F283B" w:rsidRDefault="00D95C2B" w:rsidP="00372EA1">
            <w:pPr>
              <w:keepNext/>
              <w:keepLines/>
              <w:spacing w:before="0"/>
              <w:jc w:val="center"/>
              <w:rPr>
                <w:sz w:val="20"/>
                <w:szCs w:val="20"/>
                <w:lang w:val="en-AU"/>
              </w:rPr>
            </w:pPr>
            <w:r w:rsidRPr="006F283B">
              <w:rPr>
                <w:sz w:val="20"/>
                <w:szCs w:val="20"/>
                <w:lang w:val="en-AU"/>
              </w:rPr>
              <w:t>45/71</w:t>
            </w:r>
            <w:r w:rsidR="00F30289">
              <w:rPr>
                <w:sz w:val="20"/>
                <w:szCs w:val="20"/>
                <w:lang w:val="en-AU"/>
              </w:rPr>
              <w:t>*</w:t>
            </w:r>
          </w:p>
        </w:tc>
        <w:tc>
          <w:tcPr>
            <w:tcW w:w="475" w:type="pct"/>
            <w:vAlign w:val="center"/>
          </w:tcPr>
          <w:p w14:paraId="615908B7" w14:textId="77777777" w:rsidR="00D95C2B" w:rsidRPr="006F283B" w:rsidRDefault="00D95C2B" w:rsidP="00372EA1">
            <w:pPr>
              <w:keepNext/>
              <w:keepLines/>
              <w:spacing w:before="0"/>
              <w:jc w:val="center"/>
              <w:rPr>
                <w:sz w:val="20"/>
                <w:szCs w:val="20"/>
                <w:lang w:val="en-AU"/>
              </w:rPr>
            </w:pPr>
            <w:r w:rsidRPr="006F283B">
              <w:rPr>
                <w:sz w:val="20"/>
                <w:szCs w:val="20"/>
                <w:lang w:val="en-AU"/>
              </w:rPr>
              <w:t>83/152</w:t>
            </w:r>
          </w:p>
        </w:tc>
        <w:tc>
          <w:tcPr>
            <w:tcW w:w="475" w:type="pct"/>
            <w:vAlign w:val="center"/>
          </w:tcPr>
          <w:p w14:paraId="2FB050F0" w14:textId="77777777" w:rsidR="00D95C2B" w:rsidRPr="006F283B" w:rsidRDefault="00D95C2B" w:rsidP="00372EA1">
            <w:pPr>
              <w:keepNext/>
              <w:keepLines/>
              <w:spacing w:before="0"/>
              <w:jc w:val="center"/>
              <w:rPr>
                <w:sz w:val="20"/>
                <w:szCs w:val="20"/>
                <w:lang w:val="en-AU"/>
              </w:rPr>
            </w:pPr>
            <w:r w:rsidRPr="006F283B">
              <w:rPr>
                <w:sz w:val="20"/>
                <w:szCs w:val="20"/>
                <w:lang w:val="en-AU"/>
              </w:rPr>
              <w:t>55/71</w:t>
            </w:r>
          </w:p>
        </w:tc>
        <w:tc>
          <w:tcPr>
            <w:tcW w:w="514" w:type="pct"/>
            <w:vAlign w:val="center"/>
          </w:tcPr>
          <w:p w14:paraId="1A1DD5B7" w14:textId="77777777" w:rsidR="00D95C2B" w:rsidRPr="006F283B" w:rsidRDefault="00D95C2B" w:rsidP="00372EA1">
            <w:pPr>
              <w:keepNext/>
              <w:keepLines/>
              <w:spacing w:before="0"/>
              <w:jc w:val="center"/>
              <w:rPr>
                <w:sz w:val="20"/>
                <w:szCs w:val="20"/>
                <w:lang w:val="en-AU"/>
              </w:rPr>
            </w:pPr>
            <w:r w:rsidRPr="006F283B">
              <w:rPr>
                <w:sz w:val="20"/>
                <w:szCs w:val="20"/>
                <w:lang w:val="en-AU"/>
              </w:rPr>
              <w:t>41/157</w:t>
            </w:r>
          </w:p>
        </w:tc>
        <w:tc>
          <w:tcPr>
            <w:tcW w:w="518" w:type="pct"/>
            <w:vAlign w:val="center"/>
          </w:tcPr>
          <w:p w14:paraId="059C8EBF" w14:textId="77777777" w:rsidR="00D95C2B" w:rsidRPr="006F283B" w:rsidRDefault="00D95C2B" w:rsidP="00372EA1">
            <w:pPr>
              <w:keepNext/>
              <w:keepLines/>
              <w:spacing w:before="0"/>
              <w:jc w:val="center"/>
              <w:rPr>
                <w:sz w:val="20"/>
                <w:szCs w:val="20"/>
                <w:lang w:val="en-AU"/>
              </w:rPr>
            </w:pPr>
            <w:r w:rsidRPr="006F283B">
              <w:rPr>
                <w:sz w:val="20"/>
                <w:szCs w:val="20"/>
                <w:lang w:val="en-AU"/>
              </w:rPr>
              <w:t>49/80</w:t>
            </w:r>
          </w:p>
        </w:tc>
        <w:tc>
          <w:tcPr>
            <w:tcW w:w="546" w:type="pct"/>
            <w:shd w:val="clear" w:color="auto" w:fill="auto"/>
            <w:vAlign w:val="center"/>
          </w:tcPr>
          <w:p w14:paraId="621CF0E1" w14:textId="77777777" w:rsidR="00D95C2B" w:rsidRPr="006F283B" w:rsidRDefault="00D95C2B" w:rsidP="00372EA1">
            <w:pPr>
              <w:keepNext/>
              <w:keepLines/>
              <w:spacing w:before="0"/>
              <w:jc w:val="center"/>
              <w:rPr>
                <w:sz w:val="20"/>
                <w:szCs w:val="20"/>
                <w:lang w:val="en-AU"/>
              </w:rPr>
            </w:pPr>
            <w:r w:rsidRPr="006F283B">
              <w:rPr>
                <w:sz w:val="20"/>
                <w:szCs w:val="20"/>
                <w:lang w:val="en-AU"/>
              </w:rPr>
              <w:t>378/109</w:t>
            </w:r>
          </w:p>
        </w:tc>
        <w:tc>
          <w:tcPr>
            <w:tcW w:w="546" w:type="pct"/>
            <w:shd w:val="clear" w:color="auto" w:fill="auto"/>
            <w:vAlign w:val="center"/>
          </w:tcPr>
          <w:p w14:paraId="0B51CA1F" w14:textId="77777777" w:rsidR="00D95C2B" w:rsidRPr="006F283B" w:rsidRDefault="00D95C2B" w:rsidP="00372EA1">
            <w:pPr>
              <w:keepNext/>
              <w:keepLines/>
              <w:spacing w:before="0"/>
              <w:jc w:val="center"/>
              <w:rPr>
                <w:sz w:val="20"/>
                <w:szCs w:val="20"/>
                <w:lang w:val="en-AU"/>
              </w:rPr>
            </w:pPr>
            <w:r w:rsidRPr="006F283B">
              <w:rPr>
                <w:sz w:val="20"/>
                <w:szCs w:val="20"/>
                <w:lang w:val="en-AU"/>
              </w:rPr>
              <w:t>36/55</w:t>
            </w:r>
          </w:p>
        </w:tc>
      </w:tr>
      <w:tr w:rsidR="00D95C2B" w:rsidRPr="006F283B" w14:paraId="7E6602AD" w14:textId="77777777" w:rsidTr="00372EA1">
        <w:tc>
          <w:tcPr>
            <w:tcW w:w="410" w:type="pct"/>
            <w:vMerge/>
            <w:vAlign w:val="center"/>
          </w:tcPr>
          <w:p w14:paraId="01B6F59E" w14:textId="77777777" w:rsidR="00D95C2B" w:rsidRPr="006F283B" w:rsidRDefault="00D95C2B" w:rsidP="00372EA1">
            <w:pPr>
              <w:keepNext/>
              <w:keepLines/>
              <w:spacing w:before="0"/>
              <w:jc w:val="left"/>
              <w:rPr>
                <w:sz w:val="20"/>
                <w:szCs w:val="20"/>
                <w:lang w:val="en-AU"/>
              </w:rPr>
            </w:pPr>
          </w:p>
        </w:tc>
        <w:tc>
          <w:tcPr>
            <w:tcW w:w="566" w:type="pct"/>
            <w:vAlign w:val="center"/>
          </w:tcPr>
          <w:p w14:paraId="62F95A9B" w14:textId="77777777" w:rsidR="00D95C2B" w:rsidRPr="006F283B" w:rsidRDefault="00D95C2B" w:rsidP="00372EA1">
            <w:pPr>
              <w:keepNext/>
              <w:keepLines/>
              <w:spacing w:before="0"/>
              <w:jc w:val="left"/>
              <w:rPr>
                <w:sz w:val="20"/>
                <w:szCs w:val="20"/>
                <w:lang w:val="en-AU"/>
              </w:rPr>
            </w:pPr>
            <w:r w:rsidRPr="006F283B">
              <w:rPr>
                <w:sz w:val="20"/>
                <w:szCs w:val="20"/>
                <w:lang w:val="en-AU"/>
              </w:rPr>
              <w:t>Median, months</w:t>
            </w:r>
          </w:p>
        </w:tc>
        <w:tc>
          <w:tcPr>
            <w:tcW w:w="465" w:type="pct"/>
            <w:vAlign w:val="center"/>
          </w:tcPr>
          <w:p w14:paraId="1315CC99" w14:textId="77777777" w:rsidR="00D95C2B" w:rsidRPr="006F283B" w:rsidRDefault="00D95C2B" w:rsidP="00372EA1">
            <w:pPr>
              <w:keepNext/>
              <w:keepLines/>
              <w:spacing w:before="0"/>
              <w:jc w:val="center"/>
              <w:rPr>
                <w:sz w:val="20"/>
                <w:szCs w:val="20"/>
                <w:lang w:val="en-AU"/>
              </w:rPr>
            </w:pPr>
            <w:r w:rsidRPr="006F283B">
              <w:rPr>
                <w:sz w:val="20"/>
                <w:szCs w:val="20"/>
                <w:lang w:val="en-AU"/>
              </w:rPr>
              <w:t>24.2</w:t>
            </w:r>
          </w:p>
          <w:p w14:paraId="4656BD5C" w14:textId="161DADB0" w:rsidR="00D95C2B" w:rsidRPr="006F283B" w:rsidRDefault="00D95C2B" w:rsidP="00372EA1">
            <w:pPr>
              <w:keepNext/>
              <w:keepLines/>
              <w:spacing w:before="0"/>
              <w:jc w:val="center"/>
              <w:rPr>
                <w:sz w:val="20"/>
                <w:szCs w:val="20"/>
                <w:lang w:val="en-AU"/>
              </w:rPr>
            </w:pPr>
            <w:r w:rsidRPr="006F283B">
              <w:rPr>
                <w:sz w:val="20"/>
                <w:szCs w:val="20"/>
                <w:lang w:val="en-AU"/>
              </w:rPr>
              <w:t xml:space="preserve">(18.7, </w:t>
            </w:r>
            <w:proofErr w:type="gramStart"/>
            <w:r w:rsidRPr="006F283B">
              <w:rPr>
                <w:sz w:val="20"/>
                <w:szCs w:val="20"/>
                <w:lang w:val="en-AU"/>
              </w:rPr>
              <w:t>NE)</w:t>
            </w:r>
            <w:r w:rsidR="00F30289">
              <w:rPr>
                <w:sz w:val="20"/>
                <w:szCs w:val="20"/>
                <w:lang w:val="en-AU"/>
              </w:rPr>
              <w:t>*</w:t>
            </w:r>
            <w:proofErr w:type="gramEnd"/>
          </w:p>
        </w:tc>
        <w:tc>
          <w:tcPr>
            <w:tcW w:w="484" w:type="pct"/>
            <w:gridSpan w:val="2"/>
            <w:vAlign w:val="center"/>
          </w:tcPr>
          <w:p w14:paraId="08AB399C" w14:textId="77777777" w:rsidR="00D95C2B" w:rsidRPr="006F283B" w:rsidRDefault="00D95C2B" w:rsidP="00372EA1">
            <w:pPr>
              <w:keepNext/>
              <w:keepLines/>
              <w:spacing w:before="0"/>
              <w:jc w:val="center"/>
              <w:rPr>
                <w:sz w:val="20"/>
                <w:szCs w:val="20"/>
                <w:lang w:val="en-AU"/>
              </w:rPr>
            </w:pPr>
            <w:r w:rsidRPr="006F283B">
              <w:rPr>
                <w:sz w:val="20"/>
                <w:szCs w:val="20"/>
                <w:lang w:val="en-AU"/>
              </w:rPr>
              <w:t>11.5</w:t>
            </w:r>
          </w:p>
          <w:p w14:paraId="2BCDB837" w14:textId="41BB65AC" w:rsidR="00D95C2B" w:rsidRPr="006F283B" w:rsidRDefault="00D95C2B" w:rsidP="00372EA1">
            <w:pPr>
              <w:keepNext/>
              <w:keepLines/>
              <w:spacing w:before="0"/>
              <w:jc w:val="center"/>
              <w:rPr>
                <w:sz w:val="20"/>
                <w:szCs w:val="20"/>
                <w:lang w:val="en-AU"/>
              </w:rPr>
            </w:pPr>
            <w:r w:rsidRPr="006F283B">
              <w:rPr>
                <w:sz w:val="20"/>
                <w:szCs w:val="20"/>
                <w:lang w:val="en-AU"/>
              </w:rPr>
              <w:t xml:space="preserve">(8.4, </w:t>
            </w:r>
            <w:proofErr w:type="gramStart"/>
            <w:r w:rsidRPr="006F283B">
              <w:rPr>
                <w:sz w:val="20"/>
                <w:szCs w:val="20"/>
                <w:lang w:val="en-AU"/>
              </w:rPr>
              <w:t>16.7)</w:t>
            </w:r>
            <w:r w:rsidR="00F30289">
              <w:rPr>
                <w:sz w:val="20"/>
                <w:szCs w:val="20"/>
                <w:lang w:val="en-AU"/>
              </w:rPr>
              <w:t>*</w:t>
            </w:r>
            <w:proofErr w:type="gramEnd"/>
          </w:p>
        </w:tc>
        <w:tc>
          <w:tcPr>
            <w:tcW w:w="475" w:type="pct"/>
            <w:shd w:val="clear" w:color="auto" w:fill="auto"/>
            <w:vAlign w:val="center"/>
          </w:tcPr>
          <w:p w14:paraId="0E20E5B5" w14:textId="77777777" w:rsidR="00D95C2B" w:rsidRPr="006F283B" w:rsidRDefault="00D95C2B" w:rsidP="00372EA1">
            <w:pPr>
              <w:keepNext/>
              <w:keepLines/>
              <w:spacing w:before="0"/>
              <w:jc w:val="center"/>
              <w:rPr>
                <w:sz w:val="20"/>
                <w:szCs w:val="20"/>
                <w:lang w:val="en-AU"/>
              </w:rPr>
            </w:pPr>
            <w:r w:rsidRPr="006F283B">
              <w:rPr>
                <w:sz w:val="20"/>
                <w:szCs w:val="20"/>
                <w:lang w:val="en-AU"/>
              </w:rPr>
              <w:t>31.5</w:t>
            </w:r>
          </w:p>
          <w:p w14:paraId="1F190E6C" w14:textId="77777777" w:rsidR="00D95C2B" w:rsidRPr="006F283B" w:rsidRDefault="00D95C2B" w:rsidP="00372EA1">
            <w:pPr>
              <w:keepNext/>
              <w:keepLines/>
              <w:spacing w:before="0"/>
              <w:jc w:val="center"/>
              <w:rPr>
                <w:sz w:val="20"/>
                <w:szCs w:val="20"/>
                <w:lang w:val="en-AU"/>
              </w:rPr>
            </w:pPr>
            <w:r w:rsidRPr="006F283B">
              <w:rPr>
                <w:sz w:val="20"/>
                <w:szCs w:val="20"/>
                <w:lang w:val="en-AU"/>
              </w:rPr>
              <w:t>(19.3, 51.8)</w:t>
            </w:r>
          </w:p>
        </w:tc>
        <w:tc>
          <w:tcPr>
            <w:tcW w:w="475" w:type="pct"/>
            <w:shd w:val="clear" w:color="auto" w:fill="auto"/>
            <w:vAlign w:val="center"/>
          </w:tcPr>
          <w:p w14:paraId="1F4B0B85" w14:textId="77777777" w:rsidR="00D95C2B" w:rsidRPr="006F283B" w:rsidRDefault="00D95C2B" w:rsidP="00372EA1">
            <w:pPr>
              <w:keepNext/>
              <w:keepLines/>
              <w:spacing w:before="0"/>
              <w:jc w:val="center"/>
              <w:rPr>
                <w:sz w:val="20"/>
                <w:szCs w:val="20"/>
                <w:lang w:val="en-AU"/>
              </w:rPr>
            </w:pPr>
            <w:r w:rsidRPr="006F283B">
              <w:rPr>
                <w:sz w:val="20"/>
                <w:szCs w:val="20"/>
                <w:lang w:val="en-AU"/>
              </w:rPr>
              <w:t>11.5</w:t>
            </w:r>
          </w:p>
          <w:p w14:paraId="1D05AF55" w14:textId="77777777" w:rsidR="00D95C2B" w:rsidRPr="006F283B" w:rsidRDefault="00D95C2B" w:rsidP="00372EA1">
            <w:pPr>
              <w:keepNext/>
              <w:keepLines/>
              <w:spacing w:before="0"/>
              <w:jc w:val="center"/>
              <w:rPr>
                <w:sz w:val="20"/>
                <w:szCs w:val="20"/>
                <w:lang w:val="en-AU"/>
              </w:rPr>
            </w:pPr>
            <w:r w:rsidRPr="006F283B">
              <w:rPr>
                <w:sz w:val="20"/>
                <w:szCs w:val="20"/>
                <w:lang w:val="en-AU"/>
              </w:rPr>
              <w:t>(8.4, 16.6)</w:t>
            </w:r>
          </w:p>
        </w:tc>
        <w:tc>
          <w:tcPr>
            <w:tcW w:w="514" w:type="pct"/>
            <w:vAlign w:val="center"/>
          </w:tcPr>
          <w:p w14:paraId="7E240453" w14:textId="77777777" w:rsidR="00D95C2B" w:rsidRPr="006F283B" w:rsidRDefault="00D95C2B" w:rsidP="00372EA1">
            <w:pPr>
              <w:keepNext/>
              <w:keepLines/>
              <w:spacing w:before="0"/>
              <w:jc w:val="center"/>
              <w:rPr>
                <w:sz w:val="20"/>
                <w:szCs w:val="20"/>
                <w:lang w:val="en-AU"/>
              </w:rPr>
            </w:pPr>
            <w:r w:rsidRPr="006F283B">
              <w:rPr>
                <w:sz w:val="20"/>
                <w:szCs w:val="20"/>
                <w:lang w:val="en-AU"/>
              </w:rPr>
              <w:t>37.2 (NR)</w:t>
            </w:r>
          </w:p>
        </w:tc>
        <w:tc>
          <w:tcPr>
            <w:tcW w:w="518" w:type="pct"/>
            <w:vAlign w:val="center"/>
          </w:tcPr>
          <w:p w14:paraId="46C6EA0D" w14:textId="77777777" w:rsidR="00D95C2B" w:rsidRPr="006F283B" w:rsidRDefault="00D95C2B" w:rsidP="00372EA1">
            <w:pPr>
              <w:keepNext/>
              <w:keepLines/>
              <w:spacing w:before="0"/>
              <w:jc w:val="center"/>
              <w:rPr>
                <w:sz w:val="20"/>
                <w:szCs w:val="20"/>
                <w:lang w:val="en-AU"/>
              </w:rPr>
            </w:pPr>
            <w:r w:rsidRPr="006F283B">
              <w:rPr>
                <w:sz w:val="20"/>
                <w:szCs w:val="20"/>
                <w:lang w:val="en-AU"/>
              </w:rPr>
              <w:t>21.7 (NR)</w:t>
            </w:r>
          </w:p>
        </w:tc>
        <w:tc>
          <w:tcPr>
            <w:tcW w:w="546" w:type="pct"/>
            <w:shd w:val="clear" w:color="auto" w:fill="auto"/>
            <w:vAlign w:val="center"/>
          </w:tcPr>
          <w:p w14:paraId="580DBEFA" w14:textId="77777777" w:rsidR="00D95C2B" w:rsidRPr="006F283B" w:rsidRDefault="00D95C2B" w:rsidP="00372EA1">
            <w:pPr>
              <w:keepNext/>
              <w:keepLines/>
              <w:spacing w:before="0"/>
              <w:jc w:val="center"/>
              <w:rPr>
                <w:sz w:val="20"/>
                <w:szCs w:val="20"/>
                <w:lang w:val="en-AU"/>
              </w:rPr>
            </w:pPr>
            <w:r w:rsidRPr="006F283B">
              <w:rPr>
                <w:sz w:val="20"/>
                <w:szCs w:val="20"/>
                <w:lang w:val="en-AU"/>
              </w:rPr>
              <w:t>36.0 (NR)</w:t>
            </w:r>
          </w:p>
        </w:tc>
        <w:tc>
          <w:tcPr>
            <w:tcW w:w="546" w:type="pct"/>
            <w:shd w:val="clear" w:color="auto" w:fill="auto"/>
            <w:vAlign w:val="center"/>
          </w:tcPr>
          <w:p w14:paraId="226456E3" w14:textId="77777777" w:rsidR="00D95C2B" w:rsidRPr="006F283B" w:rsidRDefault="00D95C2B" w:rsidP="00372EA1">
            <w:pPr>
              <w:keepNext/>
              <w:keepLines/>
              <w:spacing w:before="0"/>
              <w:jc w:val="center"/>
              <w:rPr>
                <w:sz w:val="20"/>
                <w:szCs w:val="20"/>
                <w:lang w:val="en-AU"/>
              </w:rPr>
            </w:pPr>
            <w:r w:rsidRPr="006F283B">
              <w:rPr>
                <w:sz w:val="20"/>
                <w:szCs w:val="20"/>
                <w:lang w:val="en-AU"/>
              </w:rPr>
              <w:t>19.4 (NR)</w:t>
            </w:r>
          </w:p>
        </w:tc>
      </w:tr>
      <w:tr w:rsidR="00D95C2B" w:rsidRPr="006F283B" w14:paraId="191B8E1B" w14:textId="77777777" w:rsidTr="00372EA1">
        <w:tc>
          <w:tcPr>
            <w:tcW w:w="410" w:type="pct"/>
            <w:vMerge/>
            <w:vAlign w:val="center"/>
          </w:tcPr>
          <w:p w14:paraId="2A819A3D" w14:textId="77777777" w:rsidR="00D95C2B" w:rsidRPr="006F283B" w:rsidRDefault="00D95C2B" w:rsidP="00372EA1">
            <w:pPr>
              <w:keepNext/>
              <w:keepLines/>
              <w:spacing w:before="0"/>
              <w:jc w:val="left"/>
              <w:rPr>
                <w:sz w:val="20"/>
                <w:szCs w:val="20"/>
                <w:lang w:val="en-AU"/>
              </w:rPr>
            </w:pPr>
          </w:p>
        </w:tc>
        <w:tc>
          <w:tcPr>
            <w:tcW w:w="566" w:type="pct"/>
            <w:vAlign w:val="center"/>
          </w:tcPr>
          <w:p w14:paraId="4906E582" w14:textId="77777777" w:rsidR="00D95C2B" w:rsidRPr="006F283B" w:rsidRDefault="00D95C2B" w:rsidP="00372EA1">
            <w:pPr>
              <w:keepNext/>
              <w:keepLines/>
              <w:spacing w:before="0"/>
              <w:jc w:val="left"/>
              <w:rPr>
                <w:sz w:val="20"/>
                <w:szCs w:val="20"/>
                <w:lang w:val="en-AU"/>
              </w:rPr>
            </w:pPr>
            <w:r w:rsidRPr="006F283B">
              <w:rPr>
                <w:sz w:val="20"/>
                <w:szCs w:val="20"/>
                <w:lang w:val="en-AU"/>
              </w:rPr>
              <w:t>HR (95% CI)</w:t>
            </w:r>
          </w:p>
        </w:tc>
        <w:tc>
          <w:tcPr>
            <w:tcW w:w="949" w:type="pct"/>
            <w:gridSpan w:val="3"/>
            <w:vAlign w:val="center"/>
          </w:tcPr>
          <w:p w14:paraId="289F93C7" w14:textId="6268BEF9" w:rsidR="00D95C2B" w:rsidRPr="006F283B" w:rsidRDefault="00D95C2B" w:rsidP="00372EA1">
            <w:pPr>
              <w:keepNext/>
              <w:keepLines/>
              <w:spacing w:before="0"/>
              <w:jc w:val="center"/>
              <w:rPr>
                <w:sz w:val="20"/>
                <w:szCs w:val="20"/>
                <w:lang w:val="en-AU"/>
              </w:rPr>
            </w:pPr>
            <w:r w:rsidRPr="006F283B">
              <w:rPr>
                <w:sz w:val="20"/>
                <w:szCs w:val="20"/>
                <w:lang w:val="en-AU"/>
              </w:rPr>
              <w:t xml:space="preserve">0.40 (0.266, </w:t>
            </w:r>
            <w:proofErr w:type="gramStart"/>
            <w:r w:rsidRPr="006F283B">
              <w:rPr>
                <w:sz w:val="20"/>
                <w:szCs w:val="20"/>
                <w:lang w:val="en-AU"/>
              </w:rPr>
              <w:t>0.596)</w:t>
            </w:r>
            <w:r w:rsidR="00F30289">
              <w:rPr>
                <w:sz w:val="20"/>
                <w:szCs w:val="20"/>
                <w:lang w:val="en-AU"/>
              </w:rPr>
              <w:t>*</w:t>
            </w:r>
            <w:proofErr w:type="gramEnd"/>
          </w:p>
        </w:tc>
        <w:tc>
          <w:tcPr>
            <w:tcW w:w="951" w:type="pct"/>
            <w:gridSpan w:val="2"/>
            <w:vAlign w:val="center"/>
          </w:tcPr>
          <w:p w14:paraId="0CF5142F" w14:textId="77777777" w:rsidR="00D95C2B" w:rsidRPr="006F283B" w:rsidRDefault="00D95C2B" w:rsidP="00372EA1">
            <w:pPr>
              <w:keepNext/>
              <w:keepLines/>
              <w:spacing w:before="0"/>
              <w:jc w:val="center"/>
              <w:rPr>
                <w:sz w:val="20"/>
                <w:szCs w:val="20"/>
                <w:lang w:val="en-AU"/>
              </w:rPr>
            </w:pPr>
            <w:r w:rsidRPr="006F283B">
              <w:rPr>
                <w:sz w:val="20"/>
                <w:szCs w:val="20"/>
                <w:lang w:val="en-AU"/>
              </w:rPr>
              <w:t>0.45 (0.322, 0.641)</w:t>
            </w:r>
          </w:p>
        </w:tc>
        <w:tc>
          <w:tcPr>
            <w:tcW w:w="1032" w:type="pct"/>
            <w:gridSpan w:val="2"/>
            <w:vAlign w:val="center"/>
          </w:tcPr>
          <w:p w14:paraId="31140F37" w14:textId="77777777" w:rsidR="00D95C2B" w:rsidRPr="006F283B" w:rsidRDefault="00D95C2B" w:rsidP="00372EA1">
            <w:pPr>
              <w:keepNext/>
              <w:keepLines/>
              <w:spacing w:before="0"/>
              <w:jc w:val="center"/>
              <w:rPr>
                <w:sz w:val="20"/>
                <w:szCs w:val="20"/>
                <w:lang w:val="en-AU"/>
              </w:rPr>
            </w:pPr>
            <w:r w:rsidRPr="006F283B">
              <w:rPr>
                <w:sz w:val="20"/>
                <w:szCs w:val="20"/>
                <w:lang w:val="en-AU"/>
              </w:rPr>
              <w:t>0.31 (0.20, 0.47)</w:t>
            </w:r>
          </w:p>
        </w:tc>
        <w:tc>
          <w:tcPr>
            <w:tcW w:w="1093" w:type="pct"/>
            <w:gridSpan w:val="2"/>
            <w:shd w:val="clear" w:color="auto" w:fill="auto"/>
            <w:vAlign w:val="center"/>
          </w:tcPr>
          <w:p w14:paraId="69987709" w14:textId="77777777" w:rsidR="00D95C2B" w:rsidRPr="006F283B" w:rsidRDefault="00D95C2B" w:rsidP="00372EA1">
            <w:pPr>
              <w:keepNext/>
              <w:keepLines/>
              <w:spacing w:before="0"/>
              <w:jc w:val="center"/>
              <w:rPr>
                <w:sz w:val="20"/>
                <w:szCs w:val="20"/>
                <w:lang w:val="en-AU"/>
              </w:rPr>
            </w:pPr>
            <w:r w:rsidRPr="006F283B">
              <w:rPr>
                <w:sz w:val="20"/>
                <w:szCs w:val="20"/>
                <w:lang w:val="en-AU"/>
              </w:rPr>
              <w:t>0.37 (0.23, 0.59)</w:t>
            </w:r>
          </w:p>
        </w:tc>
      </w:tr>
      <w:tr w:rsidR="00952AD6" w:rsidRPr="006F283B" w14:paraId="6175F829" w14:textId="77777777" w:rsidTr="00952AD6">
        <w:tc>
          <w:tcPr>
            <w:tcW w:w="410" w:type="pct"/>
            <w:vMerge w:val="restart"/>
            <w:shd w:val="clear" w:color="auto" w:fill="A6A6A6" w:themeFill="background1" w:themeFillShade="A6"/>
            <w:vAlign w:val="center"/>
          </w:tcPr>
          <w:p w14:paraId="5127629F" w14:textId="20774006" w:rsidR="00D95C2B" w:rsidRPr="006F283B" w:rsidRDefault="007B562D" w:rsidP="00372EA1">
            <w:pPr>
              <w:keepNext/>
              <w:keepLines/>
              <w:spacing w:before="0"/>
              <w:jc w:val="left"/>
              <w:rPr>
                <w:sz w:val="20"/>
                <w:szCs w:val="20"/>
                <w:lang w:val="en-AU"/>
              </w:rPr>
            </w:pPr>
            <w:r>
              <w:rPr>
                <w:sz w:val="20"/>
                <w:szCs w:val="20"/>
                <w:lang w:val="en-AU"/>
              </w:rPr>
              <w:t>HRD positive</w:t>
            </w:r>
            <w:r w:rsidR="00D95C2B" w:rsidRPr="006F283B">
              <w:rPr>
                <w:sz w:val="20"/>
                <w:szCs w:val="20"/>
                <w:lang w:val="en-AU"/>
              </w:rPr>
              <w:t xml:space="preserve"> </w:t>
            </w:r>
            <w:r w:rsidR="001152C0" w:rsidRPr="001152C0">
              <w:rPr>
                <w:i/>
                <w:iCs/>
                <w:sz w:val="20"/>
                <w:szCs w:val="20"/>
                <w:lang w:val="en-AU"/>
              </w:rPr>
              <w:t>BRCAwt</w:t>
            </w:r>
          </w:p>
        </w:tc>
        <w:tc>
          <w:tcPr>
            <w:tcW w:w="566" w:type="pct"/>
            <w:shd w:val="clear" w:color="auto" w:fill="A6A6A6" w:themeFill="background1" w:themeFillShade="A6"/>
            <w:vAlign w:val="center"/>
          </w:tcPr>
          <w:p w14:paraId="6EFF4C2B" w14:textId="77777777" w:rsidR="00D95C2B" w:rsidRPr="006F283B" w:rsidRDefault="00D95C2B" w:rsidP="00372EA1">
            <w:pPr>
              <w:keepNext/>
              <w:keepLines/>
              <w:spacing w:before="0"/>
              <w:jc w:val="left"/>
              <w:rPr>
                <w:sz w:val="20"/>
                <w:szCs w:val="20"/>
                <w:lang w:val="en-AU"/>
              </w:rPr>
            </w:pPr>
            <w:r w:rsidRPr="006F283B">
              <w:rPr>
                <w:sz w:val="20"/>
                <w:szCs w:val="20"/>
                <w:lang w:val="en-AU"/>
              </w:rPr>
              <w:t>Events/N</w:t>
            </w:r>
          </w:p>
        </w:tc>
        <w:tc>
          <w:tcPr>
            <w:tcW w:w="465" w:type="pct"/>
            <w:shd w:val="clear" w:color="auto" w:fill="A6A6A6" w:themeFill="background1" w:themeFillShade="A6"/>
            <w:vAlign w:val="center"/>
          </w:tcPr>
          <w:p w14:paraId="531A08BA" w14:textId="44DA41AD" w:rsidR="00D95C2B" w:rsidRPr="006F283B" w:rsidRDefault="00D95C2B" w:rsidP="00372EA1">
            <w:pPr>
              <w:keepNext/>
              <w:keepLines/>
              <w:spacing w:before="0"/>
              <w:jc w:val="center"/>
              <w:rPr>
                <w:sz w:val="20"/>
                <w:szCs w:val="20"/>
                <w:lang w:val="en-AU"/>
              </w:rPr>
            </w:pPr>
            <w:r w:rsidRPr="006F283B">
              <w:rPr>
                <w:sz w:val="20"/>
                <w:szCs w:val="20"/>
                <w:lang w:val="en-AU"/>
              </w:rPr>
              <w:t>39/95</w:t>
            </w:r>
            <w:r w:rsidR="00F30289">
              <w:rPr>
                <w:sz w:val="20"/>
                <w:szCs w:val="20"/>
                <w:lang w:val="en-AU"/>
              </w:rPr>
              <w:t>*</w:t>
            </w:r>
          </w:p>
        </w:tc>
        <w:tc>
          <w:tcPr>
            <w:tcW w:w="484" w:type="pct"/>
            <w:gridSpan w:val="2"/>
            <w:shd w:val="clear" w:color="auto" w:fill="A6A6A6" w:themeFill="background1" w:themeFillShade="A6"/>
            <w:vAlign w:val="center"/>
          </w:tcPr>
          <w:p w14:paraId="28CDB232" w14:textId="57113C17" w:rsidR="00D95C2B" w:rsidRPr="006F283B" w:rsidRDefault="00D95C2B" w:rsidP="00372EA1">
            <w:pPr>
              <w:keepNext/>
              <w:keepLines/>
              <w:spacing w:before="0"/>
              <w:jc w:val="center"/>
              <w:rPr>
                <w:sz w:val="20"/>
                <w:szCs w:val="20"/>
                <w:lang w:val="en-AU"/>
              </w:rPr>
            </w:pPr>
            <w:r w:rsidRPr="006F283B">
              <w:rPr>
                <w:sz w:val="20"/>
                <w:szCs w:val="20"/>
                <w:lang w:val="en-AU"/>
              </w:rPr>
              <w:t>35/55</w:t>
            </w:r>
            <w:r w:rsidR="00F30289">
              <w:rPr>
                <w:sz w:val="20"/>
                <w:szCs w:val="20"/>
                <w:lang w:val="en-AU"/>
              </w:rPr>
              <w:t>*</w:t>
            </w:r>
          </w:p>
        </w:tc>
        <w:tc>
          <w:tcPr>
            <w:tcW w:w="475" w:type="pct"/>
            <w:shd w:val="clear" w:color="auto" w:fill="A6A6A6" w:themeFill="background1" w:themeFillShade="A6"/>
            <w:vAlign w:val="center"/>
          </w:tcPr>
          <w:p w14:paraId="7639EDD8" w14:textId="77777777" w:rsidR="00D95C2B" w:rsidRPr="006F283B" w:rsidRDefault="00D95C2B" w:rsidP="00372EA1">
            <w:pPr>
              <w:keepNext/>
              <w:keepLines/>
              <w:spacing w:before="0"/>
              <w:jc w:val="center"/>
              <w:rPr>
                <w:sz w:val="20"/>
                <w:szCs w:val="20"/>
                <w:lang w:val="en-AU"/>
              </w:rPr>
            </w:pPr>
            <w:r w:rsidRPr="006F283B">
              <w:rPr>
                <w:sz w:val="20"/>
                <w:szCs w:val="20"/>
                <w:lang w:val="en-AU"/>
              </w:rPr>
              <w:t>54/95</w:t>
            </w:r>
          </w:p>
        </w:tc>
        <w:tc>
          <w:tcPr>
            <w:tcW w:w="475" w:type="pct"/>
            <w:shd w:val="clear" w:color="auto" w:fill="A6A6A6" w:themeFill="background1" w:themeFillShade="A6"/>
            <w:vAlign w:val="center"/>
          </w:tcPr>
          <w:p w14:paraId="276674D3" w14:textId="77777777" w:rsidR="00D95C2B" w:rsidRPr="006F283B" w:rsidRDefault="00D95C2B" w:rsidP="00372EA1">
            <w:pPr>
              <w:keepNext/>
              <w:keepLines/>
              <w:spacing w:before="0"/>
              <w:jc w:val="center"/>
              <w:rPr>
                <w:sz w:val="20"/>
                <w:szCs w:val="20"/>
                <w:lang w:val="en-AU"/>
              </w:rPr>
            </w:pPr>
            <w:r w:rsidRPr="006F283B">
              <w:rPr>
                <w:sz w:val="20"/>
                <w:szCs w:val="20"/>
                <w:lang w:val="en-AU"/>
              </w:rPr>
              <w:t>43/55</w:t>
            </w:r>
          </w:p>
        </w:tc>
        <w:tc>
          <w:tcPr>
            <w:tcW w:w="514" w:type="pct"/>
            <w:shd w:val="clear" w:color="auto" w:fill="A6A6A6" w:themeFill="background1" w:themeFillShade="A6"/>
            <w:vAlign w:val="center"/>
          </w:tcPr>
          <w:p w14:paraId="209C9826" w14:textId="77777777" w:rsidR="00D95C2B" w:rsidRPr="006F283B" w:rsidRDefault="00D95C2B" w:rsidP="00372EA1">
            <w:pPr>
              <w:keepNext/>
              <w:keepLines/>
              <w:spacing w:before="0"/>
              <w:jc w:val="center"/>
              <w:rPr>
                <w:sz w:val="20"/>
                <w:szCs w:val="20"/>
                <w:lang w:val="en-AU"/>
              </w:rPr>
            </w:pPr>
            <w:r w:rsidRPr="006F283B">
              <w:rPr>
                <w:sz w:val="20"/>
                <w:szCs w:val="20"/>
                <w:lang w:val="en-AU"/>
              </w:rPr>
              <w:t>NR</w:t>
            </w:r>
          </w:p>
        </w:tc>
        <w:tc>
          <w:tcPr>
            <w:tcW w:w="518" w:type="pct"/>
            <w:shd w:val="clear" w:color="auto" w:fill="A6A6A6" w:themeFill="background1" w:themeFillShade="A6"/>
            <w:vAlign w:val="center"/>
          </w:tcPr>
          <w:p w14:paraId="3285A6F3" w14:textId="77777777" w:rsidR="00D95C2B" w:rsidRPr="006F283B" w:rsidRDefault="00D95C2B" w:rsidP="00372EA1">
            <w:pPr>
              <w:keepNext/>
              <w:keepLines/>
              <w:spacing w:before="0"/>
              <w:jc w:val="center"/>
              <w:rPr>
                <w:sz w:val="20"/>
                <w:szCs w:val="20"/>
                <w:lang w:val="en-AU"/>
              </w:rPr>
            </w:pPr>
            <w:r w:rsidRPr="006F283B">
              <w:rPr>
                <w:sz w:val="20"/>
                <w:szCs w:val="20"/>
                <w:lang w:val="en-AU"/>
              </w:rPr>
              <w:t>NR</w:t>
            </w:r>
          </w:p>
        </w:tc>
        <w:tc>
          <w:tcPr>
            <w:tcW w:w="546" w:type="pct"/>
            <w:shd w:val="clear" w:color="auto" w:fill="A6A6A6" w:themeFill="background1" w:themeFillShade="A6"/>
            <w:vAlign w:val="center"/>
          </w:tcPr>
          <w:p w14:paraId="4C627425" w14:textId="77777777" w:rsidR="00D95C2B" w:rsidRPr="006F283B" w:rsidRDefault="00D95C2B" w:rsidP="00372EA1">
            <w:pPr>
              <w:keepNext/>
              <w:keepLines/>
              <w:spacing w:before="0"/>
              <w:jc w:val="center"/>
              <w:rPr>
                <w:sz w:val="20"/>
                <w:szCs w:val="20"/>
                <w:lang w:val="en-AU"/>
              </w:rPr>
            </w:pPr>
            <w:r w:rsidRPr="006F283B">
              <w:rPr>
                <w:sz w:val="20"/>
                <w:szCs w:val="20"/>
                <w:lang w:val="en-AU"/>
              </w:rPr>
              <w:t>37/64</w:t>
            </w:r>
          </w:p>
        </w:tc>
        <w:tc>
          <w:tcPr>
            <w:tcW w:w="546" w:type="pct"/>
            <w:shd w:val="clear" w:color="auto" w:fill="A6A6A6" w:themeFill="background1" w:themeFillShade="A6"/>
            <w:vAlign w:val="center"/>
          </w:tcPr>
          <w:p w14:paraId="780E8E4C" w14:textId="77777777" w:rsidR="00D95C2B" w:rsidRPr="006F283B" w:rsidRDefault="00D95C2B" w:rsidP="00372EA1">
            <w:pPr>
              <w:keepNext/>
              <w:keepLines/>
              <w:spacing w:before="0"/>
              <w:jc w:val="center"/>
              <w:rPr>
                <w:sz w:val="20"/>
                <w:szCs w:val="20"/>
                <w:lang w:val="en-AU"/>
              </w:rPr>
            </w:pPr>
            <w:r w:rsidRPr="006F283B">
              <w:rPr>
                <w:sz w:val="20"/>
                <w:szCs w:val="20"/>
                <w:lang w:val="en-AU"/>
              </w:rPr>
              <w:t>30/37</w:t>
            </w:r>
          </w:p>
        </w:tc>
      </w:tr>
      <w:tr w:rsidR="00952AD6" w:rsidRPr="006F283B" w14:paraId="7A8CAAA2" w14:textId="77777777" w:rsidTr="00952AD6">
        <w:tc>
          <w:tcPr>
            <w:tcW w:w="410" w:type="pct"/>
            <w:vMerge/>
            <w:shd w:val="clear" w:color="auto" w:fill="A6A6A6" w:themeFill="background1" w:themeFillShade="A6"/>
            <w:vAlign w:val="center"/>
          </w:tcPr>
          <w:p w14:paraId="05BE3529" w14:textId="77777777" w:rsidR="00D95C2B" w:rsidRPr="006F283B" w:rsidRDefault="00D95C2B" w:rsidP="00372EA1">
            <w:pPr>
              <w:keepNext/>
              <w:keepLines/>
              <w:spacing w:before="0"/>
              <w:jc w:val="left"/>
              <w:rPr>
                <w:sz w:val="20"/>
                <w:szCs w:val="20"/>
                <w:lang w:val="en-AU"/>
              </w:rPr>
            </w:pPr>
          </w:p>
        </w:tc>
        <w:tc>
          <w:tcPr>
            <w:tcW w:w="566" w:type="pct"/>
            <w:shd w:val="clear" w:color="auto" w:fill="A6A6A6" w:themeFill="background1" w:themeFillShade="A6"/>
            <w:vAlign w:val="center"/>
          </w:tcPr>
          <w:p w14:paraId="6D0A0776" w14:textId="77777777" w:rsidR="00D95C2B" w:rsidRPr="006F283B" w:rsidRDefault="00D95C2B" w:rsidP="00372EA1">
            <w:pPr>
              <w:keepNext/>
              <w:keepLines/>
              <w:spacing w:before="0"/>
              <w:jc w:val="left"/>
              <w:rPr>
                <w:sz w:val="20"/>
                <w:szCs w:val="20"/>
                <w:lang w:val="en-AU"/>
              </w:rPr>
            </w:pPr>
            <w:r w:rsidRPr="006F283B">
              <w:rPr>
                <w:sz w:val="20"/>
                <w:szCs w:val="20"/>
                <w:lang w:val="en-AU"/>
              </w:rPr>
              <w:t>Median, months</w:t>
            </w:r>
          </w:p>
        </w:tc>
        <w:tc>
          <w:tcPr>
            <w:tcW w:w="465" w:type="pct"/>
            <w:shd w:val="clear" w:color="auto" w:fill="A6A6A6" w:themeFill="background1" w:themeFillShade="A6"/>
            <w:vAlign w:val="center"/>
          </w:tcPr>
          <w:p w14:paraId="34CD2218" w14:textId="77777777" w:rsidR="00D95C2B" w:rsidRPr="006F283B" w:rsidRDefault="00D95C2B" w:rsidP="00372EA1">
            <w:pPr>
              <w:keepNext/>
              <w:keepLines/>
              <w:spacing w:before="0"/>
              <w:jc w:val="center"/>
              <w:rPr>
                <w:sz w:val="20"/>
                <w:szCs w:val="20"/>
                <w:lang w:val="en-AU"/>
              </w:rPr>
            </w:pPr>
            <w:r w:rsidRPr="006F283B">
              <w:rPr>
                <w:sz w:val="20"/>
                <w:szCs w:val="20"/>
                <w:lang w:val="en-AU"/>
              </w:rPr>
              <w:t>16.6</w:t>
            </w:r>
          </w:p>
          <w:p w14:paraId="3CA1BFAC" w14:textId="6DB98308" w:rsidR="00D95C2B" w:rsidRPr="006F283B" w:rsidRDefault="00D95C2B" w:rsidP="00372EA1">
            <w:pPr>
              <w:keepNext/>
              <w:keepLines/>
              <w:spacing w:before="0"/>
              <w:jc w:val="center"/>
              <w:rPr>
                <w:sz w:val="20"/>
                <w:szCs w:val="20"/>
                <w:lang w:val="en-AU"/>
              </w:rPr>
            </w:pPr>
            <w:r w:rsidRPr="006F283B">
              <w:rPr>
                <w:sz w:val="20"/>
                <w:szCs w:val="20"/>
                <w:lang w:val="en-AU"/>
              </w:rPr>
              <w:t xml:space="preserve">(11.9, </w:t>
            </w:r>
            <w:proofErr w:type="gramStart"/>
            <w:r w:rsidRPr="006F283B">
              <w:rPr>
                <w:sz w:val="20"/>
                <w:szCs w:val="20"/>
                <w:lang w:val="en-AU"/>
              </w:rPr>
              <w:t>NE)</w:t>
            </w:r>
            <w:r w:rsidR="00F30289">
              <w:rPr>
                <w:sz w:val="20"/>
                <w:szCs w:val="20"/>
                <w:lang w:val="en-AU"/>
              </w:rPr>
              <w:t>*</w:t>
            </w:r>
            <w:proofErr w:type="gramEnd"/>
          </w:p>
        </w:tc>
        <w:tc>
          <w:tcPr>
            <w:tcW w:w="484" w:type="pct"/>
            <w:gridSpan w:val="2"/>
            <w:shd w:val="clear" w:color="auto" w:fill="A6A6A6" w:themeFill="background1" w:themeFillShade="A6"/>
            <w:vAlign w:val="center"/>
          </w:tcPr>
          <w:p w14:paraId="2442F1DE" w14:textId="77777777" w:rsidR="00D95C2B" w:rsidRPr="006F283B" w:rsidRDefault="00D95C2B" w:rsidP="00372EA1">
            <w:pPr>
              <w:keepNext/>
              <w:keepLines/>
              <w:spacing w:before="0"/>
              <w:jc w:val="center"/>
              <w:rPr>
                <w:sz w:val="20"/>
                <w:szCs w:val="20"/>
                <w:lang w:val="en-AU"/>
              </w:rPr>
            </w:pPr>
            <w:r w:rsidRPr="006F283B">
              <w:rPr>
                <w:sz w:val="20"/>
                <w:szCs w:val="20"/>
                <w:lang w:val="en-AU"/>
              </w:rPr>
              <w:t>10.4</w:t>
            </w:r>
          </w:p>
          <w:p w14:paraId="374596F5" w14:textId="3FF27255" w:rsidR="00D95C2B" w:rsidRPr="006F283B" w:rsidRDefault="00D95C2B" w:rsidP="00372EA1">
            <w:pPr>
              <w:keepNext/>
              <w:keepLines/>
              <w:spacing w:before="0"/>
              <w:jc w:val="center"/>
              <w:rPr>
                <w:sz w:val="20"/>
                <w:szCs w:val="20"/>
                <w:lang w:val="en-AU"/>
              </w:rPr>
            </w:pPr>
            <w:r w:rsidRPr="006F283B">
              <w:rPr>
                <w:sz w:val="20"/>
                <w:szCs w:val="20"/>
                <w:lang w:val="en-AU"/>
              </w:rPr>
              <w:t xml:space="preserve">(7.0, </w:t>
            </w:r>
            <w:proofErr w:type="gramStart"/>
            <w:r w:rsidRPr="006F283B">
              <w:rPr>
                <w:sz w:val="20"/>
                <w:szCs w:val="20"/>
                <w:lang w:val="en-AU"/>
              </w:rPr>
              <w:t>12.9)</w:t>
            </w:r>
            <w:r w:rsidR="00F30289">
              <w:rPr>
                <w:sz w:val="20"/>
                <w:szCs w:val="20"/>
                <w:lang w:val="en-AU"/>
              </w:rPr>
              <w:t>*</w:t>
            </w:r>
            <w:proofErr w:type="gramEnd"/>
          </w:p>
        </w:tc>
        <w:tc>
          <w:tcPr>
            <w:tcW w:w="475" w:type="pct"/>
            <w:shd w:val="clear" w:color="auto" w:fill="A6A6A6" w:themeFill="background1" w:themeFillShade="A6"/>
            <w:vAlign w:val="center"/>
          </w:tcPr>
          <w:p w14:paraId="03BD0F85" w14:textId="77777777" w:rsidR="00D95C2B" w:rsidRPr="006F283B" w:rsidRDefault="00D95C2B" w:rsidP="00372EA1">
            <w:pPr>
              <w:keepNext/>
              <w:keepLines/>
              <w:spacing w:before="0"/>
              <w:jc w:val="center"/>
              <w:rPr>
                <w:sz w:val="20"/>
                <w:szCs w:val="20"/>
                <w:lang w:val="en-AU"/>
              </w:rPr>
            </w:pPr>
            <w:r w:rsidRPr="006F283B">
              <w:rPr>
                <w:sz w:val="20"/>
                <w:szCs w:val="20"/>
                <w:lang w:val="en-AU"/>
              </w:rPr>
              <w:t>19.4</w:t>
            </w:r>
          </w:p>
          <w:p w14:paraId="070924FB" w14:textId="77777777" w:rsidR="00D95C2B" w:rsidRPr="006F283B" w:rsidRDefault="00D95C2B" w:rsidP="00372EA1">
            <w:pPr>
              <w:keepNext/>
              <w:keepLines/>
              <w:spacing w:before="0"/>
              <w:jc w:val="center"/>
              <w:rPr>
                <w:sz w:val="20"/>
                <w:szCs w:val="20"/>
                <w:lang w:val="en-AU"/>
              </w:rPr>
            </w:pPr>
            <w:r w:rsidRPr="006F283B">
              <w:rPr>
                <w:sz w:val="20"/>
                <w:szCs w:val="20"/>
                <w:lang w:val="en-AU"/>
              </w:rPr>
              <w:t>(12.5, 33.5)</w:t>
            </w:r>
          </w:p>
        </w:tc>
        <w:tc>
          <w:tcPr>
            <w:tcW w:w="475" w:type="pct"/>
            <w:shd w:val="clear" w:color="auto" w:fill="A6A6A6" w:themeFill="background1" w:themeFillShade="A6"/>
            <w:vAlign w:val="center"/>
          </w:tcPr>
          <w:p w14:paraId="04DC657D" w14:textId="77777777" w:rsidR="00D95C2B" w:rsidRPr="006F283B" w:rsidRDefault="00D95C2B" w:rsidP="00372EA1">
            <w:pPr>
              <w:keepNext/>
              <w:keepLines/>
              <w:spacing w:before="0"/>
              <w:jc w:val="center"/>
              <w:rPr>
                <w:sz w:val="20"/>
                <w:szCs w:val="20"/>
                <w:lang w:val="en-AU"/>
              </w:rPr>
            </w:pPr>
            <w:r w:rsidRPr="006F283B">
              <w:rPr>
                <w:sz w:val="20"/>
                <w:szCs w:val="20"/>
                <w:lang w:val="en-AU"/>
              </w:rPr>
              <w:t>10.4</w:t>
            </w:r>
          </w:p>
          <w:p w14:paraId="162E17A6" w14:textId="77777777" w:rsidR="00D95C2B" w:rsidRPr="006F283B" w:rsidRDefault="00D95C2B" w:rsidP="00372EA1">
            <w:pPr>
              <w:keepNext/>
              <w:keepLines/>
              <w:spacing w:before="0"/>
              <w:jc w:val="center"/>
              <w:rPr>
                <w:sz w:val="20"/>
                <w:szCs w:val="20"/>
                <w:lang w:val="en-AU"/>
              </w:rPr>
            </w:pPr>
            <w:r w:rsidRPr="006F283B">
              <w:rPr>
                <w:sz w:val="20"/>
                <w:szCs w:val="20"/>
                <w:lang w:val="en-AU"/>
              </w:rPr>
              <w:t>(7.0,13.7)</w:t>
            </w:r>
          </w:p>
        </w:tc>
        <w:tc>
          <w:tcPr>
            <w:tcW w:w="514" w:type="pct"/>
            <w:shd w:val="clear" w:color="auto" w:fill="A6A6A6" w:themeFill="background1" w:themeFillShade="A6"/>
            <w:vAlign w:val="center"/>
          </w:tcPr>
          <w:p w14:paraId="014DE75E" w14:textId="77777777" w:rsidR="00D95C2B" w:rsidRPr="006F283B" w:rsidRDefault="00D95C2B" w:rsidP="00372EA1">
            <w:pPr>
              <w:keepNext/>
              <w:keepLines/>
              <w:spacing w:before="0"/>
              <w:jc w:val="center"/>
              <w:rPr>
                <w:sz w:val="20"/>
                <w:szCs w:val="20"/>
                <w:lang w:val="en-AU"/>
              </w:rPr>
            </w:pPr>
            <w:r w:rsidRPr="006F283B">
              <w:rPr>
                <w:sz w:val="20"/>
                <w:szCs w:val="20"/>
                <w:lang w:val="en-AU"/>
              </w:rPr>
              <w:t>28.1 (NR)</w:t>
            </w:r>
          </w:p>
        </w:tc>
        <w:tc>
          <w:tcPr>
            <w:tcW w:w="518" w:type="pct"/>
            <w:shd w:val="clear" w:color="auto" w:fill="A6A6A6" w:themeFill="background1" w:themeFillShade="A6"/>
            <w:vAlign w:val="center"/>
          </w:tcPr>
          <w:p w14:paraId="24B1AD22" w14:textId="77777777" w:rsidR="00D95C2B" w:rsidRPr="006F283B" w:rsidRDefault="00D95C2B" w:rsidP="00372EA1">
            <w:pPr>
              <w:keepNext/>
              <w:keepLines/>
              <w:spacing w:before="0"/>
              <w:jc w:val="center"/>
              <w:rPr>
                <w:sz w:val="20"/>
                <w:szCs w:val="20"/>
                <w:lang w:val="en-AU"/>
              </w:rPr>
            </w:pPr>
            <w:r w:rsidRPr="006F283B">
              <w:rPr>
                <w:sz w:val="20"/>
                <w:szCs w:val="20"/>
                <w:lang w:val="en-AU"/>
              </w:rPr>
              <w:t>16.6 (NR)</w:t>
            </w:r>
          </w:p>
        </w:tc>
        <w:tc>
          <w:tcPr>
            <w:tcW w:w="546" w:type="pct"/>
            <w:shd w:val="clear" w:color="auto" w:fill="A6A6A6" w:themeFill="background1" w:themeFillShade="A6"/>
            <w:vAlign w:val="center"/>
          </w:tcPr>
          <w:p w14:paraId="4F4BBCBB" w14:textId="77777777" w:rsidR="00D95C2B" w:rsidRPr="006F283B" w:rsidRDefault="00D95C2B" w:rsidP="00372EA1">
            <w:pPr>
              <w:keepNext/>
              <w:keepLines/>
              <w:spacing w:before="0"/>
              <w:jc w:val="center"/>
              <w:rPr>
                <w:sz w:val="20"/>
                <w:szCs w:val="20"/>
                <w:lang w:val="en-AU"/>
              </w:rPr>
            </w:pPr>
            <w:r w:rsidRPr="006F283B">
              <w:rPr>
                <w:sz w:val="20"/>
                <w:szCs w:val="20"/>
                <w:lang w:val="en-AU"/>
              </w:rPr>
              <w:t>20.3 (NR)</w:t>
            </w:r>
          </w:p>
        </w:tc>
        <w:tc>
          <w:tcPr>
            <w:tcW w:w="546" w:type="pct"/>
            <w:shd w:val="clear" w:color="auto" w:fill="A6A6A6" w:themeFill="background1" w:themeFillShade="A6"/>
            <w:vAlign w:val="center"/>
          </w:tcPr>
          <w:p w14:paraId="27942CF0" w14:textId="77777777" w:rsidR="00D95C2B" w:rsidRPr="006F283B" w:rsidRDefault="00D95C2B" w:rsidP="00372EA1">
            <w:pPr>
              <w:keepNext/>
              <w:keepLines/>
              <w:spacing w:before="0"/>
              <w:jc w:val="center"/>
              <w:rPr>
                <w:sz w:val="20"/>
                <w:szCs w:val="20"/>
                <w:lang w:val="en-AU"/>
              </w:rPr>
            </w:pPr>
            <w:r w:rsidRPr="006F283B">
              <w:rPr>
                <w:sz w:val="20"/>
                <w:szCs w:val="20"/>
                <w:lang w:val="en-AU"/>
              </w:rPr>
              <w:t>15.4 (NR)</w:t>
            </w:r>
          </w:p>
        </w:tc>
      </w:tr>
      <w:tr w:rsidR="00D95C2B" w:rsidRPr="006F283B" w14:paraId="29294E35" w14:textId="77777777" w:rsidTr="00952AD6">
        <w:tc>
          <w:tcPr>
            <w:tcW w:w="410" w:type="pct"/>
            <w:vMerge/>
            <w:shd w:val="clear" w:color="auto" w:fill="A6A6A6" w:themeFill="background1" w:themeFillShade="A6"/>
            <w:vAlign w:val="center"/>
          </w:tcPr>
          <w:p w14:paraId="017AF294" w14:textId="77777777" w:rsidR="00D95C2B" w:rsidRPr="006F283B" w:rsidRDefault="00D95C2B" w:rsidP="00372EA1">
            <w:pPr>
              <w:keepNext/>
              <w:keepLines/>
              <w:spacing w:before="0"/>
              <w:jc w:val="left"/>
              <w:rPr>
                <w:sz w:val="20"/>
                <w:szCs w:val="20"/>
                <w:lang w:val="en-AU"/>
              </w:rPr>
            </w:pPr>
          </w:p>
        </w:tc>
        <w:tc>
          <w:tcPr>
            <w:tcW w:w="566" w:type="pct"/>
            <w:shd w:val="clear" w:color="auto" w:fill="A6A6A6" w:themeFill="background1" w:themeFillShade="A6"/>
            <w:vAlign w:val="center"/>
          </w:tcPr>
          <w:p w14:paraId="64B8D6A1" w14:textId="77777777" w:rsidR="00D95C2B" w:rsidRPr="006F283B" w:rsidRDefault="00D95C2B" w:rsidP="00372EA1">
            <w:pPr>
              <w:keepNext/>
              <w:keepLines/>
              <w:spacing w:before="0"/>
              <w:jc w:val="left"/>
              <w:rPr>
                <w:sz w:val="20"/>
                <w:szCs w:val="20"/>
                <w:lang w:val="en-AU"/>
              </w:rPr>
            </w:pPr>
            <w:r w:rsidRPr="006F283B">
              <w:rPr>
                <w:sz w:val="20"/>
                <w:szCs w:val="20"/>
                <w:lang w:val="en-AU"/>
              </w:rPr>
              <w:t>HR (95% CI)</w:t>
            </w:r>
          </w:p>
        </w:tc>
        <w:tc>
          <w:tcPr>
            <w:tcW w:w="949" w:type="pct"/>
            <w:gridSpan w:val="3"/>
            <w:shd w:val="clear" w:color="auto" w:fill="A6A6A6" w:themeFill="background1" w:themeFillShade="A6"/>
            <w:vAlign w:val="center"/>
          </w:tcPr>
          <w:p w14:paraId="220EC78B" w14:textId="6E6208A2" w:rsidR="00D95C2B" w:rsidRPr="006F283B" w:rsidRDefault="00D95C2B" w:rsidP="00372EA1">
            <w:pPr>
              <w:keepNext/>
              <w:keepLines/>
              <w:spacing w:before="0"/>
              <w:jc w:val="center"/>
              <w:rPr>
                <w:sz w:val="20"/>
                <w:szCs w:val="20"/>
                <w:lang w:val="en-AU"/>
              </w:rPr>
            </w:pPr>
            <w:r w:rsidRPr="006F283B">
              <w:rPr>
                <w:sz w:val="20"/>
                <w:szCs w:val="20"/>
                <w:lang w:val="en-AU"/>
              </w:rPr>
              <w:t xml:space="preserve">0.60 (0.374, </w:t>
            </w:r>
            <w:proofErr w:type="gramStart"/>
            <w:r w:rsidRPr="006F283B">
              <w:rPr>
                <w:sz w:val="20"/>
                <w:szCs w:val="20"/>
                <w:lang w:val="en-AU"/>
              </w:rPr>
              <w:t>0.954)</w:t>
            </w:r>
            <w:r w:rsidR="00F30289">
              <w:rPr>
                <w:sz w:val="20"/>
                <w:szCs w:val="20"/>
                <w:lang w:val="en-AU"/>
              </w:rPr>
              <w:t>*</w:t>
            </w:r>
            <w:proofErr w:type="gramEnd"/>
          </w:p>
        </w:tc>
        <w:tc>
          <w:tcPr>
            <w:tcW w:w="951" w:type="pct"/>
            <w:gridSpan w:val="2"/>
            <w:shd w:val="clear" w:color="auto" w:fill="A6A6A6" w:themeFill="background1" w:themeFillShade="A6"/>
            <w:vAlign w:val="center"/>
          </w:tcPr>
          <w:p w14:paraId="2C09D166" w14:textId="77777777" w:rsidR="00D95C2B" w:rsidRPr="006F283B" w:rsidRDefault="00D95C2B" w:rsidP="00372EA1">
            <w:pPr>
              <w:keepNext/>
              <w:keepLines/>
              <w:spacing w:before="0"/>
              <w:jc w:val="center"/>
              <w:rPr>
                <w:sz w:val="20"/>
                <w:szCs w:val="20"/>
                <w:lang w:val="en-AU"/>
              </w:rPr>
            </w:pPr>
            <w:r w:rsidRPr="006F283B">
              <w:rPr>
                <w:sz w:val="20"/>
                <w:szCs w:val="20"/>
                <w:lang w:val="en-AU"/>
              </w:rPr>
              <w:t>0.66 (0.437, 0.999)</w:t>
            </w:r>
          </w:p>
        </w:tc>
        <w:tc>
          <w:tcPr>
            <w:tcW w:w="1032" w:type="pct"/>
            <w:gridSpan w:val="2"/>
            <w:shd w:val="clear" w:color="auto" w:fill="A6A6A6" w:themeFill="background1" w:themeFillShade="A6"/>
            <w:vAlign w:val="center"/>
          </w:tcPr>
          <w:p w14:paraId="0FB30ED9" w14:textId="77777777" w:rsidR="00D95C2B" w:rsidRPr="006F283B" w:rsidRDefault="00D95C2B" w:rsidP="00372EA1">
            <w:pPr>
              <w:keepNext/>
              <w:keepLines/>
              <w:spacing w:before="0"/>
              <w:jc w:val="center"/>
              <w:rPr>
                <w:sz w:val="20"/>
                <w:szCs w:val="20"/>
                <w:lang w:val="en-AU"/>
              </w:rPr>
            </w:pPr>
            <w:r w:rsidRPr="006F283B">
              <w:rPr>
                <w:sz w:val="20"/>
                <w:szCs w:val="20"/>
                <w:lang w:val="en-AU"/>
              </w:rPr>
              <w:t>0.43 (0.28, 0.66)</w:t>
            </w:r>
          </w:p>
        </w:tc>
        <w:tc>
          <w:tcPr>
            <w:tcW w:w="1093" w:type="pct"/>
            <w:gridSpan w:val="2"/>
            <w:shd w:val="clear" w:color="auto" w:fill="A6A6A6" w:themeFill="background1" w:themeFillShade="A6"/>
            <w:vAlign w:val="center"/>
          </w:tcPr>
          <w:p w14:paraId="634D57AC" w14:textId="77777777" w:rsidR="00D95C2B" w:rsidRPr="006F283B" w:rsidRDefault="00D95C2B" w:rsidP="00372EA1">
            <w:pPr>
              <w:keepNext/>
              <w:keepLines/>
              <w:spacing w:before="0"/>
              <w:jc w:val="center"/>
              <w:rPr>
                <w:sz w:val="20"/>
                <w:szCs w:val="20"/>
                <w:lang w:val="en-AU"/>
              </w:rPr>
            </w:pPr>
            <w:r w:rsidRPr="006F283B">
              <w:rPr>
                <w:sz w:val="20"/>
                <w:szCs w:val="20"/>
                <w:lang w:val="en-AU"/>
              </w:rPr>
              <w:t>0.51 (0.31, 0.83)</w:t>
            </w:r>
          </w:p>
        </w:tc>
      </w:tr>
      <w:tr w:rsidR="00D95C2B" w:rsidRPr="006F283B" w14:paraId="06B0066E" w14:textId="77777777" w:rsidTr="00372EA1">
        <w:tc>
          <w:tcPr>
            <w:tcW w:w="410" w:type="pct"/>
            <w:vMerge w:val="restart"/>
            <w:vAlign w:val="center"/>
          </w:tcPr>
          <w:p w14:paraId="30AA103C" w14:textId="77777777" w:rsidR="00D95C2B" w:rsidRPr="006F283B" w:rsidRDefault="00D95C2B" w:rsidP="00372EA1">
            <w:pPr>
              <w:keepNext/>
              <w:keepLines/>
              <w:spacing w:before="0"/>
              <w:jc w:val="left"/>
              <w:rPr>
                <w:sz w:val="20"/>
                <w:szCs w:val="20"/>
                <w:lang w:val="en-AU"/>
              </w:rPr>
            </w:pPr>
            <w:r w:rsidRPr="006F283B">
              <w:rPr>
                <w:sz w:val="20"/>
                <w:szCs w:val="20"/>
                <w:lang w:val="en-AU"/>
              </w:rPr>
              <w:t>HRD-negative</w:t>
            </w:r>
          </w:p>
        </w:tc>
        <w:tc>
          <w:tcPr>
            <w:tcW w:w="566" w:type="pct"/>
            <w:vAlign w:val="center"/>
          </w:tcPr>
          <w:p w14:paraId="073DA47E" w14:textId="77777777" w:rsidR="00D95C2B" w:rsidRPr="006F283B" w:rsidRDefault="00D95C2B" w:rsidP="00372EA1">
            <w:pPr>
              <w:keepNext/>
              <w:keepLines/>
              <w:spacing w:before="0"/>
              <w:jc w:val="left"/>
              <w:rPr>
                <w:sz w:val="20"/>
                <w:szCs w:val="20"/>
                <w:lang w:val="en-AU"/>
              </w:rPr>
            </w:pPr>
            <w:r w:rsidRPr="006F283B">
              <w:rPr>
                <w:sz w:val="20"/>
                <w:szCs w:val="20"/>
                <w:lang w:val="en-AU"/>
              </w:rPr>
              <w:t>Events/N</w:t>
            </w:r>
          </w:p>
        </w:tc>
        <w:tc>
          <w:tcPr>
            <w:tcW w:w="465" w:type="pct"/>
            <w:vAlign w:val="center"/>
          </w:tcPr>
          <w:p w14:paraId="62DC2F51" w14:textId="0459B42B" w:rsidR="00D95C2B" w:rsidRPr="006F283B" w:rsidRDefault="00D95C2B" w:rsidP="00372EA1">
            <w:pPr>
              <w:keepNext/>
              <w:keepLines/>
              <w:spacing w:before="0"/>
              <w:jc w:val="center"/>
              <w:rPr>
                <w:sz w:val="20"/>
                <w:szCs w:val="20"/>
                <w:lang w:val="en-AU"/>
              </w:rPr>
            </w:pPr>
            <w:r w:rsidRPr="006F283B">
              <w:rPr>
                <w:sz w:val="20"/>
                <w:szCs w:val="20"/>
                <w:lang w:val="en-AU"/>
              </w:rPr>
              <w:t>118/169</w:t>
            </w:r>
            <w:r w:rsidR="00F30289">
              <w:rPr>
                <w:sz w:val="20"/>
                <w:szCs w:val="20"/>
                <w:lang w:val="en-AU"/>
              </w:rPr>
              <w:t>*</w:t>
            </w:r>
          </w:p>
        </w:tc>
        <w:tc>
          <w:tcPr>
            <w:tcW w:w="484" w:type="pct"/>
            <w:gridSpan w:val="2"/>
            <w:tcBorders>
              <w:bottom w:val="single" w:sz="4" w:space="0" w:color="auto"/>
            </w:tcBorders>
            <w:vAlign w:val="center"/>
          </w:tcPr>
          <w:p w14:paraId="34102373" w14:textId="1F35ABB1" w:rsidR="00D95C2B" w:rsidRPr="006F283B" w:rsidRDefault="00D95C2B" w:rsidP="00372EA1">
            <w:pPr>
              <w:keepNext/>
              <w:keepLines/>
              <w:spacing w:before="0"/>
              <w:jc w:val="center"/>
              <w:rPr>
                <w:sz w:val="20"/>
                <w:szCs w:val="20"/>
                <w:lang w:val="en-AU"/>
              </w:rPr>
            </w:pPr>
            <w:r w:rsidRPr="006F283B">
              <w:rPr>
                <w:sz w:val="20"/>
                <w:szCs w:val="20"/>
                <w:lang w:val="en-AU"/>
              </w:rPr>
              <w:t>61/80</w:t>
            </w:r>
            <w:r w:rsidR="00F30289">
              <w:rPr>
                <w:sz w:val="20"/>
                <w:szCs w:val="20"/>
                <w:lang w:val="en-AU"/>
              </w:rPr>
              <w:t>*</w:t>
            </w:r>
          </w:p>
        </w:tc>
        <w:tc>
          <w:tcPr>
            <w:tcW w:w="951" w:type="pct"/>
            <w:gridSpan w:val="2"/>
            <w:tcBorders>
              <w:bottom w:val="single" w:sz="4" w:space="0" w:color="auto"/>
            </w:tcBorders>
            <w:vAlign w:val="center"/>
          </w:tcPr>
          <w:p w14:paraId="6A2CB144" w14:textId="77777777" w:rsidR="00D95C2B" w:rsidRPr="006F283B" w:rsidRDefault="00D95C2B" w:rsidP="00372EA1">
            <w:pPr>
              <w:keepNext/>
              <w:keepLines/>
              <w:spacing w:before="0"/>
              <w:jc w:val="center"/>
              <w:rPr>
                <w:sz w:val="20"/>
                <w:szCs w:val="20"/>
                <w:lang w:val="en-AU"/>
              </w:rPr>
            </w:pPr>
            <w:r w:rsidRPr="006F283B">
              <w:rPr>
                <w:sz w:val="20"/>
                <w:szCs w:val="20"/>
                <w:lang w:val="en-AU"/>
              </w:rPr>
              <w:t>NR</w:t>
            </w:r>
          </w:p>
        </w:tc>
        <w:tc>
          <w:tcPr>
            <w:tcW w:w="514" w:type="pct"/>
            <w:tcBorders>
              <w:bottom w:val="single" w:sz="4" w:space="0" w:color="auto"/>
            </w:tcBorders>
            <w:vAlign w:val="center"/>
          </w:tcPr>
          <w:p w14:paraId="4F996A46" w14:textId="77777777" w:rsidR="00D95C2B" w:rsidRPr="006F283B" w:rsidRDefault="00D95C2B" w:rsidP="00372EA1">
            <w:pPr>
              <w:keepNext/>
              <w:keepLines/>
              <w:spacing w:before="0"/>
              <w:jc w:val="center"/>
              <w:rPr>
                <w:sz w:val="20"/>
                <w:szCs w:val="20"/>
                <w:lang w:val="en-AU"/>
              </w:rPr>
            </w:pPr>
            <w:r w:rsidRPr="006F283B">
              <w:rPr>
                <w:sz w:val="20"/>
                <w:szCs w:val="20"/>
                <w:lang w:val="en-AU"/>
              </w:rPr>
              <w:t>145/192</w:t>
            </w:r>
          </w:p>
        </w:tc>
        <w:tc>
          <w:tcPr>
            <w:tcW w:w="518" w:type="pct"/>
            <w:vAlign w:val="center"/>
          </w:tcPr>
          <w:p w14:paraId="4B8EE0D6" w14:textId="77777777" w:rsidR="00D95C2B" w:rsidRPr="006F283B" w:rsidRDefault="00D95C2B" w:rsidP="00372EA1">
            <w:pPr>
              <w:keepNext/>
              <w:keepLines/>
              <w:spacing w:before="0"/>
              <w:jc w:val="center"/>
              <w:rPr>
                <w:sz w:val="20"/>
                <w:szCs w:val="20"/>
                <w:lang w:val="en-AU"/>
              </w:rPr>
            </w:pPr>
            <w:r w:rsidRPr="006F283B">
              <w:rPr>
                <w:sz w:val="20"/>
                <w:szCs w:val="20"/>
                <w:lang w:val="en-AU"/>
              </w:rPr>
              <w:t>65/85</w:t>
            </w:r>
          </w:p>
        </w:tc>
        <w:tc>
          <w:tcPr>
            <w:tcW w:w="546" w:type="pct"/>
            <w:shd w:val="clear" w:color="auto" w:fill="auto"/>
            <w:vAlign w:val="center"/>
          </w:tcPr>
          <w:p w14:paraId="435450AD" w14:textId="77777777" w:rsidR="00D95C2B" w:rsidRPr="006F283B" w:rsidRDefault="00D95C2B" w:rsidP="00372EA1">
            <w:pPr>
              <w:keepNext/>
              <w:keepLines/>
              <w:spacing w:before="0"/>
              <w:jc w:val="center"/>
              <w:rPr>
                <w:sz w:val="20"/>
                <w:szCs w:val="20"/>
                <w:lang w:val="en-AU"/>
              </w:rPr>
            </w:pPr>
            <w:r w:rsidRPr="006F283B">
              <w:rPr>
                <w:sz w:val="20"/>
                <w:szCs w:val="20"/>
                <w:lang w:val="en-AU"/>
              </w:rPr>
              <w:t>117/144</w:t>
            </w:r>
          </w:p>
        </w:tc>
        <w:tc>
          <w:tcPr>
            <w:tcW w:w="546" w:type="pct"/>
            <w:shd w:val="clear" w:color="auto" w:fill="auto"/>
            <w:vAlign w:val="center"/>
          </w:tcPr>
          <w:p w14:paraId="14A7DC02" w14:textId="77777777" w:rsidR="00D95C2B" w:rsidRPr="006F283B" w:rsidRDefault="00D95C2B" w:rsidP="00372EA1">
            <w:pPr>
              <w:keepNext/>
              <w:keepLines/>
              <w:spacing w:before="0"/>
              <w:jc w:val="center"/>
              <w:rPr>
                <w:sz w:val="20"/>
                <w:szCs w:val="20"/>
                <w:lang w:val="en-AU"/>
              </w:rPr>
            </w:pPr>
            <w:r w:rsidRPr="006F283B">
              <w:rPr>
                <w:sz w:val="20"/>
                <w:szCs w:val="20"/>
                <w:lang w:val="en-AU"/>
              </w:rPr>
              <w:t>53/62</w:t>
            </w:r>
          </w:p>
        </w:tc>
      </w:tr>
      <w:tr w:rsidR="00D95C2B" w:rsidRPr="006F283B" w14:paraId="2BB9246F" w14:textId="77777777" w:rsidTr="00372EA1">
        <w:tc>
          <w:tcPr>
            <w:tcW w:w="410" w:type="pct"/>
            <w:vMerge/>
            <w:vAlign w:val="center"/>
          </w:tcPr>
          <w:p w14:paraId="29F36B4D" w14:textId="77777777" w:rsidR="00D95C2B" w:rsidRPr="006F283B" w:rsidRDefault="00D95C2B" w:rsidP="00372EA1">
            <w:pPr>
              <w:keepNext/>
              <w:keepLines/>
              <w:spacing w:before="0"/>
              <w:jc w:val="left"/>
              <w:rPr>
                <w:sz w:val="20"/>
                <w:szCs w:val="20"/>
                <w:lang w:val="en-AU"/>
              </w:rPr>
            </w:pPr>
          </w:p>
        </w:tc>
        <w:tc>
          <w:tcPr>
            <w:tcW w:w="566" w:type="pct"/>
            <w:vAlign w:val="center"/>
          </w:tcPr>
          <w:p w14:paraId="7A682B6E" w14:textId="77777777" w:rsidR="00D95C2B" w:rsidRPr="006F283B" w:rsidRDefault="00D95C2B" w:rsidP="00372EA1">
            <w:pPr>
              <w:keepNext/>
              <w:keepLines/>
              <w:spacing w:before="0"/>
              <w:jc w:val="left"/>
              <w:rPr>
                <w:sz w:val="20"/>
                <w:szCs w:val="20"/>
                <w:lang w:val="en-AU"/>
              </w:rPr>
            </w:pPr>
            <w:r w:rsidRPr="006F283B">
              <w:rPr>
                <w:sz w:val="20"/>
                <w:szCs w:val="20"/>
                <w:lang w:val="en-AU"/>
              </w:rPr>
              <w:t>Median, months</w:t>
            </w:r>
          </w:p>
        </w:tc>
        <w:tc>
          <w:tcPr>
            <w:tcW w:w="465" w:type="pct"/>
            <w:vAlign w:val="center"/>
          </w:tcPr>
          <w:p w14:paraId="09571F96" w14:textId="77777777" w:rsidR="00D95C2B" w:rsidRPr="006F283B" w:rsidRDefault="00D95C2B" w:rsidP="00372EA1">
            <w:pPr>
              <w:keepNext/>
              <w:keepLines/>
              <w:spacing w:before="0"/>
              <w:jc w:val="center"/>
              <w:rPr>
                <w:sz w:val="20"/>
                <w:szCs w:val="20"/>
                <w:lang w:val="en-AU"/>
              </w:rPr>
            </w:pPr>
            <w:r w:rsidRPr="006F283B">
              <w:rPr>
                <w:sz w:val="20"/>
                <w:szCs w:val="20"/>
                <w:lang w:val="en-AU"/>
              </w:rPr>
              <w:t>8.3</w:t>
            </w:r>
          </w:p>
          <w:p w14:paraId="6E638472" w14:textId="79FBC042" w:rsidR="00D95C2B" w:rsidRPr="006F283B" w:rsidRDefault="00D95C2B" w:rsidP="00372EA1">
            <w:pPr>
              <w:keepNext/>
              <w:keepLines/>
              <w:spacing w:before="0"/>
              <w:jc w:val="center"/>
              <w:rPr>
                <w:sz w:val="20"/>
                <w:szCs w:val="20"/>
                <w:lang w:val="en-AU"/>
              </w:rPr>
            </w:pPr>
            <w:r w:rsidRPr="006F283B">
              <w:rPr>
                <w:sz w:val="20"/>
                <w:szCs w:val="20"/>
                <w:lang w:val="en-AU"/>
              </w:rPr>
              <w:t xml:space="preserve">(7.2, </w:t>
            </w:r>
            <w:proofErr w:type="gramStart"/>
            <w:r w:rsidRPr="006F283B">
              <w:rPr>
                <w:sz w:val="20"/>
                <w:szCs w:val="20"/>
                <w:lang w:val="en-AU"/>
              </w:rPr>
              <w:t>10.5)</w:t>
            </w:r>
            <w:r w:rsidR="00F30289">
              <w:rPr>
                <w:sz w:val="20"/>
                <w:szCs w:val="20"/>
                <w:lang w:val="en-AU"/>
              </w:rPr>
              <w:t>*</w:t>
            </w:r>
            <w:proofErr w:type="gramEnd"/>
          </w:p>
        </w:tc>
        <w:tc>
          <w:tcPr>
            <w:tcW w:w="484" w:type="pct"/>
            <w:gridSpan w:val="2"/>
            <w:tcBorders>
              <w:top w:val="single" w:sz="4" w:space="0" w:color="auto"/>
              <w:bottom w:val="single" w:sz="4" w:space="0" w:color="auto"/>
            </w:tcBorders>
            <w:vAlign w:val="center"/>
          </w:tcPr>
          <w:p w14:paraId="7ADD0A23" w14:textId="77777777" w:rsidR="00D95C2B" w:rsidRPr="006F283B" w:rsidRDefault="00D95C2B" w:rsidP="00372EA1">
            <w:pPr>
              <w:keepNext/>
              <w:keepLines/>
              <w:spacing w:before="0"/>
              <w:jc w:val="center"/>
              <w:rPr>
                <w:sz w:val="20"/>
                <w:szCs w:val="20"/>
                <w:lang w:val="en-AU"/>
              </w:rPr>
            </w:pPr>
            <w:r w:rsidRPr="006F283B">
              <w:rPr>
                <w:sz w:val="20"/>
                <w:szCs w:val="20"/>
                <w:lang w:val="en-AU"/>
              </w:rPr>
              <w:t>5.4</w:t>
            </w:r>
          </w:p>
          <w:p w14:paraId="0CDAE351" w14:textId="79A635C6" w:rsidR="00D95C2B" w:rsidRPr="006F283B" w:rsidRDefault="00D95C2B" w:rsidP="00372EA1">
            <w:pPr>
              <w:keepNext/>
              <w:keepLines/>
              <w:spacing w:before="0"/>
              <w:jc w:val="center"/>
              <w:rPr>
                <w:sz w:val="20"/>
                <w:szCs w:val="20"/>
                <w:lang w:val="en-AU"/>
              </w:rPr>
            </w:pPr>
            <w:r w:rsidRPr="006F283B">
              <w:rPr>
                <w:sz w:val="20"/>
                <w:szCs w:val="20"/>
                <w:lang w:val="en-AU"/>
              </w:rPr>
              <w:t xml:space="preserve">(4.5, </w:t>
            </w:r>
            <w:proofErr w:type="gramStart"/>
            <w:r w:rsidRPr="006F283B">
              <w:rPr>
                <w:sz w:val="20"/>
                <w:szCs w:val="20"/>
                <w:lang w:val="en-AU"/>
              </w:rPr>
              <w:t>7.0)</w:t>
            </w:r>
            <w:r w:rsidR="00F30289">
              <w:rPr>
                <w:sz w:val="20"/>
                <w:szCs w:val="20"/>
                <w:lang w:val="en-AU"/>
              </w:rPr>
              <w:t>*</w:t>
            </w:r>
            <w:proofErr w:type="gramEnd"/>
          </w:p>
        </w:tc>
        <w:tc>
          <w:tcPr>
            <w:tcW w:w="475" w:type="pct"/>
            <w:tcBorders>
              <w:top w:val="single" w:sz="4" w:space="0" w:color="auto"/>
              <w:bottom w:val="single" w:sz="4" w:space="0" w:color="auto"/>
            </w:tcBorders>
            <w:vAlign w:val="center"/>
          </w:tcPr>
          <w:p w14:paraId="444F64FB" w14:textId="77777777" w:rsidR="00D95C2B" w:rsidRPr="006F283B" w:rsidRDefault="00D95C2B" w:rsidP="00372EA1">
            <w:pPr>
              <w:keepNext/>
              <w:keepLines/>
              <w:spacing w:before="0"/>
              <w:jc w:val="center"/>
              <w:rPr>
                <w:sz w:val="20"/>
                <w:szCs w:val="20"/>
                <w:lang w:val="en-AU"/>
              </w:rPr>
            </w:pPr>
            <w:r w:rsidRPr="006F283B">
              <w:rPr>
                <w:sz w:val="20"/>
                <w:szCs w:val="20"/>
                <w:lang w:val="en-AU"/>
              </w:rPr>
              <w:t>8.4</w:t>
            </w:r>
          </w:p>
          <w:p w14:paraId="34E1C0C2" w14:textId="77777777" w:rsidR="00D95C2B" w:rsidRPr="006F283B" w:rsidRDefault="00D95C2B" w:rsidP="00372EA1">
            <w:pPr>
              <w:keepNext/>
              <w:keepLines/>
              <w:spacing w:before="0"/>
              <w:jc w:val="center"/>
              <w:rPr>
                <w:sz w:val="20"/>
                <w:szCs w:val="20"/>
                <w:lang w:val="en-AU"/>
              </w:rPr>
            </w:pPr>
            <w:r w:rsidRPr="006F283B">
              <w:rPr>
                <w:sz w:val="20"/>
                <w:szCs w:val="20"/>
                <w:lang w:val="en-AU"/>
              </w:rPr>
              <w:t>(NR)</w:t>
            </w:r>
          </w:p>
        </w:tc>
        <w:tc>
          <w:tcPr>
            <w:tcW w:w="475" w:type="pct"/>
            <w:tcBorders>
              <w:top w:val="single" w:sz="4" w:space="0" w:color="auto"/>
              <w:bottom w:val="single" w:sz="4" w:space="0" w:color="auto"/>
            </w:tcBorders>
            <w:vAlign w:val="center"/>
          </w:tcPr>
          <w:p w14:paraId="53ACA891" w14:textId="77777777" w:rsidR="00D95C2B" w:rsidRPr="006F283B" w:rsidRDefault="00D95C2B" w:rsidP="00372EA1">
            <w:pPr>
              <w:keepNext/>
              <w:keepLines/>
              <w:spacing w:before="0"/>
              <w:jc w:val="center"/>
              <w:rPr>
                <w:sz w:val="20"/>
                <w:szCs w:val="20"/>
                <w:lang w:val="en-AU"/>
              </w:rPr>
            </w:pPr>
            <w:r w:rsidRPr="006F283B">
              <w:rPr>
                <w:sz w:val="20"/>
                <w:szCs w:val="20"/>
                <w:lang w:val="en-AU"/>
              </w:rPr>
              <w:t>5.4</w:t>
            </w:r>
          </w:p>
          <w:p w14:paraId="21CBB791" w14:textId="77777777" w:rsidR="00D95C2B" w:rsidRPr="006F283B" w:rsidRDefault="00D95C2B" w:rsidP="00372EA1">
            <w:pPr>
              <w:keepNext/>
              <w:keepLines/>
              <w:spacing w:before="0"/>
              <w:jc w:val="center"/>
              <w:rPr>
                <w:sz w:val="20"/>
                <w:szCs w:val="20"/>
                <w:lang w:val="en-AU"/>
              </w:rPr>
            </w:pPr>
            <w:r w:rsidRPr="006F283B">
              <w:rPr>
                <w:sz w:val="20"/>
                <w:szCs w:val="20"/>
                <w:lang w:val="en-AU"/>
              </w:rPr>
              <w:t>(NR)</w:t>
            </w:r>
          </w:p>
        </w:tc>
        <w:tc>
          <w:tcPr>
            <w:tcW w:w="514" w:type="pct"/>
            <w:tcBorders>
              <w:top w:val="single" w:sz="4" w:space="0" w:color="auto"/>
              <w:bottom w:val="single" w:sz="4" w:space="0" w:color="auto"/>
            </w:tcBorders>
            <w:vAlign w:val="center"/>
          </w:tcPr>
          <w:p w14:paraId="1F4DF6F1" w14:textId="77777777" w:rsidR="00D95C2B" w:rsidRPr="006F283B" w:rsidRDefault="00D95C2B" w:rsidP="00372EA1">
            <w:pPr>
              <w:keepNext/>
              <w:keepLines/>
              <w:spacing w:before="0"/>
              <w:jc w:val="center"/>
              <w:rPr>
                <w:sz w:val="20"/>
                <w:szCs w:val="20"/>
                <w:lang w:val="en-AU"/>
              </w:rPr>
            </w:pPr>
            <w:r w:rsidRPr="006F283B">
              <w:rPr>
                <w:sz w:val="20"/>
                <w:szCs w:val="20"/>
                <w:lang w:val="en-AU"/>
              </w:rPr>
              <w:t>16.6 (NR)</w:t>
            </w:r>
          </w:p>
        </w:tc>
        <w:tc>
          <w:tcPr>
            <w:tcW w:w="518" w:type="pct"/>
            <w:vAlign w:val="center"/>
          </w:tcPr>
          <w:p w14:paraId="0D07370C" w14:textId="77777777" w:rsidR="00D95C2B" w:rsidRPr="006F283B" w:rsidRDefault="00D95C2B" w:rsidP="00372EA1">
            <w:pPr>
              <w:keepNext/>
              <w:keepLines/>
              <w:spacing w:before="0"/>
              <w:jc w:val="center"/>
              <w:rPr>
                <w:sz w:val="20"/>
                <w:szCs w:val="20"/>
                <w:lang w:val="en-AU"/>
              </w:rPr>
            </w:pPr>
            <w:r w:rsidRPr="006F283B">
              <w:rPr>
                <w:sz w:val="20"/>
                <w:szCs w:val="20"/>
                <w:lang w:val="en-AU"/>
              </w:rPr>
              <w:t>16.2 (NR)</w:t>
            </w:r>
          </w:p>
        </w:tc>
        <w:tc>
          <w:tcPr>
            <w:tcW w:w="546" w:type="pct"/>
            <w:shd w:val="clear" w:color="auto" w:fill="auto"/>
            <w:vAlign w:val="center"/>
          </w:tcPr>
          <w:p w14:paraId="68D78360" w14:textId="77777777" w:rsidR="00D95C2B" w:rsidRPr="006F283B" w:rsidRDefault="00D95C2B" w:rsidP="00372EA1">
            <w:pPr>
              <w:keepNext/>
              <w:keepLines/>
              <w:spacing w:before="0"/>
              <w:jc w:val="center"/>
              <w:rPr>
                <w:sz w:val="20"/>
                <w:szCs w:val="20"/>
                <w:lang w:val="en-AU"/>
              </w:rPr>
            </w:pPr>
            <w:r w:rsidRPr="006F283B">
              <w:rPr>
                <w:sz w:val="20"/>
                <w:szCs w:val="20"/>
                <w:lang w:val="en-AU"/>
              </w:rPr>
              <w:t>15.6 (NR)</w:t>
            </w:r>
          </w:p>
        </w:tc>
        <w:tc>
          <w:tcPr>
            <w:tcW w:w="546" w:type="pct"/>
            <w:shd w:val="clear" w:color="auto" w:fill="auto"/>
            <w:vAlign w:val="center"/>
          </w:tcPr>
          <w:p w14:paraId="2ED7E6AC" w14:textId="77777777" w:rsidR="00D95C2B" w:rsidRPr="006F283B" w:rsidRDefault="00D95C2B" w:rsidP="00372EA1">
            <w:pPr>
              <w:keepNext/>
              <w:keepLines/>
              <w:spacing w:before="0"/>
              <w:jc w:val="center"/>
              <w:rPr>
                <w:sz w:val="20"/>
                <w:szCs w:val="20"/>
                <w:lang w:val="en-AU"/>
              </w:rPr>
            </w:pPr>
            <w:r w:rsidRPr="006F283B">
              <w:rPr>
                <w:sz w:val="20"/>
                <w:szCs w:val="20"/>
                <w:lang w:val="en-AU"/>
              </w:rPr>
              <w:t>13.8 (NR)</w:t>
            </w:r>
          </w:p>
        </w:tc>
      </w:tr>
      <w:tr w:rsidR="00D95C2B" w:rsidRPr="006F283B" w14:paraId="5C7844E2" w14:textId="77777777" w:rsidTr="00372EA1">
        <w:tc>
          <w:tcPr>
            <w:tcW w:w="410" w:type="pct"/>
            <w:vMerge/>
            <w:vAlign w:val="center"/>
          </w:tcPr>
          <w:p w14:paraId="78B788E4" w14:textId="77777777" w:rsidR="00D95C2B" w:rsidRPr="006F283B" w:rsidRDefault="00D95C2B" w:rsidP="00372EA1">
            <w:pPr>
              <w:keepNext/>
              <w:keepLines/>
              <w:spacing w:before="0"/>
              <w:jc w:val="left"/>
              <w:rPr>
                <w:sz w:val="20"/>
                <w:szCs w:val="20"/>
                <w:lang w:val="en-AU"/>
              </w:rPr>
            </w:pPr>
          </w:p>
        </w:tc>
        <w:tc>
          <w:tcPr>
            <w:tcW w:w="566" w:type="pct"/>
            <w:vAlign w:val="center"/>
          </w:tcPr>
          <w:p w14:paraId="340B997A" w14:textId="77777777" w:rsidR="00D95C2B" w:rsidRPr="006F283B" w:rsidRDefault="00D95C2B" w:rsidP="00372EA1">
            <w:pPr>
              <w:keepNext/>
              <w:keepLines/>
              <w:spacing w:before="0"/>
              <w:jc w:val="left"/>
              <w:rPr>
                <w:sz w:val="20"/>
                <w:szCs w:val="20"/>
                <w:lang w:val="en-AU"/>
              </w:rPr>
            </w:pPr>
            <w:r w:rsidRPr="006F283B">
              <w:rPr>
                <w:sz w:val="20"/>
                <w:szCs w:val="20"/>
                <w:lang w:val="en-AU"/>
              </w:rPr>
              <w:t>HR (95% CI)</w:t>
            </w:r>
          </w:p>
        </w:tc>
        <w:tc>
          <w:tcPr>
            <w:tcW w:w="949" w:type="pct"/>
            <w:gridSpan w:val="3"/>
            <w:vAlign w:val="center"/>
          </w:tcPr>
          <w:p w14:paraId="3C0BA088" w14:textId="19117EEC" w:rsidR="00D95C2B" w:rsidRPr="006F283B" w:rsidRDefault="00D95C2B" w:rsidP="00372EA1">
            <w:pPr>
              <w:keepNext/>
              <w:keepLines/>
              <w:spacing w:before="0"/>
              <w:jc w:val="center"/>
              <w:rPr>
                <w:sz w:val="20"/>
                <w:szCs w:val="20"/>
                <w:lang w:val="en-AU"/>
              </w:rPr>
            </w:pPr>
            <w:r w:rsidRPr="006F283B">
              <w:rPr>
                <w:sz w:val="20"/>
                <w:szCs w:val="20"/>
                <w:lang w:val="en-AU"/>
              </w:rPr>
              <w:t xml:space="preserve">0.63 (0.457, </w:t>
            </w:r>
            <w:proofErr w:type="gramStart"/>
            <w:r w:rsidRPr="006F283B">
              <w:rPr>
                <w:sz w:val="20"/>
                <w:szCs w:val="20"/>
                <w:lang w:val="en-AU"/>
              </w:rPr>
              <w:t>0.866)</w:t>
            </w:r>
            <w:r w:rsidR="00F30289">
              <w:rPr>
                <w:sz w:val="20"/>
                <w:szCs w:val="20"/>
                <w:lang w:val="en-AU"/>
              </w:rPr>
              <w:t>*</w:t>
            </w:r>
            <w:proofErr w:type="gramEnd"/>
          </w:p>
        </w:tc>
        <w:tc>
          <w:tcPr>
            <w:tcW w:w="951" w:type="pct"/>
            <w:gridSpan w:val="2"/>
            <w:tcBorders>
              <w:top w:val="single" w:sz="4" w:space="0" w:color="auto"/>
            </w:tcBorders>
            <w:vAlign w:val="center"/>
          </w:tcPr>
          <w:p w14:paraId="251A58A0" w14:textId="77777777" w:rsidR="00D95C2B" w:rsidRPr="006F283B" w:rsidRDefault="00D95C2B" w:rsidP="00372EA1">
            <w:pPr>
              <w:keepNext/>
              <w:keepLines/>
              <w:spacing w:before="0"/>
              <w:jc w:val="center"/>
              <w:rPr>
                <w:sz w:val="20"/>
                <w:szCs w:val="20"/>
                <w:lang w:val="en-AU"/>
              </w:rPr>
            </w:pPr>
            <w:r w:rsidRPr="006F283B">
              <w:rPr>
                <w:sz w:val="20"/>
                <w:szCs w:val="20"/>
                <w:lang w:val="en-AU"/>
              </w:rPr>
              <w:t>0.65 (0.49, 0.87)</w:t>
            </w:r>
          </w:p>
        </w:tc>
        <w:tc>
          <w:tcPr>
            <w:tcW w:w="1032" w:type="pct"/>
            <w:gridSpan w:val="2"/>
            <w:vAlign w:val="center"/>
          </w:tcPr>
          <w:p w14:paraId="7EC6B615" w14:textId="77777777" w:rsidR="00D95C2B" w:rsidRPr="006F283B" w:rsidRDefault="00D95C2B" w:rsidP="00372EA1">
            <w:pPr>
              <w:keepNext/>
              <w:keepLines/>
              <w:spacing w:before="0"/>
              <w:jc w:val="center"/>
              <w:rPr>
                <w:sz w:val="20"/>
                <w:szCs w:val="20"/>
                <w:lang w:val="en-AU"/>
              </w:rPr>
            </w:pPr>
            <w:r w:rsidRPr="006F283B">
              <w:rPr>
                <w:sz w:val="20"/>
                <w:szCs w:val="20"/>
                <w:lang w:val="en-AU"/>
              </w:rPr>
              <w:t>1.00 (0.75, 1.35)</w:t>
            </w:r>
          </w:p>
        </w:tc>
        <w:tc>
          <w:tcPr>
            <w:tcW w:w="1093" w:type="pct"/>
            <w:gridSpan w:val="2"/>
            <w:shd w:val="clear" w:color="auto" w:fill="auto"/>
            <w:vAlign w:val="center"/>
          </w:tcPr>
          <w:p w14:paraId="28443A2B" w14:textId="77777777" w:rsidR="00D95C2B" w:rsidRPr="006F283B" w:rsidRDefault="00D95C2B" w:rsidP="00372EA1">
            <w:pPr>
              <w:keepNext/>
              <w:keepLines/>
              <w:spacing w:before="0"/>
              <w:jc w:val="center"/>
              <w:rPr>
                <w:sz w:val="20"/>
                <w:szCs w:val="20"/>
                <w:lang w:val="en-AU"/>
              </w:rPr>
            </w:pPr>
            <w:r w:rsidRPr="006F283B">
              <w:rPr>
                <w:sz w:val="20"/>
                <w:szCs w:val="20"/>
                <w:lang w:val="en-AU"/>
              </w:rPr>
              <w:t>0.93 (0.68, 1.30)</w:t>
            </w:r>
          </w:p>
        </w:tc>
      </w:tr>
      <w:tr w:rsidR="00D95C2B" w:rsidRPr="006F283B" w14:paraId="28FE9839" w14:textId="77777777" w:rsidTr="00372EA1">
        <w:tc>
          <w:tcPr>
            <w:tcW w:w="410" w:type="pct"/>
            <w:vMerge w:val="restart"/>
            <w:vAlign w:val="center"/>
          </w:tcPr>
          <w:p w14:paraId="0CF773F6" w14:textId="77777777" w:rsidR="00D95C2B" w:rsidRPr="006F283B" w:rsidRDefault="00D95C2B" w:rsidP="00372EA1">
            <w:pPr>
              <w:keepNext/>
              <w:keepLines/>
              <w:spacing w:before="0"/>
              <w:jc w:val="left"/>
              <w:rPr>
                <w:sz w:val="20"/>
                <w:szCs w:val="20"/>
                <w:lang w:val="en-AU"/>
              </w:rPr>
            </w:pPr>
            <w:r w:rsidRPr="006F283B">
              <w:rPr>
                <w:sz w:val="20"/>
                <w:szCs w:val="20"/>
                <w:lang w:val="en-AU"/>
              </w:rPr>
              <w:t>HRnd</w:t>
            </w:r>
          </w:p>
        </w:tc>
        <w:tc>
          <w:tcPr>
            <w:tcW w:w="566" w:type="pct"/>
            <w:vAlign w:val="center"/>
          </w:tcPr>
          <w:p w14:paraId="0C286063" w14:textId="77777777" w:rsidR="00D95C2B" w:rsidRPr="006F283B" w:rsidRDefault="00D95C2B" w:rsidP="00372EA1">
            <w:pPr>
              <w:keepNext/>
              <w:keepLines/>
              <w:spacing w:before="0"/>
              <w:jc w:val="left"/>
              <w:rPr>
                <w:sz w:val="20"/>
                <w:szCs w:val="20"/>
                <w:lang w:val="en-AU"/>
              </w:rPr>
            </w:pPr>
            <w:r w:rsidRPr="006F283B">
              <w:rPr>
                <w:sz w:val="20"/>
                <w:szCs w:val="20"/>
                <w:lang w:val="en-AU"/>
              </w:rPr>
              <w:t>Events/N</w:t>
            </w:r>
          </w:p>
        </w:tc>
        <w:tc>
          <w:tcPr>
            <w:tcW w:w="465" w:type="pct"/>
            <w:vAlign w:val="center"/>
          </w:tcPr>
          <w:p w14:paraId="04067C67" w14:textId="60AB4BFD" w:rsidR="00D95C2B" w:rsidRPr="006F283B" w:rsidRDefault="00D95C2B" w:rsidP="00372EA1">
            <w:pPr>
              <w:keepNext/>
              <w:keepLines/>
              <w:spacing w:before="0"/>
              <w:jc w:val="center"/>
              <w:rPr>
                <w:sz w:val="20"/>
                <w:szCs w:val="20"/>
                <w:lang w:val="en-AU"/>
              </w:rPr>
            </w:pPr>
            <w:r w:rsidRPr="006F283B">
              <w:rPr>
                <w:sz w:val="20"/>
                <w:szCs w:val="20"/>
                <w:lang w:val="en-AU"/>
              </w:rPr>
              <w:t>45/71</w:t>
            </w:r>
            <w:r w:rsidR="00F30289">
              <w:rPr>
                <w:sz w:val="20"/>
                <w:szCs w:val="20"/>
                <w:lang w:val="en-AU"/>
              </w:rPr>
              <w:t>*</w:t>
            </w:r>
          </w:p>
        </w:tc>
        <w:tc>
          <w:tcPr>
            <w:tcW w:w="484" w:type="pct"/>
            <w:gridSpan w:val="2"/>
            <w:vAlign w:val="center"/>
          </w:tcPr>
          <w:p w14:paraId="07DF2502" w14:textId="40DAF3F5" w:rsidR="00D95C2B" w:rsidRPr="006F283B" w:rsidRDefault="00D95C2B" w:rsidP="00372EA1">
            <w:pPr>
              <w:keepNext/>
              <w:keepLines/>
              <w:spacing w:before="0"/>
              <w:jc w:val="center"/>
              <w:rPr>
                <w:sz w:val="20"/>
                <w:szCs w:val="20"/>
                <w:lang w:val="en-AU"/>
              </w:rPr>
            </w:pPr>
            <w:r w:rsidRPr="006F283B">
              <w:rPr>
                <w:sz w:val="20"/>
                <w:szCs w:val="20"/>
                <w:lang w:val="en-AU"/>
              </w:rPr>
              <w:t>25/40</w:t>
            </w:r>
            <w:r w:rsidR="00F30289">
              <w:rPr>
                <w:sz w:val="20"/>
                <w:szCs w:val="20"/>
                <w:lang w:val="en-AU"/>
              </w:rPr>
              <w:t>*</w:t>
            </w:r>
          </w:p>
        </w:tc>
        <w:tc>
          <w:tcPr>
            <w:tcW w:w="951" w:type="pct"/>
            <w:gridSpan w:val="2"/>
            <w:vMerge w:val="restart"/>
            <w:vAlign w:val="center"/>
          </w:tcPr>
          <w:p w14:paraId="169B69F0" w14:textId="77777777" w:rsidR="00D95C2B" w:rsidRPr="006F283B" w:rsidRDefault="00D95C2B" w:rsidP="00372EA1">
            <w:pPr>
              <w:keepNext/>
              <w:keepLines/>
              <w:spacing w:before="0"/>
              <w:jc w:val="center"/>
              <w:rPr>
                <w:sz w:val="20"/>
                <w:szCs w:val="20"/>
                <w:lang w:val="en-AU"/>
              </w:rPr>
            </w:pPr>
            <w:r w:rsidRPr="006F283B">
              <w:rPr>
                <w:sz w:val="20"/>
                <w:szCs w:val="20"/>
                <w:lang w:val="en-AU"/>
              </w:rPr>
              <w:t>NR</w:t>
            </w:r>
          </w:p>
        </w:tc>
        <w:tc>
          <w:tcPr>
            <w:tcW w:w="514" w:type="pct"/>
            <w:vAlign w:val="center"/>
          </w:tcPr>
          <w:p w14:paraId="633BD61B" w14:textId="77777777" w:rsidR="00D95C2B" w:rsidRPr="006F283B" w:rsidRDefault="00D95C2B" w:rsidP="00372EA1">
            <w:pPr>
              <w:keepNext/>
              <w:keepLines/>
              <w:spacing w:before="0"/>
              <w:jc w:val="center"/>
              <w:rPr>
                <w:sz w:val="20"/>
                <w:szCs w:val="20"/>
                <w:lang w:val="en-AU"/>
              </w:rPr>
            </w:pPr>
            <w:r w:rsidRPr="006F283B">
              <w:rPr>
                <w:sz w:val="20"/>
                <w:szCs w:val="20"/>
                <w:lang w:val="en-AU"/>
              </w:rPr>
              <w:t>48/90</w:t>
            </w:r>
          </w:p>
        </w:tc>
        <w:tc>
          <w:tcPr>
            <w:tcW w:w="518" w:type="pct"/>
            <w:vAlign w:val="center"/>
          </w:tcPr>
          <w:p w14:paraId="0991B350" w14:textId="77777777" w:rsidR="00D95C2B" w:rsidRPr="006F283B" w:rsidRDefault="00D95C2B" w:rsidP="00372EA1">
            <w:pPr>
              <w:keepNext/>
              <w:keepLines/>
              <w:spacing w:before="0"/>
              <w:jc w:val="center"/>
              <w:rPr>
                <w:sz w:val="20"/>
                <w:szCs w:val="20"/>
                <w:lang w:val="en-AU"/>
              </w:rPr>
            </w:pPr>
            <w:r w:rsidRPr="006F283B">
              <w:rPr>
                <w:sz w:val="20"/>
                <w:szCs w:val="20"/>
                <w:lang w:val="en-AU"/>
              </w:rPr>
              <w:t>36/52</w:t>
            </w:r>
          </w:p>
        </w:tc>
        <w:tc>
          <w:tcPr>
            <w:tcW w:w="546" w:type="pct"/>
            <w:shd w:val="clear" w:color="auto" w:fill="auto"/>
            <w:vAlign w:val="center"/>
          </w:tcPr>
          <w:p w14:paraId="3598ADF3" w14:textId="77777777" w:rsidR="00D95C2B" w:rsidRPr="006F283B" w:rsidRDefault="00D95C2B" w:rsidP="00372EA1">
            <w:pPr>
              <w:keepNext/>
              <w:keepLines/>
              <w:spacing w:before="0"/>
              <w:jc w:val="center"/>
              <w:rPr>
                <w:sz w:val="20"/>
                <w:szCs w:val="20"/>
                <w:lang w:val="en-AU"/>
              </w:rPr>
            </w:pPr>
            <w:r w:rsidRPr="006F283B">
              <w:rPr>
                <w:sz w:val="20"/>
                <w:szCs w:val="20"/>
                <w:lang w:val="en-AU"/>
              </w:rPr>
              <w:t>45/78</w:t>
            </w:r>
          </w:p>
        </w:tc>
        <w:tc>
          <w:tcPr>
            <w:tcW w:w="546" w:type="pct"/>
            <w:shd w:val="clear" w:color="auto" w:fill="auto"/>
            <w:vAlign w:val="center"/>
          </w:tcPr>
          <w:p w14:paraId="3D560B5C" w14:textId="77777777" w:rsidR="00D95C2B" w:rsidRPr="006F283B" w:rsidRDefault="00D95C2B" w:rsidP="00372EA1">
            <w:pPr>
              <w:keepNext/>
              <w:keepLines/>
              <w:spacing w:before="0"/>
              <w:jc w:val="center"/>
              <w:rPr>
                <w:sz w:val="20"/>
                <w:szCs w:val="20"/>
                <w:lang w:val="en-AU"/>
              </w:rPr>
            </w:pPr>
            <w:r w:rsidRPr="006F283B">
              <w:rPr>
                <w:sz w:val="20"/>
                <w:szCs w:val="20"/>
                <w:lang w:val="en-AU"/>
              </w:rPr>
              <w:t>34/45</w:t>
            </w:r>
          </w:p>
        </w:tc>
      </w:tr>
      <w:tr w:rsidR="00D95C2B" w:rsidRPr="006F283B" w14:paraId="16B972CD" w14:textId="77777777" w:rsidTr="00372EA1">
        <w:tc>
          <w:tcPr>
            <w:tcW w:w="410" w:type="pct"/>
            <w:vMerge/>
            <w:vAlign w:val="center"/>
          </w:tcPr>
          <w:p w14:paraId="4A228757" w14:textId="77777777" w:rsidR="00D95C2B" w:rsidRPr="006F283B" w:rsidRDefault="00D95C2B" w:rsidP="00372EA1">
            <w:pPr>
              <w:keepNext/>
              <w:keepLines/>
              <w:spacing w:before="0"/>
              <w:jc w:val="left"/>
              <w:rPr>
                <w:sz w:val="20"/>
                <w:szCs w:val="20"/>
                <w:lang w:val="en-AU"/>
              </w:rPr>
            </w:pPr>
          </w:p>
        </w:tc>
        <w:tc>
          <w:tcPr>
            <w:tcW w:w="566" w:type="pct"/>
            <w:vAlign w:val="center"/>
          </w:tcPr>
          <w:p w14:paraId="29AEFD22" w14:textId="77777777" w:rsidR="00D95C2B" w:rsidRPr="006F283B" w:rsidRDefault="00D95C2B" w:rsidP="00372EA1">
            <w:pPr>
              <w:keepNext/>
              <w:keepLines/>
              <w:spacing w:before="0"/>
              <w:jc w:val="left"/>
              <w:rPr>
                <w:sz w:val="20"/>
                <w:szCs w:val="20"/>
                <w:lang w:val="en-AU"/>
              </w:rPr>
            </w:pPr>
            <w:r w:rsidRPr="006F283B">
              <w:rPr>
                <w:sz w:val="20"/>
                <w:szCs w:val="20"/>
                <w:lang w:val="en-AU"/>
              </w:rPr>
              <w:t>Median, months</w:t>
            </w:r>
          </w:p>
        </w:tc>
        <w:tc>
          <w:tcPr>
            <w:tcW w:w="465" w:type="pct"/>
            <w:vAlign w:val="center"/>
          </w:tcPr>
          <w:p w14:paraId="3931C3BD" w14:textId="77777777" w:rsidR="00D95C2B" w:rsidRPr="006F283B" w:rsidRDefault="00D95C2B" w:rsidP="00372EA1">
            <w:pPr>
              <w:keepNext/>
              <w:keepLines/>
              <w:spacing w:before="0"/>
              <w:jc w:val="center"/>
              <w:rPr>
                <w:sz w:val="20"/>
                <w:szCs w:val="20"/>
                <w:lang w:val="en-AU"/>
              </w:rPr>
            </w:pPr>
            <w:r w:rsidRPr="006F283B">
              <w:rPr>
                <w:sz w:val="20"/>
                <w:szCs w:val="20"/>
                <w:lang w:val="en-AU"/>
              </w:rPr>
              <w:t>11.0</w:t>
            </w:r>
          </w:p>
          <w:p w14:paraId="452F00F4" w14:textId="5F22E447" w:rsidR="00D95C2B" w:rsidRPr="006F283B" w:rsidRDefault="00D95C2B" w:rsidP="00372EA1">
            <w:pPr>
              <w:keepNext/>
              <w:keepLines/>
              <w:spacing w:before="0"/>
              <w:jc w:val="center"/>
              <w:rPr>
                <w:sz w:val="20"/>
                <w:szCs w:val="20"/>
                <w:lang w:val="en-AU"/>
              </w:rPr>
            </w:pPr>
            <w:r w:rsidRPr="006F283B">
              <w:rPr>
                <w:sz w:val="20"/>
                <w:szCs w:val="20"/>
                <w:lang w:val="en-AU"/>
              </w:rPr>
              <w:t>(7.8,13.</w:t>
            </w:r>
            <w:proofErr w:type="gramStart"/>
            <w:r w:rsidRPr="006F283B">
              <w:rPr>
                <w:sz w:val="20"/>
                <w:szCs w:val="20"/>
                <w:lang w:val="en-AU"/>
              </w:rPr>
              <w:t>9)</w:t>
            </w:r>
            <w:r w:rsidR="00F30289">
              <w:rPr>
                <w:sz w:val="20"/>
                <w:szCs w:val="20"/>
                <w:lang w:val="en-AU"/>
              </w:rPr>
              <w:t>*</w:t>
            </w:r>
            <w:proofErr w:type="gramEnd"/>
          </w:p>
        </w:tc>
        <w:tc>
          <w:tcPr>
            <w:tcW w:w="484" w:type="pct"/>
            <w:gridSpan w:val="2"/>
            <w:vAlign w:val="center"/>
          </w:tcPr>
          <w:p w14:paraId="37445B92" w14:textId="77777777" w:rsidR="00D95C2B" w:rsidRPr="006F283B" w:rsidRDefault="00D95C2B" w:rsidP="00372EA1">
            <w:pPr>
              <w:keepNext/>
              <w:keepLines/>
              <w:spacing w:before="0"/>
              <w:jc w:val="center"/>
              <w:rPr>
                <w:sz w:val="20"/>
                <w:szCs w:val="20"/>
                <w:lang w:val="en-AU"/>
              </w:rPr>
            </w:pPr>
            <w:r w:rsidRPr="006F283B">
              <w:rPr>
                <w:sz w:val="20"/>
                <w:szCs w:val="20"/>
                <w:lang w:val="en-AU"/>
              </w:rPr>
              <w:t>8.3</w:t>
            </w:r>
          </w:p>
          <w:p w14:paraId="5479BC17" w14:textId="0DCBF7EF" w:rsidR="00D95C2B" w:rsidRPr="006F283B" w:rsidRDefault="00D95C2B" w:rsidP="00372EA1">
            <w:pPr>
              <w:keepNext/>
              <w:keepLines/>
              <w:spacing w:before="0"/>
              <w:jc w:val="center"/>
              <w:rPr>
                <w:sz w:val="20"/>
                <w:szCs w:val="20"/>
                <w:lang w:val="en-AU"/>
              </w:rPr>
            </w:pPr>
            <w:r w:rsidRPr="006F283B">
              <w:rPr>
                <w:sz w:val="20"/>
                <w:szCs w:val="20"/>
                <w:lang w:val="en-AU"/>
              </w:rPr>
              <w:t>(5.7,19.</w:t>
            </w:r>
            <w:proofErr w:type="gramStart"/>
            <w:r w:rsidRPr="006F283B">
              <w:rPr>
                <w:sz w:val="20"/>
                <w:szCs w:val="20"/>
                <w:lang w:val="en-AU"/>
              </w:rPr>
              <w:t>4)</w:t>
            </w:r>
            <w:r w:rsidR="00F30289">
              <w:rPr>
                <w:sz w:val="20"/>
                <w:szCs w:val="20"/>
                <w:lang w:val="en-AU"/>
              </w:rPr>
              <w:t>*</w:t>
            </w:r>
            <w:proofErr w:type="gramEnd"/>
          </w:p>
        </w:tc>
        <w:tc>
          <w:tcPr>
            <w:tcW w:w="951" w:type="pct"/>
            <w:gridSpan w:val="2"/>
            <w:vMerge/>
            <w:vAlign w:val="center"/>
          </w:tcPr>
          <w:p w14:paraId="5D31A634" w14:textId="77777777" w:rsidR="00D95C2B" w:rsidRPr="006F283B" w:rsidRDefault="00D95C2B" w:rsidP="00372EA1">
            <w:pPr>
              <w:keepNext/>
              <w:keepLines/>
              <w:spacing w:before="0"/>
              <w:jc w:val="center"/>
              <w:rPr>
                <w:sz w:val="20"/>
                <w:szCs w:val="20"/>
                <w:lang w:val="en-AU"/>
              </w:rPr>
            </w:pPr>
          </w:p>
        </w:tc>
        <w:tc>
          <w:tcPr>
            <w:tcW w:w="514" w:type="pct"/>
            <w:vAlign w:val="center"/>
          </w:tcPr>
          <w:p w14:paraId="54C20FA7" w14:textId="77777777" w:rsidR="00D95C2B" w:rsidRPr="006F283B" w:rsidRDefault="00D95C2B" w:rsidP="00372EA1">
            <w:pPr>
              <w:keepNext/>
              <w:keepLines/>
              <w:spacing w:before="0"/>
              <w:jc w:val="center"/>
              <w:rPr>
                <w:sz w:val="20"/>
                <w:szCs w:val="20"/>
                <w:lang w:val="en-AU"/>
              </w:rPr>
            </w:pPr>
            <w:r w:rsidRPr="006F283B">
              <w:rPr>
                <w:sz w:val="20"/>
                <w:szCs w:val="20"/>
                <w:lang w:val="en-AU"/>
              </w:rPr>
              <w:t>NR (NR)</w:t>
            </w:r>
          </w:p>
        </w:tc>
        <w:tc>
          <w:tcPr>
            <w:tcW w:w="518" w:type="pct"/>
            <w:vAlign w:val="center"/>
          </w:tcPr>
          <w:p w14:paraId="33DF4FB0" w14:textId="77777777" w:rsidR="00D95C2B" w:rsidRPr="006F283B" w:rsidRDefault="00D95C2B" w:rsidP="00372EA1">
            <w:pPr>
              <w:keepNext/>
              <w:keepLines/>
              <w:spacing w:before="0"/>
              <w:jc w:val="center"/>
              <w:rPr>
                <w:sz w:val="20"/>
                <w:szCs w:val="20"/>
                <w:lang w:val="en-AU"/>
              </w:rPr>
            </w:pPr>
            <w:r w:rsidRPr="006F283B">
              <w:rPr>
                <w:sz w:val="20"/>
                <w:szCs w:val="20"/>
                <w:lang w:val="en-AU"/>
              </w:rPr>
              <w:t>NR (NR)</w:t>
            </w:r>
          </w:p>
        </w:tc>
        <w:tc>
          <w:tcPr>
            <w:tcW w:w="546" w:type="pct"/>
            <w:shd w:val="clear" w:color="auto" w:fill="auto"/>
            <w:vAlign w:val="center"/>
          </w:tcPr>
          <w:p w14:paraId="1900DA7F" w14:textId="77777777" w:rsidR="00D95C2B" w:rsidRPr="006F283B" w:rsidRDefault="00D95C2B" w:rsidP="00372EA1">
            <w:pPr>
              <w:keepNext/>
              <w:keepLines/>
              <w:spacing w:before="0"/>
              <w:jc w:val="center"/>
              <w:rPr>
                <w:sz w:val="20"/>
                <w:szCs w:val="20"/>
                <w:lang w:val="en-AU"/>
              </w:rPr>
            </w:pPr>
            <w:r w:rsidRPr="006F283B">
              <w:rPr>
                <w:sz w:val="20"/>
                <w:szCs w:val="20"/>
                <w:lang w:val="en-AU"/>
              </w:rPr>
              <w:t>19.8 (NR)</w:t>
            </w:r>
          </w:p>
        </w:tc>
        <w:tc>
          <w:tcPr>
            <w:tcW w:w="546" w:type="pct"/>
            <w:shd w:val="clear" w:color="auto" w:fill="auto"/>
            <w:vAlign w:val="center"/>
          </w:tcPr>
          <w:p w14:paraId="50CAFF85" w14:textId="77777777" w:rsidR="00D95C2B" w:rsidRPr="006F283B" w:rsidRDefault="00D95C2B" w:rsidP="00372EA1">
            <w:pPr>
              <w:keepNext/>
              <w:keepLines/>
              <w:spacing w:before="0"/>
              <w:jc w:val="center"/>
              <w:rPr>
                <w:sz w:val="20"/>
                <w:szCs w:val="20"/>
                <w:lang w:val="en-AU"/>
              </w:rPr>
            </w:pPr>
            <w:r w:rsidRPr="006F283B">
              <w:rPr>
                <w:sz w:val="20"/>
                <w:szCs w:val="20"/>
                <w:lang w:val="en-AU"/>
              </w:rPr>
              <w:t>14.3 (NR)</w:t>
            </w:r>
          </w:p>
        </w:tc>
      </w:tr>
      <w:tr w:rsidR="00D95C2B" w:rsidRPr="006F283B" w14:paraId="537635D8" w14:textId="77777777" w:rsidTr="00372EA1">
        <w:trPr>
          <w:trHeight w:val="70"/>
        </w:trPr>
        <w:tc>
          <w:tcPr>
            <w:tcW w:w="410" w:type="pct"/>
            <w:vMerge/>
            <w:vAlign w:val="center"/>
          </w:tcPr>
          <w:p w14:paraId="6375E203" w14:textId="77777777" w:rsidR="00D95C2B" w:rsidRPr="006F283B" w:rsidRDefault="00D95C2B" w:rsidP="00372EA1">
            <w:pPr>
              <w:keepNext/>
              <w:keepLines/>
              <w:spacing w:before="0"/>
              <w:jc w:val="left"/>
              <w:rPr>
                <w:sz w:val="20"/>
                <w:szCs w:val="20"/>
                <w:lang w:val="en-AU"/>
              </w:rPr>
            </w:pPr>
          </w:p>
        </w:tc>
        <w:tc>
          <w:tcPr>
            <w:tcW w:w="566" w:type="pct"/>
            <w:vAlign w:val="center"/>
          </w:tcPr>
          <w:p w14:paraId="3C6C6821" w14:textId="77777777" w:rsidR="00D95C2B" w:rsidRPr="006F283B" w:rsidRDefault="00D95C2B" w:rsidP="00372EA1">
            <w:pPr>
              <w:keepNext/>
              <w:keepLines/>
              <w:spacing w:before="0"/>
              <w:jc w:val="left"/>
              <w:rPr>
                <w:sz w:val="20"/>
                <w:szCs w:val="20"/>
                <w:lang w:val="en-AU"/>
              </w:rPr>
            </w:pPr>
            <w:r w:rsidRPr="006F283B">
              <w:rPr>
                <w:sz w:val="20"/>
                <w:szCs w:val="20"/>
                <w:lang w:val="en-AU"/>
              </w:rPr>
              <w:t>HR (95% CI)</w:t>
            </w:r>
          </w:p>
        </w:tc>
        <w:tc>
          <w:tcPr>
            <w:tcW w:w="949" w:type="pct"/>
            <w:gridSpan w:val="3"/>
            <w:vAlign w:val="center"/>
          </w:tcPr>
          <w:p w14:paraId="25E38811" w14:textId="428E43FC" w:rsidR="00D95C2B" w:rsidRPr="006F283B" w:rsidRDefault="00D95C2B" w:rsidP="00372EA1">
            <w:pPr>
              <w:keepNext/>
              <w:keepLines/>
              <w:spacing w:before="0"/>
              <w:jc w:val="center"/>
              <w:rPr>
                <w:sz w:val="20"/>
                <w:szCs w:val="20"/>
                <w:lang w:val="en-AU"/>
              </w:rPr>
            </w:pPr>
            <w:r w:rsidRPr="006F283B">
              <w:rPr>
                <w:sz w:val="20"/>
                <w:szCs w:val="20"/>
                <w:lang w:val="en-AU"/>
              </w:rPr>
              <w:t xml:space="preserve">0.95 (0.571, </w:t>
            </w:r>
            <w:proofErr w:type="gramStart"/>
            <w:r w:rsidRPr="006F283B">
              <w:rPr>
                <w:sz w:val="20"/>
                <w:szCs w:val="20"/>
                <w:lang w:val="en-AU"/>
              </w:rPr>
              <w:t>1.589)</w:t>
            </w:r>
            <w:r w:rsidR="00F30289">
              <w:rPr>
                <w:sz w:val="20"/>
                <w:szCs w:val="20"/>
                <w:lang w:val="en-AU"/>
              </w:rPr>
              <w:t>*</w:t>
            </w:r>
            <w:proofErr w:type="gramEnd"/>
          </w:p>
        </w:tc>
        <w:tc>
          <w:tcPr>
            <w:tcW w:w="951" w:type="pct"/>
            <w:gridSpan w:val="2"/>
            <w:vMerge/>
            <w:vAlign w:val="center"/>
          </w:tcPr>
          <w:p w14:paraId="24E7B1FE" w14:textId="77777777" w:rsidR="00D95C2B" w:rsidRPr="006F283B" w:rsidRDefault="00D95C2B" w:rsidP="00372EA1">
            <w:pPr>
              <w:keepNext/>
              <w:keepLines/>
              <w:spacing w:before="0"/>
              <w:jc w:val="center"/>
              <w:rPr>
                <w:sz w:val="20"/>
                <w:szCs w:val="20"/>
                <w:lang w:val="en-AU"/>
              </w:rPr>
            </w:pPr>
          </w:p>
        </w:tc>
        <w:tc>
          <w:tcPr>
            <w:tcW w:w="1032" w:type="pct"/>
            <w:gridSpan w:val="2"/>
            <w:vAlign w:val="center"/>
          </w:tcPr>
          <w:p w14:paraId="67A4317E" w14:textId="77777777" w:rsidR="00D95C2B" w:rsidRPr="006F283B" w:rsidRDefault="00D95C2B" w:rsidP="00372EA1">
            <w:pPr>
              <w:keepNext/>
              <w:keepLines/>
              <w:spacing w:before="0"/>
              <w:jc w:val="center"/>
              <w:rPr>
                <w:sz w:val="20"/>
                <w:szCs w:val="20"/>
                <w:lang w:val="en-AU"/>
              </w:rPr>
            </w:pPr>
            <w:r w:rsidRPr="006F283B">
              <w:rPr>
                <w:sz w:val="20"/>
                <w:szCs w:val="20"/>
                <w:lang w:val="en-AU"/>
              </w:rPr>
              <w:t>0.71 (0.46, 1.10)</w:t>
            </w:r>
          </w:p>
        </w:tc>
        <w:tc>
          <w:tcPr>
            <w:tcW w:w="1093" w:type="pct"/>
            <w:gridSpan w:val="2"/>
            <w:shd w:val="clear" w:color="auto" w:fill="auto"/>
            <w:vAlign w:val="center"/>
          </w:tcPr>
          <w:p w14:paraId="210B8EE9" w14:textId="77777777" w:rsidR="00D95C2B" w:rsidRPr="006F283B" w:rsidRDefault="00D95C2B" w:rsidP="00372EA1">
            <w:pPr>
              <w:keepNext/>
              <w:keepLines/>
              <w:spacing w:before="0"/>
              <w:jc w:val="center"/>
              <w:rPr>
                <w:sz w:val="20"/>
                <w:szCs w:val="20"/>
                <w:lang w:val="en-AU"/>
              </w:rPr>
            </w:pPr>
            <w:r w:rsidRPr="006F283B">
              <w:rPr>
                <w:sz w:val="20"/>
                <w:szCs w:val="20"/>
                <w:lang w:val="en-AU"/>
              </w:rPr>
              <w:t>0.63 (0.41, 1.00)</w:t>
            </w:r>
          </w:p>
        </w:tc>
      </w:tr>
    </w:tbl>
    <w:p w14:paraId="78FC77F5" w14:textId="77777777" w:rsidR="00D95C2B" w:rsidRPr="006F283B" w:rsidRDefault="00D95C2B" w:rsidP="00D95C2B">
      <w:pPr>
        <w:pStyle w:val="InstructionalText"/>
        <w:keepNext/>
        <w:keepLines/>
        <w:spacing w:after="0"/>
        <w:rPr>
          <w:rFonts w:ascii="Arial Narrow" w:eastAsia="Times New Roman" w:hAnsi="Arial Narrow" w:cs="Arial"/>
          <w:snapToGrid w:val="0"/>
          <w:color w:val="auto"/>
          <w:sz w:val="18"/>
          <w:szCs w:val="20"/>
        </w:rPr>
      </w:pPr>
      <w:r w:rsidRPr="006F283B">
        <w:rPr>
          <w:rFonts w:ascii="Arial Narrow" w:eastAsia="Times New Roman" w:hAnsi="Arial Narrow" w:cs="Arial"/>
          <w:snapToGrid w:val="0"/>
          <w:color w:val="auto"/>
          <w:sz w:val="18"/>
          <w:szCs w:val="20"/>
        </w:rPr>
        <w:t>Source: Table 231 (p359) of the submission</w:t>
      </w:r>
    </w:p>
    <w:p w14:paraId="0892DFB4" w14:textId="1F565B08" w:rsidR="00D95C2B" w:rsidRPr="006F283B" w:rsidRDefault="00D95C2B" w:rsidP="00D95C2B">
      <w:pPr>
        <w:pStyle w:val="InstructionalText"/>
        <w:keepNext/>
        <w:keepLines/>
        <w:spacing w:after="0"/>
        <w:rPr>
          <w:rFonts w:ascii="Arial Narrow" w:eastAsia="Times New Roman" w:hAnsi="Arial Narrow" w:cs="Arial"/>
          <w:snapToGrid w:val="0"/>
          <w:color w:val="auto"/>
          <w:sz w:val="18"/>
          <w:szCs w:val="20"/>
        </w:rPr>
      </w:pPr>
      <w:r w:rsidRPr="006F283B">
        <w:rPr>
          <w:rFonts w:ascii="Arial Narrow" w:eastAsia="Times New Roman" w:hAnsi="Arial Narrow" w:cs="Arial"/>
          <w:snapToGrid w:val="0"/>
          <w:color w:val="auto"/>
          <w:sz w:val="18"/>
          <w:szCs w:val="20"/>
        </w:rPr>
        <w:t>Grey shading indicate</w:t>
      </w:r>
      <w:r w:rsidR="00330AF9" w:rsidRPr="006F283B">
        <w:rPr>
          <w:rFonts w:ascii="Arial Narrow" w:eastAsia="Times New Roman" w:hAnsi="Arial Narrow" w:cs="Arial"/>
          <w:snapToGrid w:val="0"/>
          <w:color w:val="auto"/>
          <w:sz w:val="18"/>
          <w:szCs w:val="20"/>
        </w:rPr>
        <w:t>s</w:t>
      </w:r>
      <w:r w:rsidRPr="006F283B">
        <w:rPr>
          <w:rFonts w:ascii="Arial Narrow" w:eastAsia="Times New Roman" w:hAnsi="Arial Narrow" w:cs="Arial"/>
          <w:snapToGrid w:val="0"/>
          <w:color w:val="auto"/>
          <w:sz w:val="18"/>
          <w:szCs w:val="20"/>
        </w:rPr>
        <w:t xml:space="preserve"> requested </w:t>
      </w:r>
      <w:proofErr w:type="gramStart"/>
      <w:r w:rsidRPr="006F283B">
        <w:rPr>
          <w:rFonts w:ascii="Arial Narrow" w:eastAsia="Times New Roman" w:hAnsi="Arial Narrow" w:cs="Arial"/>
          <w:snapToGrid w:val="0"/>
          <w:color w:val="auto"/>
          <w:sz w:val="18"/>
          <w:szCs w:val="20"/>
        </w:rPr>
        <w:t>population</w:t>
      </w:r>
      <w:proofErr w:type="gramEnd"/>
    </w:p>
    <w:p w14:paraId="4CB0987A" w14:textId="54C334C6" w:rsidR="00F30289" w:rsidRDefault="00D95C2B" w:rsidP="00F30289">
      <w:pPr>
        <w:pStyle w:val="InstructionalText"/>
        <w:keepLines/>
        <w:spacing w:after="0"/>
        <w:rPr>
          <w:rFonts w:ascii="Arial Narrow" w:eastAsia="Times New Roman" w:hAnsi="Arial Narrow" w:cs="Arial"/>
          <w:snapToGrid w:val="0"/>
          <w:color w:val="auto"/>
          <w:sz w:val="18"/>
          <w:szCs w:val="20"/>
        </w:rPr>
      </w:pPr>
      <w:r w:rsidRPr="006F283B">
        <w:rPr>
          <w:rFonts w:ascii="Arial Narrow" w:eastAsia="Times New Roman" w:hAnsi="Arial Narrow" w:cs="Arial"/>
          <w:snapToGrid w:val="0"/>
          <w:color w:val="auto"/>
          <w:sz w:val="18"/>
          <w:szCs w:val="20"/>
        </w:rPr>
        <w:t xml:space="preserve">BEVA = bevacizumab; BICR = blinded independent centralised review; </w:t>
      </w:r>
      <w:r w:rsidR="001152C0" w:rsidRPr="001152C0">
        <w:rPr>
          <w:rFonts w:ascii="Arial Narrow" w:eastAsia="Times New Roman" w:hAnsi="Arial Narrow" w:cs="Arial"/>
          <w:i/>
          <w:iCs/>
          <w:snapToGrid w:val="0"/>
          <w:color w:val="auto"/>
          <w:sz w:val="18"/>
          <w:szCs w:val="20"/>
        </w:rPr>
        <w:t>BRCAm</w:t>
      </w:r>
      <w:r w:rsidRPr="006F283B">
        <w:rPr>
          <w:rFonts w:ascii="Arial Narrow" w:eastAsia="Times New Roman" w:hAnsi="Arial Narrow" w:cs="Arial"/>
          <w:snapToGrid w:val="0"/>
          <w:color w:val="auto"/>
          <w:sz w:val="18"/>
          <w:szCs w:val="20"/>
        </w:rPr>
        <w:t xml:space="preserve"> = </w:t>
      </w:r>
      <w:r w:rsidR="001152C0" w:rsidRPr="001152C0">
        <w:rPr>
          <w:rFonts w:ascii="Arial Narrow" w:eastAsia="Times New Roman" w:hAnsi="Arial Narrow" w:cs="Arial"/>
          <w:i/>
          <w:iCs/>
          <w:snapToGrid w:val="0"/>
          <w:color w:val="auto"/>
          <w:sz w:val="18"/>
          <w:szCs w:val="20"/>
        </w:rPr>
        <w:t xml:space="preserve">BRCA </w:t>
      </w:r>
      <w:r w:rsidRPr="006F283B">
        <w:rPr>
          <w:rFonts w:ascii="Arial Narrow" w:eastAsia="Times New Roman" w:hAnsi="Arial Narrow" w:cs="Arial"/>
          <w:snapToGrid w:val="0"/>
          <w:color w:val="auto"/>
          <w:sz w:val="18"/>
          <w:szCs w:val="20"/>
        </w:rPr>
        <w:t>gene mutation; CI = confidence interval; DCO = data cut-off; HR = hazard ratio; HRD = homologous recombination deficient; HRp = homologous recombination proficient; HRnd = homologous recombination not determined; NE = not evaluable; NIRA = niraparib; NR = not reported; OLA = olaparib; PBO = placebo</w:t>
      </w:r>
    </w:p>
    <w:p w14:paraId="22AA23D4" w14:textId="2E6B241C" w:rsidR="00D95C2B" w:rsidRPr="003915F9" w:rsidRDefault="00F30289" w:rsidP="00152220">
      <w:pPr>
        <w:pStyle w:val="InstructionalText"/>
        <w:keepLines/>
        <w:spacing w:after="120"/>
        <w:rPr>
          <w:rFonts w:ascii="Arial Narrow" w:eastAsia="Times New Roman" w:hAnsi="Arial Narrow" w:cs="Arial"/>
          <w:i/>
          <w:iCs/>
          <w:snapToGrid w:val="0"/>
          <w:color w:val="auto"/>
          <w:sz w:val="18"/>
          <w:szCs w:val="20"/>
        </w:rPr>
      </w:pPr>
      <w:r w:rsidRPr="00F30289">
        <w:rPr>
          <w:rFonts w:ascii="Arial Narrow" w:eastAsia="Times New Roman" w:hAnsi="Arial Narrow" w:cs="Arial"/>
          <w:i/>
          <w:iCs/>
          <w:snapToGrid w:val="0"/>
          <w:color w:val="auto"/>
          <w:sz w:val="18"/>
          <w:szCs w:val="20"/>
        </w:rPr>
        <w:t>Note: Results denoted by (</w:t>
      </w:r>
      <w:r>
        <w:rPr>
          <w:rFonts w:ascii="Arial Narrow" w:eastAsia="Times New Roman" w:hAnsi="Arial Narrow" w:cs="Arial"/>
          <w:i/>
          <w:iCs/>
          <w:snapToGrid w:val="0"/>
          <w:color w:val="auto"/>
          <w:sz w:val="18"/>
          <w:szCs w:val="20"/>
        </w:rPr>
        <w:t>*</w:t>
      </w:r>
      <w:r w:rsidRPr="00F30289">
        <w:rPr>
          <w:rFonts w:ascii="Arial Narrow" w:eastAsia="Times New Roman" w:hAnsi="Arial Narrow" w:cs="Arial"/>
          <w:i/>
          <w:iCs/>
          <w:snapToGrid w:val="0"/>
          <w:color w:val="auto"/>
          <w:sz w:val="18"/>
          <w:szCs w:val="20"/>
        </w:rPr>
        <w:t>)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602FA72A" w14:textId="129F66FF" w:rsidR="00982F0F" w:rsidRPr="006F283B" w:rsidRDefault="00330AF9" w:rsidP="003915F9">
      <w:pPr>
        <w:pStyle w:val="Caption"/>
        <w:widowControl/>
      </w:pPr>
      <w:bookmarkStart w:id="87" w:name="_Ref130487022"/>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10</w:t>
      </w:r>
      <w:r w:rsidR="00091054">
        <w:rPr>
          <w:noProof/>
        </w:rPr>
        <w:fldChar w:fldCharType="end"/>
      </w:r>
      <w:bookmarkEnd w:id="87"/>
      <w:r w:rsidR="004E1A24">
        <w:t xml:space="preserve">: </w:t>
      </w:r>
      <w:r w:rsidR="00982F0F" w:rsidRPr="006F283B">
        <w:t>OS Results from PRIMA and PAOLA-1</w:t>
      </w:r>
    </w:p>
    <w:tbl>
      <w:tblPr>
        <w:tblStyle w:val="newstyle12"/>
        <w:tblW w:w="0" w:type="auto"/>
        <w:shd w:val="clear" w:color="auto" w:fill="FFFFFF" w:themeFill="background1"/>
        <w:tblLook w:val="04A0" w:firstRow="1" w:lastRow="0" w:firstColumn="1" w:lastColumn="0" w:noHBand="0" w:noVBand="1"/>
      </w:tblPr>
      <w:tblGrid>
        <w:gridCol w:w="1011"/>
        <w:gridCol w:w="1678"/>
        <w:gridCol w:w="1581"/>
        <w:gridCol w:w="1582"/>
        <w:gridCol w:w="1582"/>
        <w:gridCol w:w="1582"/>
      </w:tblGrid>
      <w:tr w:rsidR="00982F0F" w:rsidRPr="006F283B" w14:paraId="72F7B079" w14:textId="77777777" w:rsidTr="00372EA1">
        <w:trPr>
          <w:trHeight w:val="170"/>
        </w:trPr>
        <w:tc>
          <w:tcPr>
            <w:tcW w:w="2689" w:type="dxa"/>
            <w:gridSpan w:val="2"/>
            <w:vMerge w:val="restart"/>
            <w:shd w:val="clear" w:color="auto" w:fill="FFFFFF" w:themeFill="background1"/>
            <w:vAlign w:val="center"/>
          </w:tcPr>
          <w:p w14:paraId="1F2CDA97" w14:textId="77777777" w:rsidR="00982F0F" w:rsidRPr="006F283B" w:rsidRDefault="00982F0F" w:rsidP="003915F9">
            <w:pPr>
              <w:keepNext/>
              <w:keepLines/>
              <w:spacing w:before="0"/>
              <w:jc w:val="left"/>
              <w:rPr>
                <w:b/>
                <w:bCs/>
                <w:sz w:val="20"/>
                <w:szCs w:val="20"/>
                <w:lang w:val="en-AU"/>
              </w:rPr>
            </w:pPr>
            <w:r w:rsidRPr="006F283B">
              <w:rPr>
                <w:b/>
                <w:bCs/>
                <w:sz w:val="20"/>
                <w:szCs w:val="20"/>
                <w:lang w:val="en-AU"/>
              </w:rPr>
              <w:t>OS</w:t>
            </w:r>
          </w:p>
        </w:tc>
        <w:tc>
          <w:tcPr>
            <w:tcW w:w="3163" w:type="dxa"/>
            <w:gridSpan w:val="2"/>
            <w:shd w:val="clear" w:color="auto" w:fill="FFFFFF" w:themeFill="background1"/>
            <w:vAlign w:val="center"/>
          </w:tcPr>
          <w:p w14:paraId="16CA8EA7"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Interim OS analysis</w:t>
            </w:r>
          </w:p>
        </w:tc>
        <w:tc>
          <w:tcPr>
            <w:tcW w:w="3164" w:type="dxa"/>
            <w:gridSpan w:val="2"/>
            <w:shd w:val="clear" w:color="auto" w:fill="FFFFFF" w:themeFill="background1"/>
            <w:vAlign w:val="center"/>
          </w:tcPr>
          <w:p w14:paraId="73CF4E31"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Final OS analysis</w:t>
            </w:r>
          </w:p>
        </w:tc>
      </w:tr>
      <w:tr w:rsidR="00982F0F" w:rsidRPr="006F283B" w14:paraId="452DF195" w14:textId="77777777" w:rsidTr="00372EA1">
        <w:trPr>
          <w:trHeight w:val="170"/>
        </w:trPr>
        <w:tc>
          <w:tcPr>
            <w:tcW w:w="2689" w:type="dxa"/>
            <w:gridSpan w:val="2"/>
            <w:vMerge/>
            <w:shd w:val="clear" w:color="auto" w:fill="FFFFFF" w:themeFill="background1"/>
            <w:vAlign w:val="center"/>
          </w:tcPr>
          <w:p w14:paraId="233A09C5" w14:textId="77777777" w:rsidR="00982F0F" w:rsidRPr="006F283B" w:rsidRDefault="00982F0F" w:rsidP="003915F9">
            <w:pPr>
              <w:keepNext/>
              <w:keepLines/>
              <w:spacing w:before="0"/>
              <w:jc w:val="left"/>
              <w:rPr>
                <w:b/>
                <w:bCs/>
                <w:sz w:val="20"/>
                <w:szCs w:val="20"/>
                <w:lang w:val="en-AU"/>
              </w:rPr>
            </w:pPr>
          </w:p>
        </w:tc>
        <w:tc>
          <w:tcPr>
            <w:tcW w:w="3163" w:type="dxa"/>
            <w:gridSpan w:val="2"/>
            <w:shd w:val="clear" w:color="auto" w:fill="FFFFFF" w:themeFill="background1"/>
            <w:vAlign w:val="center"/>
          </w:tcPr>
          <w:p w14:paraId="04958F21"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PRIMA (DCO: 17/5/19)</w:t>
            </w:r>
          </w:p>
        </w:tc>
        <w:tc>
          <w:tcPr>
            <w:tcW w:w="3164" w:type="dxa"/>
            <w:gridSpan w:val="2"/>
            <w:shd w:val="clear" w:color="auto" w:fill="FFFFFF" w:themeFill="background1"/>
            <w:vAlign w:val="center"/>
          </w:tcPr>
          <w:p w14:paraId="78A0A02E"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PAOLA-1 (DCO: 22/3/22)</w:t>
            </w:r>
          </w:p>
        </w:tc>
      </w:tr>
      <w:tr w:rsidR="00982F0F" w:rsidRPr="006F283B" w14:paraId="145E3E3B" w14:textId="77777777" w:rsidTr="00372EA1">
        <w:trPr>
          <w:trHeight w:val="170"/>
        </w:trPr>
        <w:tc>
          <w:tcPr>
            <w:tcW w:w="2689" w:type="dxa"/>
            <w:gridSpan w:val="2"/>
            <w:vMerge/>
            <w:shd w:val="clear" w:color="auto" w:fill="FFFFFF" w:themeFill="background1"/>
            <w:vAlign w:val="center"/>
          </w:tcPr>
          <w:p w14:paraId="0E99B820" w14:textId="77777777" w:rsidR="00982F0F" w:rsidRPr="006F283B" w:rsidRDefault="00982F0F" w:rsidP="003915F9">
            <w:pPr>
              <w:keepNext/>
              <w:keepLines/>
              <w:spacing w:before="0"/>
              <w:jc w:val="left"/>
              <w:rPr>
                <w:b/>
                <w:bCs/>
                <w:sz w:val="20"/>
                <w:szCs w:val="20"/>
                <w:lang w:val="en-AU"/>
              </w:rPr>
            </w:pPr>
          </w:p>
        </w:tc>
        <w:tc>
          <w:tcPr>
            <w:tcW w:w="1581" w:type="dxa"/>
            <w:shd w:val="clear" w:color="auto" w:fill="FFFFFF" w:themeFill="background1"/>
            <w:vAlign w:val="center"/>
          </w:tcPr>
          <w:p w14:paraId="3A3952AE"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NIRA</w:t>
            </w:r>
          </w:p>
        </w:tc>
        <w:tc>
          <w:tcPr>
            <w:tcW w:w="1582" w:type="dxa"/>
            <w:shd w:val="clear" w:color="auto" w:fill="FFFFFF" w:themeFill="background1"/>
            <w:vAlign w:val="center"/>
          </w:tcPr>
          <w:p w14:paraId="4425B9BF"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PBO</w:t>
            </w:r>
          </w:p>
        </w:tc>
        <w:tc>
          <w:tcPr>
            <w:tcW w:w="1582" w:type="dxa"/>
            <w:shd w:val="clear" w:color="auto" w:fill="FFFFFF" w:themeFill="background1"/>
            <w:vAlign w:val="center"/>
          </w:tcPr>
          <w:p w14:paraId="7653BABC"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OLA/BEVA</w:t>
            </w:r>
          </w:p>
        </w:tc>
        <w:tc>
          <w:tcPr>
            <w:tcW w:w="1582" w:type="dxa"/>
            <w:shd w:val="clear" w:color="auto" w:fill="FFFFFF" w:themeFill="background1"/>
            <w:vAlign w:val="center"/>
          </w:tcPr>
          <w:p w14:paraId="052FC326" w14:textId="77777777" w:rsidR="00982F0F" w:rsidRPr="006F283B" w:rsidRDefault="00982F0F" w:rsidP="003915F9">
            <w:pPr>
              <w:keepNext/>
              <w:keepLines/>
              <w:spacing w:before="0"/>
              <w:jc w:val="center"/>
              <w:rPr>
                <w:b/>
                <w:bCs/>
                <w:sz w:val="20"/>
                <w:szCs w:val="20"/>
                <w:lang w:val="en-AU"/>
              </w:rPr>
            </w:pPr>
            <w:r w:rsidRPr="006F283B">
              <w:rPr>
                <w:b/>
                <w:bCs/>
                <w:sz w:val="20"/>
                <w:szCs w:val="20"/>
                <w:lang w:val="en-AU"/>
              </w:rPr>
              <w:t>PBO/BEVA</w:t>
            </w:r>
          </w:p>
        </w:tc>
      </w:tr>
      <w:tr w:rsidR="00982F0F" w:rsidRPr="006F283B" w14:paraId="6FCA0EF5" w14:textId="77777777" w:rsidTr="00372EA1">
        <w:trPr>
          <w:trHeight w:val="170"/>
        </w:trPr>
        <w:tc>
          <w:tcPr>
            <w:tcW w:w="1011" w:type="dxa"/>
            <w:vMerge w:val="restart"/>
            <w:shd w:val="clear" w:color="auto" w:fill="FFFFFF" w:themeFill="background1"/>
            <w:vAlign w:val="center"/>
          </w:tcPr>
          <w:p w14:paraId="7E862476" w14:textId="77777777" w:rsidR="00982F0F" w:rsidRPr="006F283B" w:rsidRDefault="00982F0F" w:rsidP="003915F9">
            <w:pPr>
              <w:keepNext/>
              <w:keepLines/>
              <w:spacing w:before="0"/>
              <w:jc w:val="left"/>
              <w:rPr>
                <w:sz w:val="20"/>
                <w:szCs w:val="20"/>
                <w:lang w:val="en-AU"/>
              </w:rPr>
            </w:pPr>
            <w:r w:rsidRPr="006F283B">
              <w:rPr>
                <w:sz w:val="20"/>
                <w:szCs w:val="20"/>
                <w:lang w:val="en-AU"/>
              </w:rPr>
              <w:t>ITT</w:t>
            </w:r>
          </w:p>
        </w:tc>
        <w:tc>
          <w:tcPr>
            <w:tcW w:w="1678" w:type="dxa"/>
            <w:shd w:val="clear" w:color="auto" w:fill="FFFFFF" w:themeFill="background1"/>
            <w:vAlign w:val="center"/>
          </w:tcPr>
          <w:p w14:paraId="7B31CA8F" w14:textId="77777777" w:rsidR="00982F0F" w:rsidRPr="006F283B" w:rsidRDefault="00982F0F" w:rsidP="003915F9">
            <w:pPr>
              <w:keepNext/>
              <w:keepLines/>
              <w:spacing w:before="0"/>
              <w:jc w:val="center"/>
              <w:rPr>
                <w:sz w:val="20"/>
                <w:szCs w:val="20"/>
                <w:lang w:val="en-AU"/>
              </w:rPr>
            </w:pPr>
            <w:r w:rsidRPr="006F283B">
              <w:rPr>
                <w:sz w:val="20"/>
                <w:szCs w:val="20"/>
                <w:lang w:val="en-AU"/>
              </w:rPr>
              <w:t>Events/N</w:t>
            </w:r>
          </w:p>
        </w:tc>
        <w:tc>
          <w:tcPr>
            <w:tcW w:w="1581" w:type="dxa"/>
            <w:shd w:val="clear" w:color="auto" w:fill="FFFFFF" w:themeFill="background1"/>
            <w:vAlign w:val="center"/>
          </w:tcPr>
          <w:p w14:paraId="4034CE5B" w14:textId="77777777" w:rsidR="00982F0F" w:rsidRPr="006F283B" w:rsidRDefault="00982F0F" w:rsidP="003915F9">
            <w:pPr>
              <w:keepNext/>
              <w:keepLines/>
              <w:spacing w:before="0"/>
              <w:jc w:val="center"/>
              <w:rPr>
                <w:sz w:val="20"/>
                <w:szCs w:val="20"/>
                <w:lang w:val="en-AU"/>
              </w:rPr>
            </w:pPr>
            <w:r w:rsidRPr="006F283B">
              <w:rPr>
                <w:sz w:val="20"/>
                <w:szCs w:val="20"/>
                <w:lang w:val="en-AU"/>
              </w:rPr>
              <w:t>48/487</w:t>
            </w:r>
          </w:p>
        </w:tc>
        <w:tc>
          <w:tcPr>
            <w:tcW w:w="1582" w:type="dxa"/>
            <w:shd w:val="clear" w:color="auto" w:fill="FFFFFF" w:themeFill="background1"/>
            <w:vAlign w:val="center"/>
          </w:tcPr>
          <w:p w14:paraId="44DD3D05" w14:textId="77777777" w:rsidR="00982F0F" w:rsidRPr="006F283B" w:rsidRDefault="00982F0F" w:rsidP="003915F9">
            <w:pPr>
              <w:keepNext/>
              <w:keepLines/>
              <w:spacing w:before="0"/>
              <w:jc w:val="center"/>
              <w:rPr>
                <w:sz w:val="20"/>
                <w:szCs w:val="20"/>
                <w:lang w:val="en-AU"/>
              </w:rPr>
            </w:pPr>
            <w:r w:rsidRPr="006F283B">
              <w:rPr>
                <w:sz w:val="20"/>
                <w:szCs w:val="20"/>
                <w:lang w:val="en-AU"/>
              </w:rPr>
              <w:t>31/246</w:t>
            </w:r>
          </w:p>
        </w:tc>
        <w:tc>
          <w:tcPr>
            <w:tcW w:w="1582" w:type="dxa"/>
            <w:shd w:val="clear" w:color="auto" w:fill="FFFFFF" w:themeFill="background1"/>
            <w:vAlign w:val="center"/>
          </w:tcPr>
          <w:p w14:paraId="767AB8FD" w14:textId="77777777" w:rsidR="00982F0F" w:rsidRPr="006F283B" w:rsidRDefault="00982F0F" w:rsidP="003915F9">
            <w:pPr>
              <w:keepNext/>
              <w:keepLines/>
              <w:spacing w:before="0"/>
              <w:jc w:val="center"/>
              <w:rPr>
                <w:sz w:val="20"/>
                <w:szCs w:val="20"/>
                <w:lang w:val="en-AU"/>
              </w:rPr>
            </w:pPr>
            <w:r w:rsidRPr="006F283B">
              <w:rPr>
                <w:sz w:val="20"/>
                <w:szCs w:val="20"/>
                <w:lang w:val="en-AU"/>
              </w:rPr>
              <w:t>288/537</w:t>
            </w:r>
          </w:p>
        </w:tc>
        <w:tc>
          <w:tcPr>
            <w:tcW w:w="1582" w:type="dxa"/>
            <w:shd w:val="clear" w:color="auto" w:fill="FFFFFF" w:themeFill="background1"/>
            <w:vAlign w:val="center"/>
          </w:tcPr>
          <w:p w14:paraId="5D17A962" w14:textId="77777777" w:rsidR="00982F0F" w:rsidRPr="006F283B" w:rsidRDefault="00982F0F" w:rsidP="003915F9">
            <w:pPr>
              <w:keepNext/>
              <w:keepLines/>
              <w:spacing w:before="0"/>
              <w:jc w:val="center"/>
              <w:rPr>
                <w:sz w:val="20"/>
                <w:szCs w:val="20"/>
                <w:lang w:val="en-AU"/>
              </w:rPr>
            </w:pPr>
            <w:r w:rsidRPr="006F283B">
              <w:rPr>
                <w:sz w:val="20"/>
                <w:szCs w:val="20"/>
                <w:lang w:val="en-AU"/>
              </w:rPr>
              <w:t>158/269</w:t>
            </w:r>
          </w:p>
        </w:tc>
      </w:tr>
      <w:tr w:rsidR="00982F0F" w:rsidRPr="006F283B" w14:paraId="6828C44D" w14:textId="77777777" w:rsidTr="00372EA1">
        <w:trPr>
          <w:trHeight w:val="170"/>
        </w:trPr>
        <w:tc>
          <w:tcPr>
            <w:tcW w:w="1011" w:type="dxa"/>
            <w:vMerge/>
            <w:shd w:val="clear" w:color="auto" w:fill="FFFFFF" w:themeFill="background1"/>
            <w:vAlign w:val="center"/>
          </w:tcPr>
          <w:p w14:paraId="35ACBE99" w14:textId="77777777" w:rsidR="00982F0F" w:rsidRPr="006F283B" w:rsidRDefault="00982F0F" w:rsidP="003915F9">
            <w:pPr>
              <w:keepNext/>
              <w:keepLines/>
              <w:spacing w:before="0"/>
              <w:jc w:val="left"/>
              <w:rPr>
                <w:sz w:val="20"/>
                <w:szCs w:val="20"/>
                <w:lang w:val="en-AU"/>
              </w:rPr>
            </w:pPr>
          </w:p>
        </w:tc>
        <w:tc>
          <w:tcPr>
            <w:tcW w:w="1678" w:type="dxa"/>
            <w:shd w:val="clear" w:color="auto" w:fill="FFFFFF" w:themeFill="background1"/>
            <w:vAlign w:val="center"/>
          </w:tcPr>
          <w:p w14:paraId="3F18B525" w14:textId="77777777" w:rsidR="00982F0F" w:rsidRPr="006F283B" w:rsidRDefault="00982F0F" w:rsidP="003915F9">
            <w:pPr>
              <w:keepNext/>
              <w:keepLines/>
              <w:spacing w:before="0"/>
              <w:jc w:val="center"/>
              <w:rPr>
                <w:sz w:val="20"/>
                <w:szCs w:val="20"/>
                <w:lang w:val="en-AU"/>
              </w:rPr>
            </w:pPr>
            <w:r w:rsidRPr="006F283B">
              <w:rPr>
                <w:sz w:val="20"/>
                <w:szCs w:val="20"/>
                <w:lang w:val="en-AU"/>
              </w:rPr>
              <w:t>Median, months</w:t>
            </w:r>
          </w:p>
        </w:tc>
        <w:tc>
          <w:tcPr>
            <w:tcW w:w="1581" w:type="dxa"/>
            <w:shd w:val="clear" w:color="auto" w:fill="FFFFFF" w:themeFill="background1"/>
            <w:vAlign w:val="center"/>
          </w:tcPr>
          <w:p w14:paraId="31EA23CF" w14:textId="77777777" w:rsidR="00982F0F" w:rsidRPr="006F283B" w:rsidRDefault="00982F0F" w:rsidP="003915F9">
            <w:pPr>
              <w:keepNext/>
              <w:keepLines/>
              <w:spacing w:before="0"/>
              <w:jc w:val="center"/>
              <w:rPr>
                <w:sz w:val="20"/>
                <w:szCs w:val="20"/>
                <w:lang w:val="en-AU"/>
              </w:rPr>
            </w:pPr>
            <w:r w:rsidRPr="006F283B">
              <w:rPr>
                <w:sz w:val="20"/>
                <w:szCs w:val="20"/>
                <w:lang w:val="en-AU"/>
              </w:rPr>
              <w:t>30.3 (30.3, NE)</w:t>
            </w:r>
          </w:p>
        </w:tc>
        <w:tc>
          <w:tcPr>
            <w:tcW w:w="1582" w:type="dxa"/>
            <w:shd w:val="clear" w:color="auto" w:fill="FFFFFF" w:themeFill="background1"/>
            <w:vAlign w:val="center"/>
          </w:tcPr>
          <w:p w14:paraId="7E6C8E18" w14:textId="77777777" w:rsidR="00982F0F" w:rsidRPr="006F283B" w:rsidRDefault="00982F0F" w:rsidP="003915F9">
            <w:pPr>
              <w:keepNext/>
              <w:keepLines/>
              <w:spacing w:before="0"/>
              <w:jc w:val="center"/>
              <w:rPr>
                <w:sz w:val="20"/>
                <w:szCs w:val="20"/>
                <w:lang w:val="en-AU"/>
              </w:rPr>
            </w:pPr>
            <w:r w:rsidRPr="006F283B">
              <w:rPr>
                <w:sz w:val="20"/>
                <w:szCs w:val="20"/>
                <w:lang w:val="en-AU"/>
              </w:rPr>
              <w:t>NE (25.0, NE)</w:t>
            </w:r>
          </w:p>
        </w:tc>
        <w:tc>
          <w:tcPr>
            <w:tcW w:w="1582" w:type="dxa"/>
            <w:shd w:val="clear" w:color="auto" w:fill="FFFFFF" w:themeFill="background1"/>
            <w:vAlign w:val="center"/>
          </w:tcPr>
          <w:p w14:paraId="25941D04" w14:textId="77777777" w:rsidR="00982F0F" w:rsidRPr="006F283B" w:rsidRDefault="00982F0F" w:rsidP="003915F9">
            <w:pPr>
              <w:keepNext/>
              <w:keepLines/>
              <w:spacing w:before="0"/>
              <w:jc w:val="center"/>
              <w:rPr>
                <w:sz w:val="20"/>
                <w:szCs w:val="20"/>
                <w:lang w:val="en-AU"/>
              </w:rPr>
            </w:pPr>
            <w:r w:rsidRPr="006F283B">
              <w:rPr>
                <w:sz w:val="20"/>
                <w:szCs w:val="20"/>
                <w:lang w:val="en-AU"/>
              </w:rPr>
              <w:t>56.5</w:t>
            </w:r>
          </w:p>
        </w:tc>
        <w:tc>
          <w:tcPr>
            <w:tcW w:w="1582" w:type="dxa"/>
            <w:shd w:val="clear" w:color="auto" w:fill="FFFFFF" w:themeFill="background1"/>
            <w:vAlign w:val="center"/>
          </w:tcPr>
          <w:p w14:paraId="3E29E451" w14:textId="77777777" w:rsidR="00982F0F" w:rsidRPr="006F283B" w:rsidRDefault="00982F0F" w:rsidP="003915F9">
            <w:pPr>
              <w:keepNext/>
              <w:keepLines/>
              <w:spacing w:before="0"/>
              <w:jc w:val="center"/>
              <w:rPr>
                <w:sz w:val="20"/>
                <w:szCs w:val="20"/>
                <w:lang w:val="en-AU"/>
              </w:rPr>
            </w:pPr>
            <w:r w:rsidRPr="006F283B">
              <w:rPr>
                <w:sz w:val="20"/>
                <w:szCs w:val="20"/>
                <w:lang w:val="en-AU"/>
              </w:rPr>
              <w:t>51.6</w:t>
            </w:r>
          </w:p>
        </w:tc>
      </w:tr>
      <w:tr w:rsidR="00982F0F" w:rsidRPr="006F283B" w14:paraId="57F06A24" w14:textId="77777777" w:rsidTr="00372EA1">
        <w:trPr>
          <w:trHeight w:val="170"/>
        </w:trPr>
        <w:tc>
          <w:tcPr>
            <w:tcW w:w="1011" w:type="dxa"/>
            <w:vMerge/>
            <w:shd w:val="clear" w:color="auto" w:fill="FFFFFF" w:themeFill="background1"/>
            <w:vAlign w:val="center"/>
          </w:tcPr>
          <w:p w14:paraId="7EFFA5BF" w14:textId="77777777" w:rsidR="00982F0F" w:rsidRPr="006F283B" w:rsidRDefault="00982F0F" w:rsidP="003915F9">
            <w:pPr>
              <w:keepNext/>
              <w:keepLines/>
              <w:spacing w:before="0"/>
              <w:jc w:val="left"/>
              <w:rPr>
                <w:sz w:val="20"/>
                <w:szCs w:val="20"/>
                <w:lang w:val="en-AU"/>
              </w:rPr>
            </w:pPr>
          </w:p>
        </w:tc>
        <w:tc>
          <w:tcPr>
            <w:tcW w:w="1678" w:type="dxa"/>
            <w:shd w:val="clear" w:color="auto" w:fill="FFFFFF" w:themeFill="background1"/>
            <w:vAlign w:val="center"/>
          </w:tcPr>
          <w:p w14:paraId="3086802E" w14:textId="77777777" w:rsidR="00982F0F" w:rsidRPr="006F283B" w:rsidRDefault="00982F0F" w:rsidP="003915F9">
            <w:pPr>
              <w:keepNext/>
              <w:keepLines/>
              <w:spacing w:before="0"/>
              <w:jc w:val="center"/>
              <w:rPr>
                <w:sz w:val="20"/>
                <w:szCs w:val="20"/>
                <w:lang w:val="en-AU"/>
              </w:rPr>
            </w:pPr>
            <w:r w:rsidRPr="006F283B">
              <w:rPr>
                <w:sz w:val="20"/>
                <w:szCs w:val="20"/>
                <w:lang w:val="en-AU"/>
              </w:rPr>
              <w:t>HR (95% CI)</w:t>
            </w:r>
          </w:p>
        </w:tc>
        <w:tc>
          <w:tcPr>
            <w:tcW w:w="3163" w:type="dxa"/>
            <w:gridSpan w:val="2"/>
            <w:shd w:val="clear" w:color="auto" w:fill="FFFFFF" w:themeFill="background1"/>
            <w:vAlign w:val="center"/>
          </w:tcPr>
          <w:p w14:paraId="32F03EDA" w14:textId="77777777" w:rsidR="00982F0F" w:rsidRPr="006F283B" w:rsidRDefault="00982F0F" w:rsidP="003915F9">
            <w:pPr>
              <w:keepNext/>
              <w:keepLines/>
              <w:spacing w:before="0"/>
              <w:jc w:val="center"/>
              <w:rPr>
                <w:sz w:val="20"/>
                <w:szCs w:val="20"/>
                <w:lang w:val="en-AU"/>
              </w:rPr>
            </w:pPr>
            <w:r w:rsidRPr="006F283B">
              <w:rPr>
                <w:sz w:val="20"/>
                <w:szCs w:val="20"/>
                <w:lang w:val="en-AU"/>
              </w:rPr>
              <w:t>0.70 (0.442,1.106)</w:t>
            </w:r>
          </w:p>
        </w:tc>
        <w:tc>
          <w:tcPr>
            <w:tcW w:w="3164" w:type="dxa"/>
            <w:gridSpan w:val="2"/>
            <w:shd w:val="clear" w:color="auto" w:fill="FFFFFF" w:themeFill="background1"/>
            <w:vAlign w:val="center"/>
          </w:tcPr>
          <w:p w14:paraId="45A7F861" w14:textId="77777777" w:rsidR="00982F0F" w:rsidRPr="006F283B" w:rsidRDefault="00982F0F" w:rsidP="003915F9">
            <w:pPr>
              <w:keepNext/>
              <w:keepLines/>
              <w:spacing w:before="0"/>
              <w:jc w:val="center"/>
              <w:rPr>
                <w:sz w:val="20"/>
                <w:szCs w:val="20"/>
                <w:lang w:val="en-AU"/>
              </w:rPr>
            </w:pPr>
            <w:r w:rsidRPr="006F283B">
              <w:rPr>
                <w:sz w:val="20"/>
                <w:szCs w:val="20"/>
                <w:lang w:val="en-AU"/>
              </w:rPr>
              <w:t>0.92 (0.76, 1.12)</w:t>
            </w:r>
          </w:p>
        </w:tc>
      </w:tr>
      <w:tr w:rsidR="00982F0F" w:rsidRPr="006F283B" w14:paraId="40CEC96D" w14:textId="77777777" w:rsidTr="00372EA1">
        <w:trPr>
          <w:trHeight w:val="170"/>
        </w:trPr>
        <w:tc>
          <w:tcPr>
            <w:tcW w:w="1011" w:type="dxa"/>
            <w:vMerge w:val="restart"/>
            <w:shd w:val="clear" w:color="auto" w:fill="FFFFFF" w:themeFill="background1"/>
            <w:vAlign w:val="center"/>
          </w:tcPr>
          <w:p w14:paraId="3D24DD2A" w14:textId="77777777" w:rsidR="00982F0F" w:rsidRPr="006F283B" w:rsidRDefault="00982F0F" w:rsidP="003915F9">
            <w:pPr>
              <w:keepNext/>
              <w:keepLines/>
              <w:spacing w:before="0"/>
              <w:jc w:val="left"/>
              <w:rPr>
                <w:sz w:val="20"/>
                <w:szCs w:val="20"/>
                <w:lang w:val="en-AU"/>
              </w:rPr>
            </w:pPr>
            <w:r w:rsidRPr="006F283B">
              <w:rPr>
                <w:sz w:val="20"/>
                <w:szCs w:val="20"/>
                <w:lang w:val="en-AU"/>
              </w:rPr>
              <w:t>HRD positive</w:t>
            </w:r>
          </w:p>
        </w:tc>
        <w:tc>
          <w:tcPr>
            <w:tcW w:w="1678" w:type="dxa"/>
            <w:shd w:val="clear" w:color="auto" w:fill="FFFFFF" w:themeFill="background1"/>
            <w:vAlign w:val="center"/>
          </w:tcPr>
          <w:p w14:paraId="4A457849" w14:textId="77777777" w:rsidR="00982F0F" w:rsidRPr="006F283B" w:rsidRDefault="00982F0F" w:rsidP="003915F9">
            <w:pPr>
              <w:keepNext/>
              <w:keepLines/>
              <w:spacing w:before="0"/>
              <w:jc w:val="center"/>
              <w:rPr>
                <w:sz w:val="20"/>
                <w:szCs w:val="20"/>
                <w:lang w:val="en-AU"/>
              </w:rPr>
            </w:pPr>
            <w:r w:rsidRPr="006F283B">
              <w:rPr>
                <w:sz w:val="20"/>
                <w:szCs w:val="20"/>
                <w:lang w:val="en-AU"/>
              </w:rPr>
              <w:t>Events/N</w:t>
            </w:r>
          </w:p>
        </w:tc>
        <w:tc>
          <w:tcPr>
            <w:tcW w:w="1581" w:type="dxa"/>
            <w:shd w:val="clear" w:color="auto" w:fill="FFFFFF" w:themeFill="background1"/>
            <w:vAlign w:val="center"/>
          </w:tcPr>
          <w:p w14:paraId="6624752A" w14:textId="77777777" w:rsidR="00982F0F" w:rsidRPr="006F283B" w:rsidRDefault="00982F0F" w:rsidP="003915F9">
            <w:pPr>
              <w:keepNext/>
              <w:keepLines/>
              <w:spacing w:before="0"/>
              <w:jc w:val="center"/>
              <w:rPr>
                <w:sz w:val="20"/>
                <w:szCs w:val="20"/>
                <w:lang w:val="en-AU"/>
              </w:rPr>
            </w:pPr>
            <w:r w:rsidRPr="006F283B">
              <w:rPr>
                <w:sz w:val="20"/>
                <w:szCs w:val="20"/>
                <w:lang w:val="en-AU"/>
              </w:rPr>
              <w:t>16/247</w:t>
            </w:r>
          </w:p>
        </w:tc>
        <w:tc>
          <w:tcPr>
            <w:tcW w:w="1582" w:type="dxa"/>
            <w:shd w:val="clear" w:color="auto" w:fill="FFFFFF" w:themeFill="background1"/>
            <w:vAlign w:val="center"/>
          </w:tcPr>
          <w:p w14:paraId="1FAFB4A3" w14:textId="77777777" w:rsidR="00982F0F" w:rsidRPr="006F283B" w:rsidRDefault="00982F0F" w:rsidP="003915F9">
            <w:pPr>
              <w:keepNext/>
              <w:keepLines/>
              <w:spacing w:before="0"/>
              <w:jc w:val="center"/>
              <w:rPr>
                <w:sz w:val="20"/>
                <w:szCs w:val="20"/>
                <w:lang w:val="en-AU"/>
              </w:rPr>
            </w:pPr>
            <w:r w:rsidRPr="006F283B">
              <w:rPr>
                <w:sz w:val="20"/>
                <w:szCs w:val="20"/>
                <w:lang w:val="en-AU"/>
              </w:rPr>
              <w:t>10/126</w:t>
            </w:r>
          </w:p>
        </w:tc>
        <w:tc>
          <w:tcPr>
            <w:tcW w:w="1582" w:type="dxa"/>
            <w:shd w:val="clear" w:color="auto" w:fill="FFFFFF" w:themeFill="background1"/>
            <w:vAlign w:val="center"/>
          </w:tcPr>
          <w:p w14:paraId="32B185AA" w14:textId="77777777" w:rsidR="00982F0F" w:rsidRPr="006F283B" w:rsidRDefault="00982F0F" w:rsidP="003915F9">
            <w:pPr>
              <w:keepNext/>
              <w:keepLines/>
              <w:spacing w:before="0"/>
              <w:jc w:val="center"/>
              <w:rPr>
                <w:sz w:val="20"/>
                <w:szCs w:val="20"/>
                <w:lang w:val="en-AU"/>
              </w:rPr>
            </w:pPr>
            <w:r w:rsidRPr="006F283B">
              <w:rPr>
                <w:sz w:val="20"/>
                <w:szCs w:val="20"/>
                <w:lang w:val="en-AU"/>
              </w:rPr>
              <w:t>93/255</w:t>
            </w:r>
          </w:p>
        </w:tc>
        <w:tc>
          <w:tcPr>
            <w:tcW w:w="1582" w:type="dxa"/>
            <w:shd w:val="clear" w:color="auto" w:fill="FFFFFF" w:themeFill="background1"/>
            <w:vAlign w:val="center"/>
          </w:tcPr>
          <w:p w14:paraId="5F61AA4A" w14:textId="77777777" w:rsidR="00982F0F" w:rsidRPr="006F283B" w:rsidRDefault="00982F0F" w:rsidP="003915F9">
            <w:pPr>
              <w:keepNext/>
              <w:keepLines/>
              <w:spacing w:before="0"/>
              <w:jc w:val="center"/>
              <w:rPr>
                <w:sz w:val="20"/>
                <w:szCs w:val="20"/>
                <w:lang w:val="en-AU"/>
              </w:rPr>
            </w:pPr>
            <w:r w:rsidRPr="006F283B">
              <w:rPr>
                <w:sz w:val="20"/>
                <w:szCs w:val="20"/>
                <w:lang w:val="en-AU"/>
              </w:rPr>
              <w:t>69/132</w:t>
            </w:r>
          </w:p>
        </w:tc>
      </w:tr>
      <w:tr w:rsidR="00982F0F" w:rsidRPr="006F283B" w14:paraId="25A66D11" w14:textId="77777777" w:rsidTr="00372EA1">
        <w:trPr>
          <w:trHeight w:val="170"/>
        </w:trPr>
        <w:tc>
          <w:tcPr>
            <w:tcW w:w="1011" w:type="dxa"/>
            <w:vMerge/>
            <w:shd w:val="clear" w:color="auto" w:fill="FFFFFF" w:themeFill="background1"/>
            <w:vAlign w:val="center"/>
          </w:tcPr>
          <w:p w14:paraId="58122DB1" w14:textId="77777777" w:rsidR="00982F0F" w:rsidRPr="006F283B" w:rsidRDefault="00982F0F" w:rsidP="003915F9">
            <w:pPr>
              <w:keepNext/>
              <w:keepLines/>
              <w:spacing w:before="0"/>
              <w:jc w:val="left"/>
              <w:rPr>
                <w:sz w:val="20"/>
                <w:szCs w:val="20"/>
                <w:lang w:val="en-AU"/>
              </w:rPr>
            </w:pPr>
          </w:p>
        </w:tc>
        <w:tc>
          <w:tcPr>
            <w:tcW w:w="1678" w:type="dxa"/>
            <w:shd w:val="clear" w:color="auto" w:fill="FFFFFF" w:themeFill="background1"/>
            <w:vAlign w:val="center"/>
          </w:tcPr>
          <w:p w14:paraId="4C6FCA00" w14:textId="77777777" w:rsidR="00982F0F" w:rsidRPr="006F283B" w:rsidRDefault="00982F0F" w:rsidP="003915F9">
            <w:pPr>
              <w:keepNext/>
              <w:keepLines/>
              <w:spacing w:before="0"/>
              <w:jc w:val="center"/>
              <w:rPr>
                <w:sz w:val="20"/>
                <w:szCs w:val="20"/>
                <w:lang w:val="en-AU"/>
              </w:rPr>
            </w:pPr>
            <w:r w:rsidRPr="006F283B">
              <w:rPr>
                <w:sz w:val="20"/>
                <w:szCs w:val="20"/>
                <w:lang w:val="en-AU"/>
              </w:rPr>
              <w:t>Median, months</w:t>
            </w:r>
          </w:p>
        </w:tc>
        <w:tc>
          <w:tcPr>
            <w:tcW w:w="1581" w:type="dxa"/>
            <w:shd w:val="clear" w:color="auto" w:fill="FFFFFF" w:themeFill="background1"/>
            <w:vAlign w:val="center"/>
          </w:tcPr>
          <w:p w14:paraId="77A52EA6" w14:textId="77777777" w:rsidR="00982F0F" w:rsidRPr="006F283B" w:rsidRDefault="00982F0F" w:rsidP="003915F9">
            <w:pPr>
              <w:keepNext/>
              <w:keepLines/>
              <w:spacing w:before="0"/>
              <w:jc w:val="center"/>
              <w:rPr>
                <w:sz w:val="20"/>
                <w:szCs w:val="20"/>
                <w:lang w:val="en-AU"/>
              </w:rPr>
            </w:pPr>
            <w:r w:rsidRPr="006F283B">
              <w:rPr>
                <w:sz w:val="20"/>
                <w:szCs w:val="20"/>
                <w:lang w:val="en-AU"/>
              </w:rPr>
              <w:t>30 (30.3, NE)</w:t>
            </w:r>
          </w:p>
        </w:tc>
        <w:tc>
          <w:tcPr>
            <w:tcW w:w="1582" w:type="dxa"/>
            <w:shd w:val="clear" w:color="auto" w:fill="FFFFFF" w:themeFill="background1"/>
            <w:vAlign w:val="center"/>
          </w:tcPr>
          <w:p w14:paraId="16FB8F8B" w14:textId="77777777" w:rsidR="00982F0F" w:rsidRPr="006F283B" w:rsidRDefault="00982F0F" w:rsidP="003915F9">
            <w:pPr>
              <w:keepNext/>
              <w:keepLines/>
              <w:spacing w:before="0"/>
              <w:jc w:val="center"/>
              <w:rPr>
                <w:sz w:val="20"/>
                <w:szCs w:val="20"/>
                <w:lang w:val="en-AU"/>
              </w:rPr>
            </w:pPr>
            <w:r w:rsidRPr="006F283B">
              <w:rPr>
                <w:sz w:val="20"/>
                <w:szCs w:val="20"/>
                <w:lang w:val="en-AU"/>
              </w:rPr>
              <w:t>NE (25.0, NE)</w:t>
            </w:r>
          </w:p>
        </w:tc>
        <w:tc>
          <w:tcPr>
            <w:tcW w:w="1582" w:type="dxa"/>
            <w:shd w:val="clear" w:color="auto" w:fill="FFFFFF" w:themeFill="background1"/>
            <w:vAlign w:val="center"/>
          </w:tcPr>
          <w:p w14:paraId="4BBE7713" w14:textId="77777777" w:rsidR="00982F0F" w:rsidRPr="006F283B" w:rsidRDefault="00982F0F" w:rsidP="003915F9">
            <w:pPr>
              <w:keepNext/>
              <w:keepLines/>
              <w:spacing w:before="0"/>
              <w:jc w:val="center"/>
              <w:rPr>
                <w:sz w:val="20"/>
                <w:szCs w:val="20"/>
                <w:lang w:val="en-AU"/>
              </w:rPr>
            </w:pPr>
            <w:r w:rsidRPr="006F283B">
              <w:rPr>
                <w:sz w:val="20"/>
                <w:szCs w:val="20"/>
                <w:lang w:val="en-AU"/>
              </w:rPr>
              <w:t>75.2*</w:t>
            </w:r>
          </w:p>
        </w:tc>
        <w:tc>
          <w:tcPr>
            <w:tcW w:w="1582" w:type="dxa"/>
            <w:shd w:val="clear" w:color="auto" w:fill="FFFFFF" w:themeFill="background1"/>
            <w:vAlign w:val="center"/>
          </w:tcPr>
          <w:p w14:paraId="64EAFADA" w14:textId="77777777" w:rsidR="00982F0F" w:rsidRPr="006F283B" w:rsidRDefault="00982F0F" w:rsidP="003915F9">
            <w:pPr>
              <w:keepNext/>
              <w:keepLines/>
              <w:spacing w:before="0"/>
              <w:jc w:val="center"/>
              <w:rPr>
                <w:sz w:val="20"/>
                <w:szCs w:val="20"/>
                <w:lang w:val="en-AU"/>
              </w:rPr>
            </w:pPr>
            <w:r w:rsidRPr="006F283B">
              <w:rPr>
                <w:sz w:val="20"/>
                <w:szCs w:val="20"/>
                <w:lang w:val="en-AU"/>
              </w:rPr>
              <w:t>57.3</w:t>
            </w:r>
          </w:p>
        </w:tc>
      </w:tr>
      <w:tr w:rsidR="00982F0F" w:rsidRPr="006F283B" w14:paraId="651D44AA" w14:textId="77777777" w:rsidTr="00372EA1">
        <w:trPr>
          <w:trHeight w:val="170"/>
        </w:trPr>
        <w:tc>
          <w:tcPr>
            <w:tcW w:w="1011" w:type="dxa"/>
            <w:vMerge/>
            <w:shd w:val="clear" w:color="auto" w:fill="FFFFFF" w:themeFill="background1"/>
            <w:vAlign w:val="center"/>
          </w:tcPr>
          <w:p w14:paraId="7CB2DFEB" w14:textId="77777777" w:rsidR="00982F0F" w:rsidRPr="006F283B" w:rsidRDefault="00982F0F" w:rsidP="003915F9">
            <w:pPr>
              <w:keepNext/>
              <w:keepLines/>
              <w:spacing w:before="0"/>
              <w:jc w:val="left"/>
              <w:rPr>
                <w:sz w:val="20"/>
                <w:szCs w:val="20"/>
                <w:lang w:val="en-AU"/>
              </w:rPr>
            </w:pPr>
          </w:p>
        </w:tc>
        <w:tc>
          <w:tcPr>
            <w:tcW w:w="1678" w:type="dxa"/>
            <w:shd w:val="clear" w:color="auto" w:fill="FFFFFF" w:themeFill="background1"/>
            <w:vAlign w:val="center"/>
          </w:tcPr>
          <w:p w14:paraId="754523CB" w14:textId="77777777" w:rsidR="00982F0F" w:rsidRPr="006F283B" w:rsidRDefault="00982F0F" w:rsidP="003915F9">
            <w:pPr>
              <w:keepNext/>
              <w:keepLines/>
              <w:spacing w:before="0"/>
              <w:jc w:val="center"/>
              <w:rPr>
                <w:sz w:val="20"/>
                <w:szCs w:val="20"/>
                <w:lang w:val="en-AU"/>
              </w:rPr>
            </w:pPr>
            <w:r w:rsidRPr="006F283B">
              <w:rPr>
                <w:sz w:val="20"/>
                <w:szCs w:val="20"/>
                <w:lang w:val="en-AU"/>
              </w:rPr>
              <w:t>HR (95% CI)</w:t>
            </w:r>
          </w:p>
        </w:tc>
        <w:tc>
          <w:tcPr>
            <w:tcW w:w="3163" w:type="dxa"/>
            <w:gridSpan w:val="2"/>
            <w:shd w:val="clear" w:color="auto" w:fill="FFFFFF" w:themeFill="background1"/>
            <w:vAlign w:val="center"/>
          </w:tcPr>
          <w:p w14:paraId="787B1276" w14:textId="77777777" w:rsidR="00982F0F" w:rsidRPr="006F283B" w:rsidRDefault="00982F0F" w:rsidP="003915F9">
            <w:pPr>
              <w:keepNext/>
              <w:keepLines/>
              <w:spacing w:before="0"/>
              <w:jc w:val="center"/>
              <w:rPr>
                <w:sz w:val="20"/>
                <w:szCs w:val="20"/>
                <w:lang w:val="en-AU"/>
              </w:rPr>
            </w:pPr>
            <w:r w:rsidRPr="006F283B">
              <w:rPr>
                <w:sz w:val="20"/>
                <w:szCs w:val="20"/>
                <w:lang w:val="en-AU"/>
              </w:rPr>
              <w:t>0.61 (0.265, 1.388)</w:t>
            </w:r>
          </w:p>
        </w:tc>
        <w:tc>
          <w:tcPr>
            <w:tcW w:w="3164" w:type="dxa"/>
            <w:gridSpan w:val="2"/>
            <w:shd w:val="clear" w:color="auto" w:fill="FFFFFF" w:themeFill="background1"/>
            <w:vAlign w:val="center"/>
          </w:tcPr>
          <w:p w14:paraId="2480327A" w14:textId="77777777" w:rsidR="00982F0F" w:rsidRPr="006F283B" w:rsidRDefault="00982F0F" w:rsidP="003915F9">
            <w:pPr>
              <w:keepNext/>
              <w:keepLines/>
              <w:spacing w:before="0"/>
              <w:jc w:val="center"/>
              <w:rPr>
                <w:sz w:val="20"/>
                <w:szCs w:val="20"/>
                <w:lang w:val="en-AU"/>
              </w:rPr>
            </w:pPr>
            <w:r w:rsidRPr="006F283B">
              <w:rPr>
                <w:sz w:val="20"/>
                <w:szCs w:val="20"/>
                <w:lang w:val="en-AU"/>
              </w:rPr>
              <w:t>0.62 (0.45, 0.83)</w:t>
            </w:r>
          </w:p>
        </w:tc>
      </w:tr>
      <w:tr w:rsidR="00982F0F" w:rsidRPr="006F283B" w14:paraId="03388776" w14:textId="77777777" w:rsidTr="00372EA1">
        <w:trPr>
          <w:trHeight w:val="170"/>
        </w:trPr>
        <w:tc>
          <w:tcPr>
            <w:tcW w:w="1011" w:type="dxa"/>
            <w:vMerge w:val="restart"/>
            <w:shd w:val="clear" w:color="auto" w:fill="FFFFFF" w:themeFill="background1"/>
            <w:vAlign w:val="center"/>
          </w:tcPr>
          <w:p w14:paraId="2EE01F80" w14:textId="03FBCD36" w:rsidR="00982F0F" w:rsidRPr="006F283B" w:rsidRDefault="001152C0" w:rsidP="003915F9">
            <w:pPr>
              <w:keepNext/>
              <w:keepLines/>
              <w:spacing w:before="0"/>
              <w:jc w:val="left"/>
              <w:rPr>
                <w:sz w:val="20"/>
                <w:szCs w:val="20"/>
                <w:lang w:val="en-AU"/>
              </w:rPr>
            </w:pPr>
            <w:r w:rsidRPr="001152C0">
              <w:rPr>
                <w:i/>
                <w:iCs/>
                <w:sz w:val="20"/>
                <w:szCs w:val="20"/>
                <w:lang w:val="en-AU"/>
              </w:rPr>
              <w:t>BRCAm</w:t>
            </w:r>
          </w:p>
        </w:tc>
        <w:tc>
          <w:tcPr>
            <w:tcW w:w="1678" w:type="dxa"/>
            <w:shd w:val="clear" w:color="auto" w:fill="FFFFFF" w:themeFill="background1"/>
            <w:vAlign w:val="center"/>
          </w:tcPr>
          <w:p w14:paraId="672540FF" w14:textId="77777777" w:rsidR="00982F0F" w:rsidRPr="006F283B" w:rsidRDefault="00982F0F" w:rsidP="003915F9">
            <w:pPr>
              <w:keepNext/>
              <w:keepLines/>
              <w:spacing w:before="0"/>
              <w:jc w:val="center"/>
              <w:rPr>
                <w:sz w:val="20"/>
                <w:szCs w:val="20"/>
                <w:lang w:val="en-AU"/>
              </w:rPr>
            </w:pPr>
            <w:r w:rsidRPr="006F283B">
              <w:rPr>
                <w:sz w:val="20"/>
                <w:szCs w:val="20"/>
                <w:lang w:val="en-AU"/>
              </w:rPr>
              <w:t>Events/N</w:t>
            </w:r>
          </w:p>
        </w:tc>
        <w:tc>
          <w:tcPr>
            <w:tcW w:w="1581" w:type="dxa"/>
            <w:shd w:val="clear" w:color="auto" w:fill="FFFFFF" w:themeFill="background1"/>
            <w:vAlign w:val="center"/>
          </w:tcPr>
          <w:p w14:paraId="1B3B6C20" w14:textId="627BAA7F" w:rsidR="00982F0F" w:rsidRPr="006F283B" w:rsidRDefault="00982F0F" w:rsidP="003915F9">
            <w:pPr>
              <w:keepNext/>
              <w:keepLines/>
              <w:spacing w:before="0"/>
              <w:jc w:val="center"/>
              <w:rPr>
                <w:sz w:val="20"/>
                <w:szCs w:val="20"/>
                <w:lang w:val="en-AU"/>
              </w:rPr>
            </w:pPr>
            <w:r w:rsidRPr="006F283B">
              <w:rPr>
                <w:sz w:val="20"/>
                <w:szCs w:val="20"/>
                <w:lang w:val="en-AU"/>
              </w:rPr>
              <w:t>10/152</w:t>
            </w:r>
            <w:r w:rsidR="002176D8">
              <w:rPr>
                <w:sz w:val="20"/>
                <w:szCs w:val="20"/>
                <w:lang w:val="en-AU"/>
              </w:rPr>
              <w:t>**</w:t>
            </w:r>
          </w:p>
        </w:tc>
        <w:tc>
          <w:tcPr>
            <w:tcW w:w="1582" w:type="dxa"/>
            <w:shd w:val="clear" w:color="auto" w:fill="FFFFFF" w:themeFill="background1"/>
            <w:vAlign w:val="center"/>
          </w:tcPr>
          <w:p w14:paraId="51AFDA45" w14:textId="3F1A6AAE" w:rsidR="00982F0F" w:rsidRPr="006F283B" w:rsidRDefault="00982F0F" w:rsidP="003915F9">
            <w:pPr>
              <w:keepNext/>
              <w:keepLines/>
              <w:spacing w:before="0"/>
              <w:jc w:val="center"/>
              <w:rPr>
                <w:sz w:val="20"/>
                <w:szCs w:val="20"/>
                <w:lang w:val="en-AU"/>
              </w:rPr>
            </w:pPr>
            <w:r w:rsidRPr="006F283B">
              <w:rPr>
                <w:sz w:val="20"/>
                <w:szCs w:val="20"/>
                <w:lang w:val="en-AU"/>
              </w:rPr>
              <w:t>4/71</w:t>
            </w:r>
            <w:r w:rsidR="002176D8">
              <w:rPr>
                <w:sz w:val="20"/>
                <w:szCs w:val="20"/>
                <w:lang w:val="en-AU"/>
              </w:rPr>
              <w:t>**</w:t>
            </w:r>
          </w:p>
        </w:tc>
        <w:tc>
          <w:tcPr>
            <w:tcW w:w="1582" w:type="dxa"/>
            <w:shd w:val="clear" w:color="auto" w:fill="FFFFFF" w:themeFill="background1"/>
            <w:vAlign w:val="center"/>
          </w:tcPr>
          <w:p w14:paraId="62557051" w14:textId="77777777" w:rsidR="00982F0F" w:rsidRPr="006F283B" w:rsidRDefault="00982F0F" w:rsidP="003915F9">
            <w:pPr>
              <w:keepNext/>
              <w:keepLines/>
              <w:spacing w:before="0"/>
              <w:jc w:val="center"/>
              <w:rPr>
                <w:sz w:val="20"/>
                <w:szCs w:val="20"/>
                <w:lang w:val="en-AU"/>
              </w:rPr>
            </w:pPr>
            <w:r w:rsidRPr="006F283B">
              <w:rPr>
                <w:sz w:val="20"/>
                <w:szCs w:val="20"/>
                <w:lang w:val="en-AU"/>
              </w:rPr>
              <w:t>48/157</w:t>
            </w:r>
          </w:p>
        </w:tc>
        <w:tc>
          <w:tcPr>
            <w:tcW w:w="1582" w:type="dxa"/>
            <w:shd w:val="clear" w:color="auto" w:fill="FFFFFF" w:themeFill="background1"/>
            <w:vAlign w:val="center"/>
          </w:tcPr>
          <w:p w14:paraId="02C2B8CF" w14:textId="77777777" w:rsidR="00982F0F" w:rsidRPr="006F283B" w:rsidRDefault="00982F0F" w:rsidP="003915F9">
            <w:pPr>
              <w:keepNext/>
              <w:keepLines/>
              <w:spacing w:before="0"/>
              <w:jc w:val="center"/>
              <w:rPr>
                <w:sz w:val="20"/>
                <w:szCs w:val="20"/>
                <w:lang w:val="en-AU"/>
              </w:rPr>
            </w:pPr>
            <w:r w:rsidRPr="006F283B">
              <w:rPr>
                <w:sz w:val="20"/>
                <w:szCs w:val="20"/>
                <w:lang w:val="en-AU"/>
              </w:rPr>
              <w:t>37/80</w:t>
            </w:r>
          </w:p>
        </w:tc>
      </w:tr>
      <w:tr w:rsidR="00982F0F" w:rsidRPr="006F283B" w14:paraId="00A7A92E" w14:textId="77777777" w:rsidTr="00372EA1">
        <w:trPr>
          <w:trHeight w:val="170"/>
        </w:trPr>
        <w:tc>
          <w:tcPr>
            <w:tcW w:w="1011" w:type="dxa"/>
            <w:vMerge/>
            <w:shd w:val="clear" w:color="auto" w:fill="FFFFFF" w:themeFill="background1"/>
            <w:vAlign w:val="center"/>
          </w:tcPr>
          <w:p w14:paraId="2AB17E6E" w14:textId="77777777" w:rsidR="00982F0F" w:rsidRPr="006F283B" w:rsidRDefault="00982F0F" w:rsidP="003915F9">
            <w:pPr>
              <w:keepNext/>
              <w:keepLines/>
              <w:spacing w:before="0"/>
              <w:jc w:val="left"/>
              <w:rPr>
                <w:sz w:val="20"/>
                <w:szCs w:val="20"/>
                <w:lang w:val="en-AU"/>
              </w:rPr>
            </w:pPr>
          </w:p>
        </w:tc>
        <w:tc>
          <w:tcPr>
            <w:tcW w:w="1678" w:type="dxa"/>
            <w:shd w:val="clear" w:color="auto" w:fill="FFFFFF" w:themeFill="background1"/>
            <w:vAlign w:val="center"/>
          </w:tcPr>
          <w:p w14:paraId="764C1426" w14:textId="77777777" w:rsidR="00982F0F" w:rsidRPr="006F283B" w:rsidRDefault="00982F0F" w:rsidP="003915F9">
            <w:pPr>
              <w:keepNext/>
              <w:keepLines/>
              <w:spacing w:before="0"/>
              <w:jc w:val="center"/>
              <w:rPr>
                <w:sz w:val="20"/>
                <w:szCs w:val="20"/>
                <w:lang w:val="en-AU"/>
              </w:rPr>
            </w:pPr>
            <w:r w:rsidRPr="006F283B">
              <w:rPr>
                <w:sz w:val="20"/>
                <w:szCs w:val="20"/>
                <w:lang w:val="en-AU"/>
              </w:rPr>
              <w:t>Median, months</w:t>
            </w:r>
          </w:p>
        </w:tc>
        <w:tc>
          <w:tcPr>
            <w:tcW w:w="1581" w:type="dxa"/>
            <w:shd w:val="clear" w:color="auto" w:fill="FFFFFF" w:themeFill="background1"/>
            <w:vAlign w:val="center"/>
          </w:tcPr>
          <w:p w14:paraId="5FADF854" w14:textId="77777777" w:rsidR="00982F0F" w:rsidRPr="006F283B" w:rsidRDefault="00982F0F" w:rsidP="003915F9">
            <w:pPr>
              <w:keepNext/>
              <w:keepLines/>
              <w:spacing w:before="0"/>
              <w:jc w:val="center"/>
              <w:rPr>
                <w:sz w:val="20"/>
                <w:szCs w:val="20"/>
                <w:lang w:val="en-AU"/>
              </w:rPr>
            </w:pPr>
            <w:r w:rsidRPr="006F283B">
              <w:rPr>
                <w:sz w:val="20"/>
                <w:szCs w:val="20"/>
                <w:lang w:val="en-AU"/>
              </w:rPr>
              <w:t>NR</w:t>
            </w:r>
          </w:p>
        </w:tc>
        <w:tc>
          <w:tcPr>
            <w:tcW w:w="1582" w:type="dxa"/>
            <w:shd w:val="clear" w:color="auto" w:fill="FFFFFF" w:themeFill="background1"/>
            <w:vAlign w:val="center"/>
          </w:tcPr>
          <w:p w14:paraId="301C988A" w14:textId="77777777" w:rsidR="00982F0F" w:rsidRPr="006F283B" w:rsidRDefault="00982F0F" w:rsidP="003915F9">
            <w:pPr>
              <w:keepNext/>
              <w:keepLines/>
              <w:spacing w:before="0"/>
              <w:jc w:val="center"/>
              <w:rPr>
                <w:sz w:val="20"/>
                <w:szCs w:val="20"/>
                <w:lang w:val="en-AU"/>
              </w:rPr>
            </w:pPr>
            <w:r w:rsidRPr="006F283B">
              <w:rPr>
                <w:sz w:val="20"/>
                <w:szCs w:val="20"/>
                <w:lang w:val="en-AU"/>
              </w:rPr>
              <w:t>NR</w:t>
            </w:r>
          </w:p>
        </w:tc>
        <w:tc>
          <w:tcPr>
            <w:tcW w:w="1582" w:type="dxa"/>
            <w:shd w:val="clear" w:color="auto" w:fill="FFFFFF" w:themeFill="background1"/>
            <w:vAlign w:val="center"/>
          </w:tcPr>
          <w:p w14:paraId="5414C0CC" w14:textId="77777777" w:rsidR="00982F0F" w:rsidRPr="006F283B" w:rsidRDefault="00982F0F" w:rsidP="003915F9">
            <w:pPr>
              <w:keepNext/>
              <w:keepLines/>
              <w:spacing w:before="0"/>
              <w:jc w:val="center"/>
              <w:rPr>
                <w:sz w:val="20"/>
                <w:szCs w:val="20"/>
                <w:lang w:val="en-AU"/>
              </w:rPr>
            </w:pPr>
            <w:r w:rsidRPr="006F283B">
              <w:rPr>
                <w:sz w:val="20"/>
                <w:szCs w:val="20"/>
                <w:lang w:val="en-AU"/>
              </w:rPr>
              <w:t>75.2*</w:t>
            </w:r>
          </w:p>
        </w:tc>
        <w:tc>
          <w:tcPr>
            <w:tcW w:w="1582" w:type="dxa"/>
            <w:shd w:val="clear" w:color="auto" w:fill="FFFFFF" w:themeFill="background1"/>
            <w:vAlign w:val="center"/>
          </w:tcPr>
          <w:p w14:paraId="3B3523B5" w14:textId="77777777" w:rsidR="00982F0F" w:rsidRPr="006F283B" w:rsidRDefault="00982F0F" w:rsidP="003915F9">
            <w:pPr>
              <w:keepNext/>
              <w:keepLines/>
              <w:spacing w:before="0"/>
              <w:jc w:val="center"/>
              <w:rPr>
                <w:sz w:val="20"/>
                <w:szCs w:val="20"/>
                <w:lang w:val="en-AU"/>
              </w:rPr>
            </w:pPr>
            <w:r w:rsidRPr="006F283B">
              <w:rPr>
                <w:sz w:val="20"/>
                <w:szCs w:val="20"/>
                <w:lang w:val="en-AU"/>
              </w:rPr>
              <w:t>66.9</w:t>
            </w:r>
          </w:p>
        </w:tc>
      </w:tr>
      <w:tr w:rsidR="00982F0F" w:rsidRPr="006F283B" w14:paraId="26237B42" w14:textId="77777777" w:rsidTr="00372EA1">
        <w:trPr>
          <w:trHeight w:val="170"/>
        </w:trPr>
        <w:tc>
          <w:tcPr>
            <w:tcW w:w="1011" w:type="dxa"/>
            <w:vMerge/>
            <w:shd w:val="clear" w:color="auto" w:fill="FFFFFF" w:themeFill="background1"/>
            <w:vAlign w:val="center"/>
          </w:tcPr>
          <w:p w14:paraId="3B11F5B2" w14:textId="77777777" w:rsidR="00982F0F" w:rsidRPr="006F283B" w:rsidRDefault="00982F0F" w:rsidP="003915F9">
            <w:pPr>
              <w:keepNext/>
              <w:keepLines/>
              <w:spacing w:before="0"/>
              <w:jc w:val="left"/>
              <w:rPr>
                <w:sz w:val="20"/>
                <w:szCs w:val="20"/>
                <w:lang w:val="en-AU"/>
              </w:rPr>
            </w:pPr>
          </w:p>
        </w:tc>
        <w:tc>
          <w:tcPr>
            <w:tcW w:w="1678" w:type="dxa"/>
            <w:shd w:val="clear" w:color="auto" w:fill="FFFFFF" w:themeFill="background1"/>
            <w:vAlign w:val="center"/>
          </w:tcPr>
          <w:p w14:paraId="3B0B790B" w14:textId="77777777" w:rsidR="00982F0F" w:rsidRPr="006F283B" w:rsidRDefault="00982F0F" w:rsidP="003915F9">
            <w:pPr>
              <w:keepNext/>
              <w:keepLines/>
              <w:spacing w:before="0"/>
              <w:jc w:val="center"/>
              <w:rPr>
                <w:sz w:val="20"/>
                <w:szCs w:val="20"/>
                <w:lang w:val="en-AU"/>
              </w:rPr>
            </w:pPr>
            <w:r w:rsidRPr="006F283B">
              <w:rPr>
                <w:sz w:val="20"/>
                <w:szCs w:val="20"/>
                <w:lang w:val="en-AU"/>
              </w:rPr>
              <w:t>HR (95% CI)</w:t>
            </w:r>
          </w:p>
        </w:tc>
        <w:tc>
          <w:tcPr>
            <w:tcW w:w="3163" w:type="dxa"/>
            <w:gridSpan w:val="2"/>
            <w:shd w:val="clear" w:color="auto" w:fill="FFFFFF" w:themeFill="background1"/>
            <w:vAlign w:val="center"/>
          </w:tcPr>
          <w:p w14:paraId="422F75F6" w14:textId="0AD52631" w:rsidR="00982F0F" w:rsidRPr="006F283B" w:rsidRDefault="00982F0F" w:rsidP="003915F9">
            <w:pPr>
              <w:keepNext/>
              <w:keepLines/>
              <w:spacing w:before="0"/>
              <w:jc w:val="center"/>
              <w:rPr>
                <w:sz w:val="20"/>
                <w:szCs w:val="20"/>
                <w:lang w:val="en-AU"/>
              </w:rPr>
            </w:pPr>
            <w:r w:rsidRPr="006F283B">
              <w:rPr>
                <w:sz w:val="20"/>
                <w:szCs w:val="20"/>
                <w:lang w:val="en-AU"/>
              </w:rPr>
              <w:t>0.75 (0.222, 2.537)</w:t>
            </w:r>
            <w:r w:rsidR="002176D8">
              <w:rPr>
                <w:sz w:val="20"/>
                <w:szCs w:val="20"/>
                <w:lang w:val="en-AU"/>
              </w:rPr>
              <w:t xml:space="preserve"> **</w:t>
            </w:r>
          </w:p>
        </w:tc>
        <w:tc>
          <w:tcPr>
            <w:tcW w:w="3164" w:type="dxa"/>
            <w:gridSpan w:val="2"/>
            <w:shd w:val="clear" w:color="auto" w:fill="FFFFFF" w:themeFill="background1"/>
            <w:vAlign w:val="center"/>
          </w:tcPr>
          <w:p w14:paraId="31CD257A" w14:textId="77777777" w:rsidR="00982F0F" w:rsidRPr="006F283B" w:rsidRDefault="00982F0F" w:rsidP="003915F9">
            <w:pPr>
              <w:keepNext/>
              <w:keepLines/>
              <w:spacing w:before="0"/>
              <w:jc w:val="center"/>
              <w:rPr>
                <w:sz w:val="20"/>
                <w:szCs w:val="20"/>
                <w:lang w:val="en-AU"/>
              </w:rPr>
            </w:pPr>
            <w:r w:rsidRPr="006F283B">
              <w:rPr>
                <w:sz w:val="20"/>
                <w:szCs w:val="20"/>
                <w:lang w:val="en-AU"/>
              </w:rPr>
              <w:t>0.60 (0.39, 0.93)</w:t>
            </w:r>
          </w:p>
        </w:tc>
      </w:tr>
      <w:tr w:rsidR="00982F0F" w:rsidRPr="006F283B" w14:paraId="123C6C4D" w14:textId="77777777" w:rsidTr="00372EA1">
        <w:trPr>
          <w:trHeight w:val="170"/>
        </w:trPr>
        <w:tc>
          <w:tcPr>
            <w:tcW w:w="1011" w:type="dxa"/>
            <w:vMerge w:val="restart"/>
            <w:shd w:val="clear" w:color="auto" w:fill="D9D9D9" w:themeFill="background1" w:themeFillShade="D9"/>
            <w:vAlign w:val="center"/>
          </w:tcPr>
          <w:p w14:paraId="3A3C66D2" w14:textId="7FADD6D4" w:rsidR="00982F0F" w:rsidRPr="006F283B" w:rsidRDefault="00982F0F" w:rsidP="003915F9">
            <w:pPr>
              <w:keepNext/>
              <w:keepLines/>
              <w:spacing w:before="0"/>
              <w:jc w:val="left"/>
              <w:rPr>
                <w:sz w:val="20"/>
                <w:szCs w:val="20"/>
                <w:lang w:val="en-AU"/>
              </w:rPr>
            </w:pPr>
            <w:r w:rsidRPr="006F283B">
              <w:rPr>
                <w:sz w:val="20"/>
                <w:szCs w:val="20"/>
                <w:lang w:val="en-AU"/>
              </w:rPr>
              <w:t xml:space="preserve">HRD positive </w:t>
            </w:r>
            <w:r w:rsidR="001152C0" w:rsidRPr="001152C0">
              <w:rPr>
                <w:i/>
                <w:iCs/>
                <w:sz w:val="20"/>
                <w:szCs w:val="20"/>
                <w:lang w:val="en-AU"/>
              </w:rPr>
              <w:t>BRCAwt</w:t>
            </w:r>
          </w:p>
        </w:tc>
        <w:tc>
          <w:tcPr>
            <w:tcW w:w="1678" w:type="dxa"/>
            <w:shd w:val="clear" w:color="auto" w:fill="D9D9D9" w:themeFill="background1" w:themeFillShade="D9"/>
            <w:vAlign w:val="center"/>
          </w:tcPr>
          <w:p w14:paraId="3A4169F2" w14:textId="77777777" w:rsidR="00982F0F" w:rsidRPr="006F283B" w:rsidRDefault="00982F0F" w:rsidP="003915F9">
            <w:pPr>
              <w:keepNext/>
              <w:keepLines/>
              <w:spacing w:before="0"/>
              <w:jc w:val="center"/>
              <w:rPr>
                <w:sz w:val="20"/>
                <w:szCs w:val="20"/>
                <w:lang w:val="en-AU"/>
              </w:rPr>
            </w:pPr>
            <w:r w:rsidRPr="006F283B">
              <w:rPr>
                <w:sz w:val="20"/>
                <w:szCs w:val="20"/>
                <w:lang w:val="en-AU"/>
              </w:rPr>
              <w:t>Events/N</w:t>
            </w:r>
          </w:p>
        </w:tc>
        <w:tc>
          <w:tcPr>
            <w:tcW w:w="1581" w:type="dxa"/>
            <w:shd w:val="clear" w:color="auto" w:fill="D9D9D9" w:themeFill="background1" w:themeFillShade="D9"/>
            <w:vAlign w:val="center"/>
          </w:tcPr>
          <w:p w14:paraId="7A8A32B7" w14:textId="1B2024FB" w:rsidR="00982F0F" w:rsidRPr="006F283B" w:rsidRDefault="00982F0F" w:rsidP="003915F9">
            <w:pPr>
              <w:keepNext/>
              <w:keepLines/>
              <w:spacing w:before="0"/>
              <w:jc w:val="center"/>
              <w:rPr>
                <w:sz w:val="20"/>
                <w:szCs w:val="20"/>
                <w:lang w:val="en-AU"/>
              </w:rPr>
            </w:pPr>
            <w:r w:rsidRPr="006F283B">
              <w:rPr>
                <w:sz w:val="20"/>
                <w:szCs w:val="20"/>
                <w:lang w:val="en-AU"/>
              </w:rPr>
              <w:t>6/95</w:t>
            </w:r>
            <w:r w:rsidR="002176D8">
              <w:rPr>
                <w:sz w:val="20"/>
                <w:szCs w:val="20"/>
                <w:lang w:val="en-AU"/>
              </w:rPr>
              <w:t>**</w:t>
            </w:r>
          </w:p>
        </w:tc>
        <w:tc>
          <w:tcPr>
            <w:tcW w:w="1582" w:type="dxa"/>
            <w:shd w:val="clear" w:color="auto" w:fill="D9D9D9" w:themeFill="background1" w:themeFillShade="D9"/>
            <w:vAlign w:val="center"/>
          </w:tcPr>
          <w:p w14:paraId="22C89377" w14:textId="07991828" w:rsidR="00982F0F" w:rsidRPr="006F283B" w:rsidRDefault="00982F0F" w:rsidP="003915F9">
            <w:pPr>
              <w:keepNext/>
              <w:keepLines/>
              <w:spacing w:before="0"/>
              <w:jc w:val="center"/>
              <w:rPr>
                <w:sz w:val="20"/>
                <w:szCs w:val="20"/>
                <w:lang w:val="en-AU"/>
              </w:rPr>
            </w:pPr>
            <w:r w:rsidRPr="006F283B">
              <w:rPr>
                <w:sz w:val="20"/>
                <w:szCs w:val="20"/>
                <w:lang w:val="en-AU"/>
              </w:rPr>
              <w:t>6/55</w:t>
            </w:r>
            <w:r w:rsidR="002176D8">
              <w:rPr>
                <w:sz w:val="20"/>
                <w:szCs w:val="20"/>
                <w:lang w:val="en-AU"/>
              </w:rPr>
              <w:t>**</w:t>
            </w:r>
          </w:p>
        </w:tc>
        <w:tc>
          <w:tcPr>
            <w:tcW w:w="1582" w:type="dxa"/>
            <w:shd w:val="clear" w:color="auto" w:fill="D9D9D9" w:themeFill="background1" w:themeFillShade="D9"/>
            <w:vAlign w:val="center"/>
          </w:tcPr>
          <w:p w14:paraId="03CDEED0" w14:textId="77777777" w:rsidR="00982F0F" w:rsidRPr="006F283B" w:rsidRDefault="00982F0F" w:rsidP="003915F9">
            <w:pPr>
              <w:keepNext/>
              <w:keepLines/>
              <w:spacing w:before="0"/>
              <w:jc w:val="center"/>
              <w:rPr>
                <w:sz w:val="20"/>
                <w:szCs w:val="20"/>
                <w:lang w:val="en-AU"/>
              </w:rPr>
            </w:pPr>
            <w:r w:rsidRPr="006F283B">
              <w:rPr>
                <w:sz w:val="20"/>
                <w:szCs w:val="20"/>
                <w:lang w:val="en-AU"/>
              </w:rPr>
              <w:t>44/97</w:t>
            </w:r>
          </w:p>
        </w:tc>
        <w:tc>
          <w:tcPr>
            <w:tcW w:w="1582" w:type="dxa"/>
            <w:shd w:val="clear" w:color="auto" w:fill="D9D9D9" w:themeFill="background1" w:themeFillShade="D9"/>
            <w:vAlign w:val="center"/>
          </w:tcPr>
          <w:p w14:paraId="0E4F45FB" w14:textId="77777777" w:rsidR="00982F0F" w:rsidRPr="006F283B" w:rsidRDefault="00982F0F" w:rsidP="003915F9">
            <w:pPr>
              <w:keepNext/>
              <w:keepLines/>
              <w:spacing w:before="0"/>
              <w:jc w:val="center"/>
              <w:rPr>
                <w:sz w:val="20"/>
                <w:szCs w:val="20"/>
                <w:lang w:val="en-AU"/>
              </w:rPr>
            </w:pPr>
            <w:r w:rsidRPr="006F283B">
              <w:rPr>
                <w:sz w:val="20"/>
                <w:szCs w:val="20"/>
                <w:lang w:val="en-AU"/>
              </w:rPr>
              <w:t>32/55</w:t>
            </w:r>
          </w:p>
        </w:tc>
      </w:tr>
      <w:tr w:rsidR="00982F0F" w:rsidRPr="006F283B" w14:paraId="0339425B" w14:textId="77777777" w:rsidTr="00372EA1">
        <w:trPr>
          <w:trHeight w:val="170"/>
        </w:trPr>
        <w:tc>
          <w:tcPr>
            <w:tcW w:w="1011" w:type="dxa"/>
            <w:vMerge/>
            <w:shd w:val="clear" w:color="auto" w:fill="D9D9D9" w:themeFill="background1" w:themeFillShade="D9"/>
            <w:vAlign w:val="center"/>
          </w:tcPr>
          <w:p w14:paraId="33138FB4" w14:textId="77777777" w:rsidR="00982F0F" w:rsidRPr="006F283B" w:rsidRDefault="00982F0F" w:rsidP="003915F9">
            <w:pPr>
              <w:keepNext/>
              <w:keepLines/>
              <w:spacing w:before="0"/>
              <w:jc w:val="left"/>
              <w:rPr>
                <w:sz w:val="20"/>
                <w:szCs w:val="20"/>
                <w:lang w:val="en-AU"/>
              </w:rPr>
            </w:pPr>
          </w:p>
        </w:tc>
        <w:tc>
          <w:tcPr>
            <w:tcW w:w="1678" w:type="dxa"/>
            <w:shd w:val="clear" w:color="auto" w:fill="D9D9D9" w:themeFill="background1" w:themeFillShade="D9"/>
            <w:vAlign w:val="center"/>
          </w:tcPr>
          <w:p w14:paraId="107CBC0B" w14:textId="77777777" w:rsidR="00982F0F" w:rsidRPr="006F283B" w:rsidRDefault="00982F0F" w:rsidP="003915F9">
            <w:pPr>
              <w:keepNext/>
              <w:keepLines/>
              <w:spacing w:before="0"/>
              <w:jc w:val="center"/>
              <w:rPr>
                <w:sz w:val="20"/>
                <w:szCs w:val="20"/>
                <w:lang w:val="en-AU"/>
              </w:rPr>
            </w:pPr>
            <w:r w:rsidRPr="006F283B">
              <w:rPr>
                <w:sz w:val="20"/>
                <w:szCs w:val="20"/>
                <w:lang w:val="en-AU"/>
              </w:rPr>
              <w:t>Median, months</w:t>
            </w:r>
          </w:p>
        </w:tc>
        <w:tc>
          <w:tcPr>
            <w:tcW w:w="1581" w:type="dxa"/>
            <w:shd w:val="clear" w:color="auto" w:fill="D9D9D9" w:themeFill="background1" w:themeFillShade="D9"/>
            <w:vAlign w:val="center"/>
          </w:tcPr>
          <w:p w14:paraId="1C46A8B2" w14:textId="77777777" w:rsidR="00982F0F" w:rsidRPr="006F283B" w:rsidRDefault="00982F0F" w:rsidP="003915F9">
            <w:pPr>
              <w:keepNext/>
              <w:keepLines/>
              <w:spacing w:before="0"/>
              <w:jc w:val="center"/>
              <w:rPr>
                <w:sz w:val="20"/>
                <w:szCs w:val="20"/>
                <w:lang w:val="en-AU"/>
              </w:rPr>
            </w:pPr>
            <w:r w:rsidRPr="006F283B">
              <w:rPr>
                <w:sz w:val="20"/>
                <w:szCs w:val="20"/>
                <w:lang w:val="en-AU"/>
              </w:rPr>
              <w:t>NR</w:t>
            </w:r>
          </w:p>
        </w:tc>
        <w:tc>
          <w:tcPr>
            <w:tcW w:w="1582" w:type="dxa"/>
            <w:shd w:val="clear" w:color="auto" w:fill="D9D9D9" w:themeFill="background1" w:themeFillShade="D9"/>
            <w:vAlign w:val="center"/>
          </w:tcPr>
          <w:p w14:paraId="5DC27F11" w14:textId="77777777" w:rsidR="00982F0F" w:rsidRPr="006F283B" w:rsidRDefault="00982F0F" w:rsidP="003915F9">
            <w:pPr>
              <w:keepNext/>
              <w:keepLines/>
              <w:spacing w:before="0"/>
              <w:jc w:val="center"/>
              <w:rPr>
                <w:sz w:val="20"/>
                <w:szCs w:val="20"/>
                <w:lang w:val="en-AU"/>
              </w:rPr>
            </w:pPr>
            <w:r w:rsidRPr="006F283B">
              <w:rPr>
                <w:sz w:val="20"/>
                <w:szCs w:val="20"/>
                <w:lang w:val="en-AU"/>
              </w:rPr>
              <w:t>NR</w:t>
            </w:r>
          </w:p>
        </w:tc>
        <w:tc>
          <w:tcPr>
            <w:tcW w:w="1582" w:type="dxa"/>
            <w:shd w:val="clear" w:color="auto" w:fill="D9D9D9" w:themeFill="background1" w:themeFillShade="D9"/>
            <w:vAlign w:val="center"/>
          </w:tcPr>
          <w:p w14:paraId="0991972E" w14:textId="77777777" w:rsidR="00982F0F" w:rsidRPr="006F283B" w:rsidRDefault="00982F0F" w:rsidP="003915F9">
            <w:pPr>
              <w:keepNext/>
              <w:keepLines/>
              <w:spacing w:before="0"/>
              <w:jc w:val="center"/>
              <w:rPr>
                <w:sz w:val="20"/>
                <w:szCs w:val="20"/>
                <w:lang w:val="en-AU"/>
              </w:rPr>
            </w:pPr>
            <w:r w:rsidRPr="006F283B">
              <w:rPr>
                <w:sz w:val="20"/>
                <w:szCs w:val="20"/>
                <w:lang w:val="en-AU"/>
              </w:rPr>
              <w:t>NR</w:t>
            </w:r>
          </w:p>
        </w:tc>
        <w:tc>
          <w:tcPr>
            <w:tcW w:w="1582" w:type="dxa"/>
            <w:shd w:val="clear" w:color="auto" w:fill="D9D9D9" w:themeFill="background1" w:themeFillShade="D9"/>
            <w:vAlign w:val="center"/>
          </w:tcPr>
          <w:p w14:paraId="316177AF" w14:textId="77777777" w:rsidR="00982F0F" w:rsidRPr="006F283B" w:rsidRDefault="00982F0F" w:rsidP="003915F9">
            <w:pPr>
              <w:keepNext/>
              <w:keepLines/>
              <w:spacing w:before="0"/>
              <w:jc w:val="center"/>
              <w:rPr>
                <w:sz w:val="20"/>
                <w:szCs w:val="20"/>
                <w:lang w:val="en-AU"/>
              </w:rPr>
            </w:pPr>
            <w:r w:rsidRPr="006F283B">
              <w:rPr>
                <w:sz w:val="20"/>
                <w:szCs w:val="20"/>
                <w:lang w:val="en-AU"/>
              </w:rPr>
              <w:t>52.0</w:t>
            </w:r>
          </w:p>
        </w:tc>
      </w:tr>
      <w:tr w:rsidR="00982F0F" w:rsidRPr="006F283B" w14:paraId="5B2C4DA2" w14:textId="77777777" w:rsidTr="00372EA1">
        <w:trPr>
          <w:trHeight w:val="170"/>
        </w:trPr>
        <w:tc>
          <w:tcPr>
            <w:tcW w:w="1011" w:type="dxa"/>
            <w:vMerge/>
            <w:shd w:val="clear" w:color="auto" w:fill="D9D9D9" w:themeFill="background1" w:themeFillShade="D9"/>
            <w:vAlign w:val="center"/>
          </w:tcPr>
          <w:p w14:paraId="46B33F00" w14:textId="77777777" w:rsidR="00982F0F" w:rsidRPr="006F283B" w:rsidRDefault="00982F0F" w:rsidP="003915F9">
            <w:pPr>
              <w:keepNext/>
              <w:keepLines/>
              <w:spacing w:before="0"/>
              <w:jc w:val="left"/>
              <w:rPr>
                <w:sz w:val="20"/>
                <w:szCs w:val="20"/>
                <w:lang w:val="en-AU"/>
              </w:rPr>
            </w:pPr>
          </w:p>
        </w:tc>
        <w:tc>
          <w:tcPr>
            <w:tcW w:w="1678" w:type="dxa"/>
            <w:shd w:val="clear" w:color="auto" w:fill="D9D9D9" w:themeFill="background1" w:themeFillShade="D9"/>
            <w:vAlign w:val="center"/>
          </w:tcPr>
          <w:p w14:paraId="6584C7B4" w14:textId="77777777" w:rsidR="00982F0F" w:rsidRPr="006F283B" w:rsidRDefault="00982F0F" w:rsidP="003915F9">
            <w:pPr>
              <w:keepNext/>
              <w:keepLines/>
              <w:spacing w:before="0"/>
              <w:jc w:val="center"/>
              <w:rPr>
                <w:sz w:val="20"/>
                <w:szCs w:val="20"/>
                <w:lang w:val="en-AU"/>
              </w:rPr>
            </w:pPr>
            <w:r w:rsidRPr="006F283B">
              <w:rPr>
                <w:sz w:val="20"/>
                <w:szCs w:val="20"/>
                <w:lang w:val="en-AU"/>
              </w:rPr>
              <w:t>HR (95% CI)</w:t>
            </w:r>
          </w:p>
        </w:tc>
        <w:tc>
          <w:tcPr>
            <w:tcW w:w="3163" w:type="dxa"/>
            <w:gridSpan w:val="2"/>
            <w:shd w:val="clear" w:color="auto" w:fill="D9D9D9" w:themeFill="background1" w:themeFillShade="D9"/>
            <w:vAlign w:val="center"/>
          </w:tcPr>
          <w:p w14:paraId="31EE3A07" w14:textId="74625007" w:rsidR="00982F0F" w:rsidRPr="006F283B" w:rsidRDefault="00982F0F" w:rsidP="003915F9">
            <w:pPr>
              <w:keepNext/>
              <w:keepLines/>
              <w:spacing w:before="0"/>
              <w:jc w:val="center"/>
              <w:rPr>
                <w:sz w:val="20"/>
                <w:szCs w:val="20"/>
                <w:lang w:val="en-AU"/>
              </w:rPr>
            </w:pPr>
            <w:r w:rsidRPr="006F283B">
              <w:rPr>
                <w:sz w:val="20"/>
                <w:szCs w:val="20"/>
                <w:lang w:val="en-AU"/>
              </w:rPr>
              <w:t>0.52 (0.157, 1.746)</w:t>
            </w:r>
            <w:r w:rsidR="002176D8">
              <w:rPr>
                <w:sz w:val="20"/>
                <w:szCs w:val="20"/>
                <w:lang w:val="en-AU"/>
              </w:rPr>
              <w:t xml:space="preserve"> **</w:t>
            </w:r>
          </w:p>
        </w:tc>
        <w:tc>
          <w:tcPr>
            <w:tcW w:w="3164" w:type="dxa"/>
            <w:gridSpan w:val="2"/>
            <w:shd w:val="clear" w:color="auto" w:fill="D9D9D9" w:themeFill="background1" w:themeFillShade="D9"/>
            <w:vAlign w:val="center"/>
          </w:tcPr>
          <w:p w14:paraId="1B34FF21" w14:textId="77777777" w:rsidR="00982F0F" w:rsidRPr="006F283B" w:rsidRDefault="00982F0F" w:rsidP="003915F9">
            <w:pPr>
              <w:keepNext/>
              <w:keepLines/>
              <w:spacing w:before="0"/>
              <w:jc w:val="center"/>
              <w:rPr>
                <w:sz w:val="20"/>
                <w:szCs w:val="20"/>
                <w:lang w:val="en-AU"/>
              </w:rPr>
            </w:pPr>
            <w:r w:rsidRPr="006F283B">
              <w:rPr>
                <w:sz w:val="20"/>
                <w:szCs w:val="20"/>
                <w:lang w:val="en-AU"/>
              </w:rPr>
              <w:t>0.71 (0.45, 1.13)</w:t>
            </w:r>
          </w:p>
        </w:tc>
      </w:tr>
      <w:tr w:rsidR="00982F0F" w:rsidRPr="006F283B" w14:paraId="04A873DE" w14:textId="77777777" w:rsidTr="00372EA1">
        <w:trPr>
          <w:trHeight w:val="170"/>
        </w:trPr>
        <w:tc>
          <w:tcPr>
            <w:tcW w:w="1011" w:type="dxa"/>
            <w:vMerge w:val="restart"/>
            <w:shd w:val="clear" w:color="auto" w:fill="FFFFFF" w:themeFill="background1"/>
            <w:vAlign w:val="center"/>
          </w:tcPr>
          <w:p w14:paraId="4DAB25FA" w14:textId="77777777" w:rsidR="00982F0F" w:rsidRPr="006F283B" w:rsidRDefault="00982F0F" w:rsidP="003915F9">
            <w:pPr>
              <w:keepNext/>
              <w:keepLines/>
              <w:spacing w:before="0"/>
              <w:jc w:val="left"/>
              <w:rPr>
                <w:sz w:val="20"/>
                <w:szCs w:val="20"/>
                <w:lang w:val="en-AU"/>
              </w:rPr>
            </w:pPr>
            <w:r w:rsidRPr="006F283B">
              <w:rPr>
                <w:sz w:val="20"/>
                <w:szCs w:val="20"/>
                <w:lang w:val="en-AU"/>
              </w:rPr>
              <w:t>HRD negative</w:t>
            </w:r>
          </w:p>
        </w:tc>
        <w:tc>
          <w:tcPr>
            <w:tcW w:w="1678" w:type="dxa"/>
            <w:shd w:val="clear" w:color="auto" w:fill="FFFFFF" w:themeFill="background1"/>
            <w:vAlign w:val="center"/>
          </w:tcPr>
          <w:p w14:paraId="39DCD7C4" w14:textId="77777777" w:rsidR="00982F0F" w:rsidRPr="006F283B" w:rsidRDefault="00982F0F" w:rsidP="003915F9">
            <w:pPr>
              <w:keepNext/>
              <w:keepLines/>
              <w:spacing w:before="0"/>
              <w:jc w:val="center"/>
              <w:rPr>
                <w:sz w:val="20"/>
                <w:szCs w:val="20"/>
                <w:lang w:val="en-AU"/>
              </w:rPr>
            </w:pPr>
            <w:r w:rsidRPr="006F283B">
              <w:rPr>
                <w:sz w:val="20"/>
                <w:szCs w:val="20"/>
                <w:lang w:val="en-AU"/>
              </w:rPr>
              <w:t>Events/N</w:t>
            </w:r>
          </w:p>
        </w:tc>
        <w:tc>
          <w:tcPr>
            <w:tcW w:w="1581" w:type="dxa"/>
            <w:shd w:val="clear" w:color="auto" w:fill="FFFFFF" w:themeFill="background1"/>
            <w:vAlign w:val="center"/>
          </w:tcPr>
          <w:p w14:paraId="684E3BEA" w14:textId="0793546B" w:rsidR="00982F0F" w:rsidRPr="006F283B" w:rsidRDefault="00982F0F" w:rsidP="003915F9">
            <w:pPr>
              <w:keepNext/>
              <w:keepLines/>
              <w:spacing w:before="0"/>
              <w:jc w:val="center"/>
              <w:rPr>
                <w:sz w:val="20"/>
                <w:szCs w:val="20"/>
                <w:lang w:val="en-AU"/>
              </w:rPr>
            </w:pPr>
            <w:r w:rsidRPr="006F283B">
              <w:rPr>
                <w:sz w:val="20"/>
                <w:szCs w:val="20"/>
                <w:lang w:val="en-AU"/>
              </w:rPr>
              <w:t>22/169</w:t>
            </w:r>
            <w:r w:rsidR="002176D8">
              <w:rPr>
                <w:sz w:val="20"/>
                <w:szCs w:val="20"/>
                <w:lang w:val="en-AU"/>
              </w:rPr>
              <w:t>**</w:t>
            </w:r>
          </w:p>
        </w:tc>
        <w:tc>
          <w:tcPr>
            <w:tcW w:w="1582" w:type="dxa"/>
            <w:shd w:val="clear" w:color="auto" w:fill="FFFFFF" w:themeFill="background1"/>
            <w:vAlign w:val="center"/>
          </w:tcPr>
          <w:p w14:paraId="1C5D6550" w14:textId="174B3DDA" w:rsidR="00982F0F" w:rsidRPr="006F283B" w:rsidRDefault="00982F0F" w:rsidP="003915F9">
            <w:pPr>
              <w:keepNext/>
              <w:keepLines/>
              <w:spacing w:before="0"/>
              <w:jc w:val="center"/>
              <w:rPr>
                <w:sz w:val="20"/>
                <w:szCs w:val="20"/>
                <w:lang w:val="en-AU"/>
              </w:rPr>
            </w:pPr>
            <w:r w:rsidRPr="006F283B">
              <w:rPr>
                <w:sz w:val="20"/>
                <w:szCs w:val="20"/>
                <w:lang w:val="en-AU"/>
              </w:rPr>
              <w:t>17/80</w:t>
            </w:r>
            <w:r w:rsidR="002176D8">
              <w:rPr>
                <w:sz w:val="20"/>
                <w:szCs w:val="20"/>
                <w:lang w:val="en-AU"/>
              </w:rPr>
              <w:t>**</w:t>
            </w:r>
          </w:p>
        </w:tc>
        <w:tc>
          <w:tcPr>
            <w:tcW w:w="1582" w:type="dxa"/>
            <w:shd w:val="clear" w:color="auto" w:fill="FFFFFF" w:themeFill="background1"/>
            <w:vAlign w:val="center"/>
          </w:tcPr>
          <w:p w14:paraId="460477B8" w14:textId="77777777" w:rsidR="00982F0F" w:rsidRPr="006F283B" w:rsidRDefault="00982F0F" w:rsidP="003915F9">
            <w:pPr>
              <w:keepNext/>
              <w:keepLines/>
              <w:spacing w:before="0"/>
              <w:jc w:val="center"/>
              <w:rPr>
                <w:sz w:val="20"/>
                <w:szCs w:val="20"/>
                <w:lang w:val="en-AU"/>
              </w:rPr>
            </w:pPr>
            <w:r w:rsidRPr="006F283B">
              <w:rPr>
                <w:sz w:val="20"/>
                <w:szCs w:val="20"/>
                <w:lang w:val="en-AU"/>
              </w:rPr>
              <w:t>140/192</w:t>
            </w:r>
          </w:p>
        </w:tc>
        <w:tc>
          <w:tcPr>
            <w:tcW w:w="1582" w:type="dxa"/>
            <w:shd w:val="clear" w:color="auto" w:fill="FFFFFF" w:themeFill="background1"/>
            <w:vAlign w:val="center"/>
          </w:tcPr>
          <w:p w14:paraId="34719686" w14:textId="77777777" w:rsidR="00982F0F" w:rsidRPr="006F283B" w:rsidRDefault="00982F0F" w:rsidP="003915F9">
            <w:pPr>
              <w:keepNext/>
              <w:keepLines/>
              <w:spacing w:before="0"/>
              <w:jc w:val="center"/>
              <w:rPr>
                <w:sz w:val="20"/>
                <w:szCs w:val="20"/>
                <w:lang w:val="en-AU"/>
              </w:rPr>
            </w:pPr>
            <w:r w:rsidRPr="006F283B">
              <w:rPr>
                <w:sz w:val="20"/>
                <w:szCs w:val="20"/>
                <w:lang w:val="en-AU"/>
              </w:rPr>
              <w:t>58/85</w:t>
            </w:r>
          </w:p>
        </w:tc>
      </w:tr>
      <w:tr w:rsidR="00982F0F" w:rsidRPr="006F283B" w14:paraId="6F04BBAB" w14:textId="77777777" w:rsidTr="00372EA1">
        <w:trPr>
          <w:trHeight w:val="170"/>
        </w:trPr>
        <w:tc>
          <w:tcPr>
            <w:tcW w:w="1011" w:type="dxa"/>
            <w:vMerge/>
            <w:shd w:val="clear" w:color="auto" w:fill="FFFFFF" w:themeFill="background1"/>
            <w:vAlign w:val="center"/>
          </w:tcPr>
          <w:p w14:paraId="4D71AF50" w14:textId="77777777" w:rsidR="00982F0F" w:rsidRPr="006F283B" w:rsidRDefault="00982F0F" w:rsidP="003915F9">
            <w:pPr>
              <w:keepNext/>
              <w:keepLines/>
              <w:spacing w:before="0"/>
              <w:jc w:val="center"/>
              <w:rPr>
                <w:sz w:val="20"/>
                <w:szCs w:val="20"/>
                <w:lang w:val="en-AU"/>
              </w:rPr>
            </w:pPr>
          </w:p>
        </w:tc>
        <w:tc>
          <w:tcPr>
            <w:tcW w:w="1678" w:type="dxa"/>
            <w:shd w:val="clear" w:color="auto" w:fill="FFFFFF" w:themeFill="background1"/>
            <w:vAlign w:val="center"/>
          </w:tcPr>
          <w:p w14:paraId="1D5F7B96" w14:textId="77777777" w:rsidR="00982F0F" w:rsidRPr="006F283B" w:rsidRDefault="00982F0F" w:rsidP="003915F9">
            <w:pPr>
              <w:keepNext/>
              <w:keepLines/>
              <w:spacing w:before="0"/>
              <w:jc w:val="center"/>
              <w:rPr>
                <w:sz w:val="20"/>
                <w:szCs w:val="20"/>
                <w:lang w:val="en-AU"/>
              </w:rPr>
            </w:pPr>
            <w:r w:rsidRPr="006F283B">
              <w:rPr>
                <w:sz w:val="20"/>
                <w:szCs w:val="20"/>
                <w:lang w:val="en-AU"/>
              </w:rPr>
              <w:t>Median, months</w:t>
            </w:r>
          </w:p>
        </w:tc>
        <w:tc>
          <w:tcPr>
            <w:tcW w:w="1581" w:type="dxa"/>
            <w:shd w:val="clear" w:color="auto" w:fill="FFFFFF" w:themeFill="background1"/>
            <w:vAlign w:val="center"/>
          </w:tcPr>
          <w:p w14:paraId="7314F611" w14:textId="77777777" w:rsidR="00982F0F" w:rsidRPr="006F283B" w:rsidRDefault="00982F0F" w:rsidP="003915F9">
            <w:pPr>
              <w:keepNext/>
              <w:keepLines/>
              <w:spacing w:before="0"/>
              <w:jc w:val="center"/>
              <w:rPr>
                <w:sz w:val="20"/>
                <w:szCs w:val="20"/>
                <w:lang w:val="en-AU"/>
              </w:rPr>
            </w:pPr>
            <w:r w:rsidRPr="006F283B">
              <w:rPr>
                <w:sz w:val="20"/>
                <w:szCs w:val="20"/>
                <w:lang w:val="en-AU"/>
              </w:rPr>
              <w:t>NE (NE, NE)</w:t>
            </w:r>
          </w:p>
        </w:tc>
        <w:tc>
          <w:tcPr>
            <w:tcW w:w="1582" w:type="dxa"/>
            <w:shd w:val="clear" w:color="auto" w:fill="FFFFFF" w:themeFill="background1"/>
            <w:vAlign w:val="center"/>
          </w:tcPr>
          <w:p w14:paraId="0630DC72" w14:textId="77777777" w:rsidR="00982F0F" w:rsidRPr="006F283B" w:rsidRDefault="00982F0F" w:rsidP="003915F9">
            <w:pPr>
              <w:keepNext/>
              <w:keepLines/>
              <w:spacing w:before="0"/>
              <w:jc w:val="center"/>
              <w:rPr>
                <w:sz w:val="20"/>
                <w:szCs w:val="20"/>
                <w:lang w:val="en-AU"/>
              </w:rPr>
            </w:pPr>
            <w:r w:rsidRPr="006F283B">
              <w:rPr>
                <w:sz w:val="20"/>
                <w:szCs w:val="20"/>
                <w:lang w:val="en-AU"/>
              </w:rPr>
              <w:t>NE (19.4, NE)</w:t>
            </w:r>
          </w:p>
        </w:tc>
        <w:tc>
          <w:tcPr>
            <w:tcW w:w="1582" w:type="dxa"/>
            <w:shd w:val="clear" w:color="auto" w:fill="FFFFFF" w:themeFill="background1"/>
            <w:vAlign w:val="center"/>
          </w:tcPr>
          <w:p w14:paraId="1B85B50B" w14:textId="77777777" w:rsidR="00982F0F" w:rsidRPr="006F283B" w:rsidRDefault="00982F0F" w:rsidP="003915F9">
            <w:pPr>
              <w:keepNext/>
              <w:keepLines/>
              <w:spacing w:before="0"/>
              <w:jc w:val="center"/>
              <w:rPr>
                <w:sz w:val="20"/>
                <w:szCs w:val="20"/>
                <w:lang w:val="en-AU"/>
              </w:rPr>
            </w:pPr>
            <w:r w:rsidRPr="006F283B">
              <w:rPr>
                <w:sz w:val="20"/>
                <w:szCs w:val="20"/>
                <w:lang w:val="en-AU"/>
              </w:rPr>
              <w:t>36.8</w:t>
            </w:r>
          </w:p>
        </w:tc>
        <w:tc>
          <w:tcPr>
            <w:tcW w:w="1582" w:type="dxa"/>
            <w:shd w:val="clear" w:color="auto" w:fill="FFFFFF" w:themeFill="background1"/>
            <w:vAlign w:val="center"/>
          </w:tcPr>
          <w:p w14:paraId="737F203D" w14:textId="77777777" w:rsidR="00982F0F" w:rsidRPr="006F283B" w:rsidRDefault="00982F0F" w:rsidP="003915F9">
            <w:pPr>
              <w:keepNext/>
              <w:keepLines/>
              <w:spacing w:before="0"/>
              <w:jc w:val="center"/>
              <w:rPr>
                <w:sz w:val="20"/>
                <w:szCs w:val="20"/>
                <w:lang w:val="en-AU"/>
              </w:rPr>
            </w:pPr>
            <w:r w:rsidRPr="006F283B">
              <w:rPr>
                <w:sz w:val="20"/>
                <w:szCs w:val="20"/>
                <w:lang w:val="en-AU"/>
              </w:rPr>
              <w:t>40.4</w:t>
            </w:r>
          </w:p>
        </w:tc>
      </w:tr>
      <w:tr w:rsidR="00982F0F" w:rsidRPr="006F283B" w14:paraId="74C6E186" w14:textId="77777777" w:rsidTr="00372EA1">
        <w:trPr>
          <w:trHeight w:val="170"/>
        </w:trPr>
        <w:tc>
          <w:tcPr>
            <w:tcW w:w="1011" w:type="dxa"/>
            <w:vMerge/>
            <w:shd w:val="clear" w:color="auto" w:fill="FFFFFF" w:themeFill="background1"/>
            <w:vAlign w:val="center"/>
          </w:tcPr>
          <w:p w14:paraId="23A08489" w14:textId="77777777" w:rsidR="00982F0F" w:rsidRPr="006F283B" w:rsidRDefault="00982F0F" w:rsidP="003915F9">
            <w:pPr>
              <w:keepNext/>
              <w:keepLines/>
              <w:spacing w:before="0"/>
              <w:jc w:val="center"/>
              <w:rPr>
                <w:sz w:val="20"/>
                <w:szCs w:val="20"/>
                <w:lang w:val="en-AU"/>
              </w:rPr>
            </w:pPr>
          </w:p>
        </w:tc>
        <w:tc>
          <w:tcPr>
            <w:tcW w:w="1678" w:type="dxa"/>
            <w:shd w:val="clear" w:color="auto" w:fill="FFFFFF" w:themeFill="background1"/>
            <w:vAlign w:val="center"/>
          </w:tcPr>
          <w:p w14:paraId="60094785" w14:textId="77777777" w:rsidR="00982F0F" w:rsidRPr="006F283B" w:rsidRDefault="00982F0F" w:rsidP="003915F9">
            <w:pPr>
              <w:keepNext/>
              <w:keepLines/>
              <w:spacing w:before="0"/>
              <w:jc w:val="center"/>
              <w:rPr>
                <w:sz w:val="20"/>
                <w:szCs w:val="20"/>
                <w:lang w:val="en-AU"/>
              </w:rPr>
            </w:pPr>
            <w:r w:rsidRPr="006F283B">
              <w:rPr>
                <w:sz w:val="20"/>
                <w:szCs w:val="20"/>
                <w:lang w:val="en-AU"/>
              </w:rPr>
              <w:t>HR (95% CI)</w:t>
            </w:r>
          </w:p>
        </w:tc>
        <w:tc>
          <w:tcPr>
            <w:tcW w:w="3163" w:type="dxa"/>
            <w:gridSpan w:val="2"/>
            <w:shd w:val="clear" w:color="auto" w:fill="FFFFFF" w:themeFill="background1"/>
            <w:vAlign w:val="center"/>
          </w:tcPr>
          <w:p w14:paraId="5F09ABA8" w14:textId="1AF229CA" w:rsidR="00982F0F" w:rsidRPr="006F283B" w:rsidRDefault="00982F0F" w:rsidP="003915F9">
            <w:pPr>
              <w:keepNext/>
              <w:keepLines/>
              <w:spacing w:before="0"/>
              <w:jc w:val="center"/>
              <w:rPr>
                <w:sz w:val="20"/>
                <w:szCs w:val="20"/>
                <w:lang w:val="en-AU"/>
              </w:rPr>
            </w:pPr>
            <w:r w:rsidRPr="006F283B">
              <w:rPr>
                <w:sz w:val="20"/>
                <w:szCs w:val="20"/>
                <w:lang w:val="en-AU"/>
              </w:rPr>
              <w:t>0.51 (0.271,0.973)</w:t>
            </w:r>
          </w:p>
        </w:tc>
        <w:tc>
          <w:tcPr>
            <w:tcW w:w="3164" w:type="dxa"/>
            <w:gridSpan w:val="2"/>
            <w:shd w:val="clear" w:color="auto" w:fill="FFFFFF" w:themeFill="background1"/>
            <w:vAlign w:val="center"/>
          </w:tcPr>
          <w:p w14:paraId="110B2CEB" w14:textId="77777777" w:rsidR="00982F0F" w:rsidRPr="006F283B" w:rsidRDefault="00982F0F" w:rsidP="003915F9">
            <w:pPr>
              <w:keepNext/>
              <w:keepLines/>
              <w:spacing w:before="0"/>
              <w:jc w:val="center"/>
              <w:rPr>
                <w:sz w:val="20"/>
                <w:szCs w:val="20"/>
                <w:lang w:val="en-AU"/>
              </w:rPr>
            </w:pPr>
            <w:r w:rsidRPr="006F283B">
              <w:rPr>
                <w:sz w:val="20"/>
                <w:szCs w:val="20"/>
                <w:lang w:val="en-AU"/>
              </w:rPr>
              <w:t>1.19 (0.88, 1.63)</w:t>
            </w:r>
          </w:p>
        </w:tc>
      </w:tr>
    </w:tbl>
    <w:p w14:paraId="2C30AA52" w14:textId="77777777" w:rsidR="00330AF9" w:rsidRPr="006F283B" w:rsidRDefault="00330AF9" w:rsidP="003915F9">
      <w:pPr>
        <w:pStyle w:val="TableNotes"/>
        <w:keepNext/>
        <w:keepLines/>
        <w:spacing w:after="0"/>
        <w:rPr>
          <w:sz w:val="18"/>
          <w:szCs w:val="18"/>
        </w:rPr>
      </w:pPr>
      <w:r w:rsidRPr="006F283B">
        <w:rPr>
          <w:sz w:val="18"/>
          <w:szCs w:val="18"/>
        </w:rPr>
        <w:t>Source: Table 233, p371 of the submission</w:t>
      </w:r>
    </w:p>
    <w:p w14:paraId="0CC6CDB1" w14:textId="77777777" w:rsidR="00982F0F" w:rsidRPr="006F283B" w:rsidRDefault="00982F0F" w:rsidP="003915F9">
      <w:pPr>
        <w:pStyle w:val="TableNotes"/>
        <w:keepNext/>
        <w:keepLines/>
        <w:spacing w:after="0"/>
        <w:rPr>
          <w:sz w:val="18"/>
          <w:szCs w:val="18"/>
        </w:rPr>
      </w:pPr>
      <w:r w:rsidRPr="006F283B">
        <w:rPr>
          <w:sz w:val="18"/>
          <w:szCs w:val="18"/>
        </w:rPr>
        <w:t>*Unstable median (&lt;50% maturity)</w:t>
      </w:r>
    </w:p>
    <w:p w14:paraId="484D7FE1" w14:textId="4C1A8D83" w:rsidR="00982F0F" w:rsidRDefault="00982F0F" w:rsidP="003915F9">
      <w:pPr>
        <w:pStyle w:val="TableNotes"/>
        <w:keepNext/>
        <w:keepLines/>
        <w:spacing w:after="0"/>
        <w:rPr>
          <w:sz w:val="18"/>
          <w:szCs w:val="18"/>
        </w:rPr>
      </w:pPr>
      <w:r w:rsidRPr="006F283B">
        <w:rPr>
          <w:sz w:val="18"/>
          <w:szCs w:val="18"/>
        </w:rPr>
        <w:t xml:space="preserve">Abbreviations: BEVA = bevacizumab; CI = confidence interval; DCO = data cut-off; HRD = homologous repair deficiency; HR = hazard ratio; ITT = intent to treat; NE = not evaluable; NIRA = niraparib; NR = not reported; OS = overall survival; PBO = placebo. </w:t>
      </w:r>
    </w:p>
    <w:p w14:paraId="31B3B4A8" w14:textId="6AEE7E32" w:rsidR="002176D8" w:rsidRPr="002176D8" w:rsidRDefault="002176D8" w:rsidP="004E1A24">
      <w:pPr>
        <w:pStyle w:val="TableNotes"/>
        <w:keepNext/>
        <w:keepLines/>
        <w:widowControl w:val="0"/>
        <w:spacing w:after="120"/>
        <w:rPr>
          <w:i/>
          <w:iCs/>
          <w:sz w:val="18"/>
          <w:szCs w:val="18"/>
        </w:rPr>
      </w:pPr>
      <w:r w:rsidRPr="002176D8">
        <w:rPr>
          <w:i/>
          <w:iCs/>
          <w:sz w:val="18"/>
          <w:szCs w:val="18"/>
        </w:rPr>
        <w:t xml:space="preserve">Note: results denoted by (**)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w:t>
      </w:r>
      <w:proofErr w:type="gramStart"/>
      <w:r w:rsidRPr="002176D8">
        <w:rPr>
          <w:i/>
          <w:iCs/>
          <w:sz w:val="18"/>
          <w:szCs w:val="18"/>
        </w:rPr>
        <w:t>purpose</w:t>
      </w:r>
      <w:proofErr w:type="gramEnd"/>
    </w:p>
    <w:p w14:paraId="2B53CA0C" w14:textId="6FF2F8A3" w:rsidR="00843998" w:rsidRPr="006F283B" w:rsidRDefault="00843998" w:rsidP="004E1A24">
      <w:pPr>
        <w:pStyle w:val="ListParagraph"/>
        <w:spacing w:before="0" w:after="120"/>
        <w:rPr>
          <w:i/>
          <w:iCs/>
          <w:color w:val="auto"/>
        </w:rPr>
      </w:pPr>
      <w:r w:rsidRPr="006F283B">
        <w:rPr>
          <w:color w:val="auto"/>
        </w:rPr>
        <w:t>Hettle 2021 performed a PAIC</w:t>
      </w:r>
      <w:r w:rsidR="00360C53" w:rsidRPr="006F283B">
        <w:rPr>
          <w:color w:val="auto"/>
        </w:rPr>
        <w:t xml:space="preserve"> </w:t>
      </w:r>
      <w:r w:rsidRPr="006F283B">
        <w:rPr>
          <w:color w:val="auto"/>
        </w:rPr>
        <w:t xml:space="preserve">in the ITT and in the </w:t>
      </w:r>
      <w:r w:rsidR="007B562D">
        <w:rPr>
          <w:color w:val="auto"/>
        </w:rPr>
        <w:t>HRD positive</w:t>
      </w:r>
      <w:r w:rsidRPr="006F283B">
        <w:rPr>
          <w:color w:val="auto"/>
        </w:rPr>
        <w:t xml:space="preserve"> populations using aggregate data from the May 2019 PRIMA data cut-off, and patient-level data from a subset of patients at the March 2019 PAOLA-1 data cut-off who met the surgery and FIGO staging eligibility criteria of PRIMA (</w:t>
      </w:r>
      <w:proofErr w:type="gramStart"/>
      <w:r w:rsidRPr="006F283B">
        <w:rPr>
          <w:color w:val="auto"/>
        </w:rPr>
        <w:t>i.e.</w:t>
      </w:r>
      <w:proofErr w:type="gramEnd"/>
      <w:r w:rsidRPr="006F283B">
        <w:rPr>
          <w:color w:val="auto"/>
        </w:rPr>
        <w:t xml:space="preserve"> excluded patients with stage III R0 PDS to create a modified PAOLA-1 set).</w:t>
      </w:r>
      <w:r w:rsidRPr="006F283B">
        <w:rPr>
          <w:iCs/>
          <w:color w:val="auto"/>
        </w:rPr>
        <w:t xml:space="preserve"> </w:t>
      </w:r>
      <w:r w:rsidR="00016E94" w:rsidRPr="006F283B">
        <w:rPr>
          <w:color w:val="auto"/>
        </w:rPr>
        <w:t>Prognostic and effect modifiers including the PRIMA stratification factors (response to therapy and prior use of neoadjuvant chemotherapy), FIGO stage,</w:t>
      </w:r>
      <w:r w:rsidR="00016E94" w:rsidRPr="006F283B">
        <w:rPr>
          <w:i/>
          <w:iCs/>
          <w:color w:val="auto"/>
        </w:rPr>
        <w:t xml:space="preserve"> </w:t>
      </w:r>
      <w:r w:rsidR="001152C0" w:rsidRPr="001152C0">
        <w:rPr>
          <w:i/>
          <w:iCs/>
          <w:color w:val="auto"/>
        </w:rPr>
        <w:t xml:space="preserve">BRCA </w:t>
      </w:r>
      <w:r w:rsidR="00016E94" w:rsidRPr="006F283B">
        <w:rPr>
          <w:color w:val="auto"/>
        </w:rPr>
        <w:t xml:space="preserve">status, </w:t>
      </w:r>
      <w:r w:rsidR="003155AF" w:rsidRPr="006F283B">
        <w:rPr>
          <w:color w:val="auto"/>
        </w:rPr>
        <w:t>a</w:t>
      </w:r>
      <w:r w:rsidR="00016E94" w:rsidRPr="006F283B">
        <w:rPr>
          <w:color w:val="auto"/>
        </w:rPr>
        <w:t xml:space="preserve">ge, ECOG performance status and CA-125 ≥ upper limit normal were matched in the PAIC. </w:t>
      </w:r>
      <w:r w:rsidRPr="006F283B">
        <w:rPr>
          <w:color w:val="auto"/>
        </w:rPr>
        <w:t>No</w:t>
      </w:r>
      <w:r w:rsidRPr="006F283B">
        <w:rPr>
          <w:iCs/>
          <w:color w:val="auto"/>
        </w:rPr>
        <w:t xml:space="preserve"> </w:t>
      </w:r>
      <w:r w:rsidRPr="006F283B">
        <w:rPr>
          <w:color w:val="auto"/>
        </w:rPr>
        <w:t xml:space="preserve">analysis was conducted for the HRD positive </w:t>
      </w:r>
      <w:r w:rsidR="001152C0" w:rsidRPr="001152C0">
        <w:rPr>
          <w:i/>
          <w:iCs/>
          <w:color w:val="auto"/>
        </w:rPr>
        <w:t>BRCAwt</w:t>
      </w:r>
      <w:r w:rsidRPr="006F283B">
        <w:rPr>
          <w:color w:val="auto"/>
        </w:rPr>
        <w:t xml:space="preserve"> population</w:t>
      </w:r>
      <w:r w:rsidRPr="006F283B">
        <w:rPr>
          <w:iCs/>
          <w:color w:val="auto"/>
        </w:rPr>
        <w:t xml:space="preserve">. </w:t>
      </w:r>
      <w:r w:rsidRPr="006F283B">
        <w:rPr>
          <w:color w:val="auto"/>
        </w:rPr>
        <w:t xml:space="preserve">The results from Hettle 2021 are presented in </w:t>
      </w:r>
      <w:r w:rsidRPr="006F283B">
        <w:rPr>
          <w:color w:val="auto"/>
        </w:rPr>
        <w:fldChar w:fldCharType="begin" w:fldLock="1"/>
      </w:r>
      <w:r w:rsidRPr="006F283B">
        <w:rPr>
          <w:color w:val="auto"/>
        </w:rPr>
        <w:instrText xml:space="preserve"> REF _Ref121203105 \h </w:instrText>
      </w:r>
      <w:r w:rsidRPr="006F283B">
        <w:rPr>
          <w:color w:val="auto"/>
        </w:rPr>
      </w:r>
      <w:r w:rsidRPr="006F283B">
        <w:rPr>
          <w:color w:val="auto"/>
        </w:rPr>
        <w:fldChar w:fldCharType="separate"/>
      </w:r>
      <w:r w:rsidR="00305654" w:rsidRPr="006F283B">
        <w:t xml:space="preserve">Figure </w:t>
      </w:r>
      <w:r w:rsidR="00305654">
        <w:rPr>
          <w:noProof/>
        </w:rPr>
        <w:t>5</w:t>
      </w:r>
      <w:r w:rsidRPr="006F283B">
        <w:rPr>
          <w:color w:val="auto"/>
        </w:rPr>
        <w:fldChar w:fldCharType="end"/>
      </w:r>
      <w:r w:rsidRPr="006F283B">
        <w:rPr>
          <w:color w:val="auto"/>
        </w:rPr>
        <w:t>.</w:t>
      </w:r>
    </w:p>
    <w:p w14:paraId="31B18CD0" w14:textId="44AA0A92" w:rsidR="00843998" w:rsidRPr="006F283B" w:rsidRDefault="00A72931" w:rsidP="00593A64">
      <w:pPr>
        <w:pStyle w:val="Caption"/>
      </w:pPr>
      <w:bookmarkStart w:id="88" w:name="_Ref121203105"/>
      <w:r w:rsidRPr="006F283B">
        <w:lastRenderedPageBreak/>
        <w:t xml:space="preserve">Figure </w:t>
      </w:r>
      <w:r w:rsidR="00091054">
        <w:fldChar w:fldCharType="begin" w:fldLock="1"/>
      </w:r>
      <w:r w:rsidR="00091054">
        <w:instrText xml:space="preserve"> SEQ Figure_PBAC. \* ARABIC </w:instrText>
      </w:r>
      <w:r w:rsidR="00091054">
        <w:fldChar w:fldCharType="separate"/>
      </w:r>
      <w:r w:rsidR="00305654">
        <w:rPr>
          <w:noProof/>
        </w:rPr>
        <w:t>5</w:t>
      </w:r>
      <w:r w:rsidR="00091054">
        <w:rPr>
          <w:noProof/>
        </w:rPr>
        <w:fldChar w:fldCharType="end"/>
      </w:r>
      <w:bookmarkEnd w:id="88"/>
      <w:r w:rsidR="00AF3FA2">
        <w:t xml:space="preserve">: </w:t>
      </w:r>
      <w:r w:rsidR="00843998" w:rsidRPr="006F283B">
        <w:t xml:space="preserve">PFS KM curves from the PAIC in Hettle 2021 the </w:t>
      </w:r>
      <w:r w:rsidR="007B562D">
        <w:t>HRD positive</w:t>
      </w:r>
      <w:r w:rsidR="00843998" w:rsidRPr="006F283B">
        <w:t xml:space="preserve"> population </w:t>
      </w:r>
    </w:p>
    <w:p w14:paraId="0373E647" w14:textId="77777777" w:rsidR="00843998" w:rsidRPr="006F283B" w:rsidRDefault="00843998" w:rsidP="00AF4B69">
      <w:pPr>
        <w:pStyle w:val="InstructionalText"/>
        <w:keepNext/>
        <w:keepLines/>
        <w:spacing w:after="0"/>
        <w:rPr>
          <w:color w:val="auto"/>
        </w:rPr>
      </w:pPr>
      <w:r w:rsidRPr="006F283B">
        <w:rPr>
          <w:noProof/>
          <w:color w:val="auto"/>
        </w:rPr>
        <w:drawing>
          <wp:inline distT="0" distB="0" distL="0" distR="0" wp14:anchorId="75E0798A" wp14:editId="75F5CC1E">
            <wp:extent cx="5730240" cy="3436620"/>
            <wp:effectExtent l="0" t="0" r="3810" b="0"/>
            <wp:docPr id="1959018439" name="Picture 1959018439" descr="Figure 5: PFS KM curves from the PAIC in Hettle 2021 the HRD positive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9" name="Picture 1959018439" descr="Figure 5: PFS KM curves from the PAIC in Hettle 2021 the HRD positive popula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3436620"/>
                    </a:xfrm>
                    <a:prstGeom prst="rect">
                      <a:avLst/>
                    </a:prstGeom>
                    <a:noFill/>
                    <a:ln>
                      <a:noFill/>
                    </a:ln>
                  </pic:spPr>
                </pic:pic>
              </a:graphicData>
            </a:graphic>
          </wp:inline>
        </w:drawing>
      </w:r>
    </w:p>
    <w:p w14:paraId="1055D5B0" w14:textId="77777777" w:rsidR="00843998" w:rsidRPr="006F283B" w:rsidRDefault="00843998" w:rsidP="00152220">
      <w:pPr>
        <w:pStyle w:val="InstructionalText"/>
        <w:keepLines/>
        <w:spacing w:after="120"/>
        <w:rPr>
          <w:rFonts w:ascii="Arial Narrow" w:eastAsia="Times New Roman" w:hAnsi="Arial Narrow" w:cs="Arial"/>
          <w:snapToGrid w:val="0"/>
          <w:color w:val="auto"/>
          <w:sz w:val="18"/>
          <w:szCs w:val="20"/>
        </w:rPr>
      </w:pPr>
      <w:r w:rsidRPr="006F283B">
        <w:rPr>
          <w:rFonts w:ascii="Arial Narrow" w:eastAsia="Times New Roman" w:hAnsi="Arial Narrow" w:cs="Arial"/>
          <w:snapToGrid w:val="0"/>
          <w:color w:val="auto"/>
          <w:sz w:val="18"/>
          <w:szCs w:val="20"/>
        </w:rPr>
        <w:t>Source: Figure 4, Hettle 2021</w:t>
      </w:r>
    </w:p>
    <w:p w14:paraId="1594A646" w14:textId="42F4EB92" w:rsidR="003155AF" w:rsidRPr="006F283B" w:rsidRDefault="00843998" w:rsidP="00AF3FA2">
      <w:pPr>
        <w:pStyle w:val="ListParagraph"/>
        <w:spacing w:before="0" w:after="120"/>
        <w:rPr>
          <w:iCs/>
          <w:color w:val="auto"/>
        </w:rPr>
      </w:pPr>
      <w:bookmarkStart w:id="89" w:name="_Ref127778896"/>
      <w:r w:rsidRPr="006F283B">
        <w:rPr>
          <w:color w:val="auto"/>
        </w:rPr>
        <w:t xml:space="preserve">In the HRD positive population, Hettle 2021 reported a statistically significant difference in PFS HR favouring treatment with olaparib + bevacizumab </w:t>
      </w:r>
      <w:r w:rsidR="001C1EE1" w:rsidRPr="006F283B">
        <w:rPr>
          <w:color w:val="auto"/>
        </w:rPr>
        <w:t xml:space="preserve">compared to </w:t>
      </w:r>
      <w:r w:rsidR="003A40A3" w:rsidRPr="006F283B">
        <w:rPr>
          <w:color w:val="auto"/>
        </w:rPr>
        <w:t xml:space="preserve">niraparib </w:t>
      </w:r>
      <w:r w:rsidRPr="006F283B">
        <w:rPr>
          <w:color w:val="auto"/>
        </w:rPr>
        <w:t xml:space="preserve">(PFS HR = 0.57, </w:t>
      </w:r>
      <w:r w:rsidR="00556EDB" w:rsidRPr="006F283B">
        <w:rPr>
          <w:color w:val="auto"/>
        </w:rPr>
        <w:t>95</w:t>
      </w:r>
      <w:r w:rsidRPr="006F283B">
        <w:rPr>
          <w:color w:val="auto"/>
        </w:rPr>
        <w:t xml:space="preserve">% CI 0.41, 0.79), with a median difference of 14.0 months. </w:t>
      </w:r>
      <w:r w:rsidR="003155AF" w:rsidRPr="006F283B">
        <w:rPr>
          <w:color w:val="auto"/>
        </w:rPr>
        <w:t xml:space="preserve">The large difference in median PFS and statistically significant HR would suggest that the submission’s claim that olaparib + bevacizumab had no added clinical benefit compared to niraparib in the HRD positive </w:t>
      </w:r>
      <w:r w:rsidR="001152C0" w:rsidRPr="001152C0">
        <w:rPr>
          <w:i/>
          <w:iCs/>
          <w:color w:val="auto"/>
        </w:rPr>
        <w:t>BRCAwt</w:t>
      </w:r>
      <w:r w:rsidR="003155AF" w:rsidRPr="006F283B">
        <w:rPr>
          <w:color w:val="auto"/>
        </w:rPr>
        <w:t xml:space="preserve"> population was potentially not supported based on the available evidence.</w:t>
      </w:r>
      <w:bookmarkEnd w:id="89"/>
      <w:r w:rsidR="008E34C5">
        <w:rPr>
          <w:color w:val="auto"/>
        </w:rPr>
        <w:t xml:space="preserve"> </w:t>
      </w:r>
    </w:p>
    <w:p w14:paraId="0D564223" w14:textId="024768C5" w:rsidR="004248EB" w:rsidRPr="006F283B" w:rsidRDefault="00843998" w:rsidP="00AF3FA2">
      <w:pPr>
        <w:pStyle w:val="ListParagraph"/>
        <w:spacing w:before="0" w:after="120"/>
        <w:rPr>
          <w:iCs/>
          <w:color w:val="auto"/>
        </w:rPr>
      </w:pPr>
      <w:r w:rsidRPr="006F283B">
        <w:rPr>
          <w:color w:val="auto"/>
        </w:rPr>
        <w:t xml:space="preserve">The submission claimed that Hettle 2021 was unlikely to have adequately controlled for all sources of heterogeneity between trials, particularly for characteristics that cannot be controlled for, such as 1L treatment and that the decision to treat patients with bevacizumab </w:t>
      </w:r>
      <w:proofErr w:type="gramStart"/>
      <w:r w:rsidRPr="006F283B">
        <w:rPr>
          <w:color w:val="auto"/>
        </w:rPr>
        <w:t>takes into account</w:t>
      </w:r>
      <w:proofErr w:type="gramEnd"/>
      <w:r w:rsidRPr="006F283B">
        <w:rPr>
          <w:color w:val="auto"/>
        </w:rPr>
        <w:t xml:space="preserve"> patient level factors beyond those adjusted for in the PAIC.</w:t>
      </w:r>
      <w:r w:rsidR="003155AF" w:rsidRPr="006F283B">
        <w:rPr>
          <w:color w:val="auto"/>
        </w:rPr>
        <w:t xml:space="preserve"> </w:t>
      </w:r>
      <w:r w:rsidR="003155AF" w:rsidRPr="006F283B">
        <w:rPr>
          <w:iCs/>
          <w:color w:val="auto"/>
        </w:rPr>
        <w:t xml:space="preserve">The ESCs noted that outcomes for the control arms across the two trials (placebo and placebo + bevacizumab) were quite different, and </w:t>
      </w:r>
      <w:r w:rsidR="00A445AF" w:rsidRPr="006F283B">
        <w:rPr>
          <w:iCs/>
          <w:color w:val="auto"/>
        </w:rPr>
        <w:t xml:space="preserve">the ESCs </w:t>
      </w:r>
      <w:r w:rsidR="004248EB" w:rsidRPr="006F283B">
        <w:rPr>
          <w:iCs/>
          <w:color w:val="auto"/>
        </w:rPr>
        <w:t xml:space="preserve">considered </w:t>
      </w:r>
      <w:r w:rsidR="003155AF" w:rsidRPr="006F283B">
        <w:rPr>
          <w:iCs/>
          <w:color w:val="auto"/>
        </w:rPr>
        <w:t xml:space="preserve">bevacizumab would not be expected to provide the level of benefit </w:t>
      </w:r>
      <w:r w:rsidR="004248EB" w:rsidRPr="006F283B">
        <w:rPr>
          <w:iCs/>
          <w:color w:val="auto"/>
        </w:rPr>
        <w:t xml:space="preserve">shown in these patients (based on </w:t>
      </w:r>
      <w:r w:rsidR="00A445AF" w:rsidRPr="006F283B">
        <w:rPr>
          <w:iCs/>
          <w:color w:val="auto"/>
        </w:rPr>
        <w:t xml:space="preserve">outcomes from </w:t>
      </w:r>
      <w:r w:rsidR="004248EB" w:rsidRPr="006F283B">
        <w:rPr>
          <w:iCs/>
          <w:color w:val="auto"/>
        </w:rPr>
        <w:t>the ICON trial).</w:t>
      </w:r>
      <w:r w:rsidR="004248EB" w:rsidRPr="006F283B">
        <w:rPr>
          <w:color w:val="auto"/>
        </w:rPr>
        <w:t xml:space="preserve"> </w:t>
      </w:r>
      <w:r w:rsidR="004248EB" w:rsidRPr="006F283B">
        <w:rPr>
          <w:iCs/>
          <w:color w:val="auto"/>
        </w:rPr>
        <w:t xml:space="preserve">The ESCs considered this </w:t>
      </w:r>
      <w:r w:rsidR="003155AF" w:rsidRPr="006F283B">
        <w:rPr>
          <w:iCs/>
          <w:color w:val="auto"/>
        </w:rPr>
        <w:t>suggests that the two study populations remained significantly different and sources of heterogeneity had not been adequately controlled for</w:t>
      </w:r>
      <w:r w:rsidR="004248EB" w:rsidRPr="006F283B">
        <w:rPr>
          <w:iCs/>
          <w:color w:val="auto"/>
        </w:rPr>
        <w:t xml:space="preserve"> in this comparison</w:t>
      </w:r>
      <w:r w:rsidR="003155AF" w:rsidRPr="006F283B">
        <w:rPr>
          <w:color w:val="auto"/>
        </w:rPr>
        <w:t xml:space="preserve">. </w:t>
      </w:r>
    </w:p>
    <w:p w14:paraId="01E46F5D" w14:textId="3ED22BE6" w:rsidR="004248EB" w:rsidRPr="006F283B" w:rsidRDefault="00843998" w:rsidP="00AF3FA2">
      <w:pPr>
        <w:pStyle w:val="ListParagraph"/>
        <w:spacing w:before="0" w:after="120"/>
        <w:rPr>
          <w:color w:val="auto"/>
        </w:rPr>
      </w:pPr>
      <w:bookmarkStart w:id="90" w:name="_Ref121218053"/>
      <w:bookmarkStart w:id="91" w:name="_Ref127215856"/>
      <w:r w:rsidRPr="006F283B">
        <w:rPr>
          <w:color w:val="auto"/>
        </w:rPr>
        <w:t>Overall, the PAIC by Hettle 2021 had significant limitations in terms of possibl</w:t>
      </w:r>
      <w:r w:rsidR="00CE22FF" w:rsidRPr="006F283B">
        <w:rPr>
          <w:color w:val="auto"/>
        </w:rPr>
        <w:t>y</w:t>
      </w:r>
      <w:r w:rsidRPr="006F283B">
        <w:rPr>
          <w:color w:val="auto"/>
        </w:rPr>
        <w:t xml:space="preserve"> not having adjusted for all unobserved variables, </w:t>
      </w:r>
      <w:r w:rsidR="007F5C25" w:rsidRPr="006F283B">
        <w:rPr>
          <w:color w:val="auto"/>
        </w:rPr>
        <w:t>wa</w:t>
      </w:r>
      <w:r w:rsidRPr="006F283B">
        <w:rPr>
          <w:color w:val="auto"/>
        </w:rPr>
        <w:t xml:space="preserve">s associated with a high level of uncertainty and represents a lower level of evidence compared to the randomised controlled trials of PRIMA and PAOLA-1. Nonetheless, it does represent the </w:t>
      </w:r>
      <w:proofErr w:type="gramStart"/>
      <w:r w:rsidRPr="006F283B">
        <w:rPr>
          <w:color w:val="auto"/>
        </w:rPr>
        <w:t>highest level</w:t>
      </w:r>
      <w:proofErr w:type="gramEnd"/>
      <w:r w:rsidRPr="006F283B">
        <w:rPr>
          <w:color w:val="auto"/>
        </w:rPr>
        <w:t xml:space="preserve"> evidence currently available comparing niraparib with olaparib + bevacizumab in </w:t>
      </w:r>
      <w:r w:rsidRPr="006F283B">
        <w:rPr>
          <w:color w:val="auto"/>
        </w:rPr>
        <w:lastRenderedPageBreak/>
        <w:t xml:space="preserve">the HRD positive population (which includes the requested HRD positive </w:t>
      </w:r>
      <w:r w:rsidR="001152C0" w:rsidRPr="001152C0">
        <w:rPr>
          <w:i/>
          <w:iCs/>
          <w:color w:val="auto"/>
        </w:rPr>
        <w:t>BRCAwt</w:t>
      </w:r>
      <w:r w:rsidRPr="006F283B">
        <w:rPr>
          <w:color w:val="auto"/>
        </w:rPr>
        <w:t xml:space="preserve"> subpopulation)</w:t>
      </w:r>
      <w:r w:rsidR="003155AF" w:rsidRPr="006F283B">
        <w:rPr>
          <w:color w:val="auto"/>
        </w:rPr>
        <w:t>.</w:t>
      </w:r>
      <w:bookmarkEnd w:id="90"/>
      <w:r w:rsidR="008E34C5">
        <w:rPr>
          <w:color w:val="auto"/>
        </w:rPr>
        <w:t xml:space="preserve"> </w:t>
      </w:r>
    </w:p>
    <w:p w14:paraId="45D2572F" w14:textId="217FF1C8" w:rsidR="006C0B1C" w:rsidRPr="006F283B" w:rsidRDefault="004248EB" w:rsidP="00AF3FA2">
      <w:pPr>
        <w:pStyle w:val="ListParagraph"/>
        <w:spacing w:before="0" w:after="120"/>
        <w:rPr>
          <w:color w:val="auto"/>
        </w:rPr>
      </w:pPr>
      <w:bookmarkStart w:id="92" w:name="_Ref130486350"/>
      <w:r w:rsidRPr="006F283B">
        <w:rPr>
          <w:iCs/>
          <w:color w:val="auto"/>
        </w:rPr>
        <w:t xml:space="preserve">The </w:t>
      </w:r>
      <w:r w:rsidR="006C0B1C" w:rsidRPr="006F283B">
        <w:rPr>
          <w:iCs/>
          <w:color w:val="auto"/>
        </w:rPr>
        <w:t>ESCs considered that the PAIC by Hettle 2021 should be interpreted with caution, given the limitations described above.</w:t>
      </w:r>
      <w:bookmarkEnd w:id="91"/>
      <w:bookmarkEnd w:id="92"/>
    </w:p>
    <w:p w14:paraId="657FC70F" w14:textId="7E68A31B" w:rsidR="00843998" w:rsidRPr="006F283B" w:rsidRDefault="00843998" w:rsidP="00F029F7">
      <w:pPr>
        <w:pStyle w:val="4-SubsectionHeading"/>
      </w:pPr>
      <w:bookmarkStart w:id="93" w:name="_Toc95298225"/>
      <w:bookmarkStart w:id="94" w:name="_Toc123646834"/>
      <w:bookmarkStart w:id="95" w:name="_Toc123646935"/>
      <w:bookmarkStart w:id="96" w:name="_Toc123647170"/>
      <w:bookmarkStart w:id="97" w:name="_Toc124937094"/>
      <w:bookmarkEnd w:id="73"/>
      <w:bookmarkEnd w:id="74"/>
      <w:r w:rsidRPr="006F283B">
        <w:t>Comparative harms</w:t>
      </w:r>
      <w:bookmarkEnd w:id="93"/>
      <w:bookmarkEnd w:id="94"/>
      <w:bookmarkEnd w:id="95"/>
      <w:bookmarkEnd w:id="96"/>
      <w:bookmarkEnd w:id="97"/>
    </w:p>
    <w:p w14:paraId="720476DE" w14:textId="6409BC30" w:rsidR="00843998" w:rsidRPr="006F283B" w:rsidRDefault="00843998" w:rsidP="00AF3FA2">
      <w:pPr>
        <w:pStyle w:val="ListParagraph"/>
        <w:spacing w:before="0" w:after="120"/>
        <w:rPr>
          <w:color w:val="auto"/>
        </w:rPr>
      </w:pPr>
      <w:r w:rsidRPr="006F283B">
        <w:rPr>
          <w:color w:val="auto"/>
        </w:rPr>
        <w:t xml:space="preserve">The PBAC has previously considered that niraparib was inferior to placebo in terms of safety in PRIMA due to more grade </w:t>
      </w:r>
      <w:r w:rsidRPr="006F283B">
        <w:rPr>
          <w:rFonts w:cstheme="minorHAnsi"/>
          <w:color w:val="auto"/>
        </w:rPr>
        <w:t>≥</w:t>
      </w:r>
      <w:r w:rsidRPr="006F283B">
        <w:rPr>
          <w:color w:val="auto"/>
        </w:rPr>
        <w:t>3 treatment emergent adverse events (TEAEs), serious adverse events (SAEs) and TEAEs leading to treatment discontinuation in the niraparib arm</w:t>
      </w:r>
      <w:r w:rsidR="00072CD3" w:rsidRPr="006F283B">
        <w:rPr>
          <w:color w:val="auto"/>
        </w:rPr>
        <w:t>, based on the ITT population</w:t>
      </w:r>
      <w:r w:rsidRPr="006F283B">
        <w:rPr>
          <w:color w:val="auto"/>
        </w:rPr>
        <w:t xml:space="preserve"> (</w:t>
      </w:r>
      <w:r w:rsidR="00072CD3" w:rsidRPr="006F283B">
        <w:rPr>
          <w:color w:val="auto"/>
        </w:rPr>
        <w:t>p</w:t>
      </w:r>
      <w:r w:rsidRPr="006F283B">
        <w:rPr>
          <w:color w:val="auto"/>
        </w:rPr>
        <w:t xml:space="preserve">aragraph 6.37, </w:t>
      </w:r>
      <w:r w:rsidR="00DD5645" w:rsidRPr="006F283B">
        <w:rPr>
          <w:color w:val="auto"/>
        </w:rPr>
        <w:t>n</w:t>
      </w:r>
      <w:r w:rsidRPr="006F283B">
        <w:rPr>
          <w:color w:val="auto"/>
        </w:rPr>
        <w:t>iraparib</w:t>
      </w:r>
      <w:r w:rsidR="00072CD3" w:rsidRPr="006F283B">
        <w:rPr>
          <w:color w:val="auto"/>
        </w:rPr>
        <w:t xml:space="preserve"> PSD</w:t>
      </w:r>
      <w:r w:rsidRPr="006F283B">
        <w:rPr>
          <w:color w:val="auto"/>
        </w:rPr>
        <w:t>, July</w:t>
      </w:r>
      <w:r w:rsidR="008E1252">
        <w:rPr>
          <w:color w:val="auto"/>
        </w:rPr>
        <w:t> </w:t>
      </w:r>
      <w:r w:rsidRPr="006F283B">
        <w:rPr>
          <w:color w:val="auto"/>
        </w:rPr>
        <w:t xml:space="preserve">2021 PBAC meeting). </w:t>
      </w:r>
    </w:p>
    <w:p w14:paraId="6F14A668" w14:textId="282D6A9C" w:rsidR="00072CD3" w:rsidRPr="006F283B" w:rsidRDefault="00843998" w:rsidP="00AF3FA2">
      <w:pPr>
        <w:pStyle w:val="ListParagraph"/>
        <w:spacing w:before="0" w:after="120"/>
        <w:rPr>
          <w:color w:val="auto"/>
        </w:rPr>
      </w:pPr>
      <w:r w:rsidRPr="006F283B">
        <w:rPr>
          <w:color w:val="auto"/>
        </w:rPr>
        <w:t xml:space="preserve">The table below presents an overview of the TEAEs reported in PRIMA for the safety population and the HRD positive </w:t>
      </w:r>
      <w:r w:rsidR="001152C0" w:rsidRPr="001152C0">
        <w:rPr>
          <w:i/>
          <w:iCs/>
          <w:color w:val="auto"/>
        </w:rPr>
        <w:t>BRCAwt</w:t>
      </w:r>
      <w:r w:rsidRPr="006F283B">
        <w:rPr>
          <w:color w:val="auto"/>
        </w:rPr>
        <w:t xml:space="preserve"> subgroup. The relative risks </w:t>
      </w:r>
      <w:r w:rsidR="00773066" w:rsidRPr="006F283B">
        <w:rPr>
          <w:color w:val="auto"/>
        </w:rPr>
        <w:t>for</w:t>
      </w:r>
      <w:r w:rsidRPr="006F283B">
        <w:rPr>
          <w:color w:val="auto"/>
        </w:rPr>
        <w:t xml:space="preserve"> HRD positive </w:t>
      </w:r>
      <w:r w:rsidR="001152C0" w:rsidRPr="001152C0">
        <w:rPr>
          <w:i/>
          <w:iCs/>
          <w:color w:val="auto"/>
        </w:rPr>
        <w:t>BRCAwt</w:t>
      </w:r>
      <w:r w:rsidRPr="006F283B">
        <w:rPr>
          <w:color w:val="auto"/>
        </w:rPr>
        <w:t xml:space="preserve"> patients who received niraparib compared to those who received placebo experiencing any TEAE, experiencing a Grade </w:t>
      </w:r>
      <w:r w:rsidRPr="006F283B">
        <w:rPr>
          <w:rFonts w:cstheme="minorHAnsi"/>
          <w:color w:val="auto"/>
        </w:rPr>
        <w:t>≥</w:t>
      </w:r>
      <w:r w:rsidRPr="006F283B">
        <w:rPr>
          <w:color w:val="auto"/>
        </w:rPr>
        <w:t xml:space="preserve">3 TEAE and experiencing a SAE were </w:t>
      </w:r>
      <w:proofErr w:type="gramStart"/>
      <w:r w:rsidRPr="006F283B">
        <w:rPr>
          <w:color w:val="auto"/>
        </w:rPr>
        <w:t>similar to</w:t>
      </w:r>
      <w:proofErr w:type="gramEnd"/>
      <w:r w:rsidRPr="006F283B">
        <w:rPr>
          <w:color w:val="auto"/>
        </w:rPr>
        <w:t xml:space="preserve"> </w:t>
      </w:r>
      <w:r w:rsidR="00072CD3" w:rsidRPr="006F283B">
        <w:rPr>
          <w:color w:val="auto"/>
        </w:rPr>
        <w:t>those</w:t>
      </w:r>
      <w:r w:rsidRPr="006F283B">
        <w:rPr>
          <w:color w:val="auto"/>
        </w:rPr>
        <w:t xml:space="preserve"> in the overall safety population of PRIMA, with </w:t>
      </w:r>
      <w:r w:rsidR="0090182B" w:rsidRPr="006F283B">
        <w:rPr>
          <w:color w:val="auto"/>
        </w:rPr>
        <w:t xml:space="preserve">patients in the </w:t>
      </w:r>
      <w:r w:rsidRPr="006F283B">
        <w:rPr>
          <w:color w:val="auto"/>
        </w:rPr>
        <w:t xml:space="preserve">niraparib significantly more likely to experience a TEAE, a Grade </w:t>
      </w:r>
      <w:r w:rsidRPr="006F283B">
        <w:rPr>
          <w:rFonts w:cstheme="minorHAnsi"/>
          <w:color w:val="auto"/>
        </w:rPr>
        <w:t>≥</w:t>
      </w:r>
      <w:r w:rsidRPr="006F283B">
        <w:rPr>
          <w:color w:val="auto"/>
        </w:rPr>
        <w:t>3 TEAE or a SAE compared to patients who received placebo.</w:t>
      </w:r>
      <w:r w:rsidR="000E6F2B" w:rsidRPr="006F283B">
        <w:rPr>
          <w:color w:val="auto"/>
        </w:rPr>
        <w:t xml:space="preserve"> </w:t>
      </w:r>
      <w:r w:rsidR="00072CD3" w:rsidRPr="006F283B">
        <w:rPr>
          <w:color w:val="auto"/>
        </w:rPr>
        <w:t xml:space="preserve">Previously, the PBAC found that it was reasonable to assume that the safety results for the overall population were applicable to the subgroup of interest (HRD positive </w:t>
      </w:r>
      <w:r w:rsidR="001152C0" w:rsidRPr="001152C0">
        <w:rPr>
          <w:i/>
          <w:iCs/>
          <w:color w:val="auto"/>
        </w:rPr>
        <w:t>BRCAwt</w:t>
      </w:r>
      <w:r w:rsidR="00072CD3" w:rsidRPr="006F283B">
        <w:rPr>
          <w:color w:val="auto"/>
        </w:rPr>
        <w:t>) (paragraph 6.31, olaparib PSD, July 2022 PBAC meeting).</w:t>
      </w:r>
    </w:p>
    <w:p w14:paraId="32BE8203" w14:textId="3DD7BEA1" w:rsidR="00843998" w:rsidRPr="006F283B" w:rsidRDefault="0090182B" w:rsidP="00593A64">
      <w:pPr>
        <w:pStyle w:val="Caption"/>
      </w:pPr>
      <w:bookmarkStart w:id="98" w:name="_Ref130485532"/>
      <w:r w:rsidRPr="006F283B">
        <w:lastRenderedPageBreak/>
        <w:t xml:space="preserve">Table </w:t>
      </w:r>
      <w:r w:rsidR="00091054">
        <w:fldChar w:fldCharType="begin" w:fldLock="1"/>
      </w:r>
      <w:r w:rsidR="00091054">
        <w:instrText xml:space="preserve"> SEQ Table \* A</w:instrText>
      </w:r>
      <w:r w:rsidR="00091054">
        <w:instrText xml:space="preserve">RABIC </w:instrText>
      </w:r>
      <w:r w:rsidR="00091054">
        <w:fldChar w:fldCharType="separate"/>
      </w:r>
      <w:r w:rsidR="00305654">
        <w:rPr>
          <w:noProof/>
        </w:rPr>
        <w:t>11</w:t>
      </w:r>
      <w:r w:rsidR="00091054">
        <w:rPr>
          <w:noProof/>
        </w:rPr>
        <w:fldChar w:fldCharType="end"/>
      </w:r>
      <w:bookmarkEnd w:id="98"/>
      <w:r w:rsidR="00AF3FA2">
        <w:t xml:space="preserve">: </w:t>
      </w:r>
      <w:r w:rsidR="00843998" w:rsidRPr="006F283B">
        <w:t>PRIMA trial TEAEs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1134"/>
        <w:gridCol w:w="1134"/>
        <w:gridCol w:w="1701"/>
        <w:gridCol w:w="1934"/>
      </w:tblGrid>
      <w:tr w:rsidR="00843998" w:rsidRPr="006F283B" w14:paraId="7F06DCE6" w14:textId="77777777" w:rsidTr="004E1FEC">
        <w:trPr>
          <w:tblHeader/>
        </w:trPr>
        <w:tc>
          <w:tcPr>
            <w:tcW w:w="3113" w:type="dxa"/>
            <w:vAlign w:val="center"/>
          </w:tcPr>
          <w:p w14:paraId="518E7312" w14:textId="77777777" w:rsidR="00843998" w:rsidRPr="006F283B" w:rsidRDefault="00843998" w:rsidP="0034750B">
            <w:pPr>
              <w:pStyle w:val="Tabletext0"/>
              <w:keepNext/>
              <w:keepLines/>
              <w:jc w:val="center"/>
              <w:rPr>
                <w:b/>
                <w:bCs/>
              </w:rPr>
            </w:pPr>
          </w:p>
        </w:tc>
        <w:tc>
          <w:tcPr>
            <w:tcW w:w="1134" w:type="dxa"/>
            <w:vAlign w:val="center"/>
          </w:tcPr>
          <w:p w14:paraId="60E16C67" w14:textId="77777777" w:rsidR="00843998" w:rsidRPr="006F283B" w:rsidRDefault="00843998" w:rsidP="0034750B">
            <w:pPr>
              <w:pStyle w:val="Tabletext0"/>
              <w:keepNext/>
              <w:keepLines/>
              <w:jc w:val="center"/>
              <w:rPr>
                <w:b/>
                <w:bCs/>
              </w:rPr>
            </w:pPr>
            <w:r w:rsidRPr="006F283B">
              <w:rPr>
                <w:b/>
                <w:bCs/>
              </w:rPr>
              <w:t>Niraparib</w:t>
            </w:r>
          </w:p>
          <w:p w14:paraId="430896B7" w14:textId="77777777" w:rsidR="00843998" w:rsidRPr="006F283B" w:rsidRDefault="00843998" w:rsidP="0034750B">
            <w:pPr>
              <w:pStyle w:val="Tabletext0"/>
              <w:keepNext/>
              <w:keepLines/>
              <w:jc w:val="center"/>
              <w:rPr>
                <w:b/>
                <w:bCs/>
              </w:rPr>
            </w:pPr>
            <w:r w:rsidRPr="006F283B">
              <w:rPr>
                <w:b/>
                <w:bCs/>
              </w:rPr>
              <w:t>N (%)</w:t>
            </w:r>
          </w:p>
        </w:tc>
        <w:tc>
          <w:tcPr>
            <w:tcW w:w="1134" w:type="dxa"/>
            <w:vAlign w:val="center"/>
          </w:tcPr>
          <w:p w14:paraId="3B8AC884" w14:textId="77777777" w:rsidR="00843998" w:rsidRPr="006F283B" w:rsidRDefault="00843998" w:rsidP="0034750B">
            <w:pPr>
              <w:pStyle w:val="Tabletext0"/>
              <w:keepNext/>
              <w:keepLines/>
              <w:jc w:val="center"/>
              <w:rPr>
                <w:b/>
                <w:bCs/>
              </w:rPr>
            </w:pPr>
            <w:r w:rsidRPr="006F283B">
              <w:rPr>
                <w:b/>
                <w:bCs/>
              </w:rPr>
              <w:t>Placebo</w:t>
            </w:r>
          </w:p>
          <w:p w14:paraId="563B4838" w14:textId="77777777" w:rsidR="00843998" w:rsidRPr="006F283B" w:rsidRDefault="00843998" w:rsidP="0034750B">
            <w:pPr>
              <w:pStyle w:val="Tabletext0"/>
              <w:keepNext/>
              <w:keepLines/>
              <w:jc w:val="center"/>
              <w:rPr>
                <w:b/>
                <w:bCs/>
              </w:rPr>
            </w:pPr>
            <w:r w:rsidRPr="006F283B">
              <w:rPr>
                <w:b/>
                <w:bCs/>
              </w:rPr>
              <w:t>N (%)</w:t>
            </w:r>
          </w:p>
        </w:tc>
        <w:tc>
          <w:tcPr>
            <w:tcW w:w="1701" w:type="dxa"/>
            <w:vAlign w:val="center"/>
          </w:tcPr>
          <w:p w14:paraId="3B4E6522" w14:textId="77777777" w:rsidR="00843998" w:rsidRPr="006F283B" w:rsidRDefault="00843998" w:rsidP="0034750B">
            <w:pPr>
              <w:pStyle w:val="Tabletext0"/>
              <w:keepNext/>
              <w:keepLines/>
              <w:jc w:val="center"/>
              <w:rPr>
                <w:b/>
                <w:bCs/>
              </w:rPr>
            </w:pPr>
            <w:r w:rsidRPr="006F283B">
              <w:rPr>
                <w:b/>
                <w:bCs/>
              </w:rPr>
              <w:t>Risk difference</w:t>
            </w:r>
          </w:p>
          <w:p w14:paraId="498AAC8E" w14:textId="2602FF3C" w:rsidR="00843998" w:rsidRPr="00C01106" w:rsidRDefault="00843998" w:rsidP="0034750B">
            <w:pPr>
              <w:pStyle w:val="Tabletext0"/>
              <w:keepNext/>
              <w:keepLines/>
              <w:jc w:val="center"/>
              <w:rPr>
                <w:b/>
                <w:bCs/>
                <w:vertAlign w:val="superscript"/>
              </w:rPr>
            </w:pPr>
            <w:r w:rsidRPr="006F283B">
              <w:rPr>
                <w:b/>
                <w:bCs/>
              </w:rPr>
              <w:t xml:space="preserve">(95% </w:t>
            </w:r>
            <w:proofErr w:type="gramStart"/>
            <w:r w:rsidRPr="006F283B">
              <w:rPr>
                <w:b/>
                <w:bCs/>
              </w:rPr>
              <w:t>CI)*</w:t>
            </w:r>
            <w:proofErr w:type="gramEnd"/>
            <w:r w:rsidR="00C01106">
              <w:rPr>
                <w:b/>
                <w:bCs/>
                <w:vertAlign w:val="superscript"/>
              </w:rPr>
              <w:t>c</w:t>
            </w:r>
          </w:p>
        </w:tc>
        <w:tc>
          <w:tcPr>
            <w:tcW w:w="1934" w:type="dxa"/>
          </w:tcPr>
          <w:p w14:paraId="680AB04E" w14:textId="77777777" w:rsidR="00843998" w:rsidRPr="006F283B" w:rsidRDefault="00843998" w:rsidP="0034750B">
            <w:pPr>
              <w:pStyle w:val="Tabletext0"/>
              <w:keepNext/>
              <w:keepLines/>
              <w:jc w:val="center"/>
              <w:rPr>
                <w:b/>
                <w:bCs/>
              </w:rPr>
            </w:pPr>
            <w:r w:rsidRPr="006F283B">
              <w:rPr>
                <w:b/>
                <w:bCs/>
              </w:rPr>
              <w:t>Relative risk</w:t>
            </w:r>
          </w:p>
          <w:p w14:paraId="7D1A8FAD" w14:textId="23C693D7" w:rsidR="00843998" w:rsidRPr="00C01106" w:rsidRDefault="00843998" w:rsidP="0034750B">
            <w:pPr>
              <w:pStyle w:val="Tabletext0"/>
              <w:keepNext/>
              <w:keepLines/>
              <w:jc w:val="center"/>
              <w:rPr>
                <w:b/>
                <w:bCs/>
                <w:vertAlign w:val="superscript"/>
              </w:rPr>
            </w:pPr>
            <w:r w:rsidRPr="006F283B">
              <w:rPr>
                <w:b/>
                <w:bCs/>
              </w:rPr>
              <w:t xml:space="preserve">(95% </w:t>
            </w:r>
            <w:proofErr w:type="gramStart"/>
            <w:r w:rsidRPr="006F283B">
              <w:rPr>
                <w:b/>
                <w:bCs/>
              </w:rPr>
              <w:t>CI)*</w:t>
            </w:r>
            <w:proofErr w:type="gramEnd"/>
            <w:r w:rsidR="00C01106">
              <w:rPr>
                <w:b/>
                <w:bCs/>
                <w:vertAlign w:val="superscript"/>
              </w:rPr>
              <w:t>c</w:t>
            </w:r>
          </w:p>
        </w:tc>
      </w:tr>
      <w:tr w:rsidR="00843998" w:rsidRPr="006F283B" w14:paraId="78CC909E" w14:textId="77777777" w:rsidTr="004E1FEC">
        <w:trPr>
          <w:trHeight w:val="101"/>
        </w:trPr>
        <w:tc>
          <w:tcPr>
            <w:tcW w:w="9016" w:type="dxa"/>
            <w:gridSpan w:val="5"/>
            <w:vAlign w:val="center"/>
          </w:tcPr>
          <w:p w14:paraId="455569E7" w14:textId="77777777" w:rsidR="00843998" w:rsidRPr="006F283B" w:rsidRDefault="00843998" w:rsidP="0034750B">
            <w:pPr>
              <w:pStyle w:val="TableText"/>
              <w:keepNext/>
              <w:keepLines/>
              <w:rPr>
                <w:b/>
              </w:rPr>
            </w:pPr>
            <w:r w:rsidRPr="006F283B">
              <w:rPr>
                <w:b/>
              </w:rPr>
              <w:t>Overall population (SAF), May 2019 DCO</w:t>
            </w:r>
          </w:p>
        </w:tc>
      </w:tr>
      <w:tr w:rsidR="00843998" w:rsidRPr="006F283B" w14:paraId="5CD45E2B" w14:textId="77777777" w:rsidTr="004E1FEC">
        <w:tc>
          <w:tcPr>
            <w:tcW w:w="3113" w:type="dxa"/>
            <w:vAlign w:val="center"/>
          </w:tcPr>
          <w:p w14:paraId="5AD4E519" w14:textId="77777777" w:rsidR="00843998" w:rsidRPr="006F283B" w:rsidRDefault="00843998" w:rsidP="0034750B">
            <w:pPr>
              <w:pStyle w:val="TableText"/>
              <w:keepNext/>
              <w:keepLines/>
              <w:rPr>
                <w:b/>
              </w:rPr>
            </w:pPr>
            <w:r w:rsidRPr="006F283B">
              <w:rPr>
                <w:b/>
              </w:rPr>
              <w:t xml:space="preserve">N </w:t>
            </w:r>
          </w:p>
        </w:tc>
        <w:tc>
          <w:tcPr>
            <w:tcW w:w="1134" w:type="dxa"/>
            <w:vAlign w:val="center"/>
          </w:tcPr>
          <w:p w14:paraId="3465D8E8" w14:textId="77777777" w:rsidR="00843998" w:rsidRPr="006F283B" w:rsidRDefault="00843998" w:rsidP="0034750B">
            <w:pPr>
              <w:pStyle w:val="TableText"/>
              <w:keepNext/>
              <w:keepLines/>
              <w:jc w:val="center"/>
              <w:rPr>
                <w:b/>
              </w:rPr>
            </w:pPr>
            <w:r w:rsidRPr="006F283B">
              <w:rPr>
                <w:b/>
              </w:rPr>
              <w:t>484</w:t>
            </w:r>
          </w:p>
        </w:tc>
        <w:tc>
          <w:tcPr>
            <w:tcW w:w="1134" w:type="dxa"/>
            <w:vAlign w:val="center"/>
          </w:tcPr>
          <w:p w14:paraId="423F1A8B" w14:textId="77777777" w:rsidR="00843998" w:rsidRPr="006F283B" w:rsidRDefault="00843998" w:rsidP="0034750B">
            <w:pPr>
              <w:pStyle w:val="TableText"/>
              <w:keepNext/>
              <w:keepLines/>
              <w:jc w:val="center"/>
              <w:rPr>
                <w:b/>
              </w:rPr>
            </w:pPr>
            <w:r w:rsidRPr="006F283B">
              <w:rPr>
                <w:b/>
              </w:rPr>
              <w:t>244</w:t>
            </w:r>
          </w:p>
        </w:tc>
        <w:tc>
          <w:tcPr>
            <w:tcW w:w="1701" w:type="dxa"/>
            <w:vAlign w:val="center"/>
          </w:tcPr>
          <w:p w14:paraId="09EA0D4F" w14:textId="77777777" w:rsidR="00843998" w:rsidRPr="006F283B" w:rsidRDefault="00843998" w:rsidP="0034750B">
            <w:pPr>
              <w:pStyle w:val="TableText"/>
              <w:keepNext/>
              <w:keepLines/>
              <w:jc w:val="center"/>
            </w:pPr>
            <w:r w:rsidRPr="006F283B">
              <w:t>-</w:t>
            </w:r>
          </w:p>
        </w:tc>
        <w:tc>
          <w:tcPr>
            <w:tcW w:w="1934" w:type="dxa"/>
          </w:tcPr>
          <w:p w14:paraId="730D35C3" w14:textId="77777777" w:rsidR="00843998" w:rsidRPr="006F283B" w:rsidRDefault="00843998" w:rsidP="0034750B">
            <w:pPr>
              <w:pStyle w:val="TableText"/>
              <w:keepNext/>
              <w:keepLines/>
              <w:jc w:val="center"/>
            </w:pPr>
            <w:r w:rsidRPr="006F283B">
              <w:t>-</w:t>
            </w:r>
          </w:p>
        </w:tc>
      </w:tr>
      <w:tr w:rsidR="00843998" w:rsidRPr="006F283B" w14:paraId="79B1ECC4" w14:textId="77777777" w:rsidTr="004E1FEC">
        <w:tc>
          <w:tcPr>
            <w:tcW w:w="3113" w:type="dxa"/>
            <w:vAlign w:val="center"/>
          </w:tcPr>
          <w:p w14:paraId="5A2D79DA" w14:textId="77777777" w:rsidR="00843998" w:rsidRPr="006F283B" w:rsidRDefault="00843998" w:rsidP="0034750B">
            <w:pPr>
              <w:pStyle w:val="TableText"/>
              <w:keepNext/>
              <w:keepLines/>
            </w:pPr>
            <w:r w:rsidRPr="006F283B">
              <w:t>Mean treatment duration months (SD)</w:t>
            </w:r>
          </w:p>
        </w:tc>
        <w:tc>
          <w:tcPr>
            <w:tcW w:w="1134" w:type="dxa"/>
            <w:shd w:val="clear" w:color="auto" w:fill="BDD6EE" w:themeFill="accent1" w:themeFillTint="66"/>
            <w:vAlign w:val="center"/>
          </w:tcPr>
          <w:p w14:paraId="1DA87F0F" w14:textId="77777777" w:rsidR="00843998" w:rsidRPr="006F283B" w:rsidRDefault="00843998" w:rsidP="0034750B">
            <w:pPr>
              <w:pStyle w:val="TableText"/>
              <w:keepNext/>
              <w:keepLines/>
              <w:jc w:val="center"/>
            </w:pPr>
            <w:r w:rsidRPr="006F283B">
              <w:t>10.3 (6.6)</w:t>
            </w:r>
          </w:p>
        </w:tc>
        <w:tc>
          <w:tcPr>
            <w:tcW w:w="1134" w:type="dxa"/>
            <w:shd w:val="clear" w:color="auto" w:fill="BDD6EE" w:themeFill="accent1" w:themeFillTint="66"/>
            <w:vAlign w:val="center"/>
          </w:tcPr>
          <w:p w14:paraId="641F1446" w14:textId="77777777" w:rsidR="00843998" w:rsidRPr="006F283B" w:rsidRDefault="00843998" w:rsidP="0034750B">
            <w:pPr>
              <w:pStyle w:val="TableText"/>
              <w:keepNext/>
              <w:keepLines/>
              <w:jc w:val="center"/>
            </w:pPr>
            <w:r w:rsidRPr="006F283B">
              <w:t>9.5 (5.9)</w:t>
            </w:r>
          </w:p>
        </w:tc>
        <w:tc>
          <w:tcPr>
            <w:tcW w:w="1701" w:type="dxa"/>
            <w:vAlign w:val="center"/>
          </w:tcPr>
          <w:p w14:paraId="1759B99E" w14:textId="77777777" w:rsidR="00843998" w:rsidRPr="006F283B" w:rsidRDefault="00843998" w:rsidP="0034750B">
            <w:pPr>
              <w:pStyle w:val="TableText"/>
              <w:keepNext/>
              <w:keepLines/>
              <w:jc w:val="center"/>
            </w:pPr>
            <w:r w:rsidRPr="006F283B">
              <w:t>-</w:t>
            </w:r>
          </w:p>
        </w:tc>
        <w:tc>
          <w:tcPr>
            <w:tcW w:w="1934" w:type="dxa"/>
          </w:tcPr>
          <w:p w14:paraId="6832A35C" w14:textId="77777777" w:rsidR="00843998" w:rsidRPr="006F283B" w:rsidRDefault="00843998" w:rsidP="0034750B">
            <w:pPr>
              <w:pStyle w:val="TableText"/>
              <w:keepNext/>
              <w:keepLines/>
              <w:jc w:val="center"/>
            </w:pPr>
            <w:r w:rsidRPr="006F283B">
              <w:t>-</w:t>
            </w:r>
          </w:p>
        </w:tc>
      </w:tr>
      <w:tr w:rsidR="00843998" w:rsidRPr="006F283B" w14:paraId="1FFD0650" w14:textId="77777777" w:rsidTr="004E1FEC">
        <w:tc>
          <w:tcPr>
            <w:tcW w:w="3113" w:type="dxa"/>
            <w:vAlign w:val="center"/>
          </w:tcPr>
          <w:p w14:paraId="39D50E12" w14:textId="77777777" w:rsidR="00843998" w:rsidRPr="006F283B" w:rsidRDefault="00843998" w:rsidP="0034750B">
            <w:pPr>
              <w:pStyle w:val="TableText"/>
              <w:keepNext/>
              <w:keepLines/>
            </w:pPr>
            <w:r w:rsidRPr="006F283B">
              <w:t>Any TEAE</w:t>
            </w:r>
          </w:p>
        </w:tc>
        <w:tc>
          <w:tcPr>
            <w:tcW w:w="1134" w:type="dxa"/>
            <w:shd w:val="clear" w:color="auto" w:fill="BDD6EE" w:themeFill="accent1" w:themeFillTint="66"/>
          </w:tcPr>
          <w:p w14:paraId="3D898D8C" w14:textId="77777777" w:rsidR="00843998" w:rsidRPr="006F283B" w:rsidRDefault="00843998" w:rsidP="0034750B">
            <w:pPr>
              <w:pStyle w:val="TableText"/>
              <w:keepNext/>
              <w:keepLines/>
              <w:jc w:val="center"/>
            </w:pPr>
            <w:r w:rsidRPr="006F283B">
              <w:t>478 (98.8)</w:t>
            </w:r>
          </w:p>
        </w:tc>
        <w:tc>
          <w:tcPr>
            <w:tcW w:w="1134" w:type="dxa"/>
            <w:shd w:val="clear" w:color="auto" w:fill="BDD6EE" w:themeFill="accent1" w:themeFillTint="66"/>
          </w:tcPr>
          <w:p w14:paraId="610818DC" w14:textId="77777777" w:rsidR="00843998" w:rsidRPr="006F283B" w:rsidRDefault="00843998" w:rsidP="0034750B">
            <w:pPr>
              <w:pStyle w:val="TableText"/>
              <w:keepNext/>
              <w:keepLines/>
              <w:jc w:val="center"/>
            </w:pPr>
            <w:r w:rsidRPr="006F283B">
              <w:t>224 (91.8)</w:t>
            </w:r>
          </w:p>
        </w:tc>
        <w:tc>
          <w:tcPr>
            <w:tcW w:w="1701" w:type="dxa"/>
            <w:shd w:val="clear" w:color="auto" w:fill="BDD6EE" w:themeFill="accent1" w:themeFillTint="66"/>
            <w:vAlign w:val="center"/>
          </w:tcPr>
          <w:p w14:paraId="0EAEAA6F" w14:textId="77777777" w:rsidR="00843998" w:rsidRPr="006F283B" w:rsidRDefault="00843998" w:rsidP="0034750B">
            <w:pPr>
              <w:pStyle w:val="TableText"/>
              <w:keepNext/>
              <w:keepLines/>
              <w:jc w:val="center"/>
              <w:rPr>
                <w:b/>
              </w:rPr>
            </w:pPr>
            <w:r w:rsidRPr="006F283B">
              <w:rPr>
                <w:b/>
              </w:rPr>
              <w:t>7.0 (3.4, 10.5)</w:t>
            </w:r>
          </w:p>
        </w:tc>
        <w:tc>
          <w:tcPr>
            <w:tcW w:w="1934" w:type="dxa"/>
            <w:shd w:val="clear" w:color="auto" w:fill="BDD6EE" w:themeFill="accent1" w:themeFillTint="66"/>
          </w:tcPr>
          <w:p w14:paraId="5DCD1720" w14:textId="77777777" w:rsidR="00843998" w:rsidRPr="006F283B" w:rsidRDefault="00843998" w:rsidP="0034750B">
            <w:pPr>
              <w:pStyle w:val="TableText"/>
              <w:keepNext/>
              <w:keepLines/>
              <w:jc w:val="center"/>
              <w:rPr>
                <w:b/>
              </w:rPr>
            </w:pPr>
            <w:r w:rsidRPr="006F283B">
              <w:rPr>
                <w:b/>
              </w:rPr>
              <w:t>1.08 (1.04, 1.12)</w:t>
            </w:r>
          </w:p>
        </w:tc>
      </w:tr>
      <w:tr w:rsidR="00843998" w:rsidRPr="006F283B" w14:paraId="7180C836" w14:textId="77777777" w:rsidTr="004E1FEC">
        <w:tc>
          <w:tcPr>
            <w:tcW w:w="3113" w:type="dxa"/>
            <w:vAlign w:val="center"/>
          </w:tcPr>
          <w:p w14:paraId="48E7DCD1" w14:textId="77777777" w:rsidR="00843998" w:rsidRPr="006F283B" w:rsidRDefault="00843998" w:rsidP="0034750B">
            <w:pPr>
              <w:pStyle w:val="TableText"/>
              <w:keepNext/>
              <w:keepLines/>
            </w:pPr>
            <w:r w:rsidRPr="006F283B">
              <w:t>Grade ≥ 3 TEAE</w:t>
            </w:r>
          </w:p>
        </w:tc>
        <w:tc>
          <w:tcPr>
            <w:tcW w:w="1134" w:type="dxa"/>
            <w:shd w:val="clear" w:color="auto" w:fill="BDD6EE" w:themeFill="accent1" w:themeFillTint="66"/>
          </w:tcPr>
          <w:p w14:paraId="020F08C9" w14:textId="77777777" w:rsidR="00843998" w:rsidRPr="006F283B" w:rsidRDefault="00843998" w:rsidP="0034750B">
            <w:pPr>
              <w:pStyle w:val="TableText"/>
              <w:keepNext/>
              <w:keepLines/>
              <w:jc w:val="center"/>
            </w:pPr>
            <w:r w:rsidRPr="006F283B">
              <w:t>341 (70.5)</w:t>
            </w:r>
          </w:p>
        </w:tc>
        <w:tc>
          <w:tcPr>
            <w:tcW w:w="1134" w:type="dxa"/>
            <w:shd w:val="clear" w:color="auto" w:fill="BDD6EE" w:themeFill="accent1" w:themeFillTint="66"/>
          </w:tcPr>
          <w:p w14:paraId="15D0A5BE" w14:textId="77777777" w:rsidR="00843998" w:rsidRPr="006F283B" w:rsidRDefault="00843998" w:rsidP="0034750B">
            <w:pPr>
              <w:pStyle w:val="TableText"/>
              <w:keepNext/>
              <w:keepLines/>
              <w:jc w:val="center"/>
            </w:pPr>
            <w:r w:rsidRPr="006F283B">
              <w:t>46 (18.9)</w:t>
            </w:r>
          </w:p>
        </w:tc>
        <w:tc>
          <w:tcPr>
            <w:tcW w:w="1701" w:type="dxa"/>
            <w:shd w:val="clear" w:color="auto" w:fill="BDD6EE" w:themeFill="accent1" w:themeFillTint="66"/>
            <w:vAlign w:val="center"/>
          </w:tcPr>
          <w:p w14:paraId="00732FA3" w14:textId="77777777" w:rsidR="00843998" w:rsidRPr="006F283B" w:rsidRDefault="00843998" w:rsidP="0034750B">
            <w:pPr>
              <w:pStyle w:val="TableText"/>
              <w:keepNext/>
              <w:keepLines/>
              <w:jc w:val="center"/>
              <w:rPr>
                <w:b/>
              </w:rPr>
            </w:pPr>
            <w:r w:rsidRPr="006F283B">
              <w:rPr>
                <w:b/>
              </w:rPr>
              <w:t>51.6 (45.2, 58.0)</w:t>
            </w:r>
          </w:p>
        </w:tc>
        <w:tc>
          <w:tcPr>
            <w:tcW w:w="1934" w:type="dxa"/>
            <w:shd w:val="clear" w:color="auto" w:fill="BDD6EE" w:themeFill="accent1" w:themeFillTint="66"/>
          </w:tcPr>
          <w:p w14:paraId="5DF740E0" w14:textId="77777777" w:rsidR="00843998" w:rsidRPr="006F283B" w:rsidRDefault="00843998" w:rsidP="0034750B">
            <w:pPr>
              <w:pStyle w:val="TableText"/>
              <w:keepNext/>
              <w:keepLines/>
              <w:jc w:val="center"/>
              <w:rPr>
                <w:b/>
              </w:rPr>
            </w:pPr>
            <w:r w:rsidRPr="006F283B">
              <w:rPr>
                <w:b/>
              </w:rPr>
              <w:t>3.74 (2.86, 4.88)</w:t>
            </w:r>
          </w:p>
        </w:tc>
      </w:tr>
      <w:tr w:rsidR="00843998" w:rsidRPr="006F283B" w14:paraId="686451E8" w14:textId="77777777" w:rsidTr="004E1FEC">
        <w:tc>
          <w:tcPr>
            <w:tcW w:w="3113" w:type="dxa"/>
            <w:vAlign w:val="center"/>
          </w:tcPr>
          <w:p w14:paraId="748DA810" w14:textId="77777777" w:rsidR="00843998" w:rsidRPr="006F283B" w:rsidRDefault="00843998" w:rsidP="0034750B">
            <w:pPr>
              <w:pStyle w:val="TableText"/>
              <w:keepNext/>
              <w:keepLines/>
            </w:pPr>
            <w:r w:rsidRPr="006F283B">
              <w:t>SAE</w:t>
            </w:r>
          </w:p>
        </w:tc>
        <w:tc>
          <w:tcPr>
            <w:tcW w:w="1134" w:type="dxa"/>
            <w:shd w:val="clear" w:color="auto" w:fill="BDD6EE" w:themeFill="accent1" w:themeFillTint="66"/>
          </w:tcPr>
          <w:p w14:paraId="7975761B" w14:textId="77777777" w:rsidR="00843998" w:rsidRPr="006F283B" w:rsidRDefault="00843998" w:rsidP="0034750B">
            <w:pPr>
              <w:pStyle w:val="TableText"/>
              <w:keepNext/>
              <w:keepLines/>
              <w:jc w:val="center"/>
            </w:pPr>
            <w:r w:rsidRPr="006F283B">
              <w:t>156 (32.2)</w:t>
            </w:r>
          </w:p>
        </w:tc>
        <w:tc>
          <w:tcPr>
            <w:tcW w:w="1134" w:type="dxa"/>
            <w:shd w:val="clear" w:color="auto" w:fill="BDD6EE" w:themeFill="accent1" w:themeFillTint="66"/>
          </w:tcPr>
          <w:p w14:paraId="2A40D33C" w14:textId="77777777" w:rsidR="00843998" w:rsidRPr="006F283B" w:rsidRDefault="00843998" w:rsidP="0034750B">
            <w:pPr>
              <w:pStyle w:val="TableText"/>
              <w:keepNext/>
              <w:keepLines/>
              <w:jc w:val="center"/>
            </w:pPr>
            <w:r w:rsidRPr="006F283B">
              <w:t>32 (13.1)</w:t>
            </w:r>
          </w:p>
        </w:tc>
        <w:tc>
          <w:tcPr>
            <w:tcW w:w="1701" w:type="dxa"/>
            <w:shd w:val="clear" w:color="auto" w:fill="BDD6EE" w:themeFill="accent1" w:themeFillTint="66"/>
            <w:vAlign w:val="center"/>
          </w:tcPr>
          <w:p w14:paraId="13F46E28" w14:textId="77777777" w:rsidR="00843998" w:rsidRPr="006F283B" w:rsidRDefault="00843998" w:rsidP="0034750B">
            <w:pPr>
              <w:pStyle w:val="TableText"/>
              <w:keepNext/>
              <w:keepLines/>
              <w:jc w:val="center"/>
              <w:rPr>
                <w:b/>
              </w:rPr>
            </w:pPr>
            <w:r w:rsidRPr="006F283B">
              <w:rPr>
                <w:b/>
              </w:rPr>
              <w:t>19.1 (13.2, 25.1)</w:t>
            </w:r>
          </w:p>
        </w:tc>
        <w:tc>
          <w:tcPr>
            <w:tcW w:w="1934" w:type="dxa"/>
            <w:shd w:val="clear" w:color="auto" w:fill="BDD6EE" w:themeFill="accent1" w:themeFillTint="66"/>
          </w:tcPr>
          <w:p w14:paraId="2332A157" w14:textId="77777777" w:rsidR="00843998" w:rsidRPr="006F283B" w:rsidRDefault="00843998" w:rsidP="0034750B">
            <w:pPr>
              <w:pStyle w:val="TableText"/>
              <w:keepNext/>
              <w:keepLines/>
              <w:jc w:val="center"/>
              <w:rPr>
                <w:b/>
              </w:rPr>
            </w:pPr>
            <w:r w:rsidRPr="006F283B">
              <w:rPr>
                <w:b/>
              </w:rPr>
              <w:t>2.46 (1.74, 3.48)</w:t>
            </w:r>
          </w:p>
        </w:tc>
      </w:tr>
      <w:tr w:rsidR="00843998" w:rsidRPr="006F283B" w14:paraId="1CC9C59E" w14:textId="77777777" w:rsidTr="004E1FEC">
        <w:tc>
          <w:tcPr>
            <w:tcW w:w="3113" w:type="dxa"/>
          </w:tcPr>
          <w:p w14:paraId="6BA7202C" w14:textId="77777777" w:rsidR="00843998" w:rsidRPr="006F283B" w:rsidRDefault="00843998" w:rsidP="0034750B">
            <w:pPr>
              <w:pStyle w:val="TableText"/>
              <w:keepNext/>
              <w:keepLines/>
            </w:pPr>
            <w:r w:rsidRPr="006F283B">
              <w:t>Any TEAE leading drug interruption</w:t>
            </w:r>
          </w:p>
        </w:tc>
        <w:tc>
          <w:tcPr>
            <w:tcW w:w="1134" w:type="dxa"/>
            <w:shd w:val="clear" w:color="auto" w:fill="BDD6EE" w:themeFill="accent1" w:themeFillTint="66"/>
          </w:tcPr>
          <w:p w14:paraId="058A3199" w14:textId="77777777" w:rsidR="00843998" w:rsidRPr="006F283B" w:rsidRDefault="00843998" w:rsidP="0034750B">
            <w:pPr>
              <w:pStyle w:val="TableText"/>
              <w:keepNext/>
              <w:keepLines/>
              <w:jc w:val="center"/>
            </w:pPr>
            <w:r w:rsidRPr="006F283B">
              <w:t>385 (79.5)</w:t>
            </w:r>
          </w:p>
        </w:tc>
        <w:tc>
          <w:tcPr>
            <w:tcW w:w="1134" w:type="dxa"/>
            <w:shd w:val="clear" w:color="auto" w:fill="BDD6EE" w:themeFill="accent1" w:themeFillTint="66"/>
          </w:tcPr>
          <w:p w14:paraId="219D6691" w14:textId="77777777" w:rsidR="00843998" w:rsidRPr="006F283B" w:rsidRDefault="00843998" w:rsidP="0034750B">
            <w:pPr>
              <w:pStyle w:val="TableText"/>
              <w:keepNext/>
              <w:keepLines/>
              <w:jc w:val="center"/>
            </w:pPr>
            <w:r w:rsidRPr="006F283B">
              <w:t>44 (18.0)</w:t>
            </w:r>
          </w:p>
        </w:tc>
        <w:tc>
          <w:tcPr>
            <w:tcW w:w="1701" w:type="dxa"/>
            <w:shd w:val="clear" w:color="auto" w:fill="BDD6EE" w:themeFill="accent1" w:themeFillTint="66"/>
          </w:tcPr>
          <w:p w14:paraId="2E74940E" w14:textId="77777777" w:rsidR="00843998" w:rsidRPr="006F283B" w:rsidRDefault="00843998" w:rsidP="0034750B">
            <w:pPr>
              <w:pStyle w:val="TableText"/>
              <w:keepNext/>
              <w:keepLines/>
              <w:jc w:val="center"/>
              <w:rPr>
                <w:b/>
              </w:rPr>
            </w:pPr>
            <w:r w:rsidRPr="006F283B">
              <w:rPr>
                <w:b/>
              </w:rPr>
              <w:t>61.5 (55.5, 67.5)</w:t>
            </w:r>
          </w:p>
        </w:tc>
        <w:tc>
          <w:tcPr>
            <w:tcW w:w="1934" w:type="dxa"/>
            <w:shd w:val="clear" w:color="auto" w:fill="BDD6EE" w:themeFill="accent1" w:themeFillTint="66"/>
          </w:tcPr>
          <w:p w14:paraId="4960AC96" w14:textId="77777777" w:rsidR="00843998" w:rsidRPr="006F283B" w:rsidRDefault="00843998" w:rsidP="0034750B">
            <w:pPr>
              <w:pStyle w:val="TableText"/>
              <w:keepNext/>
              <w:keepLines/>
              <w:jc w:val="center"/>
              <w:rPr>
                <w:b/>
              </w:rPr>
            </w:pPr>
            <w:r w:rsidRPr="006F283B">
              <w:rPr>
                <w:b/>
              </w:rPr>
              <w:t>4.41 (3.36, 5.79)</w:t>
            </w:r>
          </w:p>
        </w:tc>
      </w:tr>
      <w:tr w:rsidR="00843998" w:rsidRPr="006F283B" w14:paraId="1AA86439" w14:textId="77777777" w:rsidTr="004E1FEC">
        <w:tc>
          <w:tcPr>
            <w:tcW w:w="3113" w:type="dxa"/>
          </w:tcPr>
          <w:p w14:paraId="03AF110C" w14:textId="77777777" w:rsidR="00843998" w:rsidRPr="006F283B" w:rsidRDefault="00843998" w:rsidP="0034750B">
            <w:pPr>
              <w:pStyle w:val="TableText"/>
              <w:keepNext/>
              <w:keepLines/>
            </w:pPr>
            <w:r w:rsidRPr="006F283B">
              <w:t>Any TEAE leading drug dose reduction</w:t>
            </w:r>
          </w:p>
        </w:tc>
        <w:tc>
          <w:tcPr>
            <w:tcW w:w="1134" w:type="dxa"/>
            <w:shd w:val="clear" w:color="auto" w:fill="BDD6EE" w:themeFill="accent1" w:themeFillTint="66"/>
          </w:tcPr>
          <w:p w14:paraId="6E2DBA3F" w14:textId="77777777" w:rsidR="00843998" w:rsidRPr="006F283B" w:rsidRDefault="00843998" w:rsidP="0034750B">
            <w:pPr>
              <w:pStyle w:val="TableText"/>
              <w:keepNext/>
              <w:keepLines/>
              <w:jc w:val="center"/>
            </w:pPr>
            <w:r w:rsidRPr="006F283B">
              <w:t>343 (70.9)</w:t>
            </w:r>
          </w:p>
        </w:tc>
        <w:tc>
          <w:tcPr>
            <w:tcW w:w="1134" w:type="dxa"/>
            <w:shd w:val="clear" w:color="auto" w:fill="BDD6EE" w:themeFill="accent1" w:themeFillTint="66"/>
          </w:tcPr>
          <w:p w14:paraId="6B4EE843" w14:textId="77777777" w:rsidR="00843998" w:rsidRPr="006F283B" w:rsidRDefault="00843998" w:rsidP="0034750B">
            <w:pPr>
              <w:pStyle w:val="TableText"/>
              <w:keepNext/>
              <w:keepLines/>
              <w:jc w:val="center"/>
            </w:pPr>
            <w:r w:rsidRPr="006F283B">
              <w:t>20 (8.2)</w:t>
            </w:r>
          </w:p>
        </w:tc>
        <w:tc>
          <w:tcPr>
            <w:tcW w:w="1701" w:type="dxa"/>
            <w:shd w:val="clear" w:color="auto" w:fill="BDD6EE" w:themeFill="accent1" w:themeFillTint="66"/>
          </w:tcPr>
          <w:p w14:paraId="4D314967" w14:textId="77777777" w:rsidR="00843998" w:rsidRPr="006F283B" w:rsidRDefault="00843998" w:rsidP="0034750B">
            <w:pPr>
              <w:pStyle w:val="TableText"/>
              <w:keepNext/>
              <w:keepLines/>
              <w:jc w:val="center"/>
              <w:rPr>
                <w:b/>
              </w:rPr>
            </w:pPr>
            <w:r w:rsidRPr="006F283B">
              <w:rPr>
                <w:b/>
              </w:rPr>
              <w:t>62.7 (57.4, 68.0)</w:t>
            </w:r>
          </w:p>
        </w:tc>
        <w:tc>
          <w:tcPr>
            <w:tcW w:w="1934" w:type="dxa"/>
            <w:shd w:val="clear" w:color="auto" w:fill="BDD6EE" w:themeFill="accent1" w:themeFillTint="66"/>
          </w:tcPr>
          <w:p w14:paraId="76D9C005" w14:textId="77777777" w:rsidR="00843998" w:rsidRPr="006F283B" w:rsidRDefault="00843998" w:rsidP="0034750B">
            <w:pPr>
              <w:pStyle w:val="TableText"/>
              <w:keepNext/>
              <w:keepLines/>
              <w:jc w:val="center"/>
              <w:rPr>
                <w:b/>
              </w:rPr>
            </w:pPr>
            <w:r w:rsidRPr="006F283B">
              <w:rPr>
                <w:b/>
              </w:rPr>
              <w:t xml:space="preserve">8.65 (5.66, 13.21) </w:t>
            </w:r>
          </w:p>
        </w:tc>
      </w:tr>
      <w:tr w:rsidR="00843998" w:rsidRPr="006F283B" w14:paraId="3C1B6931" w14:textId="77777777" w:rsidTr="004E1FEC">
        <w:tc>
          <w:tcPr>
            <w:tcW w:w="3113" w:type="dxa"/>
          </w:tcPr>
          <w:p w14:paraId="4919A178" w14:textId="77777777" w:rsidR="00843998" w:rsidRPr="006F283B" w:rsidRDefault="00843998" w:rsidP="0034750B">
            <w:pPr>
              <w:pStyle w:val="TableText"/>
              <w:keepNext/>
              <w:keepLines/>
            </w:pPr>
            <w:r w:rsidRPr="006F283B">
              <w:t>Any TEAE leading drug withdrawal</w:t>
            </w:r>
          </w:p>
        </w:tc>
        <w:tc>
          <w:tcPr>
            <w:tcW w:w="1134" w:type="dxa"/>
            <w:shd w:val="clear" w:color="auto" w:fill="BDD6EE" w:themeFill="accent1" w:themeFillTint="66"/>
          </w:tcPr>
          <w:p w14:paraId="77544C5C" w14:textId="77777777" w:rsidR="00843998" w:rsidRPr="006F283B" w:rsidRDefault="00843998" w:rsidP="0034750B">
            <w:pPr>
              <w:pStyle w:val="TableText"/>
              <w:keepNext/>
              <w:keepLines/>
              <w:jc w:val="center"/>
            </w:pPr>
            <w:r w:rsidRPr="006F283B">
              <w:t>58 (12.0)</w:t>
            </w:r>
          </w:p>
        </w:tc>
        <w:tc>
          <w:tcPr>
            <w:tcW w:w="1134" w:type="dxa"/>
            <w:shd w:val="clear" w:color="auto" w:fill="BDD6EE" w:themeFill="accent1" w:themeFillTint="66"/>
          </w:tcPr>
          <w:p w14:paraId="78026878" w14:textId="77777777" w:rsidR="00843998" w:rsidRPr="006F283B" w:rsidRDefault="00843998" w:rsidP="0034750B">
            <w:pPr>
              <w:pStyle w:val="TableText"/>
              <w:keepNext/>
              <w:keepLines/>
              <w:jc w:val="center"/>
            </w:pPr>
            <w:r w:rsidRPr="006F283B">
              <w:t>6 (2.5)</w:t>
            </w:r>
          </w:p>
        </w:tc>
        <w:tc>
          <w:tcPr>
            <w:tcW w:w="1701" w:type="dxa"/>
            <w:shd w:val="clear" w:color="auto" w:fill="BDD6EE" w:themeFill="accent1" w:themeFillTint="66"/>
          </w:tcPr>
          <w:p w14:paraId="0F6EB7F6" w14:textId="77777777" w:rsidR="00843998" w:rsidRPr="006F283B" w:rsidRDefault="00843998" w:rsidP="0034750B">
            <w:pPr>
              <w:pStyle w:val="TableText"/>
              <w:keepNext/>
              <w:keepLines/>
              <w:jc w:val="center"/>
              <w:rPr>
                <w:b/>
              </w:rPr>
            </w:pPr>
            <w:r w:rsidRPr="006F283B">
              <w:rPr>
                <w:b/>
              </w:rPr>
              <w:t>9.5 (6.0, 13.0)</w:t>
            </w:r>
          </w:p>
        </w:tc>
        <w:tc>
          <w:tcPr>
            <w:tcW w:w="1934" w:type="dxa"/>
            <w:shd w:val="clear" w:color="auto" w:fill="BDD6EE" w:themeFill="accent1" w:themeFillTint="66"/>
          </w:tcPr>
          <w:p w14:paraId="25940F4B" w14:textId="77777777" w:rsidR="00843998" w:rsidRPr="006F283B" w:rsidRDefault="00843998" w:rsidP="0034750B">
            <w:pPr>
              <w:pStyle w:val="TableText"/>
              <w:keepNext/>
              <w:keepLines/>
              <w:jc w:val="center"/>
              <w:rPr>
                <w:b/>
              </w:rPr>
            </w:pPr>
            <w:r w:rsidRPr="006F283B">
              <w:rPr>
                <w:b/>
              </w:rPr>
              <w:t>4.87 (2.13, 11.13)</w:t>
            </w:r>
          </w:p>
        </w:tc>
      </w:tr>
      <w:tr w:rsidR="00843998" w:rsidRPr="006F283B" w14:paraId="5DFEDD05" w14:textId="77777777" w:rsidTr="004E1FEC">
        <w:tc>
          <w:tcPr>
            <w:tcW w:w="3113" w:type="dxa"/>
          </w:tcPr>
          <w:p w14:paraId="029F5871" w14:textId="77777777" w:rsidR="00843998" w:rsidRPr="006F283B" w:rsidRDefault="00843998" w:rsidP="0034750B">
            <w:pPr>
              <w:pStyle w:val="TableText"/>
              <w:keepNext/>
              <w:keepLines/>
            </w:pPr>
            <w:r w:rsidRPr="006F283B">
              <w:t>Any TEAE leading to death**</w:t>
            </w:r>
          </w:p>
        </w:tc>
        <w:tc>
          <w:tcPr>
            <w:tcW w:w="1134" w:type="dxa"/>
            <w:shd w:val="clear" w:color="auto" w:fill="BDD6EE" w:themeFill="accent1" w:themeFillTint="66"/>
          </w:tcPr>
          <w:p w14:paraId="3610A026" w14:textId="77777777" w:rsidR="00843998" w:rsidRPr="006F283B" w:rsidRDefault="00843998" w:rsidP="0034750B">
            <w:pPr>
              <w:pStyle w:val="TableText"/>
              <w:keepNext/>
              <w:keepLines/>
              <w:jc w:val="center"/>
            </w:pPr>
            <w:r w:rsidRPr="006F283B">
              <w:t>2 (0.4)</w:t>
            </w:r>
          </w:p>
        </w:tc>
        <w:tc>
          <w:tcPr>
            <w:tcW w:w="1134" w:type="dxa"/>
            <w:shd w:val="clear" w:color="auto" w:fill="BDD6EE" w:themeFill="accent1" w:themeFillTint="66"/>
          </w:tcPr>
          <w:p w14:paraId="36DC9505" w14:textId="77777777" w:rsidR="00843998" w:rsidRPr="006F283B" w:rsidRDefault="00843998" w:rsidP="0034750B">
            <w:pPr>
              <w:pStyle w:val="TableText"/>
              <w:keepNext/>
              <w:keepLines/>
              <w:jc w:val="center"/>
            </w:pPr>
            <w:r w:rsidRPr="006F283B">
              <w:t>1 (0.4)</w:t>
            </w:r>
          </w:p>
        </w:tc>
        <w:tc>
          <w:tcPr>
            <w:tcW w:w="1701" w:type="dxa"/>
            <w:shd w:val="clear" w:color="auto" w:fill="BDD6EE" w:themeFill="accent1" w:themeFillTint="66"/>
          </w:tcPr>
          <w:p w14:paraId="474DA8AC" w14:textId="77777777" w:rsidR="00843998" w:rsidRPr="006F283B" w:rsidRDefault="00843998" w:rsidP="0034750B">
            <w:pPr>
              <w:pStyle w:val="TableText"/>
              <w:keepNext/>
              <w:keepLines/>
              <w:jc w:val="center"/>
            </w:pPr>
            <w:r w:rsidRPr="006F283B">
              <w:t>0.003 (-0.98, 0.99)</w:t>
            </w:r>
          </w:p>
        </w:tc>
        <w:tc>
          <w:tcPr>
            <w:tcW w:w="1934" w:type="dxa"/>
            <w:shd w:val="clear" w:color="auto" w:fill="BDD6EE" w:themeFill="accent1" w:themeFillTint="66"/>
          </w:tcPr>
          <w:p w14:paraId="094CAFBF" w14:textId="77777777" w:rsidR="00843998" w:rsidRPr="006F283B" w:rsidRDefault="00843998" w:rsidP="0034750B">
            <w:pPr>
              <w:pStyle w:val="TableText"/>
              <w:keepNext/>
              <w:keepLines/>
              <w:jc w:val="center"/>
            </w:pPr>
            <w:r w:rsidRPr="006F283B">
              <w:t>1.01 (0.09, 11.07)</w:t>
            </w:r>
          </w:p>
        </w:tc>
      </w:tr>
      <w:tr w:rsidR="00843998" w:rsidRPr="006F283B" w14:paraId="4F19614B" w14:textId="77777777" w:rsidTr="004E1FEC">
        <w:trPr>
          <w:trHeight w:val="58"/>
        </w:trPr>
        <w:tc>
          <w:tcPr>
            <w:tcW w:w="9016" w:type="dxa"/>
            <w:gridSpan w:val="5"/>
            <w:shd w:val="clear" w:color="auto" w:fill="auto"/>
            <w:vAlign w:val="center"/>
          </w:tcPr>
          <w:p w14:paraId="1571F038" w14:textId="77777777" w:rsidR="00843998" w:rsidRPr="006F283B" w:rsidRDefault="00843998" w:rsidP="0034750B">
            <w:pPr>
              <w:pStyle w:val="TableText"/>
              <w:keepNext/>
              <w:keepLines/>
            </w:pPr>
            <w:r w:rsidRPr="006F283B">
              <w:rPr>
                <w:b/>
              </w:rPr>
              <w:t>Overall population (SAF) November 2021 DCO</w:t>
            </w:r>
          </w:p>
        </w:tc>
      </w:tr>
      <w:tr w:rsidR="00843998" w:rsidRPr="006F283B" w14:paraId="0F4EE046" w14:textId="77777777" w:rsidTr="004E1FEC">
        <w:tc>
          <w:tcPr>
            <w:tcW w:w="3113" w:type="dxa"/>
            <w:shd w:val="clear" w:color="auto" w:fill="auto"/>
            <w:vAlign w:val="center"/>
          </w:tcPr>
          <w:p w14:paraId="1BB668FE" w14:textId="77777777" w:rsidR="00843998" w:rsidRPr="006F283B" w:rsidRDefault="00843998" w:rsidP="0034750B">
            <w:pPr>
              <w:pStyle w:val="TableText"/>
              <w:keepNext/>
              <w:keepLines/>
            </w:pPr>
            <w:r w:rsidRPr="006F283B">
              <w:rPr>
                <w:b/>
              </w:rPr>
              <w:t xml:space="preserve">N </w:t>
            </w:r>
          </w:p>
        </w:tc>
        <w:tc>
          <w:tcPr>
            <w:tcW w:w="1134" w:type="dxa"/>
            <w:shd w:val="clear" w:color="auto" w:fill="auto"/>
            <w:vAlign w:val="center"/>
          </w:tcPr>
          <w:p w14:paraId="3FE69D95" w14:textId="77777777" w:rsidR="00843998" w:rsidRPr="006F283B" w:rsidRDefault="00843998" w:rsidP="0034750B">
            <w:pPr>
              <w:pStyle w:val="TableText"/>
              <w:keepNext/>
              <w:keepLines/>
              <w:jc w:val="center"/>
            </w:pPr>
            <w:r w:rsidRPr="006F283B">
              <w:rPr>
                <w:b/>
              </w:rPr>
              <w:t>484</w:t>
            </w:r>
          </w:p>
        </w:tc>
        <w:tc>
          <w:tcPr>
            <w:tcW w:w="1134" w:type="dxa"/>
            <w:shd w:val="clear" w:color="auto" w:fill="auto"/>
            <w:vAlign w:val="center"/>
          </w:tcPr>
          <w:p w14:paraId="0D3837A5" w14:textId="77777777" w:rsidR="00843998" w:rsidRPr="006F283B" w:rsidRDefault="00843998" w:rsidP="0034750B">
            <w:pPr>
              <w:pStyle w:val="TableText"/>
              <w:keepNext/>
              <w:keepLines/>
              <w:jc w:val="center"/>
            </w:pPr>
            <w:r w:rsidRPr="006F283B">
              <w:rPr>
                <w:b/>
              </w:rPr>
              <w:t>244</w:t>
            </w:r>
          </w:p>
        </w:tc>
        <w:tc>
          <w:tcPr>
            <w:tcW w:w="1701" w:type="dxa"/>
            <w:shd w:val="clear" w:color="auto" w:fill="auto"/>
            <w:vAlign w:val="center"/>
          </w:tcPr>
          <w:p w14:paraId="40BB789A" w14:textId="77777777" w:rsidR="00843998" w:rsidRPr="006F283B" w:rsidRDefault="00843998" w:rsidP="0034750B">
            <w:pPr>
              <w:pStyle w:val="TableText"/>
              <w:keepNext/>
              <w:keepLines/>
              <w:jc w:val="center"/>
            </w:pPr>
            <w:r w:rsidRPr="006F283B">
              <w:t>-</w:t>
            </w:r>
          </w:p>
        </w:tc>
        <w:tc>
          <w:tcPr>
            <w:tcW w:w="1934" w:type="dxa"/>
            <w:shd w:val="clear" w:color="auto" w:fill="auto"/>
          </w:tcPr>
          <w:p w14:paraId="730E869B" w14:textId="77777777" w:rsidR="00843998" w:rsidRPr="006F283B" w:rsidRDefault="00843998" w:rsidP="0034750B">
            <w:pPr>
              <w:pStyle w:val="TableText"/>
              <w:keepNext/>
              <w:keepLines/>
              <w:jc w:val="center"/>
            </w:pPr>
            <w:r w:rsidRPr="006F283B">
              <w:t>-</w:t>
            </w:r>
          </w:p>
        </w:tc>
      </w:tr>
      <w:tr w:rsidR="00843998" w:rsidRPr="006F283B" w14:paraId="5CFCDEF4" w14:textId="77777777" w:rsidTr="004E1FEC">
        <w:tc>
          <w:tcPr>
            <w:tcW w:w="3113" w:type="dxa"/>
            <w:shd w:val="clear" w:color="auto" w:fill="auto"/>
            <w:vAlign w:val="center"/>
          </w:tcPr>
          <w:p w14:paraId="5FFE8990" w14:textId="77777777" w:rsidR="00843998" w:rsidRPr="006F283B" w:rsidRDefault="00843998" w:rsidP="0034750B">
            <w:pPr>
              <w:pStyle w:val="TableText"/>
              <w:keepNext/>
              <w:keepLines/>
            </w:pPr>
            <w:r w:rsidRPr="006F283B">
              <w:t>Mean treatment duration months (SD)</w:t>
            </w:r>
          </w:p>
        </w:tc>
        <w:tc>
          <w:tcPr>
            <w:tcW w:w="1134" w:type="dxa"/>
            <w:shd w:val="clear" w:color="auto" w:fill="auto"/>
          </w:tcPr>
          <w:p w14:paraId="42F032A1" w14:textId="77777777" w:rsidR="00843998" w:rsidRPr="006F283B" w:rsidRDefault="00843998" w:rsidP="0034750B">
            <w:pPr>
              <w:pStyle w:val="TableText"/>
              <w:keepNext/>
              <w:keepLines/>
              <w:jc w:val="center"/>
            </w:pPr>
            <w:r w:rsidRPr="006F283B">
              <w:t>NR</w:t>
            </w:r>
          </w:p>
        </w:tc>
        <w:tc>
          <w:tcPr>
            <w:tcW w:w="1134" w:type="dxa"/>
            <w:shd w:val="clear" w:color="auto" w:fill="auto"/>
          </w:tcPr>
          <w:p w14:paraId="13D311C0" w14:textId="77777777" w:rsidR="00843998" w:rsidRPr="006F283B" w:rsidRDefault="00843998" w:rsidP="0034750B">
            <w:pPr>
              <w:pStyle w:val="TableText"/>
              <w:keepNext/>
              <w:keepLines/>
              <w:jc w:val="center"/>
            </w:pPr>
            <w:r w:rsidRPr="006F283B">
              <w:t>NR</w:t>
            </w:r>
          </w:p>
        </w:tc>
        <w:tc>
          <w:tcPr>
            <w:tcW w:w="1701" w:type="dxa"/>
            <w:shd w:val="clear" w:color="auto" w:fill="auto"/>
            <w:vAlign w:val="center"/>
          </w:tcPr>
          <w:p w14:paraId="235C9C43" w14:textId="77777777" w:rsidR="00843998" w:rsidRPr="006F283B" w:rsidRDefault="00843998" w:rsidP="0034750B">
            <w:pPr>
              <w:pStyle w:val="TableText"/>
              <w:keepNext/>
              <w:keepLines/>
              <w:jc w:val="center"/>
            </w:pPr>
            <w:r w:rsidRPr="006F283B">
              <w:t>-</w:t>
            </w:r>
          </w:p>
        </w:tc>
        <w:tc>
          <w:tcPr>
            <w:tcW w:w="1934" w:type="dxa"/>
            <w:shd w:val="clear" w:color="auto" w:fill="auto"/>
          </w:tcPr>
          <w:p w14:paraId="32E381F2" w14:textId="77777777" w:rsidR="00843998" w:rsidRPr="006F283B" w:rsidRDefault="00843998" w:rsidP="0034750B">
            <w:pPr>
              <w:pStyle w:val="TableText"/>
              <w:keepNext/>
              <w:keepLines/>
              <w:jc w:val="center"/>
            </w:pPr>
            <w:r w:rsidRPr="006F283B">
              <w:t>-</w:t>
            </w:r>
          </w:p>
        </w:tc>
      </w:tr>
      <w:tr w:rsidR="00843998" w:rsidRPr="006F283B" w14:paraId="060F7C33" w14:textId="77777777" w:rsidTr="004E1FEC">
        <w:tc>
          <w:tcPr>
            <w:tcW w:w="3113" w:type="dxa"/>
            <w:shd w:val="clear" w:color="auto" w:fill="auto"/>
            <w:vAlign w:val="center"/>
          </w:tcPr>
          <w:p w14:paraId="6C021FC3" w14:textId="77777777" w:rsidR="00843998" w:rsidRPr="006F283B" w:rsidRDefault="00843998" w:rsidP="0034750B">
            <w:pPr>
              <w:pStyle w:val="TableText"/>
              <w:keepNext/>
              <w:keepLines/>
              <w:rPr>
                <w:vertAlign w:val="superscript"/>
              </w:rPr>
            </w:pPr>
            <w:r w:rsidRPr="006F283B">
              <w:t xml:space="preserve">Any TEAE </w:t>
            </w:r>
            <w:r w:rsidRPr="006F283B">
              <w:rPr>
                <w:vertAlign w:val="superscript"/>
              </w:rPr>
              <w:t>a</w:t>
            </w:r>
          </w:p>
        </w:tc>
        <w:tc>
          <w:tcPr>
            <w:tcW w:w="1134" w:type="dxa"/>
            <w:shd w:val="clear" w:color="auto" w:fill="auto"/>
          </w:tcPr>
          <w:p w14:paraId="288975FA" w14:textId="77777777" w:rsidR="00843998" w:rsidRPr="006F283B" w:rsidRDefault="00843998" w:rsidP="0034750B">
            <w:pPr>
              <w:pStyle w:val="TableText"/>
              <w:keepNext/>
              <w:keepLines/>
              <w:jc w:val="center"/>
            </w:pPr>
            <w:r w:rsidRPr="006F283B">
              <w:t>479 (99.0)</w:t>
            </w:r>
          </w:p>
        </w:tc>
        <w:tc>
          <w:tcPr>
            <w:tcW w:w="1134" w:type="dxa"/>
            <w:shd w:val="clear" w:color="auto" w:fill="auto"/>
          </w:tcPr>
          <w:p w14:paraId="3C7FAE4B" w14:textId="77777777" w:rsidR="00843998" w:rsidRPr="006F283B" w:rsidRDefault="00843998" w:rsidP="0034750B">
            <w:pPr>
              <w:pStyle w:val="TableText"/>
              <w:keepNext/>
              <w:keepLines/>
              <w:jc w:val="center"/>
            </w:pPr>
            <w:r w:rsidRPr="006F283B">
              <w:t>229 (93.9)</w:t>
            </w:r>
          </w:p>
        </w:tc>
        <w:tc>
          <w:tcPr>
            <w:tcW w:w="1701" w:type="dxa"/>
            <w:shd w:val="clear" w:color="auto" w:fill="auto"/>
            <w:vAlign w:val="center"/>
          </w:tcPr>
          <w:p w14:paraId="094E4F1D" w14:textId="77777777" w:rsidR="00843998" w:rsidRPr="006F283B" w:rsidRDefault="00843998" w:rsidP="0034750B">
            <w:pPr>
              <w:pStyle w:val="TableText"/>
              <w:keepNext/>
              <w:keepLines/>
              <w:jc w:val="center"/>
            </w:pPr>
            <w:r w:rsidRPr="006F283B">
              <w:rPr>
                <w:b/>
                <w:bCs/>
              </w:rPr>
              <w:t>5.1 (2.5, 8.9)</w:t>
            </w:r>
          </w:p>
        </w:tc>
        <w:tc>
          <w:tcPr>
            <w:tcW w:w="1934" w:type="dxa"/>
            <w:shd w:val="clear" w:color="auto" w:fill="auto"/>
            <w:vAlign w:val="center"/>
          </w:tcPr>
          <w:p w14:paraId="1C3DB32D" w14:textId="77777777" w:rsidR="00843998" w:rsidRPr="006F283B" w:rsidRDefault="00843998" w:rsidP="0034750B">
            <w:pPr>
              <w:pStyle w:val="TableText"/>
              <w:keepNext/>
              <w:keepLines/>
              <w:jc w:val="center"/>
            </w:pPr>
            <w:r w:rsidRPr="006F283B">
              <w:rPr>
                <w:b/>
                <w:bCs/>
              </w:rPr>
              <w:t>1.05 (1.02, 1.09)</w:t>
            </w:r>
          </w:p>
        </w:tc>
      </w:tr>
      <w:tr w:rsidR="00843998" w:rsidRPr="006F283B" w14:paraId="61C60BCD" w14:textId="77777777" w:rsidTr="004E1FEC">
        <w:tc>
          <w:tcPr>
            <w:tcW w:w="3113" w:type="dxa"/>
            <w:shd w:val="clear" w:color="auto" w:fill="auto"/>
            <w:vAlign w:val="center"/>
          </w:tcPr>
          <w:p w14:paraId="1B1C6282" w14:textId="77777777" w:rsidR="00843998" w:rsidRPr="006F283B" w:rsidRDefault="00843998" w:rsidP="0034750B">
            <w:pPr>
              <w:pStyle w:val="TableText"/>
              <w:keepNext/>
              <w:keepLines/>
              <w:rPr>
                <w:vertAlign w:val="superscript"/>
              </w:rPr>
            </w:pPr>
            <w:r w:rsidRPr="006F283B">
              <w:t xml:space="preserve">Grade ≥ 3 TEAE </w:t>
            </w:r>
            <w:r w:rsidRPr="006F283B">
              <w:rPr>
                <w:vertAlign w:val="superscript"/>
              </w:rPr>
              <w:t>a</w:t>
            </w:r>
          </w:p>
        </w:tc>
        <w:tc>
          <w:tcPr>
            <w:tcW w:w="1134" w:type="dxa"/>
            <w:shd w:val="clear" w:color="auto" w:fill="auto"/>
          </w:tcPr>
          <w:p w14:paraId="2AFBCEA0" w14:textId="77777777" w:rsidR="00843998" w:rsidRPr="006F283B" w:rsidRDefault="00843998" w:rsidP="0034750B">
            <w:pPr>
              <w:pStyle w:val="TableText"/>
              <w:keepNext/>
              <w:keepLines/>
              <w:jc w:val="center"/>
            </w:pPr>
            <w:r w:rsidRPr="006F283B">
              <w:t>353 (72.9)</w:t>
            </w:r>
          </w:p>
        </w:tc>
        <w:tc>
          <w:tcPr>
            <w:tcW w:w="1134" w:type="dxa"/>
            <w:shd w:val="clear" w:color="auto" w:fill="auto"/>
          </w:tcPr>
          <w:p w14:paraId="193288D9" w14:textId="77777777" w:rsidR="00843998" w:rsidRPr="006F283B" w:rsidRDefault="00843998" w:rsidP="0034750B">
            <w:pPr>
              <w:pStyle w:val="TableText"/>
              <w:keepNext/>
              <w:keepLines/>
              <w:jc w:val="center"/>
            </w:pPr>
            <w:r w:rsidRPr="006F283B">
              <w:t>56 (23.0)</w:t>
            </w:r>
          </w:p>
        </w:tc>
        <w:tc>
          <w:tcPr>
            <w:tcW w:w="1701" w:type="dxa"/>
            <w:shd w:val="clear" w:color="auto" w:fill="auto"/>
            <w:vAlign w:val="center"/>
          </w:tcPr>
          <w:p w14:paraId="42B8B391" w14:textId="77777777" w:rsidR="00843998" w:rsidRPr="006F283B" w:rsidRDefault="00843998" w:rsidP="0034750B">
            <w:pPr>
              <w:pStyle w:val="TableText"/>
              <w:keepNext/>
              <w:keepLines/>
              <w:jc w:val="center"/>
            </w:pPr>
            <w:r w:rsidRPr="006F283B">
              <w:rPr>
                <w:b/>
                <w:bCs/>
              </w:rPr>
              <w:t>50.0 (43.1, 56.2)</w:t>
            </w:r>
          </w:p>
        </w:tc>
        <w:tc>
          <w:tcPr>
            <w:tcW w:w="1934" w:type="dxa"/>
            <w:shd w:val="clear" w:color="auto" w:fill="auto"/>
            <w:vAlign w:val="center"/>
          </w:tcPr>
          <w:p w14:paraId="42CD8722" w14:textId="77777777" w:rsidR="00843998" w:rsidRPr="006F283B" w:rsidRDefault="00843998" w:rsidP="0034750B">
            <w:pPr>
              <w:pStyle w:val="TableText"/>
              <w:keepNext/>
              <w:keepLines/>
              <w:jc w:val="center"/>
            </w:pPr>
            <w:r w:rsidRPr="006F283B">
              <w:rPr>
                <w:b/>
                <w:bCs/>
              </w:rPr>
              <w:t>3.18 (2.53, 4.05)</w:t>
            </w:r>
          </w:p>
        </w:tc>
      </w:tr>
      <w:tr w:rsidR="00843998" w:rsidRPr="006F283B" w14:paraId="420DBDC9" w14:textId="77777777" w:rsidTr="004E1FEC">
        <w:tc>
          <w:tcPr>
            <w:tcW w:w="3113" w:type="dxa"/>
            <w:shd w:val="clear" w:color="auto" w:fill="auto"/>
          </w:tcPr>
          <w:p w14:paraId="73507D28" w14:textId="77777777" w:rsidR="00843998" w:rsidRPr="006F283B" w:rsidRDefault="00843998" w:rsidP="0034750B">
            <w:pPr>
              <w:pStyle w:val="TableText"/>
              <w:keepNext/>
              <w:keepLines/>
            </w:pPr>
            <w:r w:rsidRPr="006F283B">
              <w:t>Any TEAE leading drug interruption</w:t>
            </w:r>
          </w:p>
        </w:tc>
        <w:tc>
          <w:tcPr>
            <w:tcW w:w="1134" w:type="dxa"/>
            <w:shd w:val="clear" w:color="auto" w:fill="auto"/>
            <w:vAlign w:val="center"/>
          </w:tcPr>
          <w:p w14:paraId="71DE4D0E" w14:textId="77777777" w:rsidR="00843998" w:rsidRPr="006F283B" w:rsidRDefault="00843998" w:rsidP="0034750B">
            <w:pPr>
              <w:pStyle w:val="TableText"/>
              <w:keepNext/>
              <w:keepLines/>
              <w:jc w:val="center"/>
            </w:pPr>
            <w:r w:rsidRPr="006F283B">
              <w:t>389 (80.4)</w:t>
            </w:r>
          </w:p>
        </w:tc>
        <w:tc>
          <w:tcPr>
            <w:tcW w:w="1134" w:type="dxa"/>
            <w:shd w:val="clear" w:color="auto" w:fill="auto"/>
            <w:vAlign w:val="center"/>
          </w:tcPr>
          <w:p w14:paraId="783F1715" w14:textId="77777777" w:rsidR="00843998" w:rsidRPr="006F283B" w:rsidRDefault="00843998" w:rsidP="0034750B">
            <w:pPr>
              <w:pStyle w:val="TableText"/>
              <w:keepNext/>
              <w:keepLines/>
              <w:jc w:val="center"/>
            </w:pPr>
            <w:r w:rsidRPr="006F283B">
              <w:t>51 (20.9)</w:t>
            </w:r>
          </w:p>
        </w:tc>
        <w:tc>
          <w:tcPr>
            <w:tcW w:w="1701" w:type="dxa"/>
            <w:shd w:val="clear" w:color="auto" w:fill="auto"/>
            <w:vAlign w:val="center"/>
          </w:tcPr>
          <w:p w14:paraId="27656A5B" w14:textId="77777777" w:rsidR="00843998" w:rsidRPr="006F283B" w:rsidRDefault="00843998" w:rsidP="0034750B">
            <w:pPr>
              <w:pStyle w:val="TableText"/>
              <w:keepNext/>
              <w:keepLines/>
              <w:jc w:val="center"/>
            </w:pPr>
            <w:r w:rsidRPr="006F283B">
              <w:rPr>
                <w:b/>
                <w:bCs/>
              </w:rPr>
              <w:t>59.5 (52.9, 65.3)</w:t>
            </w:r>
          </w:p>
        </w:tc>
        <w:tc>
          <w:tcPr>
            <w:tcW w:w="1934" w:type="dxa"/>
            <w:shd w:val="clear" w:color="auto" w:fill="auto"/>
            <w:vAlign w:val="center"/>
          </w:tcPr>
          <w:p w14:paraId="78ADE3EC" w14:textId="77777777" w:rsidR="00843998" w:rsidRPr="006F283B" w:rsidRDefault="00843998" w:rsidP="0034750B">
            <w:pPr>
              <w:pStyle w:val="TableText"/>
              <w:keepNext/>
              <w:keepLines/>
              <w:jc w:val="center"/>
            </w:pPr>
            <w:r w:rsidRPr="006F283B">
              <w:rPr>
                <w:b/>
                <w:bCs/>
              </w:rPr>
              <w:t>3.85 (3.00, 4.93)</w:t>
            </w:r>
          </w:p>
        </w:tc>
      </w:tr>
      <w:tr w:rsidR="00843998" w:rsidRPr="006F283B" w14:paraId="3DA069C5" w14:textId="77777777" w:rsidTr="004E1FEC">
        <w:tc>
          <w:tcPr>
            <w:tcW w:w="3113" w:type="dxa"/>
            <w:shd w:val="clear" w:color="auto" w:fill="auto"/>
          </w:tcPr>
          <w:p w14:paraId="243694F9" w14:textId="77777777" w:rsidR="00843998" w:rsidRPr="006F283B" w:rsidRDefault="00843998" w:rsidP="0034750B">
            <w:pPr>
              <w:pStyle w:val="TableText"/>
              <w:keepNext/>
              <w:keepLines/>
            </w:pPr>
            <w:r w:rsidRPr="006F283B">
              <w:t>Any TEAE leading drug dose reduction</w:t>
            </w:r>
          </w:p>
        </w:tc>
        <w:tc>
          <w:tcPr>
            <w:tcW w:w="1134" w:type="dxa"/>
            <w:shd w:val="clear" w:color="auto" w:fill="auto"/>
            <w:vAlign w:val="center"/>
          </w:tcPr>
          <w:p w14:paraId="5CFDDCD6" w14:textId="77777777" w:rsidR="00843998" w:rsidRPr="006F283B" w:rsidRDefault="00843998" w:rsidP="0034750B">
            <w:pPr>
              <w:pStyle w:val="TableText"/>
              <w:keepNext/>
              <w:keepLines/>
              <w:jc w:val="center"/>
            </w:pPr>
            <w:r w:rsidRPr="006F283B">
              <w:t>347 (71.7)</w:t>
            </w:r>
          </w:p>
        </w:tc>
        <w:tc>
          <w:tcPr>
            <w:tcW w:w="1134" w:type="dxa"/>
            <w:shd w:val="clear" w:color="auto" w:fill="auto"/>
            <w:vAlign w:val="center"/>
          </w:tcPr>
          <w:p w14:paraId="120DE96B" w14:textId="77777777" w:rsidR="00843998" w:rsidRPr="006F283B" w:rsidRDefault="00843998" w:rsidP="0034750B">
            <w:pPr>
              <w:pStyle w:val="TableText"/>
              <w:keepNext/>
              <w:keepLines/>
              <w:jc w:val="center"/>
            </w:pPr>
            <w:r w:rsidRPr="006F283B">
              <w:t>23 (9.4)</w:t>
            </w:r>
          </w:p>
        </w:tc>
        <w:tc>
          <w:tcPr>
            <w:tcW w:w="1701" w:type="dxa"/>
            <w:shd w:val="clear" w:color="auto" w:fill="auto"/>
            <w:vAlign w:val="center"/>
          </w:tcPr>
          <w:p w14:paraId="3AC06206" w14:textId="77777777" w:rsidR="00843998" w:rsidRPr="006F283B" w:rsidRDefault="00843998" w:rsidP="0034750B">
            <w:pPr>
              <w:pStyle w:val="TableText"/>
              <w:keepNext/>
              <w:keepLines/>
              <w:jc w:val="center"/>
            </w:pPr>
            <w:r w:rsidRPr="006F283B">
              <w:rPr>
                <w:b/>
                <w:bCs/>
              </w:rPr>
              <w:t>62.3 (56.4, 67.3)</w:t>
            </w:r>
          </w:p>
        </w:tc>
        <w:tc>
          <w:tcPr>
            <w:tcW w:w="1934" w:type="dxa"/>
            <w:shd w:val="clear" w:color="auto" w:fill="auto"/>
            <w:vAlign w:val="center"/>
          </w:tcPr>
          <w:p w14:paraId="017D43D8" w14:textId="77777777" w:rsidR="00843998" w:rsidRPr="006F283B" w:rsidRDefault="00843998" w:rsidP="0034750B">
            <w:pPr>
              <w:pStyle w:val="TableText"/>
              <w:keepNext/>
              <w:keepLines/>
              <w:jc w:val="center"/>
            </w:pPr>
            <w:r w:rsidRPr="006F283B">
              <w:rPr>
                <w:b/>
                <w:bCs/>
              </w:rPr>
              <w:t>7.61 (5.13, 11.27)</w:t>
            </w:r>
          </w:p>
        </w:tc>
      </w:tr>
      <w:tr w:rsidR="00843998" w:rsidRPr="006F283B" w14:paraId="2380E130" w14:textId="77777777" w:rsidTr="004E1FEC">
        <w:tc>
          <w:tcPr>
            <w:tcW w:w="3113" w:type="dxa"/>
            <w:shd w:val="clear" w:color="auto" w:fill="auto"/>
          </w:tcPr>
          <w:p w14:paraId="4E067C2A" w14:textId="77777777" w:rsidR="00843998" w:rsidRPr="006F283B" w:rsidRDefault="00843998" w:rsidP="0034750B">
            <w:pPr>
              <w:pStyle w:val="TableText"/>
              <w:keepNext/>
              <w:keepLines/>
            </w:pPr>
            <w:r w:rsidRPr="006F283B">
              <w:t>Any TEAE leading drug withdrawal</w:t>
            </w:r>
          </w:p>
        </w:tc>
        <w:tc>
          <w:tcPr>
            <w:tcW w:w="1134" w:type="dxa"/>
            <w:shd w:val="clear" w:color="auto" w:fill="auto"/>
            <w:vAlign w:val="center"/>
          </w:tcPr>
          <w:p w14:paraId="69D63524" w14:textId="77777777" w:rsidR="00843998" w:rsidRPr="006F283B" w:rsidRDefault="00843998" w:rsidP="0034750B">
            <w:pPr>
              <w:pStyle w:val="TableText"/>
              <w:keepNext/>
              <w:keepLines/>
              <w:jc w:val="center"/>
            </w:pPr>
            <w:r w:rsidRPr="006F283B">
              <w:t>69 (14.3)</w:t>
            </w:r>
          </w:p>
        </w:tc>
        <w:tc>
          <w:tcPr>
            <w:tcW w:w="1134" w:type="dxa"/>
            <w:shd w:val="clear" w:color="auto" w:fill="auto"/>
            <w:vAlign w:val="center"/>
          </w:tcPr>
          <w:p w14:paraId="59C196C5" w14:textId="77777777" w:rsidR="00843998" w:rsidRPr="006F283B" w:rsidRDefault="00843998" w:rsidP="0034750B">
            <w:pPr>
              <w:pStyle w:val="TableText"/>
              <w:keepNext/>
              <w:keepLines/>
              <w:jc w:val="center"/>
            </w:pPr>
            <w:r w:rsidRPr="006F283B">
              <w:t>7 (2.9)</w:t>
            </w:r>
          </w:p>
        </w:tc>
        <w:tc>
          <w:tcPr>
            <w:tcW w:w="1701" w:type="dxa"/>
            <w:shd w:val="clear" w:color="auto" w:fill="auto"/>
            <w:vAlign w:val="center"/>
          </w:tcPr>
          <w:p w14:paraId="72C1E499" w14:textId="77777777" w:rsidR="00843998" w:rsidRPr="006F283B" w:rsidRDefault="00843998" w:rsidP="0034750B">
            <w:pPr>
              <w:pStyle w:val="TableText"/>
              <w:keepNext/>
              <w:keepLines/>
              <w:jc w:val="center"/>
            </w:pPr>
            <w:r w:rsidRPr="006F283B">
              <w:rPr>
                <w:b/>
              </w:rPr>
              <w:t>11.4 (7.5, 15.2)</w:t>
            </w:r>
          </w:p>
        </w:tc>
        <w:tc>
          <w:tcPr>
            <w:tcW w:w="1934" w:type="dxa"/>
            <w:shd w:val="clear" w:color="auto" w:fill="auto"/>
            <w:vAlign w:val="center"/>
          </w:tcPr>
          <w:p w14:paraId="136BA40A" w14:textId="77777777" w:rsidR="00843998" w:rsidRPr="006F283B" w:rsidRDefault="00843998" w:rsidP="0034750B">
            <w:pPr>
              <w:pStyle w:val="TableText"/>
              <w:keepNext/>
              <w:keepLines/>
              <w:jc w:val="center"/>
            </w:pPr>
            <w:r w:rsidRPr="006F283B">
              <w:rPr>
                <w:b/>
                <w:bCs/>
              </w:rPr>
              <w:t>4.97 (2.32, 10.65)</w:t>
            </w:r>
          </w:p>
        </w:tc>
      </w:tr>
      <w:tr w:rsidR="00843998" w:rsidRPr="006F283B" w14:paraId="56EE6FBB" w14:textId="77777777" w:rsidTr="004E1FEC">
        <w:trPr>
          <w:trHeight w:val="121"/>
        </w:trPr>
        <w:tc>
          <w:tcPr>
            <w:tcW w:w="3113" w:type="dxa"/>
            <w:shd w:val="clear" w:color="auto" w:fill="auto"/>
          </w:tcPr>
          <w:p w14:paraId="224BA1D7" w14:textId="77777777" w:rsidR="00843998" w:rsidRPr="006F283B" w:rsidRDefault="00843998" w:rsidP="0034750B">
            <w:pPr>
              <w:pStyle w:val="TableText"/>
              <w:keepNext/>
              <w:keepLines/>
              <w:rPr>
                <w:vertAlign w:val="superscript"/>
              </w:rPr>
            </w:pPr>
            <w:r w:rsidRPr="006F283B">
              <w:t xml:space="preserve">Any TEAE leading to death** </w:t>
            </w:r>
            <w:r w:rsidRPr="006F283B">
              <w:rPr>
                <w:vertAlign w:val="superscript"/>
              </w:rPr>
              <w:t>a</w:t>
            </w:r>
          </w:p>
        </w:tc>
        <w:tc>
          <w:tcPr>
            <w:tcW w:w="1134" w:type="dxa"/>
            <w:shd w:val="clear" w:color="auto" w:fill="auto"/>
          </w:tcPr>
          <w:p w14:paraId="4A8C7FCF" w14:textId="77777777" w:rsidR="00843998" w:rsidRPr="006F283B" w:rsidRDefault="00843998" w:rsidP="0034750B">
            <w:pPr>
              <w:pStyle w:val="TableText"/>
              <w:keepNext/>
              <w:keepLines/>
              <w:jc w:val="center"/>
            </w:pPr>
            <w:r w:rsidRPr="006F283B">
              <w:t>5 (1.0)</w:t>
            </w:r>
          </w:p>
        </w:tc>
        <w:tc>
          <w:tcPr>
            <w:tcW w:w="1134" w:type="dxa"/>
            <w:shd w:val="clear" w:color="auto" w:fill="auto"/>
          </w:tcPr>
          <w:p w14:paraId="0B1005B7" w14:textId="77777777" w:rsidR="00843998" w:rsidRPr="006F283B" w:rsidRDefault="00843998" w:rsidP="0034750B">
            <w:pPr>
              <w:pStyle w:val="TableText"/>
              <w:keepNext/>
              <w:keepLines/>
              <w:jc w:val="center"/>
            </w:pPr>
            <w:r w:rsidRPr="006F283B">
              <w:t>2 (0.8)</w:t>
            </w:r>
          </w:p>
        </w:tc>
        <w:tc>
          <w:tcPr>
            <w:tcW w:w="1701" w:type="dxa"/>
            <w:shd w:val="clear" w:color="auto" w:fill="auto"/>
            <w:vAlign w:val="center"/>
          </w:tcPr>
          <w:p w14:paraId="00B7E4F9" w14:textId="77777777" w:rsidR="00843998" w:rsidRPr="006F283B" w:rsidRDefault="00843998" w:rsidP="0034750B">
            <w:pPr>
              <w:pStyle w:val="TableText"/>
              <w:keepNext/>
              <w:keepLines/>
              <w:jc w:val="center"/>
            </w:pPr>
            <w:r w:rsidRPr="006F283B">
              <w:t>0.2 (-2.0, 1.7)</w:t>
            </w:r>
          </w:p>
        </w:tc>
        <w:tc>
          <w:tcPr>
            <w:tcW w:w="1934" w:type="dxa"/>
            <w:shd w:val="clear" w:color="auto" w:fill="auto"/>
            <w:vAlign w:val="center"/>
          </w:tcPr>
          <w:p w14:paraId="29D7CD5F" w14:textId="77777777" w:rsidR="00843998" w:rsidRPr="006F283B" w:rsidRDefault="00843998" w:rsidP="0034750B">
            <w:pPr>
              <w:pStyle w:val="TableText"/>
              <w:keepNext/>
              <w:keepLines/>
              <w:jc w:val="center"/>
            </w:pPr>
            <w:r w:rsidRPr="006F283B">
              <w:t>1.26 (0.25, 6.45)</w:t>
            </w:r>
          </w:p>
        </w:tc>
      </w:tr>
      <w:tr w:rsidR="00843998" w:rsidRPr="006F283B" w14:paraId="26C53ACA" w14:textId="77777777" w:rsidTr="004E1FEC">
        <w:trPr>
          <w:trHeight w:val="58"/>
        </w:trPr>
        <w:tc>
          <w:tcPr>
            <w:tcW w:w="9016" w:type="dxa"/>
            <w:gridSpan w:val="5"/>
            <w:shd w:val="clear" w:color="auto" w:fill="auto"/>
            <w:vAlign w:val="center"/>
          </w:tcPr>
          <w:p w14:paraId="14414372" w14:textId="7D2C6929" w:rsidR="00843998" w:rsidRPr="006F283B" w:rsidRDefault="00843998" w:rsidP="0034750B">
            <w:pPr>
              <w:pStyle w:val="TableText"/>
              <w:keepNext/>
              <w:keepLines/>
            </w:pPr>
            <w:r w:rsidRPr="006F283B">
              <w:rPr>
                <w:b/>
              </w:rPr>
              <w:t xml:space="preserve">HRD positive </w:t>
            </w:r>
            <w:r w:rsidR="001152C0" w:rsidRPr="001152C0">
              <w:rPr>
                <w:b/>
                <w:i/>
                <w:iCs/>
              </w:rPr>
              <w:t>BRCAwt</w:t>
            </w:r>
            <w:r w:rsidRPr="006F283B">
              <w:rPr>
                <w:b/>
              </w:rPr>
              <w:t xml:space="preserve"> population, May 2019 DCO</w:t>
            </w:r>
          </w:p>
        </w:tc>
      </w:tr>
      <w:tr w:rsidR="00843998" w:rsidRPr="006F283B" w14:paraId="7A89DCF5" w14:textId="77777777" w:rsidTr="004E1FEC">
        <w:tc>
          <w:tcPr>
            <w:tcW w:w="3113" w:type="dxa"/>
            <w:shd w:val="clear" w:color="auto" w:fill="auto"/>
            <w:vAlign w:val="center"/>
          </w:tcPr>
          <w:p w14:paraId="776D3112" w14:textId="77777777" w:rsidR="00843998" w:rsidRPr="006F283B" w:rsidRDefault="00843998" w:rsidP="0034750B">
            <w:pPr>
              <w:pStyle w:val="TableText"/>
              <w:keepNext/>
              <w:keepLines/>
              <w:rPr>
                <w:b/>
                <w:bCs/>
              </w:rPr>
            </w:pPr>
            <w:r w:rsidRPr="006F283B">
              <w:rPr>
                <w:b/>
                <w:bCs/>
              </w:rPr>
              <w:t>N</w:t>
            </w:r>
          </w:p>
        </w:tc>
        <w:tc>
          <w:tcPr>
            <w:tcW w:w="1134" w:type="dxa"/>
            <w:shd w:val="clear" w:color="auto" w:fill="auto"/>
          </w:tcPr>
          <w:p w14:paraId="330069A3" w14:textId="5336CC25" w:rsidR="00843998" w:rsidRPr="00C01106" w:rsidRDefault="00843998" w:rsidP="0034750B">
            <w:pPr>
              <w:pStyle w:val="TableText"/>
              <w:keepNext/>
              <w:keepLines/>
              <w:jc w:val="center"/>
              <w:rPr>
                <w:b/>
                <w:bCs/>
                <w:vertAlign w:val="superscript"/>
              </w:rPr>
            </w:pPr>
            <w:r w:rsidRPr="006F283B">
              <w:rPr>
                <w:b/>
                <w:bCs/>
              </w:rPr>
              <w:t>93</w:t>
            </w:r>
            <w:r w:rsidR="00C01106">
              <w:rPr>
                <w:b/>
                <w:bCs/>
                <w:vertAlign w:val="superscript"/>
              </w:rPr>
              <w:t>b</w:t>
            </w:r>
          </w:p>
        </w:tc>
        <w:tc>
          <w:tcPr>
            <w:tcW w:w="1134" w:type="dxa"/>
            <w:shd w:val="clear" w:color="auto" w:fill="auto"/>
          </w:tcPr>
          <w:p w14:paraId="31E173D9" w14:textId="5C7041A7" w:rsidR="00843998" w:rsidRPr="006F283B" w:rsidRDefault="00843998" w:rsidP="0034750B">
            <w:pPr>
              <w:pStyle w:val="TableText"/>
              <w:keepNext/>
              <w:keepLines/>
              <w:jc w:val="center"/>
              <w:rPr>
                <w:b/>
                <w:bCs/>
              </w:rPr>
            </w:pPr>
            <w:r w:rsidRPr="006F283B">
              <w:rPr>
                <w:b/>
                <w:bCs/>
              </w:rPr>
              <w:t>55</w:t>
            </w:r>
            <w:r w:rsidR="00C01106">
              <w:rPr>
                <w:b/>
                <w:bCs/>
                <w:vertAlign w:val="superscript"/>
              </w:rPr>
              <w:t xml:space="preserve"> b</w:t>
            </w:r>
          </w:p>
        </w:tc>
        <w:tc>
          <w:tcPr>
            <w:tcW w:w="1701" w:type="dxa"/>
            <w:vAlign w:val="center"/>
          </w:tcPr>
          <w:p w14:paraId="3126194F" w14:textId="77777777" w:rsidR="00843998" w:rsidRPr="006F283B" w:rsidRDefault="00843998" w:rsidP="0034750B">
            <w:pPr>
              <w:pStyle w:val="TableText"/>
              <w:keepNext/>
              <w:keepLines/>
              <w:jc w:val="center"/>
              <w:rPr>
                <w:b/>
                <w:bCs/>
              </w:rPr>
            </w:pPr>
            <w:r w:rsidRPr="006F283B">
              <w:rPr>
                <w:b/>
                <w:bCs/>
              </w:rPr>
              <w:t>-</w:t>
            </w:r>
          </w:p>
        </w:tc>
        <w:tc>
          <w:tcPr>
            <w:tcW w:w="1934" w:type="dxa"/>
          </w:tcPr>
          <w:p w14:paraId="1DA5BE7F" w14:textId="77777777" w:rsidR="00843998" w:rsidRPr="006F283B" w:rsidRDefault="00843998" w:rsidP="0034750B">
            <w:pPr>
              <w:pStyle w:val="TableText"/>
              <w:keepNext/>
              <w:keepLines/>
              <w:jc w:val="center"/>
              <w:rPr>
                <w:b/>
                <w:bCs/>
              </w:rPr>
            </w:pPr>
            <w:r w:rsidRPr="006F283B">
              <w:rPr>
                <w:b/>
                <w:bCs/>
              </w:rPr>
              <w:t>-</w:t>
            </w:r>
          </w:p>
        </w:tc>
      </w:tr>
      <w:tr w:rsidR="00843998" w:rsidRPr="006F283B" w14:paraId="22EE03FA" w14:textId="77777777" w:rsidTr="004E1FEC">
        <w:tc>
          <w:tcPr>
            <w:tcW w:w="3113" w:type="dxa"/>
            <w:shd w:val="clear" w:color="auto" w:fill="auto"/>
            <w:vAlign w:val="center"/>
          </w:tcPr>
          <w:p w14:paraId="15EEA682" w14:textId="77777777" w:rsidR="00843998" w:rsidRPr="006F283B" w:rsidRDefault="00843998" w:rsidP="0034750B">
            <w:pPr>
              <w:pStyle w:val="TableText"/>
              <w:keepNext/>
              <w:keepLines/>
            </w:pPr>
            <w:r w:rsidRPr="006F283B">
              <w:t>Mean treatment duration months (SD)</w:t>
            </w:r>
          </w:p>
        </w:tc>
        <w:tc>
          <w:tcPr>
            <w:tcW w:w="1134" w:type="dxa"/>
            <w:shd w:val="clear" w:color="auto" w:fill="auto"/>
          </w:tcPr>
          <w:p w14:paraId="7F76744F" w14:textId="28622229" w:rsidR="00843998" w:rsidRPr="006F283B" w:rsidRDefault="00843998" w:rsidP="0034750B">
            <w:pPr>
              <w:pStyle w:val="TableText"/>
              <w:keepNext/>
              <w:keepLines/>
              <w:jc w:val="center"/>
            </w:pPr>
            <w:r w:rsidRPr="006F283B">
              <w:t>10.5 (6.8)</w:t>
            </w:r>
            <w:r w:rsidR="00C01106">
              <w:rPr>
                <w:b/>
                <w:bCs/>
                <w:vertAlign w:val="superscript"/>
              </w:rPr>
              <w:t xml:space="preserve"> b</w:t>
            </w:r>
          </w:p>
        </w:tc>
        <w:tc>
          <w:tcPr>
            <w:tcW w:w="1134" w:type="dxa"/>
            <w:shd w:val="clear" w:color="auto" w:fill="auto"/>
          </w:tcPr>
          <w:p w14:paraId="7E58E58B" w14:textId="4CC24A2C" w:rsidR="00843998" w:rsidRPr="006F283B" w:rsidRDefault="00843998" w:rsidP="0034750B">
            <w:pPr>
              <w:pStyle w:val="TableText"/>
              <w:keepNext/>
              <w:keepLines/>
              <w:jc w:val="center"/>
            </w:pPr>
            <w:r w:rsidRPr="006F283B">
              <w:t>10.2 (6.3)</w:t>
            </w:r>
            <w:r w:rsidR="00C01106">
              <w:rPr>
                <w:b/>
                <w:bCs/>
                <w:vertAlign w:val="superscript"/>
              </w:rPr>
              <w:t xml:space="preserve"> b</w:t>
            </w:r>
          </w:p>
        </w:tc>
        <w:tc>
          <w:tcPr>
            <w:tcW w:w="1701" w:type="dxa"/>
            <w:vAlign w:val="center"/>
          </w:tcPr>
          <w:p w14:paraId="336B0699" w14:textId="77777777" w:rsidR="00843998" w:rsidRPr="006F283B" w:rsidRDefault="00843998" w:rsidP="0034750B">
            <w:pPr>
              <w:pStyle w:val="TableText"/>
              <w:keepNext/>
              <w:keepLines/>
              <w:jc w:val="center"/>
              <w:rPr>
                <w:b/>
                <w:bCs/>
              </w:rPr>
            </w:pPr>
            <w:r w:rsidRPr="006F283B">
              <w:rPr>
                <w:b/>
                <w:bCs/>
              </w:rPr>
              <w:t>-</w:t>
            </w:r>
          </w:p>
        </w:tc>
        <w:tc>
          <w:tcPr>
            <w:tcW w:w="1934" w:type="dxa"/>
          </w:tcPr>
          <w:p w14:paraId="2BE8F439" w14:textId="77777777" w:rsidR="00843998" w:rsidRPr="006F283B" w:rsidRDefault="00843998" w:rsidP="0034750B">
            <w:pPr>
              <w:pStyle w:val="TableText"/>
              <w:keepNext/>
              <w:keepLines/>
              <w:jc w:val="center"/>
              <w:rPr>
                <w:b/>
                <w:bCs/>
              </w:rPr>
            </w:pPr>
            <w:r w:rsidRPr="006F283B">
              <w:rPr>
                <w:b/>
                <w:bCs/>
              </w:rPr>
              <w:t>-</w:t>
            </w:r>
          </w:p>
        </w:tc>
      </w:tr>
      <w:tr w:rsidR="00843998" w:rsidRPr="006F283B" w14:paraId="28CDD47F" w14:textId="77777777" w:rsidTr="004E1FEC">
        <w:tc>
          <w:tcPr>
            <w:tcW w:w="3113" w:type="dxa"/>
            <w:shd w:val="clear" w:color="auto" w:fill="auto"/>
            <w:vAlign w:val="center"/>
          </w:tcPr>
          <w:p w14:paraId="201B5C6C" w14:textId="77777777" w:rsidR="00843998" w:rsidRPr="006F283B" w:rsidRDefault="00843998" w:rsidP="0034750B">
            <w:pPr>
              <w:pStyle w:val="TableText"/>
              <w:keepNext/>
              <w:keepLines/>
            </w:pPr>
            <w:r w:rsidRPr="006F283B">
              <w:t>Any TEAE</w:t>
            </w:r>
          </w:p>
        </w:tc>
        <w:tc>
          <w:tcPr>
            <w:tcW w:w="1134" w:type="dxa"/>
            <w:shd w:val="clear" w:color="auto" w:fill="auto"/>
            <w:vAlign w:val="center"/>
          </w:tcPr>
          <w:p w14:paraId="54B56377" w14:textId="7596A65B" w:rsidR="00843998" w:rsidRPr="006F283B" w:rsidRDefault="00843998" w:rsidP="0034750B">
            <w:pPr>
              <w:pStyle w:val="TableText"/>
              <w:keepNext/>
              <w:keepLines/>
              <w:jc w:val="center"/>
            </w:pPr>
            <w:r w:rsidRPr="006F283B">
              <w:t>93 (100.0)</w:t>
            </w:r>
            <w:r w:rsidR="00C01106">
              <w:rPr>
                <w:b/>
                <w:bCs/>
                <w:vertAlign w:val="superscript"/>
              </w:rPr>
              <w:t xml:space="preserve"> b</w:t>
            </w:r>
          </w:p>
        </w:tc>
        <w:tc>
          <w:tcPr>
            <w:tcW w:w="1134" w:type="dxa"/>
            <w:shd w:val="clear" w:color="auto" w:fill="auto"/>
            <w:vAlign w:val="center"/>
          </w:tcPr>
          <w:p w14:paraId="4DB5A9F7" w14:textId="67AE4DE4" w:rsidR="00843998" w:rsidRPr="006F283B" w:rsidRDefault="00843998" w:rsidP="0034750B">
            <w:pPr>
              <w:pStyle w:val="TableText"/>
              <w:keepNext/>
              <w:keepLines/>
              <w:jc w:val="center"/>
            </w:pPr>
            <w:r w:rsidRPr="006F283B">
              <w:t>47 (85.5)</w:t>
            </w:r>
            <w:r w:rsidR="00C01106">
              <w:rPr>
                <w:b/>
                <w:bCs/>
                <w:vertAlign w:val="superscript"/>
              </w:rPr>
              <w:t xml:space="preserve"> b</w:t>
            </w:r>
          </w:p>
        </w:tc>
        <w:tc>
          <w:tcPr>
            <w:tcW w:w="1701" w:type="dxa"/>
            <w:vAlign w:val="center"/>
          </w:tcPr>
          <w:p w14:paraId="4D464B7C" w14:textId="77777777" w:rsidR="00843998" w:rsidRPr="006F283B" w:rsidRDefault="00843998" w:rsidP="0034750B">
            <w:pPr>
              <w:pStyle w:val="TableText"/>
              <w:keepNext/>
              <w:keepLines/>
              <w:jc w:val="center"/>
              <w:rPr>
                <w:b/>
                <w:bCs/>
              </w:rPr>
            </w:pPr>
            <w:r w:rsidRPr="006F283B">
              <w:rPr>
                <w:b/>
                <w:bCs/>
              </w:rPr>
              <w:t>14.5 (7.5, 26.2)</w:t>
            </w:r>
          </w:p>
        </w:tc>
        <w:tc>
          <w:tcPr>
            <w:tcW w:w="1934" w:type="dxa"/>
          </w:tcPr>
          <w:p w14:paraId="1CCABD53" w14:textId="77777777" w:rsidR="00843998" w:rsidRPr="006F283B" w:rsidRDefault="00843998" w:rsidP="0034750B">
            <w:pPr>
              <w:pStyle w:val="TableText"/>
              <w:keepNext/>
              <w:keepLines/>
              <w:jc w:val="center"/>
              <w:rPr>
                <w:b/>
                <w:bCs/>
              </w:rPr>
            </w:pPr>
            <w:r w:rsidRPr="006F283B">
              <w:rPr>
                <w:b/>
                <w:bCs/>
              </w:rPr>
              <w:t>1.17 (1.05, 1.31)</w:t>
            </w:r>
          </w:p>
        </w:tc>
      </w:tr>
      <w:tr w:rsidR="00843998" w:rsidRPr="006F283B" w14:paraId="7BF50468" w14:textId="77777777" w:rsidTr="004E1FEC">
        <w:tc>
          <w:tcPr>
            <w:tcW w:w="3113" w:type="dxa"/>
            <w:shd w:val="clear" w:color="auto" w:fill="auto"/>
            <w:vAlign w:val="center"/>
          </w:tcPr>
          <w:p w14:paraId="7B5DE094" w14:textId="77777777" w:rsidR="00843998" w:rsidRPr="006F283B" w:rsidRDefault="00843998" w:rsidP="0034750B">
            <w:pPr>
              <w:pStyle w:val="TableText"/>
              <w:keepNext/>
              <w:keepLines/>
            </w:pPr>
            <w:r w:rsidRPr="006F283B">
              <w:t>Grade ≥ 3 TEAE</w:t>
            </w:r>
          </w:p>
        </w:tc>
        <w:tc>
          <w:tcPr>
            <w:tcW w:w="1134" w:type="dxa"/>
            <w:shd w:val="clear" w:color="auto" w:fill="auto"/>
            <w:vAlign w:val="center"/>
          </w:tcPr>
          <w:p w14:paraId="5B7D82CD" w14:textId="6E9A6FA4" w:rsidR="00843998" w:rsidRPr="006F283B" w:rsidRDefault="00843998" w:rsidP="0034750B">
            <w:pPr>
              <w:pStyle w:val="TableText"/>
              <w:keepNext/>
              <w:keepLines/>
              <w:jc w:val="center"/>
            </w:pPr>
            <w:r w:rsidRPr="006F283B">
              <w:t>64 (68.8)</w:t>
            </w:r>
            <w:r w:rsidR="00C01106">
              <w:rPr>
                <w:b/>
                <w:bCs/>
                <w:vertAlign w:val="superscript"/>
              </w:rPr>
              <w:t xml:space="preserve"> b</w:t>
            </w:r>
          </w:p>
        </w:tc>
        <w:tc>
          <w:tcPr>
            <w:tcW w:w="1134" w:type="dxa"/>
            <w:shd w:val="clear" w:color="auto" w:fill="auto"/>
            <w:vAlign w:val="center"/>
          </w:tcPr>
          <w:p w14:paraId="790FE82F" w14:textId="5BDA45EA" w:rsidR="00843998" w:rsidRPr="006F283B" w:rsidRDefault="00843998" w:rsidP="0034750B">
            <w:pPr>
              <w:pStyle w:val="TableText"/>
              <w:keepNext/>
              <w:keepLines/>
              <w:jc w:val="center"/>
            </w:pPr>
            <w:r w:rsidRPr="006F283B">
              <w:t>12 (21.8)</w:t>
            </w:r>
            <w:r w:rsidR="00C01106">
              <w:rPr>
                <w:b/>
                <w:bCs/>
                <w:vertAlign w:val="superscript"/>
              </w:rPr>
              <w:t xml:space="preserve"> b</w:t>
            </w:r>
          </w:p>
        </w:tc>
        <w:tc>
          <w:tcPr>
            <w:tcW w:w="1701" w:type="dxa"/>
            <w:vAlign w:val="center"/>
          </w:tcPr>
          <w:p w14:paraId="724B3A9F" w14:textId="77777777" w:rsidR="00843998" w:rsidRPr="006F283B" w:rsidRDefault="00843998" w:rsidP="0034750B">
            <w:pPr>
              <w:pStyle w:val="TableText"/>
              <w:keepNext/>
              <w:keepLines/>
              <w:jc w:val="center"/>
              <w:rPr>
                <w:b/>
                <w:bCs/>
              </w:rPr>
            </w:pPr>
            <w:r w:rsidRPr="006F283B">
              <w:rPr>
                <w:b/>
                <w:bCs/>
              </w:rPr>
              <w:t>47.0 (31.2, 59.9)</w:t>
            </w:r>
          </w:p>
        </w:tc>
        <w:tc>
          <w:tcPr>
            <w:tcW w:w="1934" w:type="dxa"/>
          </w:tcPr>
          <w:p w14:paraId="4B14E72A" w14:textId="77777777" w:rsidR="00843998" w:rsidRPr="006F283B" w:rsidRDefault="00843998" w:rsidP="0034750B">
            <w:pPr>
              <w:pStyle w:val="TableText"/>
              <w:keepNext/>
              <w:keepLines/>
              <w:jc w:val="center"/>
              <w:rPr>
                <w:b/>
                <w:bCs/>
              </w:rPr>
            </w:pPr>
            <w:r w:rsidRPr="006F283B">
              <w:rPr>
                <w:b/>
                <w:bCs/>
              </w:rPr>
              <w:t>3.15 (1.88, 5.23)</w:t>
            </w:r>
          </w:p>
        </w:tc>
      </w:tr>
      <w:tr w:rsidR="00843998" w:rsidRPr="006F283B" w14:paraId="77E07DC3" w14:textId="77777777" w:rsidTr="004E1FEC">
        <w:tc>
          <w:tcPr>
            <w:tcW w:w="3113" w:type="dxa"/>
            <w:shd w:val="clear" w:color="auto" w:fill="auto"/>
            <w:vAlign w:val="center"/>
          </w:tcPr>
          <w:p w14:paraId="01B6F4EF" w14:textId="77777777" w:rsidR="00843998" w:rsidRPr="006F283B" w:rsidRDefault="00843998" w:rsidP="0034750B">
            <w:pPr>
              <w:pStyle w:val="TableText"/>
              <w:keepNext/>
              <w:keepLines/>
            </w:pPr>
            <w:r w:rsidRPr="006F283B">
              <w:t>SAE</w:t>
            </w:r>
          </w:p>
        </w:tc>
        <w:tc>
          <w:tcPr>
            <w:tcW w:w="1134" w:type="dxa"/>
            <w:shd w:val="clear" w:color="auto" w:fill="auto"/>
            <w:vAlign w:val="center"/>
          </w:tcPr>
          <w:p w14:paraId="62DF1EB5" w14:textId="35862C92" w:rsidR="00843998" w:rsidRPr="006F283B" w:rsidRDefault="00843998" w:rsidP="0034750B">
            <w:pPr>
              <w:pStyle w:val="TableText"/>
              <w:keepNext/>
              <w:keepLines/>
              <w:jc w:val="center"/>
            </w:pPr>
            <w:r w:rsidRPr="006F283B">
              <w:t>31 (33.3)</w:t>
            </w:r>
            <w:r w:rsidR="00C01106">
              <w:rPr>
                <w:b/>
                <w:bCs/>
                <w:vertAlign w:val="superscript"/>
              </w:rPr>
              <w:t xml:space="preserve"> b</w:t>
            </w:r>
          </w:p>
        </w:tc>
        <w:tc>
          <w:tcPr>
            <w:tcW w:w="1134" w:type="dxa"/>
            <w:shd w:val="clear" w:color="auto" w:fill="auto"/>
            <w:vAlign w:val="center"/>
          </w:tcPr>
          <w:p w14:paraId="24A9F434" w14:textId="48ADC2BF" w:rsidR="00843998" w:rsidRPr="006F283B" w:rsidRDefault="00843998" w:rsidP="0034750B">
            <w:pPr>
              <w:pStyle w:val="TableText"/>
              <w:keepNext/>
              <w:keepLines/>
              <w:jc w:val="center"/>
            </w:pPr>
            <w:r w:rsidRPr="006F283B">
              <w:t>8 (14.5)</w:t>
            </w:r>
            <w:r w:rsidR="00C01106">
              <w:rPr>
                <w:b/>
                <w:bCs/>
                <w:vertAlign w:val="superscript"/>
              </w:rPr>
              <w:t xml:space="preserve"> b</w:t>
            </w:r>
          </w:p>
        </w:tc>
        <w:tc>
          <w:tcPr>
            <w:tcW w:w="1701" w:type="dxa"/>
            <w:vAlign w:val="center"/>
          </w:tcPr>
          <w:p w14:paraId="270A2F55" w14:textId="77777777" w:rsidR="00843998" w:rsidRPr="006F283B" w:rsidRDefault="00843998" w:rsidP="0034750B">
            <w:pPr>
              <w:pStyle w:val="TableText"/>
              <w:keepNext/>
              <w:keepLines/>
              <w:jc w:val="center"/>
              <w:rPr>
                <w:b/>
                <w:bCs/>
              </w:rPr>
            </w:pPr>
            <w:r w:rsidRPr="006F283B">
              <w:rPr>
                <w:b/>
                <w:bCs/>
              </w:rPr>
              <w:t>18.8 (4.3, 3.2)</w:t>
            </w:r>
          </w:p>
        </w:tc>
        <w:tc>
          <w:tcPr>
            <w:tcW w:w="1934" w:type="dxa"/>
          </w:tcPr>
          <w:p w14:paraId="4CC68B72" w14:textId="77777777" w:rsidR="00843998" w:rsidRPr="006F283B" w:rsidRDefault="00843998" w:rsidP="0034750B">
            <w:pPr>
              <w:pStyle w:val="TableText"/>
              <w:keepNext/>
              <w:keepLines/>
              <w:jc w:val="center"/>
              <w:rPr>
                <w:b/>
                <w:bCs/>
              </w:rPr>
            </w:pPr>
            <w:r w:rsidRPr="006F283B">
              <w:rPr>
                <w:b/>
                <w:bCs/>
              </w:rPr>
              <w:t>2.29 (1.14, 4.72)</w:t>
            </w:r>
          </w:p>
        </w:tc>
      </w:tr>
      <w:tr w:rsidR="00843998" w:rsidRPr="006F283B" w14:paraId="4EB3BCDC" w14:textId="77777777" w:rsidTr="004E1FEC">
        <w:tc>
          <w:tcPr>
            <w:tcW w:w="3113" w:type="dxa"/>
            <w:shd w:val="clear" w:color="auto" w:fill="auto"/>
          </w:tcPr>
          <w:p w14:paraId="0F252B91" w14:textId="77777777" w:rsidR="00843998" w:rsidRPr="006F283B" w:rsidRDefault="00843998" w:rsidP="0034750B">
            <w:pPr>
              <w:pStyle w:val="TableText"/>
              <w:keepNext/>
              <w:keepLines/>
            </w:pPr>
            <w:r w:rsidRPr="006F283B">
              <w:t>Any TEAE leading to death**</w:t>
            </w:r>
          </w:p>
        </w:tc>
        <w:tc>
          <w:tcPr>
            <w:tcW w:w="1134" w:type="dxa"/>
            <w:shd w:val="clear" w:color="auto" w:fill="auto"/>
          </w:tcPr>
          <w:p w14:paraId="200511E0" w14:textId="3064F675" w:rsidR="00843998" w:rsidRPr="006F283B" w:rsidRDefault="00843998" w:rsidP="0034750B">
            <w:pPr>
              <w:pStyle w:val="TableText"/>
              <w:keepNext/>
              <w:keepLines/>
              <w:jc w:val="center"/>
            </w:pPr>
            <w:r w:rsidRPr="006F283B">
              <w:t>0</w:t>
            </w:r>
            <w:r w:rsidR="00C01106">
              <w:rPr>
                <w:b/>
                <w:bCs/>
                <w:vertAlign w:val="superscript"/>
              </w:rPr>
              <w:t xml:space="preserve"> b</w:t>
            </w:r>
          </w:p>
        </w:tc>
        <w:tc>
          <w:tcPr>
            <w:tcW w:w="1134" w:type="dxa"/>
            <w:shd w:val="clear" w:color="auto" w:fill="auto"/>
          </w:tcPr>
          <w:p w14:paraId="7D8B7AB0" w14:textId="168301A2" w:rsidR="00843998" w:rsidRPr="006F283B" w:rsidRDefault="00843998" w:rsidP="0034750B">
            <w:pPr>
              <w:pStyle w:val="TableText"/>
              <w:keepNext/>
              <w:keepLines/>
              <w:jc w:val="center"/>
            </w:pPr>
            <w:r w:rsidRPr="006F283B">
              <w:t>0</w:t>
            </w:r>
            <w:r w:rsidR="00C01106">
              <w:rPr>
                <w:b/>
                <w:bCs/>
                <w:vertAlign w:val="superscript"/>
              </w:rPr>
              <w:t xml:space="preserve"> b</w:t>
            </w:r>
          </w:p>
        </w:tc>
        <w:tc>
          <w:tcPr>
            <w:tcW w:w="1701" w:type="dxa"/>
            <w:vAlign w:val="center"/>
          </w:tcPr>
          <w:p w14:paraId="6AEEBA9B" w14:textId="77777777" w:rsidR="00843998" w:rsidRPr="006F283B" w:rsidRDefault="00843998" w:rsidP="0034750B">
            <w:pPr>
              <w:pStyle w:val="TableText"/>
              <w:keepNext/>
              <w:keepLines/>
              <w:jc w:val="center"/>
              <w:rPr>
                <w:b/>
                <w:bCs/>
              </w:rPr>
            </w:pPr>
            <w:r w:rsidRPr="006F283B">
              <w:rPr>
                <w:b/>
                <w:bCs/>
              </w:rPr>
              <w:t>NA</w:t>
            </w:r>
          </w:p>
        </w:tc>
        <w:tc>
          <w:tcPr>
            <w:tcW w:w="1934" w:type="dxa"/>
          </w:tcPr>
          <w:p w14:paraId="6379B222" w14:textId="77777777" w:rsidR="00843998" w:rsidRPr="006F283B" w:rsidRDefault="00843998" w:rsidP="0034750B">
            <w:pPr>
              <w:pStyle w:val="TableText"/>
              <w:keepNext/>
              <w:keepLines/>
              <w:jc w:val="center"/>
              <w:rPr>
                <w:b/>
                <w:bCs/>
              </w:rPr>
            </w:pPr>
            <w:r w:rsidRPr="006F283B">
              <w:rPr>
                <w:b/>
                <w:bCs/>
              </w:rPr>
              <w:t>NA</w:t>
            </w:r>
          </w:p>
        </w:tc>
      </w:tr>
    </w:tbl>
    <w:p w14:paraId="60611D16" w14:textId="2FBB8048" w:rsidR="00843998" w:rsidRPr="006F283B" w:rsidRDefault="001152C0" w:rsidP="002B2005">
      <w:pPr>
        <w:pStyle w:val="TableFigureFooter"/>
        <w:keepNext/>
        <w:keepLines/>
        <w:jc w:val="both"/>
      </w:pPr>
      <w:r w:rsidRPr="001152C0">
        <w:rPr>
          <w:i/>
          <w:iCs/>
        </w:rPr>
        <w:t xml:space="preserve">BRCA </w:t>
      </w:r>
      <w:r w:rsidR="00843998" w:rsidRPr="006F283B">
        <w:t xml:space="preserve">= breast cancer gene; DCO = data cut-off; HRD = homologous recombination deficiency; NR = not reported; </w:t>
      </w:r>
      <w:r w:rsidR="00350FCF" w:rsidRPr="006F283B">
        <w:t xml:space="preserve">SAE= serious adverse events; SAF = safety population; SD= standard deviation; </w:t>
      </w:r>
      <w:r w:rsidR="00843998" w:rsidRPr="006F283B">
        <w:t>TEAE = treatment emergent adverse event</w:t>
      </w:r>
      <w:r w:rsidR="00350FCF" w:rsidRPr="006F283B">
        <w:t>;</w:t>
      </w:r>
      <w:r w:rsidR="00843998" w:rsidRPr="006F283B">
        <w:t xml:space="preserve"> wt = wild type</w:t>
      </w:r>
    </w:p>
    <w:p w14:paraId="08A5B4AE" w14:textId="77777777" w:rsidR="00843998" w:rsidRPr="006F283B" w:rsidRDefault="00843998" w:rsidP="002B2005">
      <w:pPr>
        <w:pStyle w:val="TableFigureFooter"/>
        <w:keepNext/>
        <w:keepLines/>
        <w:jc w:val="both"/>
      </w:pPr>
      <w:r w:rsidRPr="006F283B">
        <w:t>*Calculated during the evaluation</w:t>
      </w:r>
    </w:p>
    <w:p w14:paraId="581128F6" w14:textId="60A6310C" w:rsidR="00843998" w:rsidRPr="006F283B" w:rsidRDefault="00843998" w:rsidP="002B2005">
      <w:pPr>
        <w:pStyle w:val="TableFigureFooter"/>
        <w:keepNext/>
        <w:keepLines/>
        <w:jc w:val="both"/>
      </w:pPr>
      <w:r w:rsidRPr="006F283B">
        <w:t xml:space="preserve">**One subject </w:t>
      </w:r>
      <w:r w:rsidR="00350FCF" w:rsidRPr="006F283B">
        <w:t xml:space="preserve">in the fixed starting dose cohort </w:t>
      </w:r>
      <w:r w:rsidRPr="006F283B">
        <w:t xml:space="preserve">died from </w:t>
      </w:r>
      <w:r w:rsidR="00350FCF" w:rsidRPr="006F283B">
        <w:t xml:space="preserve">a </w:t>
      </w:r>
      <w:r w:rsidRPr="006F283B">
        <w:t xml:space="preserve">serious AE related to intestinal </w:t>
      </w:r>
      <w:r w:rsidR="007F799B">
        <w:t>perforation</w:t>
      </w:r>
      <w:r w:rsidRPr="006F283B">
        <w:t>. Two other subjects in the PRIMA trial (one in the niraparib arm and one in the placebo arm) experienced TEAEs that led to death (pleural effusion and intentional overdose respectively), none of which were assessed as study treatment related.</w:t>
      </w:r>
    </w:p>
    <w:p w14:paraId="255D5696" w14:textId="77777777" w:rsidR="00843998" w:rsidRPr="006F283B" w:rsidRDefault="00843998" w:rsidP="002B2005">
      <w:pPr>
        <w:pStyle w:val="TableFigureFooter"/>
        <w:keepNext/>
        <w:keepLines/>
        <w:widowControl w:val="0"/>
        <w:jc w:val="both"/>
      </w:pPr>
      <w:r w:rsidRPr="006F283B">
        <w:t>Note: Blue shading indicates data previously seen by the PBAC.</w:t>
      </w:r>
    </w:p>
    <w:p w14:paraId="336D2DCA" w14:textId="55067B1D" w:rsidR="00275BC2" w:rsidRDefault="00843998" w:rsidP="00C01106">
      <w:pPr>
        <w:pStyle w:val="TableFigureFooter"/>
        <w:keepNext/>
        <w:keepLines/>
        <w:jc w:val="both"/>
      </w:pPr>
      <w:r w:rsidRPr="006F283B">
        <w:t>Source: Table 70 of the submission (p147-8); Table 57 (p125) of the submission and Table 2.5.2 of the July 2021 niraparib PBAC</w:t>
      </w:r>
      <w:r w:rsidR="00350FCF" w:rsidRPr="006F283B">
        <w:t xml:space="preserve"> commentary</w:t>
      </w:r>
    </w:p>
    <w:p w14:paraId="74ADEF62" w14:textId="6D94CB1B" w:rsidR="00900D0E" w:rsidRPr="00900D0E" w:rsidRDefault="00900D0E" w:rsidP="00900D0E">
      <w:pPr>
        <w:pStyle w:val="TableFigureFooter"/>
      </w:pPr>
      <w:r w:rsidRPr="00900D0E">
        <w:rPr>
          <w:vertAlign w:val="superscript"/>
        </w:rPr>
        <w:t>a</w:t>
      </w:r>
      <w:r w:rsidRPr="00900D0E">
        <w:t xml:space="preserve"> N’s not </w:t>
      </w:r>
      <w:proofErr w:type="gramStart"/>
      <w:r w:rsidRPr="00900D0E">
        <w:t>reported,  calculated</w:t>
      </w:r>
      <w:proofErr w:type="gramEnd"/>
      <w:r w:rsidRPr="00900D0E">
        <w:t xml:space="preserve"> during the evaluation based on reported proportions</w:t>
      </w:r>
    </w:p>
    <w:p w14:paraId="73E0C5E0" w14:textId="1D5703BD" w:rsidR="002B2005" w:rsidRPr="002B2005" w:rsidRDefault="002B2005" w:rsidP="00C01106">
      <w:pPr>
        <w:pStyle w:val="TableFigureFooter"/>
        <w:keepNext/>
        <w:keepLines/>
        <w:jc w:val="both"/>
        <w:rPr>
          <w:i/>
          <w:iCs/>
        </w:rPr>
      </w:pPr>
      <w:r w:rsidRPr="00C01106">
        <w:rPr>
          <w:i/>
          <w:iCs/>
          <w:vertAlign w:val="superscript"/>
        </w:rPr>
        <w:t>b</w:t>
      </w:r>
      <w:r w:rsidRPr="00C01106">
        <w:rPr>
          <w:i/>
          <w:iCs/>
        </w:rPr>
        <w:t xml:space="preserve"> </w:t>
      </w:r>
      <w:r w:rsidRPr="002B2005">
        <w:rPr>
          <w:i/>
          <w:iCs/>
        </w:rPr>
        <w:t>Note</w:t>
      </w:r>
      <w:r w:rsidRPr="00C01106">
        <w:rPr>
          <w:i/>
          <w:iCs/>
        </w:rPr>
        <w:t>:</w:t>
      </w:r>
      <w:r w:rsidRPr="002B2005">
        <w:rPr>
          <w:i/>
          <w:iCs/>
        </w:rPr>
        <w:t xml:space="preserve"> </w:t>
      </w:r>
      <w:r w:rsidRPr="00C01106">
        <w:rPr>
          <w:i/>
          <w:iCs/>
        </w:rPr>
        <w:t>R</w:t>
      </w:r>
      <w:r w:rsidRPr="002B2005">
        <w:rPr>
          <w:i/>
          <w:iCs/>
        </w:rPr>
        <w:t xml:space="preserve">esults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w:t>
      </w:r>
      <w:proofErr w:type="gramStart"/>
      <w:r w:rsidRPr="002B2005">
        <w:rPr>
          <w:i/>
          <w:iCs/>
        </w:rPr>
        <w:t>purpose</w:t>
      </w:r>
      <w:proofErr w:type="gramEnd"/>
    </w:p>
    <w:p w14:paraId="0F0B7C3C" w14:textId="460147BF" w:rsidR="002B2005" w:rsidRPr="00C01106" w:rsidRDefault="00C01106" w:rsidP="002B2005">
      <w:pPr>
        <w:pStyle w:val="TableFigureFooter"/>
        <w:keepNext/>
        <w:keepLines/>
        <w:spacing w:after="120"/>
        <w:jc w:val="both"/>
        <w:rPr>
          <w:i/>
          <w:iCs/>
        </w:rPr>
      </w:pPr>
      <w:r w:rsidRPr="00C01106">
        <w:rPr>
          <w:i/>
          <w:iCs/>
          <w:vertAlign w:val="superscript"/>
        </w:rPr>
        <w:t>c</w:t>
      </w:r>
      <w:r w:rsidRPr="00C01106">
        <w:rPr>
          <w:i/>
          <w:iCs/>
        </w:rPr>
        <w:t xml:space="preserve"> </w:t>
      </w:r>
      <w:r w:rsidR="002B2005" w:rsidRPr="00C01106">
        <w:rPr>
          <w:i/>
          <w:iCs/>
        </w:rPr>
        <w:t>Note</w:t>
      </w:r>
      <w:r w:rsidRPr="00C01106">
        <w:rPr>
          <w:i/>
          <w:iCs/>
        </w:rPr>
        <w:t>:</w:t>
      </w:r>
      <w:r w:rsidR="002B2005" w:rsidRPr="00C01106">
        <w:rPr>
          <w:i/>
          <w:iCs/>
        </w:rPr>
        <w:t xml:space="preserve"> </w:t>
      </w:r>
      <w:r w:rsidRPr="00C01106">
        <w:rPr>
          <w:i/>
          <w:iCs/>
        </w:rPr>
        <w:t>Results</w:t>
      </w:r>
      <w:r w:rsidR="002B2005" w:rsidRPr="00C01106">
        <w:rPr>
          <w:i/>
          <w:iCs/>
        </w:rPr>
        <w:t xml:space="preserve"> are derived from post-hoc analyses conducted by the evaluation specifically for the purposes of informing the PBAC consideration. Interpretation of the results and their application should therefore be limited to seeking to understand the basis for the PBAC outcome and should not be used for any other </w:t>
      </w:r>
      <w:proofErr w:type="gramStart"/>
      <w:r w:rsidR="002B2005" w:rsidRPr="00C01106">
        <w:rPr>
          <w:i/>
          <w:iCs/>
        </w:rPr>
        <w:t>purpose</w:t>
      </w:r>
      <w:proofErr w:type="gramEnd"/>
    </w:p>
    <w:p w14:paraId="04119EE7" w14:textId="77777777" w:rsidR="00843998" w:rsidRPr="006F283B" w:rsidRDefault="00843998" w:rsidP="00AF3FA2">
      <w:pPr>
        <w:pStyle w:val="ListParagraph"/>
        <w:spacing w:before="0" w:after="120"/>
        <w:rPr>
          <w:color w:val="auto"/>
        </w:rPr>
      </w:pPr>
      <w:r w:rsidRPr="006F283B">
        <w:rPr>
          <w:color w:val="auto"/>
        </w:rPr>
        <w:t xml:space="preserve">The figure below presents individual TEAEs reported in ≥20% of patients in the overall safety population and in the ISD population of PRIMA. In the overall population, thrombocytopenia (67.1%), anaemia (65.1%) and nausea (58.3%) were the </w:t>
      </w:r>
      <w:proofErr w:type="gramStart"/>
      <w:r w:rsidRPr="006F283B">
        <w:rPr>
          <w:color w:val="auto"/>
        </w:rPr>
        <w:t>most commonly reported</w:t>
      </w:r>
      <w:proofErr w:type="gramEnd"/>
      <w:r w:rsidRPr="006F283B">
        <w:rPr>
          <w:color w:val="auto"/>
        </w:rPr>
        <w:t xml:space="preserve"> TEAEs in niraparib patients, and abdominal pain (32.4%), fatigue (31.1%) and nausea (29.9%) were the most commonly reported TEAEs in placebo patients.</w:t>
      </w:r>
    </w:p>
    <w:p w14:paraId="3309B718" w14:textId="0D926E2F" w:rsidR="00843998" w:rsidRPr="006F283B" w:rsidRDefault="0090182B" w:rsidP="00593A64">
      <w:pPr>
        <w:pStyle w:val="Caption"/>
      </w:pPr>
      <w:r w:rsidRPr="006F283B">
        <w:lastRenderedPageBreak/>
        <w:t xml:space="preserve">Figure </w:t>
      </w:r>
      <w:r w:rsidR="00091054">
        <w:fldChar w:fldCharType="begin" w:fldLock="1"/>
      </w:r>
      <w:r w:rsidR="00091054">
        <w:instrText xml:space="preserve"> SEQ Figure_PBAC. \* ARABIC </w:instrText>
      </w:r>
      <w:r w:rsidR="00091054">
        <w:fldChar w:fldCharType="separate"/>
      </w:r>
      <w:r w:rsidR="00305654">
        <w:rPr>
          <w:noProof/>
        </w:rPr>
        <w:t>6</w:t>
      </w:r>
      <w:r w:rsidR="00091054">
        <w:rPr>
          <w:noProof/>
        </w:rPr>
        <w:fldChar w:fldCharType="end"/>
      </w:r>
      <w:r w:rsidR="00AF3FA2">
        <w:t xml:space="preserve">: </w:t>
      </w:r>
      <w:r w:rsidR="007F799B" w:rsidRPr="007F799B">
        <w:t>TEAEs reported in ≥</w:t>
      </w:r>
      <w:r w:rsidR="007F799B">
        <w:t> </w:t>
      </w:r>
      <w:r w:rsidR="007F799B" w:rsidRPr="007F799B">
        <w:t>20% of patients (November 2021 DCO)</w:t>
      </w:r>
    </w:p>
    <w:p w14:paraId="16C1EFE2" w14:textId="77777777" w:rsidR="00843998" w:rsidRPr="006F283B" w:rsidRDefault="00843998" w:rsidP="00AF4B69">
      <w:pPr>
        <w:keepNext/>
        <w:keepLines/>
        <w:spacing w:before="0" w:after="0"/>
      </w:pPr>
      <w:r w:rsidRPr="006F283B">
        <w:rPr>
          <w:noProof/>
        </w:rPr>
        <w:drawing>
          <wp:inline distT="0" distB="0" distL="0" distR="0" wp14:anchorId="026D9B33" wp14:editId="463B7997">
            <wp:extent cx="5731510" cy="2258471"/>
            <wp:effectExtent l="0" t="0" r="0" b="0"/>
            <wp:docPr id="1959018440" name="Picture 1959018440" descr="Figure 6: TEAEs reported in ≥ 20% of patients (November 2021 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40" name="Picture 1959018440" descr="Figure 6: TEAEs reported in ≥ 20% of patients (November 2021 DCO)"/>
                    <pic:cNvPicPr/>
                  </pic:nvPicPr>
                  <pic:blipFill>
                    <a:blip r:embed="rId13" cstate="screen">
                      <a:extLst>
                        <a:ext uri="{28A0092B-C50C-407E-A947-70E740481C1C}">
                          <a14:useLocalDpi xmlns:a14="http://schemas.microsoft.com/office/drawing/2010/main"/>
                        </a:ext>
                      </a:extLst>
                    </a:blip>
                    <a:stretch>
                      <a:fillRect/>
                    </a:stretch>
                  </pic:blipFill>
                  <pic:spPr>
                    <a:xfrm>
                      <a:off x="0" y="0"/>
                      <a:ext cx="5731510" cy="2258471"/>
                    </a:xfrm>
                    <a:prstGeom prst="rect">
                      <a:avLst/>
                    </a:prstGeom>
                  </pic:spPr>
                </pic:pic>
              </a:graphicData>
            </a:graphic>
          </wp:inline>
        </w:drawing>
      </w:r>
    </w:p>
    <w:p w14:paraId="039760A3" w14:textId="77777777" w:rsidR="0090182B" w:rsidRPr="006F283B" w:rsidRDefault="0090182B" w:rsidP="0090182B">
      <w:pPr>
        <w:pStyle w:val="TableFooter"/>
        <w:keepNext/>
        <w:keepLines/>
      </w:pPr>
      <w:r w:rsidRPr="006F283B">
        <w:t>Source: Figure 34 (p150) of the submission</w:t>
      </w:r>
    </w:p>
    <w:p w14:paraId="291C749D" w14:textId="78257E69" w:rsidR="00843998" w:rsidRPr="006F283B" w:rsidRDefault="00843998" w:rsidP="00AF3FA2">
      <w:pPr>
        <w:pStyle w:val="TableFooter"/>
        <w:keepNext/>
        <w:keepLines/>
        <w:spacing w:after="120"/>
        <w:rPr>
          <w:lang w:eastAsia="en-AU"/>
        </w:rPr>
      </w:pPr>
      <w:r w:rsidRPr="006F283B">
        <w:rPr>
          <w:lang w:eastAsia="en-AU"/>
        </w:rPr>
        <w:t xml:space="preserve">DCO = data cut-off; SAF = safety population; ISD = individualised-starting dose; TEAE = </w:t>
      </w:r>
      <w:r w:rsidR="007F799B" w:rsidRPr="006F283B">
        <w:t>treatment emergent adverse event</w:t>
      </w:r>
    </w:p>
    <w:p w14:paraId="30A94DAE" w14:textId="516F765C" w:rsidR="00843998" w:rsidRPr="006F283B" w:rsidRDefault="00843998" w:rsidP="00AF3FA2">
      <w:pPr>
        <w:pStyle w:val="ListParagraph"/>
        <w:spacing w:before="0" w:after="120"/>
        <w:rPr>
          <w:color w:val="auto"/>
        </w:rPr>
      </w:pPr>
      <w:r w:rsidRPr="006F283B">
        <w:rPr>
          <w:color w:val="auto"/>
        </w:rPr>
        <w:t xml:space="preserve">Given the relatively small number of patients in the HRD positive </w:t>
      </w:r>
      <w:r w:rsidR="001152C0" w:rsidRPr="001152C0">
        <w:rPr>
          <w:i/>
          <w:iCs/>
          <w:color w:val="auto"/>
        </w:rPr>
        <w:t>BRCAwt</w:t>
      </w:r>
      <w:r w:rsidRPr="006F283B">
        <w:rPr>
          <w:color w:val="auto"/>
        </w:rPr>
        <w:t xml:space="preserve"> subgroup, the safety data reported may not be exhaustive. In the July 2021 niraparib PBAC submission, ESC noted there remain</w:t>
      </w:r>
      <w:r w:rsidR="00E1560A" w:rsidRPr="006F283B">
        <w:rPr>
          <w:color w:val="auto"/>
        </w:rPr>
        <w:t>ed</w:t>
      </w:r>
      <w:r w:rsidRPr="006F283B">
        <w:rPr>
          <w:color w:val="auto"/>
        </w:rPr>
        <w:t xml:space="preserve"> a clinical concern about the rates of myelodysplastic syndromes (MDS) and/or acute myeloid leukaemia (AMS) for patients treated with PARP inhibitors, with further follow-up data likely to provide a more accurate estimate of risk (</w:t>
      </w:r>
      <w:r w:rsidR="00072CD3" w:rsidRPr="006F283B">
        <w:rPr>
          <w:color w:val="auto"/>
        </w:rPr>
        <w:t>p</w:t>
      </w:r>
      <w:r w:rsidRPr="006F283B">
        <w:rPr>
          <w:color w:val="auto"/>
        </w:rPr>
        <w:t>aragraph 6.26,</w:t>
      </w:r>
      <w:r w:rsidR="00072CD3" w:rsidRPr="006F283B">
        <w:rPr>
          <w:color w:val="auto"/>
        </w:rPr>
        <w:t xml:space="preserve"> n</w:t>
      </w:r>
      <w:r w:rsidRPr="006F283B">
        <w:rPr>
          <w:color w:val="auto"/>
        </w:rPr>
        <w:t>iraparib PSD, July 2021 PBAC meeting). The submission stated at the November 2021 DCO, the incidence of MDS/AML in both arms was similar (niraparib: 6/484 = 1.2%; placebo: 3/244 = 1.2%).</w:t>
      </w:r>
      <w:r w:rsidR="008440BF" w:rsidRPr="006F283B">
        <w:rPr>
          <w:color w:val="auto"/>
        </w:rPr>
        <w:t xml:space="preserve"> The submission stated that the sponsor was conducting adverse event follow-up questionnaires and </w:t>
      </w:r>
      <w:r w:rsidR="00423B7A" w:rsidRPr="006F283B">
        <w:rPr>
          <w:color w:val="auto"/>
        </w:rPr>
        <w:t>plans</w:t>
      </w:r>
      <w:r w:rsidR="008440BF" w:rsidRPr="006F283B">
        <w:rPr>
          <w:color w:val="auto"/>
        </w:rPr>
        <w:t xml:space="preserve"> to conduct a meta-analysis of MDS/AMS </w:t>
      </w:r>
      <w:r w:rsidR="00E5265C" w:rsidRPr="006F283B">
        <w:rPr>
          <w:color w:val="auto"/>
        </w:rPr>
        <w:t xml:space="preserve">and other second primary malignancies </w:t>
      </w:r>
      <w:r w:rsidR="008440BF" w:rsidRPr="006F283B">
        <w:rPr>
          <w:color w:val="auto"/>
        </w:rPr>
        <w:t>in patients with ovarian cancer who received niraparib</w:t>
      </w:r>
      <w:r w:rsidR="00124F0C" w:rsidRPr="006F283B">
        <w:rPr>
          <w:color w:val="auto"/>
        </w:rPr>
        <w:t xml:space="preserve">. </w:t>
      </w:r>
      <w:r w:rsidR="00DA4990" w:rsidRPr="006F283B">
        <w:rPr>
          <w:color w:val="auto"/>
        </w:rPr>
        <w:t xml:space="preserve">DUSC has previously commented that clinicians treating gynaecological malignancies are now relatively familiar with olaparib and its QUM issues (paragraph 6.101, </w:t>
      </w:r>
      <w:r w:rsidR="00F764C0" w:rsidRPr="006F283B">
        <w:rPr>
          <w:color w:val="auto"/>
        </w:rPr>
        <w:t>olaparib</w:t>
      </w:r>
      <w:r w:rsidR="00072CD3" w:rsidRPr="006F283B">
        <w:rPr>
          <w:color w:val="auto"/>
        </w:rPr>
        <w:t xml:space="preserve"> PSD</w:t>
      </w:r>
      <w:r w:rsidR="00F764C0" w:rsidRPr="006F283B">
        <w:rPr>
          <w:color w:val="auto"/>
        </w:rPr>
        <w:t>, July</w:t>
      </w:r>
      <w:r w:rsidR="008E1252">
        <w:rPr>
          <w:color w:val="auto"/>
        </w:rPr>
        <w:t> </w:t>
      </w:r>
      <w:r w:rsidR="00F764C0" w:rsidRPr="006F283B">
        <w:rPr>
          <w:color w:val="auto"/>
        </w:rPr>
        <w:t>2022 PBAC meeting) and this may extend to niraparib.</w:t>
      </w:r>
    </w:p>
    <w:p w14:paraId="07A336D5" w14:textId="1B7B3F7B" w:rsidR="00A53860" w:rsidRPr="006F283B" w:rsidRDefault="00A53860" w:rsidP="00AF3FA2">
      <w:pPr>
        <w:spacing w:after="120"/>
      </w:pPr>
      <w:r w:rsidRPr="006F283B">
        <w:rPr>
          <w:b/>
          <w:bCs/>
        </w:rPr>
        <w:t>Niraparib vs olaparib</w:t>
      </w:r>
    </w:p>
    <w:p w14:paraId="08B0E50B" w14:textId="3BB42A89" w:rsidR="00D4148C" w:rsidRPr="006F283B" w:rsidRDefault="00D4148C" w:rsidP="00AF3FA2">
      <w:pPr>
        <w:pStyle w:val="ListParagraph"/>
        <w:spacing w:before="0" w:after="120"/>
        <w:rPr>
          <w:color w:val="auto"/>
        </w:rPr>
      </w:pPr>
      <w:bookmarkStart w:id="99" w:name="_Ref130487952"/>
      <w:r w:rsidRPr="006F283B">
        <w:rPr>
          <w:color w:val="auto"/>
        </w:rPr>
        <w:t xml:space="preserve">A summary of TEAEs in the safety populations of PRIMA (individualised starting dose) and PAOLA-1 trials is shown in </w:t>
      </w:r>
      <w:r w:rsidRPr="006F283B">
        <w:rPr>
          <w:color w:val="auto"/>
        </w:rPr>
        <w:fldChar w:fldCharType="begin" w:fldLock="1"/>
      </w:r>
      <w:r w:rsidRPr="006F283B">
        <w:rPr>
          <w:color w:val="auto"/>
        </w:rPr>
        <w:instrText xml:space="preserve"> REF _Ref130487357 \h </w:instrText>
      </w:r>
      <w:r w:rsidRPr="006F283B">
        <w:rPr>
          <w:color w:val="auto"/>
        </w:rPr>
      </w:r>
      <w:r w:rsidRPr="006F283B">
        <w:rPr>
          <w:color w:val="auto"/>
        </w:rPr>
        <w:fldChar w:fldCharType="separate"/>
      </w:r>
      <w:r w:rsidR="00305654" w:rsidRPr="006F283B">
        <w:t xml:space="preserve">Table </w:t>
      </w:r>
      <w:r w:rsidR="00305654">
        <w:rPr>
          <w:noProof/>
        </w:rPr>
        <w:t>12</w:t>
      </w:r>
      <w:r w:rsidRPr="006F283B">
        <w:rPr>
          <w:color w:val="auto"/>
        </w:rPr>
        <w:fldChar w:fldCharType="end"/>
      </w:r>
      <w:r w:rsidRPr="006F283B">
        <w:rPr>
          <w:color w:val="auto"/>
        </w:rPr>
        <w:t>.</w:t>
      </w:r>
      <w:r w:rsidR="00840866" w:rsidRPr="006F283B">
        <w:rPr>
          <w:color w:val="auto"/>
        </w:rPr>
        <w:t xml:space="preserve"> </w:t>
      </w:r>
      <w:r w:rsidR="00121259" w:rsidRPr="006F283B">
        <w:rPr>
          <w:color w:val="auto"/>
        </w:rPr>
        <w:t>As noted above, unanchored side by side comparisons between single arms of the PRIMA and PAOLA</w:t>
      </w:r>
      <w:r w:rsidR="00121259" w:rsidRPr="006F283B">
        <w:rPr>
          <w:color w:val="auto"/>
        </w:rPr>
        <w:noBreakHyphen/>
        <w:t>1 trials should be considered as highly uncertain due to lack of adjustment for confounding factors and multiple sources of heterogeneity between trials. However, a visual inspection indicates t</w:t>
      </w:r>
      <w:r w:rsidR="00840866" w:rsidRPr="006F283B">
        <w:rPr>
          <w:color w:val="auto"/>
        </w:rPr>
        <w:t>he safety data between the niraparib and olaparib plus bevacizumab arms are generally comparable, with a slightly higher proportion of olaparib plus bevacizumab patients experiencing any TEAE (by approximately 2%), a grade ≥3 TEAE (by approximately 4%), a SAE (by approximately 5%) and a TEAE leading to treatment discontinuation (by approximately 7%).</w:t>
      </w:r>
      <w:bookmarkEnd w:id="99"/>
    </w:p>
    <w:p w14:paraId="2D3FE00E" w14:textId="662C0D36" w:rsidR="00D4148C" w:rsidRPr="006F283B" w:rsidRDefault="0090182B" w:rsidP="00593A64">
      <w:pPr>
        <w:pStyle w:val="Caption"/>
      </w:pPr>
      <w:bookmarkStart w:id="100" w:name="_Ref130487357"/>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12</w:t>
      </w:r>
      <w:r w:rsidR="00091054">
        <w:rPr>
          <w:noProof/>
        </w:rPr>
        <w:fldChar w:fldCharType="end"/>
      </w:r>
      <w:bookmarkEnd w:id="100"/>
      <w:r w:rsidR="00AF3FA2">
        <w:t xml:space="preserve">: </w:t>
      </w:r>
      <w:r w:rsidR="00D4148C" w:rsidRPr="006F283B">
        <w:t xml:space="preserve">Overall summary of TEAEs in PRIMA and PAOLA-1 </w:t>
      </w:r>
    </w:p>
    <w:tbl>
      <w:tblPr>
        <w:tblStyle w:val="newstyle14"/>
        <w:tblW w:w="5000" w:type="pct"/>
        <w:tblLayout w:type="fixed"/>
        <w:tblCellMar>
          <w:left w:w="28" w:type="dxa"/>
          <w:right w:w="28" w:type="dxa"/>
        </w:tblCellMar>
        <w:tblLook w:val="04A0" w:firstRow="1" w:lastRow="0" w:firstColumn="1" w:lastColumn="0" w:noHBand="0" w:noVBand="1"/>
      </w:tblPr>
      <w:tblGrid>
        <w:gridCol w:w="1864"/>
        <w:gridCol w:w="1192"/>
        <w:gridCol w:w="1192"/>
        <w:gridCol w:w="1192"/>
        <w:gridCol w:w="1192"/>
        <w:gridCol w:w="1192"/>
        <w:gridCol w:w="1192"/>
      </w:tblGrid>
      <w:tr w:rsidR="00D4148C" w:rsidRPr="006F283B" w14:paraId="5F18F2C9" w14:textId="77777777" w:rsidTr="00372EA1">
        <w:tc>
          <w:tcPr>
            <w:tcW w:w="1034" w:type="pct"/>
            <w:vMerge w:val="restart"/>
            <w:shd w:val="clear" w:color="auto" w:fill="auto"/>
            <w:vAlign w:val="center"/>
          </w:tcPr>
          <w:p w14:paraId="06833D59" w14:textId="77777777" w:rsidR="00D4148C" w:rsidRPr="006F283B" w:rsidRDefault="00D4148C" w:rsidP="00840866">
            <w:pPr>
              <w:keepNext/>
              <w:spacing w:before="0"/>
              <w:jc w:val="left"/>
              <w:rPr>
                <w:b/>
                <w:bCs/>
                <w:sz w:val="20"/>
                <w:szCs w:val="20"/>
                <w:lang w:val="en-AU"/>
              </w:rPr>
            </w:pPr>
            <w:r w:rsidRPr="006F283B">
              <w:rPr>
                <w:b/>
                <w:bCs/>
                <w:sz w:val="20"/>
                <w:szCs w:val="20"/>
                <w:lang w:val="en-AU"/>
              </w:rPr>
              <w:t>n (%)</w:t>
            </w:r>
          </w:p>
        </w:tc>
        <w:tc>
          <w:tcPr>
            <w:tcW w:w="1322" w:type="pct"/>
            <w:gridSpan w:val="2"/>
            <w:shd w:val="clear" w:color="auto" w:fill="auto"/>
            <w:vAlign w:val="center"/>
          </w:tcPr>
          <w:p w14:paraId="73D54503" w14:textId="77777777" w:rsidR="00D4148C" w:rsidRPr="006F283B" w:rsidRDefault="00D4148C" w:rsidP="00840866">
            <w:pPr>
              <w:keepNext/>
              <w:spacing w:before="0"/>
              <w:jc w:val="center"/>
              <w:rPr>
                <w:b/>
                <w:bCs/>
                <w:sz w:val="20"/>
                <w:szCs w:val="20"/>
                <w:lang w:val="en-AU"/>
              </w:rPr>
            </w:pPr>
            <w:r w:rsidRPr="006F283B">
              <w:rPr>
                <w:b/>
                <w:bCs/>
                <w:sz w:val="20"/>
                <w:szCs w:val="20"/>
                <w:lang w:val="en-AU"/>
              </w:rPr>
              <w:t>PRIMA (SAF) DCO: 17/05/2019</w:t>
            </w:r>
          </w:p>
        </w:tc>
        <w:tc>
          <w:tcPr>
            <w:tcW w:w="1322" w:type="pct"/>
            <w:gridSpan w:val="2"/>
            <w:shd w:val="clear" w:color="auto" w:fill="auto"/>
            <w:vAlign w:val="center"/>
          </w:tcPr>
          <w:p w14:paraId="57C58172" w14:textId="77777777" w:rsidR="00D4148C" w:rsidRPr="006F283B" w:rsidRDefault="00D4148C" w:rsidP="00840866">
            <w:pPr>
              <w:keepNext/>
              <w:spacing w:before="0"/>
              <w:jc w:val="center"/>
              <w:rPr>
                <w:b/>
                <w:bCs/>
                <w:sz w:val="20"/>
                <w:szCs w:val="20"/>
                <w:lang w:val="en-AU"/>
              </w:rPr>
            </w:pPr>
            <w:r w:rsidRPr="006F283B">
              <w:rPr>
                <w:b/>
                <w:bCs/>
                <w:sz w:val="20"/>
                <w:szCs w:val="20"/>
                <w:lang w:val="en-AU"/>
              </w:rPr>
              <w:t>PRIMA (SAF) DCO: 17/11/2021</w:t>
            </w:r>
          </w:p>
        </w:tc>
        <w:tc>
          <w:tcPr>
            <w:tcW w:w="1322" w:type="pct"/>
            <w:gridSpan w:val="2"/>
            <w:shd w:val="clear" w:color="auto" w:fill="auto"/>
            <w:vAlign w:val="center"/>
          </w:tcPr>
          <w:p w14:paraId="4F03C7E8" w14:textId="77777777" w:rsidR="00D4148C" w:rsidRPr="006F283B" w:rsidRDefault="00D4148C" w:rsidP="00840866">
            <w:pPr>
              <w:keepNext/>
              <w:spacing w:before="0"/>
              <w:jc w:val="center"/>
              <w:rPr>
                <w:b/>
                <w:bCs/>
                <w:sz w:val="20"/>
                <w:szCs w:val="20"/>
                <w:lang w:val="en-AU"/>
              </w:rPr>
            </w:pPr>
            <w:r w:rsidRPr="006F283B">
              <w:rPr>
                <w:b/>
                <w:bCs/>
                <w:sz w:val="20"/>
                <w:szCs w:val="20"/>
                <w:lang w:val="en-AU"/>
              </w:rPr>
              <w:t>PAOLA-1 (SAF) DCO: 22/3/2019</w:t>
            </w:r>
          </w:p>
        </w:tc>
      </w:tr>
      <w:tr w:rsidR="00D4148C" w:rsidRPr="006F283B" w14:paraId="003B2182" w14:textId="77777777" w:rsidTr="00372EA1">
        <w:tc>
          <w:tcPr>
            <w:tcW w:w="1034" w:type="pct"/>
            <w:vMerge/>
            <w:shd w:val="clear" w:color="auto" w:fill="auto"/>
          </w:tcPr>
          <w:p w14:paraId="5B26EB40" w14:textId="77777777" w:rsidR="00D4148C" w:rsidRPr="006F283B" w:rsidRDefault="00D4148C" w:rsidP="00840866">
            <w:pPr>
              <w:keepNext/>
              <w:spacing w:before="0"/>
              <w:rPr>
                <w:b/>
                <w:bCs/>
                <w:sz w:val="20"/>
                <w:szCs w:val="20"/>
                <w:lang w:val="en-AU"/>
              </w:rPr>
            </w:pPr>
          </w:p>
        </w:tc>
        <w:tc>
          <w:tcPr>
            <w:tcW w:w="1322" w:type="pct"/>
            <w:gridSpan w:val="2"/>
            <w:shd w:val="clear" w:color="auto" w:fill="auto"/>
            <w:vAlign w:val="center"/>
          </w:tcPr>
          <w:p w14:paraId="7F1BD51B" w14:textId="77777777" w:rsidR="00D4148C" w:rsidRPr="006F283B" w:rsidRDefault="00D4148C" w:rsidP="00840866">
            <w:pPr>
              <w:keepNext/>
              <w:spacing w:before="0"/>
              <w:jc w:val="center"/>
              <w:rPr>
                <w:b/>
                <w:bCs/>
                <w:sz w:val="20"/>
                <w:szCs w:val="20"/>
                <w:lang w:val="en-AU"/>
              </w:rPr>
            </w:pPr>
            <w:r w:rsidRPr="006F283B">
              <w:rPr>
                <w:b/>
                <w:bCs/>
                <w:sz w:val="20"/>
                <w:szCs w:val="20"/>
                <w:lang w:val="en-AU"/>
              </w:rPr>
              <w:t xml:space="preserve">ISD cohort </w:t>
            </w:r>
          </w:p>
        </w:tc>
        <w:tc>
          <w:tcPr>
            <w:tcW w:w="1322" w:type="pct"/>
            <w:gridSpan w:val="2"/>
            <w:shd w:val="clear" w:color="auto" w:fill="auto"/>
          </w:tcPr>
          <w:p w14:paraId="69CB6B5C" w14:textId="77777777" w:rsidR="00D4148C" w:rsidRPr="006F283B" w:rsidRDefault="00D4148C" w:rsidP="00840866">
            <w:pPr>
              <w:keepNext/>
              <w:spacing w:before="0"/>
              <w:jc w:val="center"/>
              <w:rPr>
                <w:b/>
                <w:bCs/>
                <w:sz w:val="20"/>
                <w:szCs w:val="20"/>
                <w:lang w:val="en-AU"/>
              </w:rPr>
            </w:pPr>
            <w:r w:rsidRPr="006F283B">
              <w:rPr>
                <w:b/>
                <w:bCs/>
                <w:sz w:val="20"/>
                <w:szCs w:val="20"/>
                <w:lang w:val="en-AU"/>
              </w:rPr>
              <w:t>ISD cohort</w:t>
            </w:r>
          </w:p>
        </w:tc>
        <w:tc>
          <w:tcPr>
            <w:tcW w:w="1322" w:type="pct"/>
            <w:gridSpan w:val="2"/>
            <w:shd w:val="clear" w:color="auto" w:fill="auto"/>
            <w:vAlign w:val="center"/>
          </w:tcPr>
          <w:p w14:paraId="3BE2A0AF" w14:textId="77777777" w:rsidR="00D4148C" w:rsidRPr="006F283B" w:rsidRDefault="00D4148C" w:rsidP="00840866">
            <w:pPr>
              <w:keepNext/>
              <w:spacing w:before="0"/>
              <w:jc w:val="center"/>
              <w:rPr>
                <w:b/>
                <w:bCs/>
                <w:sz w:val="20"/>
                <w:szCs w:val="20"/>
                <w:lang w:val="en-AU"/>
              </w:rPr>
            </w:pPr>
            <w:r w:rsidRPr="006F283B">
              <w:rPr>
                <w:b/>
                <w:bCs/>
                <w:sz w:val="20"/>
                <w:szCs w:val="20"/>
                <w:lang w:val="en-AU"/>
              </w:rPr>
              <w:t>ITT</w:t>
            </w:r>
          </w:p>
        </w:tc>
      </w:tr>
      <w:tr w:rsidR="00D4148C" w:rsidRPr="006F283B" w14:paraId="2AA99779" w14:textId="77777777" w:rsidTr="00372EA1">
        <w:tc>
          <w:tcPr>
            <w:tcW w:w="1034" w:type="pct"/>
            <w:vMerge/>
            <w:shd w:val="clear" w:color="auto" w:fill="auto"/>
          </w:tcPr>
          <w:p w14:paraId="77813A16" w14:textId="77777777" w:rsidR="00D4148C" w:rsidRPr="006F283B" w:rsidRDefault="00D4148C" w:rsidP="00840866">
            <w:pPr>
              <w:keepNext/>
              <w:spacing w:before="0"/>
              <w:rPr>
                <w:b/>
                <w:bCs/>
                <w:sz w:val="20"/>
                <w:szCs w:val="20"/>
                <w:lang w:val="en-AU"/>
              </w:rPr>
            </w:pPr>
          </w:p>
        </w:tc>
        <w:tc>
          <w:tcPr>
            <w:tcW w:w="661" w:type="pct"/>
            <w:shd w:val="clear" w:color="auto" w:fill="auto"/>
            <w:vAlign w:val="center"/>
          </w:tcPr>
          <w:p w14:paraId="339E513C" w14:textId="77777777" w:rsidR="00D4148C" w:rsidRPr="006F283B" w:rsidRDefault="00D4148C" w:rsidP="00840866">
            <w:pPr>
              <w:keepNext/>
              <w:spacing w:before="0"/>
              <w:jc w:val="center"/>
              <w:rPr>
                <w:b/>
                <w:bCs/>
                <w:sz w:val="20"/>
                <w:szCs w:val="20"/>
                <w:lang w:val="en-AU"/>
              </w:rPr>
            </w:pPr>
            <w:r w:rsidRPr="006F283B">
              <w:rPr>
                <w:b/>
                <w:bCs/>
                <w:sz w:val="20"/>
                <w:szCs w:val="20"/>
                <w:lang w:val="en-AU"/>
              </w:rPr>
              <w:t>NIRA</w:t>
            </w:r>
          </w:p>
          <w:p w14:paraId="5B9F3A98" w14:textId="77777777" w:rsidR="00D4148C" w:rsidRPr="006F283B" w:rsidRDefault="00D4148C" w:rsidP="00840866">
            <w:pPr>
              <w:keepNext/>
              <w:spacing w:before="0"/>
              <w:jc w:val="center"/>
              <w:rPr>
                <w:b/>
                <w:bCs/>
                <w:sz w:val="20"/>
                <w:szCs w:val="20"/>
                <w:lang w:val="en-AU"/>
              </w:rPr>
            </w:pPr>
            <w:r w:rsidRPr="006F283B">
              <w:rPr>
                <w:b/>
                <w:bCs/>
                <w:sz w:val="20"/>
                <w:szCs w:val="20"/>
                <w:lang w:val="en-AU"/>
              </w:rPr>
              <w:t>(N=169)</w:t>
            </w:r>
          </w:p>
        </w:tc>
        <w:tc>
          <w:tcPr>
            <w:tcW w:w="661" w:type="pct"/>
            <w:shd w:val="clear" w:color="auto" w:fill="auto"/>
            <w:vAlign w:val="center"/>
          </w:tcPr>
          <w:p w14:paraId="0697C438" w14:textId="77777777" w:rsidR="00D4148C" w:rsidRPr="006F283B" w:rsidRDefault="00D4148C" w:rsidP="00840866">
            <w:pPr>
              <w:keepNext/>
              <w:spacing w:before="0"/>
              <w:jc w:val="center"/>
              <w:rPr>
                <w:b/>
                <w:bCs/>
                <w:sz w:val="20"/>
                <w:szCs w:val="20"/>
                <w:lang w:val="en-AU"/>
              </w:rPr>
            </w:pPr>
            <w:r w:rsidRPr="006F283B">
              <w:rPr>
                <w:b/>
                <w:bCs/>
                <w:sz w:val="20"/>
                <w:szCs w:val="20"/>
                <w:lang w:val="en-AU"/>
              </w:rPr>
              <w:t>PBO</w:t>
            </w:r>
          </w:p>
          <w:p w14:paraId="074F5A82" w14:textId="77777777" w:rsidR="00D4148C" w:rsidRPr="006F283B" w:rsidRDefault="00D4148C" w:rsidP="00840866">
            <w:pPr>
              <w:keepNext/>
              <w:spacing w:before="0"/>
              <w:jc w:val="center"/>
              <w:rPr>
                <w:b/>
                <w:bCs/>
                <w:sz w:val="20"/>
                <w:szCs w:val="20"/>
                <w:lang w:val="en-AU"/>
              </w:rPr>
            </w:pPr>
            <w:r w:rsidRPr="006F283B">
              <w:rPr>
                <w:b/>
                <w:bCs/>
                <w:sz w:val="20"/>
                <w:szCs w:val="20"/>
                <w:lang w:val="en-AU"/>
              </w:rPr>
              <w:t>(N=86)</w:t>
            </w:r>
          </w:p>
        </w:tc>
        <w:tc>
          <w:tcPr>
            <w:tcW w:w="661" w:type="pct"/>
            <w:shd w:val="clear" w:color="auto" w:fill="auto"/>
            <w:vAlign w:val="center"/>
          </w:tcPr>
          <w:p w14:paraId="0A4FEF9E" w14:textId="77777777" w:rsidR="00D4148C" w:rsidRPr="006F283B" w:rsidRDefault="00D4148C" w:rsidP="00840866">
            <w:pPr>
              <w:keepNext/>
              <w:spacing w:before="0"/>
              <w:jc w:val="center"/>
              <w:rPr>
                <w:b/>
                <w:bCs/>
                <w:sz w:val="20"/>
                <w:szCs w:val="20"/>
                <w:lang w:val="en-AU"/>
              </w:rPr>
            </w:pPr>
            <w:r w:rsidRPr="006F283B">
              <w:rPr>
                <w:b/>
                <w:bCs/>
                <w:sz w:val="20"/>
                <w:szCs w:val="20"/>
                <w:lang w:val="en-AU"/>
              </w:rPr>
              <w:t>NIRA</w:t>
            </w:r>
          </w:p>
          <w:p w14:paraId="37A83154" w14:textId="77777777" w:rsidR="00D4148C" w:rsidRPr="006F283B" w:rsidRDefault="00D4148C" w:rsidP="00840866">
            <w:pPr>
              <w:keepNext/>
              <w:spacing w:before="0"/>
              <w:jc w:val="center"/>
              <w:rPr>
                <w:b/>
                <w:bCs/>
                <w:sz w:val="20"/>
                <w:szCs w:val="20"/>
                <w:lang w:val="en-AU"/>
              </w:rPr>
            </w:pPr>
            <w:r w:rsidRPr="006F283B">
              <w:rPr>
                <w:b/>
                <w:bCs/>
                <w:sz w:val="20"/>
                <w:szCs w:val="20"/>
                <w:lang w:val="en-AU"/>
              </w:rPr>
              <w:t>(N=169)</w:t>
            </w:r>
          </w:p>
        </w:tc>
        <w:tc>
          <w:tcPr>
            <w:tcW w:w="661" w:type="pct"/>
            <w:shd w:val="clear" w:color="auto" w:fill="auto"/>
            <w:vAlign w:val="center"/>
          </w:tcPr>
          <w:p w14:paraId="4A792E72" w14:textId="77777777" w:rsidR="00D4148C" w:rsidRPr="006F283B" w:rsidRDefault="00D4148C" w:rsidP="00840866">
            <w:pPr>
              <w:keepNext/>
              <w:spacing w:before="0"/>
              <w:jc w:val="center"/>
              <w:rPr>
                <w:b/>
                <w:bCs/>
                <w:sz w:val="20"/>
                <w:szCs w:val="20"/>
                <w:lang w:val="en-AU"/>
              </w:rPr>
            </w:pPr>
            <w:r w:rsidRPr="006F283B">
              <w:rPr>
                <w:b/>
                <w:bCs/>
                <w:sz w:val="20"/>
                <w:szCs w:val="20"/>
                <w:lang w:val="en-AU"/>
              </w:rPr>
              <w:t>PBO</w:t>
            </w:r>
          </w:p>
          <w:p w14:paraId="25F79778" w14:textId="77777777" w:rsidR="00D4148C" w:rsidRPr="006F283B" w:rsidRDefault="00D4148C" w:rsidP="00840866">
            <w:pPr>
              <w:keepNext/>
              <w:spacing w:before="0"/>
              <w:jc w:val="center"/>
              <w:rPr>
                <w:b/>
                <w:bCs/>
                <w:sz w:val="20"/>
                <w:szCs w:val="20"/>
                <w:lang w:val="en-AU"/>
              </w:rPr>
            </w:pPr>
            <w:r w:rsidRPr="006F283B">
              <w:rPr>
                <w:b/>
                <w:bCs/>
                <w:sz w:val="20"/>
                <w:szCs w:val="20"/>
                <w:lang w:val="en-AU"/>
              </w:rPr>
              <w:t>(N=86)</w:t>
            </w:r>
          </w:p>
        </w:tc>
        <w:tc>
          <w:tcPr>
            <w:tcW w:w="661" w:type="pct"/>
            <w:shd w:val="clear" w:color="auto" w:fill="auto"/>
            <w:vAlign w:val="center"/>
          </w:tcPr>
          <w:p w14:paraId="267A9815" w14:textId="77777777" w:rsidR="00D4148C" w:rsidRPr="006F283B" w:rsidRDefault="00D4148C" w:rsidP="00840866">
            <w:pPr>
              <w:keepNext/>
              <w:spacing w:before="0"/>
              <w:jc w:val="center"/>
              <w:rPr>
                <w:b/>
                <w:bCs/>
                <w:sz w:val="20"/>
                <w:szCs w:val="20"/>
                <w:lang w:val="en-AU"/>
              </w:rPr>
            </w:pPr>
            <w:r w:rsidRPr="006F283B">
              <w:rPr>
                <w:b/>
                <w:bCs/>
                <w:sz w:val="20"/>
                <w:szCs w:val="20"/>
                <w:lang w:val="en-AU"/>
              </w:rPr>
              <w:t>OLA/BEVA</w:t>
            </w:r>
          </w:p>
          <w:p w14:paraId="48292E07" w14:textId="77777777" w:rsidR="00D4148C" w:rsidRPr="006F283B" w:rsidRDefault="00D4148C" w:rsidP="00840866">
            <w:pPr>
              <w:keepNext/>
              <w:spacing w:before="0"/>
              <w:jc w:val="center"/>
              <w:rPr>
                <w:b/>
                <w:bCs/>
                <w:sz w:val="20"/>
                <w:szCs w:val="20"/>
                <w:lang w:val="en-AU"/>
              </w:rPr>
            </w:pPr>
            <w:r w:rsidRPr="006F283B">
              <w:rPr>
                <w:b/>
                <w:bCs/>
                <w:sz w:val="20"/>
                <w:szCs w:val="20"/>
                <w:lang w:val="en-AU"/>
              </w:rPr>
              <w:t>(N=535)</w:t>
            </w:r>
          </w:p>
        </w:tc>
        <w:tc>
          <w:tcPr>
            <w:tcW w:w="661" w:type="pct"/>
            <w:shd w:val="clear" w:color="auto" w:fill="auto"/>
            <w:vAlign w:val="center"/>
          </w:tcPr>
          <w:p w14:paraId="6ED7988F" w14:textId="77777777" w:rsidR="00D4148C" w:rsidRPr="006F283B" w:rsidRDefault="00D4148C" w:rsidP="00840866">
            <w:pPr>
              <w:keepNext/>
              <w:spacing w:before="0"/>
              <w:jc w:val="center"/>
              <w:rPr>
                <w:b/>
                <w:bCs/>
                <w:sz w:val="20"/>
                <w:szCs w:val="20"/>
                <w:lang w:val="en-AU"/>
              </w:rPr>
            </w:pPr>
            <w:r w:rsidRPr="006F283B">
              <w:rPr>
                <w:b/>
                <w:bCs/>
                <w:sz w:val="20"/>
                <w:szCs w:val="20"/>
                <w:lang w:val="en-AU"/>
              </w:rPr>
              <w:t>PBO/BEVA</w:t>
            </w:r>
          </w:p>
          <w:p w14:paraId="600493DE" w14:textId="77777777" w:rsidR="00D4148C" w:rsidRPr="006F283B" w:rsidRDefault="00D4148C" w:rsidP="00840866">
            <w:pPr>
              <w:keepNext/>
              <w:spacing w:before="0"/>
              <w:jc w:val="center"/>
              <w:rPr>
                <w:b/>
                <w:bCs/>
                <w:sz w:val="20"/>
                <w:szCs w:val="20"/>
                <w:lang w:val="en-AU"/>
              </w:rPr>
            </w:pPr>
            <w:r w:rsidRPr="006F283B">
              <w:rPr>
                <w:b/>
                <w:bCs/>
                <w:sz w:val="20"/>
                <w:szCs w:val="20"/>
                <w:lang w:val="en-AU"/>
              </w:rPr>
              <w:t>(N=267)</w:t>
            </w:r>
          </w:p>
        </w:tc>
      </w:tr>
      <w:tr w:rsidR="00D4148C" w:rsidRPr="006F283B" w14:paraId="2DD59F85" w14:textId="77777777" w:rsidTr="00372EA1">
        <w:tc>
          <w:tcPr>
            <w:tcW w:w="1034" w:type="pct"/>
          </w:tcPr>
          <w:p w14:paraId="4724BF0B" w14:textId="77777777" w:rsidR="00D4148C" w:rsidRPr="006F283B" w:rsidRDefault="00D4148C" w:rsidP="00840866">
            <w:pPr>
              <w:keepNext/>
              <w:spacing w:before="0"/>
              <w:rPr>
                <w:sz w:val="20"/>
                <w:szCs w:val="20"/>
                <w:lang w:val="en-AU"/>
              </w:rPr>
            </w:pPr>
            <w:r w:rsidRPr="006F283B">
              <w:rPr>
                <w:sz w:val="20"/>
                <w:szCs w:val="20"/>
                <w:lang w:val="en-AU"/>
              </w:rPr>
              <w:t>Any TEAE</w:t>
            </w:r>
          </w:p>
        </w:tc>
        <w:tc>
          <w:tcPr>
            <w:tcW w:w="661" w:type="pct"/>
            <w:vAlign w:val="center"/>
          </w:tcPr>
          <w:p w14:paraId="67C1EAC7" w14:textId="77777777" w:rsidR="00D4148C" w:rsidRPr="006F283B" w:rsidRDefault="00D4148C" w:rsidP="00840866">
            <w:pPr>
              <w:keepNext/>
              <w:spacing w:before="0"/>
              <w:jc w:val="center"/>
              <w:rPr>
                <w:sz w:val="20"/>
                <w:szCs w:val="20"/>
                <w:lang w:val="en-AU"/>
              </w:rPr>
            </w:pPr>
            <w:r w:rsidRPr="006F283B">
              <w:rPr>
                <w:sz w:val="20"/>
                <w:szCs w:val="20"/>
                <w:lang w:val="en-AU"/>
              </w:rPr>
              <w:t>165 (97.6)</w:t>
            </w:r>
          </w:p>
        </w:tc>
        <w:tc>
          <w:tcPr>
            <w:tcW w:w="661" w:type="pct"/>
            <w:vAlign w:val="center"/>
          </w:tcPr>
          <w:p w14:paraId="1558AFB5" w14:textId="77777777" w:rsidR="00D4148C" w:rsidRPr="006F283B" w:rsidRDefault="00D4148C" w:rsidP="00840866">
            <w:pPr>
              <w:keepNext/>
              <w:spacing w:before="0"/>
              <w:jc w:val="center"/>
              <w:rPr>
                <w:sz w:val="20"/>
                <w:szCs w:val="20"/>
                <w:lang w:val="en-AU"/>
              </w:rPr>
            </w:pPr>
            <w:r w:rsidRPr="006F283B">
              <w:rPr>
                <w:sz w:val="20"/>
                <w:szCs w:val="20"/>
                <w:lang w:val="en-AU"/>
              </w:rPr>
              <w:t>76 (88.4)</w:t>
            </w:r>
          </w:p>
        </w:tc>
        <w:tc>
          <w:tcPr>
            <w:tcW w:w="661" w:type="pct"/>
            <w:shd w:val="clear" w:color="auto" w:fill="auto"/>
            <w:vAlign w:val="center"/>
          </w:tcPr>
          <w:p w14:paraId="06597D50" w14:textId="77777777" w:rsidR="00D4148C" w:rsidRPr="006F283B" w:rsidRDefault="00D4148C" w:rsidP="00840866">
            <w:pPr>
              <w:keepNext/>
              <w:spacing w:before="0"/>
              <w:jc w:val="center"/>
              <w:rPr>
                <w:sz w:val="20"/>
                <w:szCs w:val="20"/>
                <w:lang w:val="en-AU"/>
              </w:rPr>
            </w:pPr>
            <w:r w:rsidRPr="006F283B">
              <w:rPr>
                <w:sz w:val="20"/>
                <w:szCs w:val="20"/>
                <w:lang w:val="en-AU"/>
              </w:rPr>
              <w:t>166 (98.2)</w:t>
            </w:r>
          </w:p>
        </w:tc>
        <w:tc>
          <w:tcPr>
            <w:tcW w:w="661" w:type="pct"/>
            <w:shd w:val="clear" w:color="auto" w:fill="auto"/>
            <w:vAlign w:val="center"/>
          </w:tcPr>
          <w:p w14:paraId="32290F46" w14:textId="77777777" w:rsidR="00D4148C" w:rsidRPr="006F283B" w:rsidRDefault="00D4148C" w:rsidP="00840866">
            <w:pPr>
              <w:keepNext/>
              <w:spacing w:before="0"/>
              <w:jc w:val="center"/>
              <w:rPr>
                <w:sz w:val="20"/>
                <w:szCs w:val="20"/>
                <w:lang w:val="en-AU"/>
              </w:rPr>
            </w:pPr>
            <w:r w:rsidRPr="006F283B">
              <w:rPr>
                <w:sz w:val="20"/>
                <w:szCs w:val="20"/>
                <w:lang w:val="en-AU"/>
              </w:rPr>
              <w:t>79 (91.9)</w:t>
            </w:r>
          </w:p>
        </w:tc>
        <w:tc>
          <w:tcPr>
            <w:tcW w:w="661" w:type="pct"/>
            <w:vAlign w:val="center"/>
          </w:tcPr>
          <w:p w14:paraId="6C3BC685" w14:textId="77777777" w:rsidR="00D4148C" w:rsidRPr="006F283B" w:rsidRDefault="00D4148C" w:rsidP="00840866">
            <w:pPr>
              <w:keepNext/>
              <w:spacing w:before="0"/>
              <w:jc w:val="center"/>
              <w:rPr>
                <w:sz w:val="20"/>
                <w:szCs w:val="20"/>
                <w:lang w:val="en-AU"/>
              </w:rPr>
            </w:pPr>
            <w:r w:rsidRPr="006F283B">
              <w:rPr>
                <w:sz w:val="20"/>
                <w:szCs w:val="20"/>
                <w:lang w:val="en-AU"/>
              </w:rPr>
              <w:t>531 (99.3)</w:t>
            </w:r>
          </w:p>
        </w:tc>
        <w:tc>
          <w:tcPr>
            <w:tcW w:w="661" w:type="pct"/>
            <w:vAlign w:val="center"/>
          </w:tcPr>
          <w:p w14:paraId="4C3BD134" w14:textId="77777777" w:rsidR="00D4148C" w:rsidRPr="006F283B" w:rsidRDefault="00D4148C" w:rsidP="00840866">
            <w:pPr>
              <w:keepNext/>
              <w:spacing w:before="0"/>
              <w:jc w:val="center"/>
              <w:rPr>
                <w:sz w:val="20"/>
                <w:szCs w:val="20"/>
                <w:lang w:val="en-AU"/>
              </w:rPr>
            </w:pPr>
            <w:r w:rsidRPr="006F283B">
              <w:rPr>
                <w:sz w:val="20"/>
                <w:szCs w:val="20"/>
                <w:lang w:val="en-AU"/>
              </w:rPr>
              <w:t>256 (95.9)</w:t>
            </w:r>
          </w:p>
        </w:tc>
      </w:tr>
      <w:tr w:rsidR="00D4148C" w:rsidRPr="006F283B" w14:paraId="0E7FA0BD" w14:textId="77777777" w:rsidTr="00372EA1">
        <w:tc>
          <w:tcPr>
            <w:tcW w:w="1034" w:type="pct"/>
          </w:tcPr>
          <w:p w14:paraId="77556CCE" w14:textId="77777777" w:rsidR="00D4148C" w:rsidRPr="006F283B" w:rsidRDefault="00D4148C" w:rsidP="00840866">
            <w:pPr>
              <w:keepNext/>
              <w:spacing w:before="0"/>
              <w:jc w:val="left"/>
              <w:rPr>
                <w:sz w:val="20"/>
                <w:szCs w:val="20"/>
                <w:lang w:val="en-AU"/>
              </w:rPr>
            </w:pPr>
            <w:r w:rsidRPr="006F283B">
              <w:rPr>
                <w:sz w:val="20"/>
                <w:szCs w:val="20"/>
                <w:lang w:val="en-AU"/>
              </w:rPr>
              <w:t>Gr ≥3 TEAE</w:t>
            </w:r>
          </w:p>
        </w:tc>
        <w:tc>
          <w:tcPr>
            <w:tcW w:w="661" w:type="pct"/>
            <w:vAlign w:val="center"/>
          </w:tcPr>
          <w:p w14:paraId="233C2395" w14:textId="77777777" w:rsidR="00D4148C" w:rsidRPr="006F283B" w:rsidRDefault="00D4148C" w:rsidP="00840866">
            <w:pPr>
              <w:keepNext/>
              <w:spacing w:before="0"/>
              <w:jc w:val="center"/>
              <w:rPr>
                <w:sz w:val="20"/>
                <w:szCs w:val="20"/>
                <w:lang w:val="en-AU"/>
              </w:rPr>
            </w:pPr>
            <w:r w:rsidRPr="006F283B">
              <w:rPr>
                <w:sz w:val="20"/>
                <w:szCs w:val="20"/>
                <w:lang w:val="en-AU"/>
              </w:rPr>
              <w:t>102 (60.4)</w:t>
            </w:r>
          </w:p>
        </w:tc>
        <w:tc>
          <w:tcPr>
            <w:tcW w:w="661" w:type="pct"/>
            <w:vAlign w:val="center"/>
          </w:tcPr>
          <w:p w14:paraId="552DD1A3" w14:textId="77777777" w:rsidR="00D4148C" w:rsidRPr="006F283B" w:rsidRDefault="00D4148C" w:rsidP="00840866">
            <w:pPr>
              <w:keepNext/>
              <w:spacing w:before="0"/>
              <w:jc w:val="center"/>
              <w:rPr>
                <w:sz w:val="20"/>
                <w:szCs w:val="20"/>
                <w:lang w:val="en-AU"/>
              </w:rPr>
            </w:pPr>
            <w:r w:rsidRPr="006F283B">
              <w:rPr>
                <w:sz w:val="20"/>
                <w:szCs w:val="20"/>
                <w:lang w:val="en-AU"/>
              </w:rPr>
              <w:t>16 (18.6)</w:t>
            </w:r>
          </w:p>
        </w:tc>
        <w:tc>
          <w:tcPr>
            <w:tcW w:w="661" w:type="pct"/>
            <w:shd w:val="clear" w:color="auto" w:fill="auto"/>
            <w:vAlign w:val="center"/>
          </w:tcPr>
          <w:p w14:paraId="59D03121" w14:textId="77777777" w:rsidR="00D4148C" w:rsidRPr="006F283B" w:rsidRDefault="00D4148C" w:rsidP="00840866">
            <w:pPr>
              <w:keepNext/>
              <w:spacing w:before="0"/>
              <w:jc w:val="center"/>
              <w:rPr>
                <w:sz w:val="20"/>
                <w:szCs w:val="20"/>
                <w:lang w:val="en-AU"/>
              </w:rPr>
            </w:pPr>
            <w:r w:rsidRPr="006F283B">
              <w:rPr>
                <w:sz w:val="20"/>
                <w:szCs w:val="20"/>
                <w:lang w:val="en-AU"/>
              </w:rPr>
              <w:t>106 (62.7)</w:t>
            </w:r>
          </w:p>
        </w:tc>
        <w:tc>
          <w:tcPr>
            <w:tcW w:w="661" w:type="pct"/>
            <w:shd w:val="clear" w:color="auto" w:fill="auto"/>
            <w:vAlign w:val="center"/>
          </w:tcPr>
          <w:p w14:paraId="22F9B3CE" w14:textId="77777777" w:rsidR="00D4148C" w:rsidRPr="006F283B" w:rsidRDefault="00D4148C" w:rsidP="00840866">
            <w:pPr>
              <w:keepNext/>
              <w:spacing w:before="0"/>
              <w:jc w:val="center"/>
              <w:rPr>
                <w:sz w:val="20"/>
                <w:szCs w:val="20"/>
                <w:lang w:val="en-AU"/>
              </w:rPr>
            </w:pPr>
            <w:r w:rsidRPr="006F283B">
              <w:rPr>
                <w:sz w:val="20"/>
                <w:szCs w:val="20"/>
                <w:lang w:val="en-AU"/>
              </w:rPr>
              <w:t>20 (23.3)</w:t>
            </w:r>
          </w:p>
        </w:tc>
        <w:tc>
          <w:tcPr>
            <w:tcW w:w="661" w:type="pct"/>
            <w:vAlign w:val="center"/>
          </w:tcPr>
          <w:p w14:paraId="6073A021" w14:textId="77777777" w:rsidR="00D4148C" w:rsidRPr="006F283B" w:rsidRDefault="00D4148C" w:rsidP="00840866">
            <w:pPr>
              <w:keepNext/>
              <w:spacing w:before="0"/>
              <w:jc w:val="center"/>
              <w:rPr>
                <w:sz w:val="20"/>
                <w:szCs w:val="20"/>
                <w:lang w:val="en-AU"/>
              </w:rPr>
            </w:pPr>
            <w:r w:rsidRPr="006F283B">
              <w:rPr>
                <w:sz w:val="20"/>
                <w:szCs w:val="20"/>
                <w:lang w:val="en-AU"/>
              </w:rPr>
              <w:t>303 (56.8)</w:t>
            </w:r>
          </w:p>
        </w:tc>
        <w:tc>
          <w:tcPr>
            <w:tcW w:w="661" w:type="pct"/>
            <w:vAlign w:val="center"/>
          </w:tcPr>
          <w:p w14:paraId="4ED2F7F7" w14:textId="77777777" w:rsidR="00D4148C" w:rsidRPr="006F283B" w:rsidRDefault="00D4148C" w:rsidP="00840866">
            <w:pPr>
              <w:keepNext/>
              <w:spacing w:before="0"/>
              <w:jc w:val="center"/>
              <w:rPr>
                <w:sz w:val="20"/>
                <w:szCs w:val="20"/>
                <w:lang w:val="en-AU"/>
              </w:rPr>
            </w:pPr>
            <w:r w:rsidRPr="006F283B">
              <w:rPr>
                <w:sz w:val="20"/>
                <w:szCs w:val="20"/>
                <w:lang w:val="en-AU"/>
              </w:rPr>
              <w:t>136 (50.9)</w:t>
            </w:r>
          </w:p>
        </w:tc>
      </w:tr>
      <w:tr w:rsidR="00D4148C" w:rsidRPr="006F283B" w14:paraId="4D54C035" w14:textId="77777777" w:rsidTr="00372EA1">
        <w:tc>
          <w:tcPr>
            <w:tcW w:w="1034" w:type="pct"/>
          </w:tcPr>
          <w:p w14:paraId="51463C9D" w14:textId="77777777" w:rsidR="00D4148C" w:rsidRPr="006F283B" w:rsidRDefault="00D4148C" w:rsidP="00840866">
            <w:pPr>
              <w:keepNext/>
              <w:spacing w:before="0"/>
              <w:jc w:val="left"/>
              <w:rPr>
                <w:sz w:val="20"/>
                <w:szCs w:val="20"/>
                <w:lang w:val="en-AU"/>
              </w:rPr>
            </w:pPr>
            <w:r w:rsidRPr="006F283B">
              <w:rPr>
                <w:sz w:val="20"/>
                <w:szCs w:val="20"/>
                <w:lang w:val="en-AU"/>
              </w:rPr>
              <w:t>SAE</w:t>
            </w:r>
          </w:p>
        </w:tc>
        <w:tc>
          <w:tcPr>
            <w:tcW w:w="661" w:type="pct"/>
            <w:vAlign w:val="center"/>
          </w:tcPr>
          <w:p w14:paraId="0E903798" w14:textId="77777777" w:rsidR="00D4148C" w:rsidRPr="006F283B" w:rsidRDefault="00D4148C" w:rsidP="00840866">
            <w:pPr>
              <w:keepNext/>
              <w:spacing w:before="0"/>
              <w:jc w:val="center"/>
              <w:rPr>
                <w:sz w:val="20"/>
                <w:szCs w:val="20"/>
                <w:lang w:val="en-AU"/>
              </w:rPr>
            </w:pPr>
            <w:r w:rsidRPr="006F283B">
              <w:rPr>
                <w:sz w:val="20"/>
                <w:szCs w:val="20"/>
                <w:lang w:val="en-AU"/>
              </w:rPr>
              <w:t>45 (26.6)</w:t>
            </w:r>
          </w:p>
        </w:tc>
        <w:tc>
          <w:tcPr>
            <w:tcW w:w="661" w:type="pct"/>
            <w:vAlign w:val="center"/>
          </w:tcPr>
          <w:p w14:paraId="4DB16C8D" w14:textId="77777777" w:rsidR="00D4148C" w:rsidRPr="006F283B" w:rsidRDefault="00D4148C" w:rsidP="00840866">
            <w:pPr>
              <w:keepNext/>
              <w:spacing w:before="0"/>
              <w:jc w:val="center"/>
              <w:rPr>
                <w:sz w:val="20"/>
                <w:szCs w:val="20"/>
                <w:lang w:val="en-AU"/>
              </w:rPr>
            </w:pPr>
            <w:r w:rsidRPr="006F283B">
              <w:rPr>
                <w:sz w:val="20"/>
                <w:szCs w:val="20"/>
                <w:lang w:val="en-AU"/>
              </w:rPr>
              <w:t>14 (16.3)</w:t>
            </w:r>
          </w:p>
        </w:tc>
        <w:tc>
          <w:tcPr>
            <w:tcW w:w="661" w:type="pct"/>
            <w:shd w:val="clear" w:color="auto" w:fill="auto"/>
            <w:vAlign w:val="center"/>
          </w:tcPr>
          <w:p w14:paraId="2A9E4F1E" w14:textId="77777777" w:rsidR="00D4148C" w:rsidRPr="006F283B" w:rsidRDefault="00D4148C" w:rsidP="00840866">
            <w:pPr>
              <w:keepNext/>
              <w:spacing w:before="0"/>
              <w:jc w:val="center"/>
              <w:rPr>
                <w:sz w:val="20"/>
                <w:szCs w:val="20"/>
                <w:lang w:val="en-AU"/>
              </w:rPr>
            </w:pPr>
            <w:r w:rsidRPr="006F283B">
              <w:rPr>
                <w:sz w:val="20"/>
                <w:szCs w:val="20"/>
                <w:lang w:val="en-AU"/>
              </w:rPr>
              <w:t>NR</w:t>
            </w:r>
          </w:p>
        </w:tc>
        <w:tc>
          <w:tcPr>
            <w:tcW w:w="661" w:type="pct"/>
            <w:shd w:val="clear" w:color="auto" w:fill="auto"/>
            <w:vAlign w:val="center"/>
          </w:tcPr>
          <w:p w14:paraId="164DE8F9" w14:textId="77777777" w:rsidR="00D4148C" w:rsidRPr="006F283B" w:rsidRDefault="00D4148C" w:rsidP="00840866">
            <w:pPr>
              <w:keepNext/>
              <w:spacing w:before="0"/>
              <w:jc w:val="center"/>
              <w:rPr>
                <w:sz w:val="20"/>
                <w:szCs w:val="20"/>
                <w:lang w:val="en-AU"/>
              </w:rPr>
            </w:pPr>
            <w:r w:rsidRPr="006F283B">
              <w:rPr>
                <w:sz w:val="20"/>
                <w:szCs w:val="20"/>
                <w:lang w:val="en-AU"/>
              </w:rPr>
              <w:t>NR</w:t>
            </w:r>
          </w:p>
        </w:tc>
        <w:tc>
          <w:tcPr>
            <w:tcW w:w="661" w:type="pct"/>
            <w:vAlign w:val="center"/>
          </w:tcPr>
          <w:p w14:paraId="45EF5F57" w14:textId="77777777" w:rsidR="00D4148C" w:rsidRPr="006F283B" w:rsidRDefault="00D4148C" w:rsidP="00840866">
            <w:pPr>
              <w:keepNext/>
              <w:spacing w:before="0"/>
              <w:jc w:val="center"/>
              <w:rPr>
                <w:sz w:val="20"/>
                <w:szCs w:val="20"/>
                <w:lang w:val="en-AU"/>
              </w:rPr>
            </w:pPr>
            <w:r w:rsidRPr="006F283B">
              <w:rPr>
                <w:sz w:val="20"/>
                <w:szCs w:val="20"/>
                <w:lang w:val="en-AU"/>
              </w:rPr>
              <w:t>167 (31.2)</w:t>
            </w:r>
          </w:p>
        </w:tc>
        <w:tc>
          <w:tcPr>
            <w:tcW w:w="661" w:type="pct"/>
            <w:vAlign w:val="center"/>
          </w:tcPr>
          <w:p w14:paraId="0B296001" w14:textId="77777777" w:rsidR="00D4148C" w:rsidRPr="006F283B" w:rsidRDefault="00D4148C" w:rsidP="00840866">
            <w:pPr>
              <w:keepNext/>
              <w:spacing w:before="0"/>
              <w:jc w:val="center"/>
              <w:rPr>
                <w:sz w:val="20"/>
                <w:szCs w:val="20"/>
                <w:lang w:val="en-AU"/>
              </w:rPr>
            </w:pPr>
            <w:r w:rsidRPr="006F283B">
              <w:rPr>
                <w:sz w:val="20"/>
                <w:szCs w:val="20"/>
                <w:lang w:val="en-AU"/>
              </w:rPr>
              <w:t>83 (31.1)</w:t>
            </w:r>
          </w:p>
        </w:tc>
      </w:tr>
      <w:tr w:rsidR="00D4148C" w:rsidRPr="006F283B" w14:paraId="48B85974" w14:textId="77777777" w:rsidTr="00372EA1">
        <w:tc>
          <w:tcPr>
            <w:tcW w:w="1034" w:type="pct"/>
          </w:tcPr>
          <w:p w14:paraId="475E93C9" w14:textId="77777777" w:rsidR="00D4148C" w:rsidRPr="006F283B" w:rsidRDefault="00D4148C" w:rsidP="00840866">
            <w:pPr>
              <w:keepNext/>
              <w:spacing w:before="0"/>
              <w:jc w:val="left"/>
              <w:rPr>
                <w:sz w:val="20"/>
                <w:szCs w:val="20"/>
                <w:lang w:val="en-AU"/>
              </w:rPr>
            </w:pPr>
            <w:r w:rsidRPr="006F283B">
              <w:rPr>
                <w:sz w:val="20"/>
                <w:szCs w:val="20"/>
                <w:lang w:val="en-AU"/>
              </w:rPr>
              <w:t>TEAEs leading to tx discontinuation</w:t>
            </w:r>
          </w:p>
        </w:tc>
        <w:tc>
          <w:tcPr>
            <w:tcW w:w="661" w:type="pct"/>
            <w:vAlign w:val="center"/>
          </w:tcPr>
          <w:p w14:paraId="12585A64" w14:textId="77777777" w:rsidR="00D4148C" w:rsidRPr="006F283B" w:rsidRDefault="00D4148C" w:rsidP="00840866">
            <w:pPr>
              <w:keepNext/>
              <w:spacing w:before="0"/>
              <w:jc w:val="center"/>
              <w:rPr>
                <w:sz w:val="20"/>
                <w:szCs w:val="20"/>
                <w:lang w:val="en-AU"/>
              </w:rPr>
            </w:pPr>
            <w:r w:rsidRPr="006F283B">
              <w:rPr>
                <w:sz w:val="20"/>
                <w:szCs w:val="20"/>
                <w:lang w:val="en-AU"/>
              </w:rPr>
              <w:t>23 (13.6)</w:t>
            </w:r>
          </w:p>
        </w:tc>
        <w:tc>
          <w:tcPr>
            <w:tcW w:w="661" w:type="pct"/>
            <w:vAlign w:val="center"/>
          </w:tcPr>
          <w:p w14:paraId="62907608" w14:textId="77777777" w:rsidR="00D4148C" w:rsidRPr="006F283B" w:rsidRDefault="00D4148C" w:rsidP="00840866">
            <w:pPr>
              <w:keepNext/>
              <w:spacing w:before="0"/>
              <w:jc w:val="center"/>
              <w:rPr>
                <w:sz w:val="20"/>
                <w:szCs w:val="20"/>
                <w:lang w:val="en-AU"/>
              </w:rPr>
            </w:pPr>
            <w:r w:rsidRPr="006F283B">
              <w:rPr>
                <w:sz w:val="20"/>
                <w:szCs w:val="20"/>
                <w:lang w:val="en-AU"/>
              </w:rPr>
              <w:t>2 (2.3)</w:t>
            </w:r>
          </w:p>
        </w:tc>
        <w:tc>
          <w:tcPr>
            <w:tcW w:w="661" w:type="pct"/>
            <w:shd w:val="clear" w:color="auto" w:fill="auto"/>
            <w:vAlign w:val="center"/>
          </w:tcPr>
          <w:p w14:paraId="5B0D0A97" w14:textId="77777777" w:rsidR="00D4148C" w:rsidRPr="006F283B" w:rsidRDefault="00D4148C" w:rsidP="00840866">
            <w:pPr>
              <w:keepNext/>
              <w:spacing w:before="0"/>
              <w:jc w:val="center"/>
              <w:rPr>
                <w:sz w:val="20"/>
                <w:szCs w:val="20"/>
                <w:lang w:val="en-AU"/>
              </w:rPr>
            </w:pPr>
            <w:r w:rsidRPr="006F283B">
              <w:rPr>
                <w:sz w:val="20"/>
                <w:szCs w:val="20"/>
                <w:lang w:val="en-AU"/>
              </w:rPr>
              <w:t>26 (15.4)</w:t>
            </w:r>
          </w:p>
        </w:tc>
        <w:tc>
          <w:tcPr>
            <w:tcW w:w="661" w:type="pct"/>
            <w:shd w:val="clear" w:color="auto" w:fill="auto"/>
            <w:vAlign w:val="center"/>
          </w:tcPr>
          <w:p w14:paraId="1E5C1C19" w14:textId="77777777" w:rsidR="00D4148C" w:rsidRPr="006F283B" w:rsidRDefault="00D4148C" w:rsidP="00840866">
            <w:pPr>
              <w:keepNext/>
              <w:spacing w:before="0"/>
              <w:jc w:val="center"/>
              <w:rPr>
                <w:sz w:val="20"/>
                <w:szCs w:val="20"/>
                <w:lang w:val="en-AU"/>
              </w:rPr>
            </w:pPr>
            <w:r w:rsidRPr="006F283B">
              <w:rPr>
                <w:sz w:val="20"/>
                <w:szCs w:val="20"/>
                <w:lang w:val="en-AU"/>
              </w:rPr>
              <w:t>2 (2.3)</w:t>
            </w:r>
          </w:p>
        </w:tc>
        <w:tc>
          <w:tcPr>
            <w:tcW w:w="661" w:type="pct"/>
            <w:vAlign w:val="center"/>
          </w:tcPr>
          <w:p w14:paraId="4EAEAB5F" w14:textId="77777777" w:rsidR="00D4148C" w:rsidRPr="006F283B" w:rsidRDefault="00D4148C" w:rsidP="00840866">
            <w:pPr>
              <w:keepNext/>
              <w:spacing w:before="0"/>
              <w:jc w:val="center"/>
              <w:rPr>
                <w:sz w:val="20"/>
                <w:szCs w:val="20"/>
                <w:lang w:val="en-AU"/>
              </w:rPr>
            </w:pPr>
            <w:r w:rsidRPr="006F283B">
              <w:rPr>
                <w:sz w:val="20"/>
                <w:szCs w:val="20"/>
                <w:lang w:val="en-AU"/>
              </w:rPr>
              <w:t>109 (20.4)</w:t>
            </w:r>
          </w:p>
        </w:tc>
        <w:tc>
          <w:tcPr>
            <w:tcW w:w="661" w:type="pct"/>
            <w:vAlign w:val="center"/>
          </w:tcPr>
          <w:p w14:paraId="1DF12F82" w14:textId="77777777" w:rsidR="00D4148C" w:rsidRPr="006F283B" w:rsidRDefault="00D4148C" w:rsidP="00840866">
            <w:pPr>
              <w:keepNext/>
              <w:spacing w:before="0"/>
              <w:jc w:val="center"/>
              <w:rPr>
                <w:sz w:val="20"/>
                <w:szCs w:val="20"/>
                <w:lang w:val="en-AU"/>
              </w:rPr>
            </w:pPr>
            <w:r w:rsidRPr="006F283B">
              <w:rPr>
                <w:sz w:val="20"/>
                <w:szCs w:val="20"/>
                <w:lang w:val="en-AU"/>
              </w:rPr>
              <w:t>15 (5.6)</w:t>
            </w:r>
          </w:p>
        </w:tc>
      </w:tr>
      <w:tr w:rsidR="00D4148C" w:rsidRPr="006F283B" w14:paraId="6FF89B8A" w14:textId="77777777" w:rsidTr="00372EA1">
        <w:tc>
          <w:tcPr>
            <w:tcW w:w="1034" w:type="pct"/>
          </w:tcPr>
          <w:p w14:paraId="634C9F10" w14:textId="77777777" w:rsidR="00D4148C" w:rsidRPr="006F283B" w:rsidRDefault="00D4148C" w:rsidP="00840866">
            <w:pPr>
              <w:keepNext/>
              <w:spacing w:before="0"/>
              <w:jc w:val="left"/>
              <w:rPr>
                <w:sz w:val="20"/>
                <w:szCs w:val="20"/>
                <w:lang w:val="en-AU"/>
              </w:rPr>
            </w:pPr>
            <w:r w:rsidRPr="006F283B">
              <w:rPr>
                <w:sz w:val="20"/>
                <w:szCs w:val="20"/>
                <w:lang w:val="en-AU"/>
              </w:rPr>
              <w:t xml:space="preserve">TEAEs leading to death </w:t>
            </w:r>
          </w:p>
        </w:tc>
        <w:tc>
          <w:tcPr>
            <w:tcW w:w="661" w:type="pct"/>
            <w:vAlign w:val="center"/>
          </w:tcPr>
          <w:p w14:paraId="0D7F268C" w14:textId="77777777" w:rsidR="00D4148C" w:rsidRPr="006F283B" w:rsidRDefault="00D4148C" w:rsidP="00840866">
            <w:pPr>
              <w:keepNext/>
              <w:spacing w:before="0"/>
              <w:jc w:val="center"/>
              <w:rPr>
                <w:sz w:val="20"/>
                <w:szCs w:val="20"/>
                <w:lang w:val="en-AU"/>
              </w:rPr>
            </w:pPr>
            <w:r w:rsidRPr="006F283B">
              <w:rPr>
                <w:sz w:val="20"/>
                <w:szCs w:val="20"/>
                <w:lang w:val="en-AU"/>
              </w:rPr>
              <w:t>0</w:t>
            </w:r>
          </w:p>
        </w:tc>
        <w:tc>
          <w:tcPr>
            <w:tcW w:w="661" w:type="pct"/>
            <w:vAlign w:val="center"/>
          </w:tcPr>
          <w:p w14:paraId="61F67464" w14:textId="77777777" w:rsidR="00D4148C" w:rsidRPr="006F283B" w:rsidRDefault="00D4148C" w:rsidP="00840866">
            <w:pPr>
              <w:keepNext/>
              <w:spacing w:before="0"/>
              <w:jc w:val="center"/>
              <w:rPr>
                <w:sz w:val="20"/>
                <w:szCs w:val="20"/>
                <w:lang w:val="en-AU"/>
              </w:rPr>
            </w:pPr>
            <w:r w:rsidRPr="006F283B">
              <w:rPr>
                <w:sz w:val="20"/>
                <w:szCs w:val="20"/>
                <w:lang w:val="en-AU"/>
              </w:rPr>
              <w:t>1 (1.2)</w:t>
            </w:r>
          </w:p>
        </w:tc>
        <w:tc>
          <w:tcPr>
            <w:tcW w:w="661" w:type="pct"/>
            <w:shd w:val="clear" w:color="auto" w:fill="auto"/>
            <w:vAlign w:val="center"/>
          </w:tcPr>
          <w:p w14:paraId="46DC0E9F" w14:textId="77777777" w:rsidR="00D4148C" w:rsidRPr="006F283B" w:rsidRDefault="00D4148C" w:rsidP="00840866">
            <w:pPr>
              <w:keepNext/>
              <w:spacing w:before="0"/>
              <w:jc w:val="center"/>
              <w:rPr>
                <w:sz w:val="20"/>
                <w:szCs w:val="20"/>
                <w:lang w:val="en-AU"/>
              </w:rPr>
            </w:pPr>
            <w:r w:rsidRPr="006F283B">
              <w:rPr>
                <w:sz w:val="20"/>
                <w:szCs w:val="20"/>
                <w:lang w:val="en-AU"/>
              </w:rPr>
              <w:t>2 (1.2)</w:t>
            </w:r>
          </w:p>
        </w:tc>
        <w:tc>
          <w:tcPr>
            <w:tcW w:w="661" w:type="pct"/>
            <w:shd w:val="clear" w:color="auto" w:fill="auto"/>
            <w:vAlign w:val="center"/>
          </w:tcPr>
          <w:p w14:paraId="0329D1FE" w14:textId="77777777" w:rsidR="00D4148C" w:rsidRPr="006F283B" w:rsidRDefault="00D4148C" w:rsidP="00840866">
            <w:pPr>
              <w:keepNext/>
              <w:spacing w:before="0"/>
              <w:jc w:val="center"/>
              <w:rPr>
                <w:sz w:val="20"/>
                <w:szCs w:val="20"/>
                <w:lang w:val="en-AU"/>
              </w:rPr>
            </w:pPr>
            <w:r w:rsidRPr="006F283B">
              <w:rPr>
                <w:sz w:val="20"/>
                <w:szCs w:val="20"/>
                <w:lang w:val="en-AU"/>
              </w:rPr>
              <w:t>1 (1.2)</w:t>
            </w:r>
          </w:p>
        </w:tc>
        <w:tc>
          <w:tcPr>
            <w:tcW w:w="661" w:type="pct"/>
            <w:vAlign w:val="center"/>
          </w:tcPr>
          <w:p w14:paraId="7669A3C9" w14:textId="77777777" w:rsidR="00D4148C" w:rsidRPr="006F283B" w:rsidRDefault="00D4148C" w:rsidP="00840866">
            <w:pPr>
              <w:keepNext/>
              <w:spacing w:before="0"/>
              <w:jc w:val="center"/>
              <w:rPr>
                <w:sz w:val="20"/>
                <w:szCs w:val="20"/>
                <w:lang w:val="en-AU"/>
              </w:rPr>
            </w:pPr>
            <w:r w:rsidRPr="006F283B">
              <w:rPr>
                <w:sz w:val="20"/>
                <w:szCs w:val="20"/>
                <w:lang w:val="en-AU"/>
              </w:rPr>
              <w:t>1 (&lt;1)</w:t>
            </w:r>
          </w:p>
        </w:tc>
        <w:tc>
          <w:tcPr>
            <w:tcW w:w="661" w:type="pct"/>
            <w:vAlign w:val="center"/>
          </w:tcPr>
          <w:p w14:paraId="4DBD3DCC" w14:textId="77777777" w:rsidR="00D4148C" w:rsidRPr="006F283B" w:rsidRDefault="00D4148C" w:rsidP="00840866">
            <w:pPr>
              <w:keepNext/>
              <w:spacing w:before="0"/>
              <w:jc w:val="center"/>
              <w:rPr>
                <w:sz w:val="20"/>
                <w:szCs w:val="20"/>
                <w:lang w:val="en-AU"/>
              </w:rPr>
            </w:pPr>
            <w:r w:rsidRPr="006F283B">
              <w:rPr>
                <w:sz w:val="20"/>
                <w:szCs w:val="20"/>
                <w:lang w:val="en-AU"/>
              </w:rPr>
              <w:t>4 (1.5)</w:t>
            </w:r>
          </w:p>
        </w:tc>
      </w:tr>
    </w:tbl>
    <w:p w14:paraId="2F73F492" w14:textId="77777777" w:rsidR="00D4148C" w:rsidRPr="006F283B" w:rsidRDefault="00D4148C" w:rsidP="00D4148C">
      <w:pPr>
        <w:pStyle w:val="InstructionalText"/>
        <w:spacing w:after="0"/>
        <w:rPr>
          <w:rFonts w:ascii="Arial Narrow" w:eastAsia="Times New Roman" w:hAnsi="Arial Narrow" w:cs="Arial"/>
          <w:snapToGrid w:val="0"/>
          <w:color w:val="auto"/>
          <w:sz w:val="18"/>
          <w:szCs w:val="20"/>
        </w:rPr>
      </w:pPr>
      <w:r w:rsidRPr="006F283B">
        <w:rPr>
          <w:rFonts w:ascii="Arial Narrow" w:eastAsia="Times New Roman" w:hAnsi="Arial Narrow" w:cs="Arial"/>
          <w:snapToGrid w:val="0"/>
          <w:color w:val="auto"/>
          <w:sz w:val="18"/>
          <w:szCs w:val="20"/>
        </w:rPr>
        <w:t>Source: Table 238 (p380) of the submission</w:t>
      </w:r>
    </w:p>
    <w:p w14:paraId="0E7A4D33" w14:textId="77777777" w:rsidR="00D4148C" w:rsidRPr="006F283B" w:rsidRDefault="00D4148C" w:rsidP="00AF3FA2">
      <w:pPr>
        <w:pStyle w:val="InstructionalText"/>
        <w:spacing w:after="120"/>
        <w:rPr>
          <w:rFonts w:ascii="Arial Narrow" w:eastAsia="Times New Roman" w:hAnsi="Arial Narrow" w:cs="Arial"/>
          <w:snapToGrid w:val="0"/>
          <w:color w:val="auto"/>
          <w:sz w:val="18"/>
          <w:szCs w:val="20"/>
        </w:rPr>
      </w:pPr>
      <w:r w:rsidRPr="006F283B">
        <w:rPr>
          <w:rFonts w:ascii="Arial Narrow" w:eastAsia="Times New Roman" w:hAnsi="Arial Narrow" w:cs="Arial"/>
          <w:snapToGrid w:val="0"/>
          <w:color w:val="auto"/>
          <w:sz w:val="18"/>
          <w:szCs w:val="20"/>
        </w:rPr>
        <w:t>DCO = data cut-off; NIRA = niraparib; NR = not reported; OLA = olaparib; PBO = placebo; SAF = safety population; TEAE = treatment emergent adverse event; tx = treatment.</w:t>
      </w:r>
    </w:p>
    <w:p w14:paraId="6A15DDE1" w14:textId="054F9557" w:rsidR="00843998" w:rsidRPr="006F283B" w:rsidRDefault="00843998" w:rsidP="00AF3FA2">
      <w:pPr>
        <w:pStyle w:val="ListParagraph"/>
        <w:spacing w:before="0" w:after="120"/>
        <w:rPr>
          <w:color w:val="auto"/>
        </w:rPr>
      </w:pPr>
      <w:r w:rsidRPr="006F283B">
        <w:rPr>
          <w:color w:val="auto"/>
        </w:rPr>
        <w:t xml:space="preserve">Hettle 2021 also included a safety assessment in their PAIC. Hettle 2021 reported that a higher proportion of patients treated with niraparib experienced grade ≥3 haematological adverse events compared to patients treated with olaparib + bevacizumab (neutropenia: 15% vs 6%, thrombocytopenia: 21% vs 2%). However, a higher proportion of patients treated with olaparib + bevacizumab experienced grade ≥3 hypertension (19% vs 5%), which was a known adverse event with bevacizumab. The increase in grade 3-4 haematological adverse events with niraparib was consistent with a meta-analysis of PARP inhibitors as monotherapy in </w:t>
      </w:r>
      <w:r w:rsidR="00D14624" w:rsidRPr="006F283B">
        <w:rPr>
          <w:color w:val="auto"/>
        </w:rPr>
        <w:t>p</w:t>
      </w:r>
      <w:r w:rsidRPr="006F283B">
        <w:rPr>
          <w:color w:val="auto"/>
        </w:rPr>
        <w:t>latinum</w:t>
      </w:r>
      <w:r w:rsidR="00D14624" w:rsidRPr="006F283B">
        <w:rPr>
          <w:color w:val="auto"/>
        </w:rPr>
        <w:t>-s</w:t>
      </w:r>
      <w:r w:rsidRPr="006F283B">
        <w:rPr>
          <w:color w:val="auto"/>
        </w:rPr>
        <w:t xml:space="preserve">ensitive </w:t>
      </w:r>
      <w:r w:rsidR="00D14624" w:rsidRPr="006F283B">
        <w:rPr>
          <w:color w:val="auto"/>
        </w:rPr>
        <w:t>r</w:t>
      </w:r>
      <w:r w:rsidRPr="006F283B">
        <w:rPr>
          <w:color w:val="auto"/>
        </w:rPr>
        <w:t xml:space="preserve">ecurrent </w:t>
      </w:r>
      <w:r w:rsidR="00D14624" w:rsidRPr="006F283B">
        <w:rPr>
          <w:color w:val="auto"/>
        </w:rPr>
        <w:t>o</w:t>
      </w:r>
      <w:r w:rsidRPr="006F283B">
        <w:rPr>
          <w:color w:val="auto"/>
        </w:rPr>
        <w:t xml:space="preserve">varian </w:t>
      </w:r>
      <w:r w:rsidR="00D14624" w:rsidRPr="006F283B">
        <w:rPr>
          <w:color w:val="auto"/>
        </w:rPr>
        <w:t>c</w:t>
      </w:r>
      <w:r w:rsidRPr="006F283B">
        <w:rPr>
          <w:color w:val="auto"/>
        </w:rPr>
        <w:t>ancer (Xu 2021)</w:t>
      </w:r>
      <w:r w:rsidR="0034750B" w:rsidRPr="006F283B">
        <w:rPr>
          <w:rStyle w:val="FootnoteReference"/>
          <w:color w:val="auto"/>
        </w:rPr>
        <w:footnoteReference w:id="7"/>
      </w:r>
      <w:r w:rsidRPr="006F283B">
        <w:rPr>
          <w:color w:val="auto"/>
        </w:rPr>
        <w:t xml:space="preserve"> in which niraparib (RR = 1.6 with 95% Credible Interval: 1.1–2.4) </w:t>
      </w:r>
      <w:r w:rsidR="0034750B" w:rsidRPr="006F283B">
        <w:rPr>
          <w:color w:val="auto"/>
        </w:rPr>
        <w:t>was associated with</w:t>
      </w:r>
      <w:r w:rsidRPr="006F283B">
        <w:rPr>
          <w:color w:val="auto"/>
        </w:rPr>
        <w:t xml:space="preserve"> a higher risk of grade 3 or 4 adverse events as compared with olaparib.</w:t>
      </w:r>
    </w:p>
    <w:p w14:paraId="63EE007D" w14:textId="03AE6AEC" w:rsidR="00843998" w:rsidRPr="006F283B" w:rsidRDefault="00843998" w:rsidP="00F029F7">
      <w:pPr>
        <w:pStyle w:val="4-SubsectionHeading"/>
      </w:pPr>
      <w:bookmarkStart w:id="101" w:name="_Toc95298226"/>
      <w:bookmarkStart w:id="102" w:name="_Toc123646835"/>
      <w:bookmarkStart w:id="103" w:name="_Toc123646936"/>
      <w:bookmarkStart w:id="104" w:name="_Toc123647171"/>
      <w:bookmarkStart w:id="105" w:name="_Toc124937095"/>
      <w:bookmarkStart w:id="106" w:name="_Toc413139281"/>
      <w:r w:rsidRPr="006F283B">
        <w:t>Benefits/</w:t>
      </w:r>
      <w:bookmarkEnd w:id="101"/>
      <w:bookmarkEnd w:id="102"/>
      <w:bookmarkEnd w:id="103"/>
      <w:bookmarkEnd w:id="104"/>
      <w:bookmarkEnd w:id="105"/>
      <w:r w:rsidR="0060115D" w:rsidRPr="006F283B">
        <w:t>Harms</w:t>
      </w:r>
    </w:p>
    <w:p w14:paraId="3C95B000" w14:textId="4F753EE3" w:rsidR="00843998" w:rsidRPr="006F283B" w:rsidRDefault="00843998" w:rsidP="00AF3FA2">
      <w:pPr>
        <w:pStyle w:val="ListParagraph"/>
        <w:spacing w:before="0" w:after="120"/>
      </w:pPr>
      <w:r w:rsidRPr="006F283B">
        <w:t xml:space="preserve">A summary of the comparative benefits and harms for </w:t>
      </w:r>
      <w:r w:rsidR="007831F9" w:rsidRPr="006F283B">
        <w:t>niraparib</w:t>
      </w:r>
      <w:r w:rsidRPr="006F283B">
        <w:t xml:space="preserve"> versus placebo is presented in the table below. </w:t>
      </w:r>
    </w:p>
    <w:p w14:paraId="558DBBC0" w14:textId="47E7B7BB" w:rsidR="00843998" w:rsidRPr="006F283B" w:rsidRDefault="000F0804" w:rsidP="00843998">
      <w:pPr>
        <w:pStyle w:val="TableFigureHeading"/>
        <w:ind w:left="1418" w:hanging="1418"/>
        <w:rPr>
          <w:rStyle w:val="CommentReference"/>
          <w:b/>
        </w:rPr>
      </w:pPr>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13</w:t>
      </w:r>
      <w:r w:rsidR="00091054">
        <w:rPr>
          <w:noProof/>
        </w:rPr>
        <w:fldChar w:fldCharType="end"/>
      </w:r>
      <w:r w:rsidR="00AF4B69">
        <w:t xml:space="preserve">: </w:t>
      </w:r>
      <w:r w:rsidR="00843998" w:rsidRPr="006F283B">
        <w:t xml:space="preserve">Summary of comparative benefits and harms for the HRD positive </w:t>
      </w:r>
      <w:r w:rsidR="001152C0" w:rsidRPr="001152C0">
        <w:rPr>
          <w:i/>
          <w:iCs/>
        </w:rPr>
        <w:t>BRCAwt</w:t>
      </w:r>
      <w:r w:rsidR="00843998" w:rsidRPr="006F283B">
        <w:t xml:space="preserve"> subgroup in PRIMA</w:t>
      </w:r>
    </w:p>
    <w:tbl>
      <w:tblPr>
        <w:tblStyle w:val="ASDTable2"/>
        <w:tblW w:w="5000" w:type="pct"/>
        <w:tblLayout w:type="fixed"/>
        <w:tblCellMar>
          <w:left w:w="28" w:type="dxa"/>
          <w:right w:w="28" w:type="dxa"/>
        </w:tblCellMar>
        <w:tblLook w:val="04A0" w:firstRow="1" w:lastRow="0" w:firstColumn="1" w:lastColumn="0" w:noHBand="0" w:noVBand="1"/>
      </w:tblPr>
      <w:tblGrid>
        <w:gridCol w:w="2689"/>
        <w:gridCol w:w="1702"/>
        <w:gridCol w:w="1700"/>
        <w:gridCol w:w="1560"/>
        <w:gridCol w:w="1365"/>
      </w:tblGrid>
      <w:tr w:rsidR="00843998" w:rsidRPr="006F283B" w14:paraId="0B972E6F" w14:textId="77777777" w:rsidTr="004E1FEC">
        <w:trPr>
          <w:trHeight w:val="20"/>
        </w:trPr>
        <w:tc>
          <w:tcPr>
            <w:tcW w:w="1491" w:type="pct"/>
            <w:tcBorders>
              <w:bottom w:val="single" w:sz="4" w:space="0" w:color="auto"/>
            </w:tcBorders>
            <w:shd w:val="clear" w:color="auto" w:fill="auto"/>
            <w:vAlign w:val="center"/>
          </w:tcPr>
          <w:p w14:paraId="3968A717" w14:textId="77777777" w:rsidR="00843998" w:rsidRPr="006F283B" w:rsidRDefault="00843998" w:rsidP="004E1FEC">
            <w:pPr>
              <w:pStyle w:val="TableRowHeader"/>
              <w:keepNext/>
              <w:keepLines/>
              <w:rPr>
                <w:rFonts w:eastAsia="MS Gothic"/>
              </w:rPr>
            </w:pPr>
            <w:r w:rsidRPr="006F283B">
              <w:rPr>
                <w:rFonts w:eastAsia="MS Gothic"/>
              </w:rPr>
              <w:t>Event</w:t>
            </w:r>
          </w:p>
        </w:tc>
        <w:tc>
          <w:tcPr>
            <w:tcW w:w="944" w:type="pct"/>
            <w:tcBorders>
              <w:bottom w:val="single" w:sz="4" w:space="0" w:color="auto"/>
            </w:tcBorders>
            <w:shd w:val="clear" w:color="auto" w:fill="auto"/>
            <w:vAlign w:val="center"/>
          </w:tcPr>
          <w:p w14:paraId="7EDEFE3C" w14:textId="77777777" w:rsidR="00843998" w:rsidRPr="006F283B" w:rsidRDefault="00843998" w:rsidP="004E1FEC">
            <w:pPr>
              <w:pStyle w:val="TableRowHeader"/>
              <w:keepNext/>
              <w:keepLines/>
            </w:pPr>
            <w:r w:rsidRPr="006F283B">
              <w:t>Niraparib</w:t>
            </w:r>
          </w:p>
          <w:p w14:paraId="4BCC3EAE" w14:textId="77777777" w:rsidR="00843998" w:rsidRPr="006F283B" w:rsidRDefault="00843998" w:rsidP="004E1FEC">
            <w:pPr>
              <w:pStyle w:val="TableRowHeader"/>
              <w:keepNext/>
              <w:keepLines/>
              <w:rPr>
                <w:rFonts w:eastAsia="MS Gothic"/>
              </w:rPr>
            </w:pPr>
            <w:r w:rsidRPr="006F283B">
              <w:t>n/N</w:t>
            </w:r>
          </w:p>
        </w:tc>
        <w:tc>
          <w:tcPr>
            <w:tcW w:w="943" w:type="pct"/>
            <w:tcBorders>
              <w:bottom w:val="single" w:sz="4" w:space="0" w:color="auto"/>
            </w:tcBorders>
            <w:shd w:val="clear" w:color="auto" w:fill="auto"/>
            <w:vAlign w:val="center"/>
          </w:tcPr>
          <w:p w14:paraId="758D6EDA" w14:textId="77777777" w:rsidR="00843998" w:rsidRPr="006F283B" w:rsidRDefault="00843998" w:rsidP="004E1FEC">
            <w:pPr>
              <w:pStyle w:val="TableRowHeader"/>
              <w:keepNext/>
              <w:keepLines/>
            </w:pPr>
            <w:r w:rsidRPr="006F283B">
              <w:t>Placebo</w:t>
            </w:r>
          </w:p>
          <w:p w14:paraId="4DE292A3" w14:textId="77777777" w:rsidR="00843998" w:rsidRPr="006F283B" w:rsidRDefault="00843998" w:rsidP="004E1FEC">
            <w:pPr>
              <w:pStyle w:val="TableRowHeader"/>
              <w:keepNext/>
              <w:keepLines/>
              <w:rPr>
                <w:rFonts w:eastAsia="MS Gothic"/>
              </w:rPr>
            </w:pPr>
            <w:r w:rsidRPr="006F283B">
              <w:rPr>
                <w:rFonts w:eastAsiaTheme="majorEastAsia"/>
              </w:rPr>
              <w:t>n/N</w:t>
            </w:r>
          </w:p>
        </w:tc>
        <w:tc>
          <w:tcPr>
            <w:tcW w:w="865" w:type="pct"/>
            <w:tcBorders>
              <w:bottom w:val="single" w:sz="4" w:space="0" w:color="auto"/>
            </w:tcBorders>
            <w:shd w:val="clear" w:color="auto" w:fill="auto"/>
            <w:vAlign w:val="center"/>
          </w:tcPr>
          <w:p w14:paraId="0820515B" w14:textId="0DDF3A4A" w:rsidR="00843998" w:rsidRPr="00F207AD" w:rsidRDefault="00843998" w:rsidP="004E1FEC">
            <w:pPr>
              <w:pStyle w:val="TableRowHeader"/>
              <w:keepNext/>
              <w:keepLines/>
              <w:rPr>
                <w:rFonts w:eastAsia="MS Gothic"/>
                <w:vertAlign w:val="superscript"/>
              </w:rPr>
            </w:pPr>
            <w:r w:rsidRPr="006F283B">
              <w:rPr>
                <w:rFonts w:eastAsia="MS Gothic"/>
              </w:rPr>
              <w:t>Absolute Difference</w:t>
            </w:r>
            <w:r w:rsidR="00F207AD">
              <w:rPr>
                <w:rFonts w:eastAsia="MS Gothic"/>
                <w:vertAlign w:val="superscript"/>
              </w:rPr>
              <w:t>a</w:t>
            </w:r>
          </w:p>
        </w:tc>
        <w:tc>
          <w:tcPr>
            <w:tcW w:w="757" w:type="pct"/>
            <w:tcBorders>
              <w:bottom w:val="single" w:sz="4" w:space="0" w:color="auto"/>
            </w:tcBorders>
            <w:shd w:val="clear" w:color="auto" w:fill="auto"/>
            <w:vAlign w:val="center"/>
          </w:tcPr>
          <w:p w14:paraId="5ADDD73D" w14:textId="77777777" w:rsidR="00843998" w:rsidRPr="006F283B" w:rsidRDefault="00843998" w:rsidP="004E1FEC">
            <w:pPr>
              <w:pStyle w:val="TableRowHeader"/>
              <w:keepNext/>
              <w:keepLines/>
              <w:rPr>
                <w:rFonts w:eastAsia="MS Gothic"/>
              </w:rPr>
            </w:pPr>
            <w:r w:rsidRPr="006F283B">
              <w:rPr>
                <w:rFonts w:eastAsia="MS Gothic"/>
              </w:rPr>
              <w:t>HR (95% CI)</w:t>
            </w:r>
          </w:p>
        </w:tc>
      </w:tr>
      <w:tr w:rsidR="00843998" w:rsidRPr="006F283B" w14:paraId="56967A9A" w14:textId="77777777" w:rsidTr="004E1FEC">
        <w:trPr>
          <w:trHeight w:val="20"/>
        </w:trPr>
        <w:tc>
          <w:tcPr>
            <w:tcW w:w="5000" w:type="pct"/>
            <w:gridSpan w:val="5"/>
            <w:tcBorders>
              <w:bottom w:val="single" w:sz="4" w:space="0" w:color="auto"/>
            </w:tcBorders>
            <w:shd w:val="clear" w:color="auto" w:fill="auto"/>
            <w:vAlign w:val="center"/>
          </w:tcPr>
          <w:p w14:paraId="41DD01AF" w14:textId="37B1789C" w:rsidR="00843998" w:rsidRPr="006F283B" w:rsidRDefault="00843998" w:rsidP="004E1FEC">
            <w:pPr>
              <w:pStyle w:val="TableBodyText-H54"/>
              <w:keepLines/>
              <w:spacing w:before="0" w:after="0" w:line="240" w:lineRule="auto"/>
              <w:rPr>
                <w:rFonts w:eastAsia="MS Gothic"/>
                <w:b/>
                <w:bCs/>
                <w:lang w:val="en-AU"/>
              </w:rPr>
            </w:pPr>
            <w:r w:rsidRPr="006F283B">
              <w:rPr>
                <w:rFonts w:eastAsia="MS Gothic"/>
                <w:b/>
                <w:bCs/>
                <w:lang w:val="en-AU"/>
              </w:rPr>
              <w:t>Progression free survival for HRD+</w:t>
            </w:r>
            <w:r w:rsidR="001152C0" w:rsidRPr="001152C0">
              <w:rPr>
                <w:rFonts w:eastAsia="MS Gothic"/>
                <w:b/>
                <w:bCs/>
                <w:i/>
                <w:iCs/>
                <w:lang w:val="en-AU"/>
              </w:rPr>
              <w:t>BRCAwt</w:t>
            </w:r>
            <w:r w:rsidRPr="006F283B">
              <w:rPr>
                <w:rFonts w:eastAsia="MS Gothic"/>
                <w:b/>
                <w:bCs/>
                <w:lang w:val="en-AU"/>
              </w:rPr>
              <w:t xml:space="preserve"> subgroup, (ITT median follow-up </w:t>
            </w:r>
            <w:r w:rsidR="004609CE" w:rsidRPr="006F283B">
              <w:rPr>
                <w:rFonts w:eastAsia="MS Gothic"/>
                <w:b/>
                <w:bCs/>
                <w:lang w:val="en-AU"/>
              </w:rPr>
              <w:t>3.5 years</w:t>
            </w:r>
            <w:r w:rsidRPr="006F283B">
              <w:rPr>
                <w:rFonts w:eastAsia="MS Gothic"/>
                <w:b/>
                <w:bCs/>
                <w:lang w:val="en-AU"/>
              </w:rPr>
              <w:t xml:space="preserve">), </w:t>
            </w:r>
            <w:r w:rsidRPr="006F283B">
              <w:rPr>
                <w:b/>
                <w:lang w:val="en-AU"/>
              </w:rPr>
              <w:t>November 2021 DCO</w:t>
            </w:r>
          </w:p>
        </w:tc>
      </w:tr>
      <w:tr w:rsidR="00843998" w:rsidRPr="006F283B" w14:paraId="5E926388" w14:textId="77777777" w:rsidTr="004E1FEC">
        <w:trPr>
          <w:trHeight w:val="20"/>
        </w:trPr>
        <w:tc>
          <w:tcPr>
            <w:tcW w:w="1491" w:type="pct"/>
            <w:tcBorders>
              <w:bottom w:val="single" w:sz="4" w:space="0" w:color="auto"/>
              <w:right w:val="single" w:sz="4" w:space="0" w:color="auto"/>
            </w:tcBorders>
            <w:shd w:val="clear" w:color="auto" w:fill="auto"/>
            <w:vAlign w:val="center"/>
          </w:tcPr>
          <w:p w14:paraId="65EA5297" w14:textId="77777777" w:rsidR="00843998" w:rsidRPr="006F283B" w:rsidRDefault="00843998" w:rsidP="004E1FEC">
            <w:pPr>
              <w:pStyle w:val="TableBodyText-H54"/>
              <w:keepLines/>
              <w:spacing w:before="0" w:after="0" w:line="240" w:lineRule="auto"/>
              <w:rPr>
                <w:rFonts w:eastAsia="MS Gothic"/>
                <w:bCs/>
                <w:lang w:val="en-AU"/>
              </w:rPr>
            </w:pPr>
            <w:bookmarkStart w:id="107" w:name="_Hlk130469261"/>
            <w:r w:rsidRPr="006F283B">
              <w:rPr>
                <w:rFonts w:eastAsia="MS Gothic"/>
                <w:bCs/>
                <w:lang w:val="en-AU"/>
              </w:rPr>
              <w:t>Progressed, n/N (%)</w:t>
            </w:r>
          </w:p>
        </w:tc>
        <w:tc>
          <w:tcPr>
            <w:tcW w:w="944" w:type="pct"/>
            <w:tcBorders>
              <w:left w:val="single" w:sz="4" w:space="0" w:color="auto"/>
              <w:bottom w:val="single" w:sz="4" w:space="0" w:color="auto"/>
              <w:right w:val="single" w:sz="4" w:space="0" w:color="auto"/>
            </w:tcBorders>
            <w:shd w:val="clear" w:color="auto" w:fill="auto"/>
          </w:tcPr>
          <w:p w14:paraId="696F533A"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54/95 (56.8%)</w:t>
            </w:r>
          </w:p>
        </w:tc>
        <w:tc>
          <w:tcPr>
            <w:tcW w:w="943" w:type="pct"/>
            <w:tcBorders>
              <w:left w:val="single" w:sz="4" w:space="0" w:color="auto"/>
              <w:bottom w:val="single" w:sz="4" w:space="0" w:color="auto"/>
              <w:right w:val="single" w:sz="4" w:space="0" w:color="auto"/>
            </w:tcBorders>
            <w:shd w:val="clear" w:color="auto" w:fill="auto"/>
          </w:tcPr>
          <w:p w14:paraId="6ED8D93F"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lang w:val="en-AU"/>
              </w:rPr>
              <w:t>43/55 (78.2)</w:t>
            </w:r>
          </w:p>
        </w:tc>
        <w:tc>
          <w:tcPr>
            <w:tcW w:w="865" w:type="pct"/>
            <w:tcBorders>
              <w:left w:val="single" w:sz="4" w:space="0" w:color="auto"/>
              <w:bottom w:val="single" w:sz="4" w:space="0" w:color="auto"/>
              <w:right w:val="single" w:sz="4" w:space="0" w:color="auto"/>
            </w:tcBorders>
            <w:shd w:val="clear" w:color="auto" w:fill="auto"/>
            <w:vAlign w:val="center"/>
          </w:tcPr>
          <w:p w14:paraId="1013256C" w14:textId="340BDD5F" w:rsidR="00843998" w:rsidRPr="006F283B" w:rsidRDefault="00843998" w:rsidP="004E1FEC">
            <w:pPr>
              <w:pStyle w:val="TableBodyText-H54"/>
              <w:keepLines/>
              <w:spacing w:before="0" w:after="0" w:line="240" w:lineRule="auto"/>
              <w:jc w:val="center"/>
              <w:rPr>
                <w:rFonts w:eastAsia="MS Gothic"/>
                <w:bCs/>
                <w:lang w:val="en-AU"/>
              </w:rPr>
            </w:pPr>
          </w:p>
        </w:tc>
        <w:tc>
          <w:tcPr>
            <w:tcW w:w="757" w:type="pct"/>
            <w:vMerge w:val="restart"/>
            <w:tcBorders>
              <w:left w:val="single" w:sz="4" w:space="0" w:color="auto"/>
            </w:tcBorders>
            <w:shd w:val="clear" w:color="auto" w:fill="auto"/>
            <w:vAlign w:val="center"/>
          </w:tcPr>
          <w:p w14:paraId="498F6A7D"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 xml:space="preserve">0.66 </w:t>
            </w:r>
          </w:p>
          <w:p w14:paraId="1DF5177A"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(0.437, 0.999)</w:t>
            </w:r>
          </w:p>
        </w:tc>
      </w:tr>
      <w:bookmarkEnd w:id="107"/>
      <w:tr w:rsidR="00843998" w:rsidRPr="006F283B" w14:paraId="3266DC6D" w14:textId="77777777" w:rsidTr="004E1FEC">
        <w:trPr>
          <w:trHeight w:val="20"/>
        </w:trPr>
        <w:tc>
          <w:tcPr>
            <w:tcW w:w="1491" w:type="pct"/>
            <w:tcBorders>
              <w:bottom w:val="single" w:sz="4" w:space="0" w:color="auto"/>
              <w:right w:val="single" w:sz="4" w:space="0" w:color="auto"/>
            </w:tcBorders>
            <w:shd w:val="clear" w:color="auto" w:fill="auto"/>
            <w:vAlign w:val="center"/>
          </w:tcPr>
          <w:p w14:paraId="31014BCC" w14:textId="77777777" w:rsidR="00843998" w:rsidRPr="006F283B" w:rsidRDefault="00843998" w:rsidP="004E1FEC">
            <w:pPr>
              <w:pStyle w:val="TableBodyText-H54"/>
              <w:keepLines/>
              <w:spacing w:before="0" w:after="0" w:line="240" w:lineRule="auto"/>
              <w:rPr>
                <w:rFonts w:eastAsia="MS Gothic"/>
                <w:bCs/>
                <w:lang w:val="en-AU"/>
              </w:rPr>
            </w:pPr>
            <w:r w:rsidRPr="006F283B">
              <w:rPr>
                <w:rFonts w:eastAsia="MS Gothic"/>
                <w:bCs/>
                <w:lang w:val="en-AU"/>
              </w:rPr>
              <w:t>Median PFS months (95% CI)</w:t>
            </w:r>
          </w:p>
        </w:tc>
        <w:tc>
          <w:tcPr>
            <w:tcW w:w="944" w:type="pct"/>
            <w:tcBorders>
              <w:left w:val="single" w:sz="4" w:space="0" w:color="auto"/>
              <w:bottom w:val="single" w:sz="4" w:space="0" w:color="auto"/>
              <w:right w:val="single" w:sz="4" w:space="0" w:color="auto"/>
            </w:tcBorders>
            <w:shd w:val="clear" w:color="auto" w:fill="auto"/>
          </w:tcPr>
          <w:p w14:paraId="19C5A076"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lang w:val="en-AU"/>
              </w:rPr>
              <w:t>19.4 (12.5, 33.5)</w:t>
            </w:r>
          </w:p>
        </w:tc>
        <w:tc>
          <w:tcPr>
            <w:tcW w:w="943" w:type="pct"/>
            <w:tcBorders>
              <w:left w:val="single" w:sz="4" w:space="0" w:color="auto"/>
              <w:bottom w:val="single" w:sz="4" w:space="0" w:color="auto"/>
              <w:right w:val="single" w:sz="4" w:space="0" w:color="auto"/>
            </w:tcBorders>
            <w:shd w:val="clear" w:color="auto" w:fill="auto"/>
          </w:tcPr>
          <w:p w14:paraId="4DA9900E"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lang w:val="en-AU"/>
              </w:rPr>
              <w:t>10.4 (7.0, 13.7)</w:t>
            </w:r>
          </w:p>
        </w:tc>
        <w:tc>
          <w:tcPr>
            <w:tcW w:w="865" w:type="pct"/>
            <w:tcBorders>
              <w:left w:val="single" w:sz="4" w:space="0" w:color="auto"/>
              <w:bottom w:val="single" w:sz="4" w:space="0" w:color="auto"/>
              <w:right w:val="single" w:sz="4" w:space="0" w:color="auto"/>
            </w:tcBorders>
            <w:shd w:val="clear" w:color="auto" w:fill="auto"/>
            <w:vAlign w:val="center"/>
          </w:tcPr>
          <w:p w14:paraId="7D0843F8"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9.0 months (NR)</w:t>
            </w:r>
          </w:p>
        </w:tc>
        <w:tc>
          <w:tcPr>
            <w:tcW w:w="757" w:type="pct"/>
            <w:vMerge/>
            <w:tcBorders>
              <w:left w:val="single" w:sz="4" w:space="0" w:color="auto"/>
              <w:bottom w:val="nil"/>
            </w:tcBorders>
            <w:shd w:val="clear" w:color="auto" w:fill="auto"/>
            <w:vAlign w:val="center"/>
          </w:tcPr>
          <w:p w14:paraId="41248DF6" w14:textId="77777777" w:rsidR="00843998" w:rsidRPr="006F283B" w:rsidRDefault="00843998" w:rsidP="004E1FEC">
            <w:pPr>
              <w:pStyle w:val="TableBodyText-H54"/>
              <w:keepLines/>
              <w:spacing w:before="0" w:after="0" w:line="240" w:lineRule="auto"/>
              <w:jc w:val="center"/>
              <w:rPr>
                <w:rFonts w:eastAsia="MS Gothic"/>
                <w:bCs/>
                <w:lang w:val="en-AU"/>
              </w:rPr>
            </w:pPr>
          </w:p>
        </w:tc>
      </w:tr>
      <w:tr w:rsidR="00843998" w:rsidRPr="006F283B" w14:paraId="552E64CB" w14:textId="77777777" w:rsidTr="004E1FEC">
        <w:trPr>
          <w:trHeight w:val="20"/>
        </w:trPr>
        <w:tc>
          <w:tcPr>
            <w:tcW w:w="1491" w:type="pct"/>
            <w:tcBorders>
              <w:bottom w:val="single" w:sz="4" w:space="0" w:color="auto"/>
              <w:right w:val="single" w:sz="4" w:space="0" w:color="auto"/>
            </w:tcBorders>
            <w:shd w:val="clear" w:color="auto" w:fill="auto"/>
            <w:vAlign w:val="center"/>
          </w:tcPr>
          <w:p w14:paraId="2F231512" w14:textId="77777777" w:rsidR="00843998" w:rsidRPr="006F283B" w:rsidRDefault="00843998" w:rsidP="004E1FEC">
            <w:pPr>
              <w:pStyle w:val="TableBodyText-H54"/>
              <w:keepLines/>
              <w:spacing w:before="0" w:after="0" w:line="240" w:lineRule="auto"/>
              <w:rPr>
                <w:rFonts w:eastAsia="MS Gothic"/>
                <w:bCs/>
                <w:lang w:val="en-AU"/>
              </w:rPr>
            </w:pPr>
            <w:r w:rsidRPr="006F283B">
              <w:rPr>
                <w:rFonts w:eastAsia="MS Gothic"/>
                <w:bCs/>
                <w:lang w:val="en-AU"/>
              </w:rPr>
              <w:t>Progression free at 6 months, %</w:t>
            </w:r>
          </w:p>
        </w:tc>
        <w:tc>
          <w:tcPr>
            <w:tcW w:w="944" w:type="pct"/>
            <w:tcBorders>
              <w:left w:val="single" w:sz="4" w:space="0" w:color="auto"/>
              <w:bottom w:val="single" w:sz="4" w:space="0" w:color="auto"/>
              <w:right w:val="single" w:sz="4" w:space="0" w:color="auto"/>
            </w:tcBorders>
            <w:shd w:val="clear" w:color="auto" w:fill="auto"/>
            <w:vAlign w:val="center"/>
          </w:tcPr>
          <w:p w14:paraId="6FEC1459"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83%</w:t>
            </w:r>
          </w:p>
        </w:tc>
        <w:tc>
          <w:tcPr>
            <w:tcW w:w="943" w:type="pct"/>
            <w:tcBorders>
              <w:left w:val="single" w:sz="4" w:space="0" w:color="auto"/>
              <w:bottom w:val="single" w:sz="4" w:space="0" w:color="auto"/>
              <w:right w:val="single" w:sz="4" w:space="0" w:color="auto"/>
            </w:tcBorders>
            <w:shd w:val="clear" w:color="auto" w:fill="auto"/>
            <w:vAlign w:val="center"/>
          </w:tcPr>
          <w:p w14:paraId="4ED59F1B"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73%</w:t>
            </w:r>
          </w:p>
        </w:tc>
        <w:tc>
          <w:tcPr>
            <w:tcW w:w="865" w:type="pct"/>
            <w:tcBorders>
              <w:left w:val="single" w:sz="4" w:space="0" w:color="auto"/>
              <w:bottom w:val="single" w:sz="4" w:space="0" w:color="auto"/>
              <w:right w:val="single" w:sz="4" w:space="0" w:color="auto"/>
            </w:tcBorders>
            <w:shd w:val="clear" w:color="auto" w:fill="auto"/>
            <w:vAlign w:val="center"/>
          </w:tcPr>
          <w:p w14:paraId="7445A38D"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10%</w:t>
            </w:r>
          </w:p>
        </w:tc>
        <w:tc>
          <w:tcPr>
            <w:tcW w:w="757" w:type="pct"/>
            <w:tcBorders>
              <w:top w:val="nil"/>
              <w:left w:val="single" w:sz="4" w:space="0" w:color="auto"/>
              <w:bottom w:val="nil"/>
            </w:tcBorders>
            <w:shd w:val="clear" w:color="auto" w:fill="auto"/>
            <w:vAlign w:val="center"/>
          </w:tcPr>
          <w:p w14:paraId="2EA042C6" w14:textId="77777777" w:rsidR="00843998" w:rsidRPr="006F283B" w:rsidRDefault="00843998" w:rsidP="004E1FEC">
            <w:pPr>
              <w:pStyle w:val="TableBodyText-H54"/>
              <w:keepLines/>
              <w:spacing w:before="0" w:after="0" w:line="240" w:lineRule="auto"/>
              <w:jc w:val="center"/>
              <w:rPr>
                <w:rFonts w:eastAsia="MS Gothic"/>
                <w:bCs/>
                <w:lang w:val="en-AU"/>
              </w:rPr>
            </w:pPr>
          </w:p>
        </w:tc>
      </w:tr>
      <w:tr w:rsidR="00843998" w:rsidRPr="006F283B" w14:paraId="10A4AB16" w14:textId="77777777" w:rsidTr="004E1FEC">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6FDDA8CB" w14:textId="77777777" w:rsidR="00843998" w:rsidRPr="006F283B" w:rsidRDefault="00843998" w:rsidP="004E1FEC">
            <w:pPr>
              <w:pStyle w:val="TableBodyText-H54"/>
              <w:keepLines/>
              <w:spacing w:before="0" w:after="0" w:line="240" w:lineRule="auto"/>
              <w:rPr>
                <w:rFonts w:eastAsia="MS Gothic"/>
                <w:bCs/>
                <w:lang w:val="en-AU"/>
              </w:rPr>
            </w:pPr>
            <w:r w:rsidRPr="006F283B">
              <w:rPr>
                <w:rFonts w:eastAsia="MS Gothic"/>
                <w:bCs/>
                <w:lang w:val="en-AU"/>
              </w:rPr>
              <w:t>Progression free at 12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5A166EA"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62%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BF5D987"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44%</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1A6E48F"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18%</w:t>
            </w:r>
          </w:p>
        </w:tc>
        <w:tc>
          <w:tcPr>
            <w:tcW w:w="757" w:type="pct"/>
            <w:tcBorders>
              <w:top w:val="nil"/>
              <w:left w:val="single" w:sz="4" w:space="0" w:color="auto"/>
              <w:bottom w:val="nil"/>
            </w:tcBorders>
            <w:shd w:val="clear" w:color="auto" w:fill="auto"/>
            <w:vAlign w:val="center"/>
          </w:tcPr>
          <w:p w14:paraId="5A9B3DF4" w14:textId="77777777" w:rsidR="00843998" w:rsidRPr="006F283B" w:rsidRDefault="00843998" w:rsidP="004E1FEC">
            <w:pPr>
              <w:pStyle w:val="TableBodyText-H54"/>
              <w:keepLines/>
              <w:spacing w:before="0" w:after="0" w:line="240" w:lineRule="auto"/>
              <w:jc w:val="center"/>
              <w:rPr>
                <w:rFonts w:eastAsia="MS Gothic"/>
                <w:bCs/>
                <w:lang w:val="en-AU"/>
              </w:rPr>
            </w:pPr>
          </w:p>
        </w:tc>
      </w:tr>
      <w:tr w:rsidR="00843998" w:rsidRPr="006F283B" w14:paraId="1928CFEA" w14:textId="77777777" w:rsidTr="004E1FEC">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18441E9F" w14:textId="77777777" w:rsidR="00843998" w:rsidRPr="006F283B" w:rsidRDefault="00843998" w:rsidP="004E1FEC">
            <w:pPr>
              <w:pStyle w:val="TableBodyText-H54"/>
              <w:keepLines/>
              <w:spacing w:before="0" w:after="0" w:line="240" w:lineRule="auto"/>
              <w:rPr>
                <w:rFonts w:eastAsia="MS Gothic"/>
                <w:bCs/>
                <w:lang w:val="en-AU"/>
              </w:rPr>
            </w:pPr>
            <w:r w:rsidRPr="006F283B">
              <w:rPr>
                <w:rFonts w:eastAsia="MS Gothic"/>
                <w:bCs/>
                <w:lang w:val="en-AU"/>
              </w:rPr>
              <w:t>Progression free at 24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8577303"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52%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1DE3E4E0"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34%</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4AD03459"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18%</w:t>
            </w:r>
          </w:p>
        </w:tc>
        <w:tc>
          <w:tcPr>
            <w:tcW w:w="757" w:type="pct"/>
            <w:tcBorders>
              <w:top w:val="nil"/>
              <w:left w:val="single" w:sz="4" w:space="0" w:color="auto"/>
              <w:bottom w:val="nil"/>
            </w:tcBorders>
            <w:shd w:val="clear" w:color="auto" w:fill="auto"/>
            <w:vAlign w:val="center"/>
          </w:tcPr>
          <w:p w14:paraId="30752568" w14:textId="77777777" w:rsidR="00843998" w:rsidRPr="006F283B" w:rsidRDefault="00843998" w:rsidP="004E1FEC">
            <w:pPr>
              <w:pStyle w:val="TableBodyText-H54"/>
              <w:keepLines/>
              <w:spacing w:before="0" w:after="0" w:line="240" w:lineRule="auto"/>
              <w:jc w:val="center"/>
              <w:rPr>
                <w:rFonts w:eastAsia="MS Gothic"/>
                <w:bCs/>
                <w:lang w:val="en-AU"/>
              </w:rPr>
            </w:pPr>
          </w:p>
        </w:tc>
      </w:tr>
      <w:tr w:rsidR="00843998" w:rsidRPr="006F283B" w14:paraId="06D9C555" w14:textId="77777777" w:rsidTr="004E1FEC">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4DBD0246" w14:textId="77777777" w:rsidR="00843998" w:rsidRPr="006F283B" w:rsidRDefault="00843998" w:rsidP="004E1FEC">
            <w:pPr>
              <w:pStyle w:val="TableBodyText-H54"/>
              <w:keepLines/>
              <w:spacing w:before="0" w:after="0" w:line="240" w:lineRule="auto"/>
              <w:rPr>
                <w:rFonts w:eastAsia="MS Gothic"/>
                <w:bCs/>
                <w:lang w:val="en-AU"/>
              </w:rPr>
            </w:pPr>
            <w:r w:rsidRPr="006F283B">
              <w:rPr>
                <w:rFonts w:eastAsia="MS Gothic"/>
                <w:bCs/>
                <w:lang w:val="en-AU"/>
              </w:rPr>
              <w:t>Progression free at 36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70D0F18"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42%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7B08F97C"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31%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2580E39"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11%</w:t>
            </w:r>
          </w:p>
        </w:tc>
        <w:tc>
          <w:tcPr>
            <w:tcW w:w="757" w:type="pct"/>
            <w:tcBorders>
              <w:top w:val="nil"/>
              <w:left w:val="single" w:sz="4" w:space="0" w:color="auto"/>
              <w:bottom w:val="nil"/>
            </w:tcBorders>
            <w:shd w:val="clear" w:color="auto" w:fill="auto"/>
            <w:vAlign w:val="center"/>
          </w:tcPr>
          <w:p w14:paraId="27266412" w14:textId="77777777" w:rsidR="00843998" w:rsidRPr="006F283B" w:rsidRDefault="00843998" w:rsidP="004E1FEC">
            <w:pPr>
              <w:pStyle w:val="TableBodyText-H54"/>
              <w:keepLines/>
              <w:spacing w:before="0" w:after="0" w:line="240" w:lineRule="auto"/>
              <w:jc w:val="center"/>
              <w:rPr>
                <w:rFonts w:eastAsia="MS Gothic"/>
                <w:bCs/>
                <w:lang w:val="en-AU"/>
              </w:rPr>
            </w:pPr>
          </w:p>
        </w:tc>
      </w:tr>
      <w:tr w:rsidR="00843998" w:rsidRPr="006F283B" w14:paraId="2B8AC9F6" w14:textId="77777777" w:rsidTr="004E1FEC">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6B740998" w14:textId="77777777" w:rsidR="00843998" w:rsidRPr="006F283B" w:rsidRDefault="00843998" w:rsidP="004E1FEC">
            <w:pPr>
              <w:pStyle w:val="TableBodyText-H54"/>
              <w:keepLines/>
              <w:spacing w:before="0" w:after="0" w:line="240" w:lineRule="auto"/>
              <w:rPr>
                <w:rFonts w:eastAsia="MS Gothic"/>
                <w:bCs/>
                <w:lang w:val="en-AU"/>
              </w:rPr>
            </w:pPr>
            <w:r w:rsidRPr="006F283B">
              <w:rPr>
                <w:rFonts w:eastAsia="MS Gothic"/>
                <w:bCs/>
                <w:lang w:val="en-AU"/>
              </w:rPr>
              <w:t>Progression free at 48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DA10381"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38%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5104C4D"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27%</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5D4BD0AE" w14:textId="77777777" w:rsidR="00843998" w:rsidRPr="006F283B" w:rsidRDefault="00843998" w:rsidP="004E1FEC">
            <w:pPr>
              <w:pStyle w:val="TableBodyText-H54"/>
              <w:keepLines/>
              <w:spacing w:before="0" w:after="0" w:line="240" w:lineRule="auto"/>
              <w:jc w:val="center"/>
              <w:rPr>
                <w:rFonts w:eastAsia="MS Gothic"/>
                <w:bCs/>
                <w:lang w:val="en-AU"/>
              </w:rPr>
            </w:pPr>
            <w:r w:rsidRPr="006F283B">
              <w:rPr>
                <w:rFonts w:eastAsia="MS Gothic"/>
                <w:bCs/>
                <w:lang w:val="en-AU"/>
              </w:rPr>
              <w:t>11%</w:t>
            </w:r>
          </w:p>
        </w:tc>
        <w:tc>
          <w:tcPr>
            <w:tcW w:w="757" w:type="pct"/>
            <w:tcBorders>
              <w:top w:val="nil"/>
              <w:left w:val="single" w:sz="4" w:space="0" w:color="auto"/>
              <w:bottom w:val="nil"/>
            </w:tcBorders>
            <w:shd w:val="clear" w:color="auto" w:fill="auto"/>
            <w:vAlign w:val="center"/>
          </w:tcPr>
          <w:p w14:paraId="40919195" w14:textId="77777777" w:rsidR="00843998" w:rsidRPr="006F283B" w:rsidRDefault="00843998" w:rsidP="004E1FEC">
            <w:pPr>
              <w:pStyle w:val="TableBodyText-H54"/>
              <w:keepLines/>
              <w:spacing w:before="0" w:after="0" w:line="240" w:lineRule="auto"/>
              <w:jc w:val="center"/>
              <w:rPr>
                <w:rFonts w:eastAsia="MS Gothic"/>
                <w:bCs/>
                <w:lang w:val="en-AU"/>
              </w:rPr>
            </w:pPr>
          </w:p>
        </w:tc>
      </w:tr>
    </w:tbl>
    <w:tbl>
      <w:tblPr>
        <w:tblW w:w="5000" w:type="pct"/>
        <w:tblCellMar>
          <w:left w:w="28" w:type="dxa"/>
          <w:right w:w="28" w:type="dxa"/>
        </w:tblCellMar>
        <w:tblLook w:val="04A0" w:firstRow="1" w:lastRow="0" w:firstColumn="1" w:lastColumn="0" w:noHBand="0" w:noVBand="1"/>
      </w:tblPr>
      <w:tblGrid>
        <w:gridCol w:w="1416"/>
        <w:gridCol w:w="1051"/>
        <w:gridCol w:w="1055"/>
        <w:gridCol w:w="1682"/>
        <w:gridCol w:w="1381"/>
        <w:gridCol w:w="1266"/>
        <w:gridCol w:w="1165"/>
      </w:tblGrid>
      <w:tr w:rsidR="00843998" w:rsidRPr="006F283B" w14:paraId="781BAC69" w14:textId="77777777" w:rsidTr="004E1FEC">
        <w:trPr>
          <w:cantSplit/>
        </w:trPr>
        <w:tc>
          <w:tcPr>
            <w:tcW w:w="5000" w:type="pct"/>
            <w:gridSpan w:val="7"/>
            <w:tcBorders>
              <w:top w:val="double" w:sz="4" w:space="0" w:color="auto"/>
              <w:left w:val="single" w:sz="4" w:space="0" w:color="auto"/>
              <w:bottom w:val="double" w:sz="4" w:space="0" w:color="auto"/>
              <w:right w:val="single" w:sz="4" w:space="0" w:color="auto"/>
            </w:tcBorders>
          </w:tcPr>
          <w:p w14:paraId="0672AB20" w14:textId="74B29E4F" w:rsidR="00843998" w:rsidRPr="006F283B" w:rsidRDefault="00843998" w:rsidP="004E1FEC">
            <w:pPr>
              <w:pStyle w:val="In-tableHeading"/>
              <w:keepLines/>
              <w:spacing w:line="256" w:lineRule="auto"/>
              <w:rPr>
                <w:lang w:val="en-AU"/>
              </w:rPr>
            </w:pPr>
            <w:r w:rsidRPr="006F283B">
              <w:rPr>
                <w:lang w:val="en-AU"/>
              </w:rPr>
              <w:t>Harms (Safety analysis set)</w:t>
            </w:r>
            <w:r w:rsidRPr="006F283B">
              <w:rPr>
                <w:vertAlign w:val="superscript"/>
                <w:lang w:val="en-AU"/>
              </w:rPr>
              <w:t xml:space="preserve"> </w:t>
            </w:r>
            <w:r w:rsidR="007F799B">
              <w:rPr>
                <w:vertAlign w:val="superscript"/>
                <w:lang w:val="en-AU"/>
              </w:rPr>
              <w:t>b</w:t>
            </w:r>
          </w:p>
        </w:tc>
      </w:tr>
      <w:tr w:rsidR="00843998" w:rsidRPr="006F283B" w14:paraId="34B41E6A" w14:textId="77777777" w:rsidTr="004E1FEC">
        <w:trPr>
          <w:trHeight w:val="70"/>
        </w:trPr>
        <w:tc>
          <w:tcPr>
            <w:tcW w:w="785" w:type="pct"/>
            <w:vMerge w:val="restart"/>
            <w:tcBorders>
              <w:top w:val="single" w:sz="4" w:space="0" w:color="auto"/>
              <w:left w:val="single" w:sz="4" w:space="0" w:color="auto"/>
              <w:bottom w:val="single" w:sz="4" w:space="0" w:color="auto"/>
              <w:right w:val="single" w:sz="4" w:space="0" w:color="auto"/>
            </w:tcBorders>
            <w:vAlign w:val="center"/>
          </w:tcPr>
          <w:p w14:paraId="58B2246A" w14:textId="77777777" w:rsidR="00843998" w:rsidRPr="006F283B" w:rsidRDefault="00843998" w:rsidP="004E1FEC">
            <w:pPr>
              <w:pStyle w:val="In-tableHeading"/>
              <w:keepLines/>
              <w:spacing w:line="256" w:lineRule="auto"/>
              <w:rPr>
                <w:lang w:val="en-AU"/>
              </w:rPr>
            </w:pPr>
          </w:p>
        </w:tc>
        <w:tc>
          <w:tcPr>
            <w:tcW w:w="583" w:type="pct"/>
            <w:vMerge w:val="restart"/>
            <w:tcBorders>
              <w:top w:val="single" w:sz="4" w:space="0" w:color="auto"/>
              <w:left w:val="single" w:sz="4" w:space="0" w:color="auto"/>
              <w:bottom w:val="single" w:sz="4" w:space="0" w:color="auto"/>
              <w:right w:val="single" w:sz="4" w:space="0" w:color="auto"/>
            </w:tcBorders>
            <w:vAlign w:val="center"/>
            <w:hideMark/>
          </w:tcPr>
          <w:p w14:paraId="452BE27B" w14:textId="77777777" w:rsidR="00843998" w:rsidRPr="006F283B" w:rsidRDefault="00843998" w:rsidP="004E1FEC">
            <w:pPr>
              <w:pStyle w:val="TableRowHeader"/>
              <w:keepNext/>
              <w:keepLines/>
            </w:pPr>
            <w:r w:rsidRPr="006F283B">
              <w:t>Niraparib</w:t>
            </w:r>
          </w:p>
          <w:p w14:paraId="3F9C58B5" w14:textId="77777777" w:rsidR="00843998" w:rsidRPr="006F283B" w:rsidRDefault="00843998" w:rsidP="004E1FEC">
            <w:pPr>
              <w:pStyle w:val="In-tableHeading"/>
              <w:keepLines/>
              <w:spacing w:line="256" w:lineRule="auto"/>
              <w:jc w:val="center"/>
              <w:rPr>
                <w:lang w:val="en-AU"/>
              </w:rPr>
            </w:pPr>
            <w:r w:rsidRPr="006F283B">
              <w:rPr>
                <w:lang w:val="en-AU"/>
              </w:rPr>
              <w:t>n/N</w:t>
            </w:r>
          </w:p>
        </w:tc>
        <w:tc>
          <w:tcPr>
            <w:tcW w:w="585" w:type="pct"/>
            <w:vMerge w:val="restart"/>
            <w:tcBorders>
              <w:top w:val="single" w:sz="4" w:space="0" w:color="auto"/>
              <w:left w:val="single" w:sz="4" w:space="0" w:color="auto"/>
              <w:bottom w:val="single" w:sz="4" w:space="0" w:color="auto"/>
              <w:right w:val="single" w:sz="4" w:space="0" w:color="auto"/>
            </w:tcBorders>
            <w:vAlign w:val="center"/>
            <w:hideMark/>
          </w:tcPr>
          <w:p w14:paraId="6C03F14A" w14:textId="77777777" w:rsidR="00843998" w:rsidRPr="006F283B" w:rsidRDefault="00843998" w:rsidP="004E1FEC">
            <w:pPr>
              <w:pStyle w:val="TableRowHeader"/>
              <w:keepNext/>
              <w:keepLines/>
            </w:pPr>
            <w:r w:rsidRPr="006F283B">
              <w:t>Placebo</w:t>
            </w:r>
          </w:p>
          <w:p w14:paraId="6E4CA668" w14:textId="77777777" w:rsidR="00843998" w:rsidRPr="006F283B" w:rsidRDefault="00843998" w:rsidP="004E1FEC">
            <w:pPr>
              <w:pStyle w:val="In-tableHeading"/>
              <w:keepLines/>
              <w:spacing w:line="256" w:lineRule="auto"/>
              <w:jc w:val="center"/>
              <w:rPr>
                <w:lang w:val="en-AU"/>
              </w:rPr>
            </w:pPr>
            <w:r w:rsidRPr="006F283B">
              <w:rPr>
                <w:lang w:val="en-AU"/>
              </w:rPr>
              <w:t>n/N</w:t>
            </w:r>
          </w:p>
        </w:tc>
        <w:tc>
          <w:tcPr>
            <w:tcW w:w="933" w:type="pct"/>
            <w:vMerge w:val="restart"/>
            <w:tcBorders>
              <w:top w:val="single" w:sz="4" w:space="0" w:color="auto"/>
              <w:left w:val="single" w:sz="4" w:space="0" w:color="auto"/>
              <w:right w:val="single" w:sz="4" w:space="0" w:color="auto"/>
            </w:tcBorders>
            <w:vAlign w:val="center"/>
          </w:tcPr>
          <w:p w14:paraId="0D98CDCF" w14:textId="77777777" w:rsidR="00843998" w:rsidRPr="006F283B" w:rsidRDefault="00843998" w:rsidP="004E1FEC">
            <w:pPr>
              <w:pStyle w:val="In-tableHeading"/>
              <w:keepLines/>
              <w:spacing w:line="256" w:lineRule="auto"/>
              <w:jc w:val="center"/>
              <w:rPr>
                <w:lang w:val="en-AU"/>
              </w:rPr>
            </w:pPr>
            <w:r w:rsidRPr="006F283B">
              <w:rPr>
                <w:lang w:val="en-AU"/>
              </w:rPr>
              <w:t>RR</w:t>
            </w:r>
          </w:p>
          <w:p w14:paraId="3A1C3293" w14:textId="0BFB0D27" w:rsidR="00843998" w:rsidRPr="006F283B" w:rsidRDefault="00843998" w:rsidP="004E1FEC">
            <w:pPr>
              <w:pStyle w:val="In-tableHeading"/>
              <w:keepLines/>
              <w:spacing w:line="256" w:lineRule="auto"/>
              <w:jc w:val="center"/>
              <w:rPr>
                <w:lang w:val="en-AU"/>
              </w:rPr>
            </w:pPr>
            <w:r w:rsidRPr="006F283B">
              <w:rPr>
                <w:lang w:val="en-AU"/>
              </w:rPr>
              <w:t>(95% CI)</w:t>
            </w:r>
            <w:r w:rsidR="00F207AD">
              <w:rPr>
                <w:rFonts w:eastAsia="MS Gothic"/>
                <w:vertAlign w:val="superscript"/>
              </w:rPr>
              <w:t xml:space="preserve"> a</w:t>
            </w:r>
          </w:p>
        </w:tc>
        <w:tc>
          <w:tcPr>
            <w:tcW w:w="1468" w:type="pct"/>
            <w:gridSpan w:val="2"/>
            <w:tcBorders>
              <w:top w:val="single" w:sz="4" w:space="0" w:color="auto"/>
              <w:left w:val="single" w:sz="4" w:space="0" w:color="auto"/>
              <w:bottom w:val="single" w:sz="4" w:space="0" w:color="auto"/>
              <w:right w:val="single" w:sz="4" w:space="0" w:color="auto"/>
            </w:tcBorders>
            <w:vAlign w:val="center"/>
            <w:hideMark/>
          </w:tcPr>
          <w:p w14:paraId="66CD09F7" w14:textId="7C66B759" w:rsidR="00843998" w:rsidRPr="006F283B" w:rsidRDefault="00843998" w:rsidP="004E1FEC">
            <w:pPr>
              <w:pStyle w:val="In-tableHeading"/>
              <w:keepLines/>
              <w:spacing w:line="256" w:lineRule="auto"/>
              <w:jc w:val="center"/>
              <w:rPr>
                <w:lang w:val="en-AU"/>
              </w:rPr>
            </w:pPr>
            <w:r w:rsidRPr="006F283B">
              <w:rPr>
                <w:lang w:val="en-AU"/>
              </w:rPr>
              <w:t>Event rate/100 patients</w:t>
            </w:r>
            <w:r w:rsidR="00F207AD">
              <w:rPr>
                <w:rFonts w:eastAsia="MS Gothic"/>
                <w:vertAlign w:val="superscript"/>
              </w:rPr>
              <w:t>a</w:t>
            </w:r>
          </w:p>
        </w:tc>
        <w:tc>
          <w:tcPr>
            <w:tcW w:w="646" w:type="pct"/>
            <w:vMerge w:val="restart"/>
            <w:tcBorders>
              <w:top w:val="single" w:sz="4" w:space="0" w:color="auto"/>
              <w:left w:val="single" w:sz="4" w:space="0" w:color="auto"/>
              <w:bottom w:val="single" w:sz="4" w:space="0" w:color="auto"/>
              <w:right w:val="single" w:sz="4" w:space="0" w:color="auto"/>
            </w:tcBorders>
            <w:vAlign w:val="center"/>
            <w:hideMark/>
          </w:tcPr>
          <w:p w14:paraId="63043D64" w14:textId="7688A505" w:rsidR="00843998" w:rsidRPr="006F283B" w:rsidRDefault="00843998" w:rsidP="004E1FEC">
            <w:pPr>
              <w:pStyle w:val="In-tableHeading"/>
              <w:keepLines/>
              <w:jc w:val="center"/>
              <w:rPr>
                <w:lang w:val="en-AU"/>
              </w:rPr>
            </w:pPr>
            <w:r w:rsidRPr="006F283B">
              <w:rPr>
                <w:lang w:val="en-AU"/>
              </w:rPr>
              <w:t>RD</w:t>
            </w:r>
            <w:r w:rsidR="00F207AD">
              <w:rPr>
                <w:rFonts w:eastAsia="MS Gothic"/>
                <w:vertAlign w:val="superscript"/>
              </w:rPr>
              <w:t>a</w:t>
            </w:r>
          </w:p>
        </w:tc>
      </w:tr>
      <w:tr w:rsidR="00843998" w:rsidRPr="006F283B" w14:paraId="24401537" w14:textId="77777777" w:rsidTr="004E1FEC">
        <w:trPr>
          <w:trHeight w:val="390"/>
        </w:trPr>
        <w:tc>
          <w:tcPr>
            <w:tcW w:w="785" w:type="pct"/>
            <w:vMerge/>
            <w:tcBorders>
              <w:top w:val="single" w:sz="4" w:space="0" w:color="auto"/>
              <w:left w:val="single" w:sz="4" w:space="0" w:color="auto"/>
              <w:bottom w:val="single" w:sz="4" w:space="0" w:color="auto"/>
              <w:right w:val="single" w:sz="4" w:space="0" w:color="auto"/>
            </w:tcBorders>
            <w:vAlign w:val="center"/>
            <w:hideMark/>
          </w:tcPr>
          <w:p w14:paraId="7CFF905C" w14:textId="77777777" w:rsidR="00843998" w:rsidRPr="006F283B" w:rsidRDefault="00843998" w:rsidP="004E1FEC">
            <w:pPr>
              <w:keepNext/>
              <w:keepLines/>
              <w:spacing w:before="0" w:after="0" w:line="256" w:lineRule="auto"/>
              <w:jc w:val="left"/>
              <w:rPr>
                <w:rFonts w:ascii="Arial Narrow" w:eastAsiaTheme="majorEastAsia" w:hAnsi="Arial Narrow" w:cs="Times New Roman"/>
                <w:b/>
                <w:sz w:val="20"/>
                <w:szCs w:val="24"/>
                <w:lang w:eastAsia="en-AU"/>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7352210A" w14:textId="77777777" w:rsidR="00843998" w:rsidRPr="006F283B" w:rsidRDefault="00843998" w:rsidP="004E1FEC">
            <w:pPr>
              <w:keepNext/>
              <w:keepLines/>
              <w:spacing w:before="0" w:after="0" w:line="256" w:lineRule="auto"/>
              <w:jc w:val="left"/>
              <w:rPr>
                <w:rFonts w:ascii="Arial Narrow" w:eastAsiaTheme="majorEastAsia" w:hAnsi="Arial Narrow" w:cs="Times New Roman"/>
                <w:b/>
                <w:sz w:val="20"/>
                <w:szCs w:val="24"/>
                <w:lang w:eastAsia="en-AU"/>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30CA7425" w14:textId="77777777" w:rsidR="00843998" w:rsidRPr="006F283B" w:rsidRDefault="00843998" w:rsidP="004E1FEC">
            <w:pPr>
              <w:keepNext/>
              <w:keepLines/>
              <w:spacing w:before="0" w:after="0" w:line="256" w:lineRule="auto"/>
              <w:jc w:val="left"/>
              <w:rPr>
                <w:rFonts w:ascii="Arial Narrow" w:eastAsiaTheme="majorEastAsia" w:hAnsi="Arial Narrow" w:cs="Times New Roman"/>
                <w:b/>
                <w:sz w:val="20"/>
                <w:szCs w:val="24"/>
                <w:lang w:eastAsia="en-AU"/>
              </w:rPr>
            </w:pPr>
          </w:p>
        </w:tc>
        <w:tc>
          <w:tcPr>
            <w:tcW w:w="933" w:type="pct"/>
            <w:vMerge/>
            <w:tcBorders>
              <w:left w:val="single" w:sz="4" w:space="0" w:color="auto"/>
              <w:bottom w:val="single" w:sz="4" w:space="0" w:color="auto"/>
              <w:right w:val="single" w:sz="4" w:space="0" w:color="auto"/>
            </w:tcBorders>
          </w:tcPr>
          <w:p w14:paraId="61D67E7D" w14:textId="77777777" w:rsidR="00843998" w:rsidRPr="006F283B" w:rsidRDefault="00843998" w:rsidP="004E1FEC">
            <w:pPr>
              <w:pStyle w:val="In-tableHeading"/>
              <w:keepLines/>
              <w:spacing w:line="256" w:lineRule="auto"/>
              <w:jc w:val="center"/>
              <w:rPr>
                <w:lang w:val="en-AU"/>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7CBF7373" w14:textId="5FFA637A" w:rsidR="00843998" w:rsidRPr="006F283B" w:rsidRDefault="007831F9" w:rsidP="004E1FEC">
            <w:pPr>
              <w:pStyle w:val="In-tableHeading"/>
              <w:keepLines/>
              <w:spacing w:line="256" w:lineRule="auto"/>
              <w:jc w:val="center"/>
              <w:rPr>
                <w:lang w:val="en-AU"/>
              </w:rPr>
            </w:pPr>
            <w:r w:rsidRPr="006F283B">
              <w:rPr>
                <w:lang w:val="en-AU"/>
              </w:rPr>
              <w:t>Niraparib</w:t>
            </w:r>
          </w:p>
        </w:tc>
        <w:tc>
          <w:tcPr>
            <w:tcW w:w="702" w:type="pct"/>
            <w:tcBorders>
              <w:top w:val="single" w:sz="4" w:space="0" w:color="auto"/>
              <w:left w:val="single" w:sz="4" w:space="0" w:color="auto"/>
              <w:bottom w:val="single" w:sz="4" w:space="0" w:color="auto"/>
              <w:right w:val="single" w:sz="4" w:space="0" w:color="auto"/>
            </w:tcBorders>
            <w:vAlign w:val="center"/>
            <w:hideMark/>
          </w:tcPr>
          <w:p w14:paraId="57BCEE26" w14:textId="23C7376F" w:rsidR="00843998" w:rsidRPr="006F283B" w:rsidRDefault="00843998" w:rsidP="004E1FEC">
            <w:pPr>
              <w:pStyle w:val="In-tableHeading"/>
              <w:keepLines/>
              <w:spacing w:line="256" w:lineRule="auto"/>
              <w:jc w:val="center"/>
              <w:rPr>
                <w:lang w:val="en-AU"/>
              </w:rPr>
            </w:pPr>
            <w:r w:rsidRPr="006F283B">
              <w:rPr>
                <w:lang w:val="en-AU"/>
              </w:rPr>
              <w:t>Placebo</w:t>
            </w:r>
          </w:p>
        </w:tc>
        <w:tc>
          <w:tcPr>
            <w:tcW w:w="646" w:type="pct"/>
            <w:vMerge/>
            <w:tcBorders>
              <w:top w:val="single" w:sz="4" w:space="0" w:color="auto"/>
              <w:left w:val="single" w:sz="4" w:space="0" w:color="auto"/>
              <w:bottom w:val="single" w:sz="4" w:space="0" w:color="auto"/>
              <w:right w:val="single" w:sz="4" w:space="0" w:color="auto"/>
            </w:tcBorders>
            <w:vAlign w:val="center"/>
            <w:hideMark/>
          </w:tcPr>
          <w:p w14:paraId="06090CE3" w14:textId="77777777" w:rsidR="00843998" w:rsidRPr="006F283B" w:rsidRDefault="00843998" w:rsidP="004E1FEC">
            <w:pPr>
              <w:keepNext/>
              <w:keepLines/>
              <w:spacing w:before="0" w:after="0" w:line="256" w:lineRule="auto"/>
              <w:jc w:val="left"/>
              <w:rPr>
                <w:rFonts w:ascii="Arial Narrow" w:eastAsiaTheme="majorEastAsia" w:hAnsi="Arial Narrow" w:cs="Times New Roman"/>
                <w:b/>
                <w:sz w:val="20"/>
                <w:szCs w:val="24"/>
                <w:lang w:eastAsia="en-AU"/>
              </w:rPr>
            </w:pPr>
          </w:p>
        </w:tc>
      </w:tr>
      <w:tr w:rsidR="00843998" w:rsidRPr="006F283B" w14:paraId="03592A3E" w14:textId="77777777" w:rsidTr="004E1FEC">
        <w:tc>
          <w:tcPr>
            <w:tcW w:w="5000" w:type="pct"/>
            <w:gridSpan w:val="7"/>
            <w:tcBorders>
              <w:top w:val="single" w:sz="4" w:space="0" w:color="auto"/>
              <w:left w:val="single" w:sz="4" w:space="0" w:color="auto"/>
              <w:bottom w:val="single" w:sz="4" w:space="0" w:color="auto"/>
              <w:right w:val="single" w:sz="4" w:space="0" w:color="auto"/>
            </w:tcBorders>
          </w:tcPr>
          <w:p w14:paraId="497AB406" w14:textId="77777777" w:rsidR="00843998" w:rsidRPr="006F283B" w:rsidRDefault="00843998" w:rsidP="004E1FEC">
            <w:pPr>
              <w:pStyle w:val="TableText"/>
              <w:keepNext/>
              <w:keepLines/>
              <w:spacing w:line="256" w:lineRule="auto"/>
              <w:rPr>
                <w:b/>
                <w:bCs/>
              </w:rPr>
            </w:pPr>
            <w:r w:rsidRPr="006F283B">
              <w:rPr>
                <w:b/>
                <w:bCs/>
              </w:rPr>
              <w:t>Any casually related AE</w:t>
            </w:r>
          </w:p>
        </w:tc>
      </w:tr>
      <w:tr w:rsidR="00843998" w:rsidRPr="006F283B" w14:paraId="4CFAFC28" w14:textId="77777777" w:rsidTr="004E1FEC">
        <w:tc>
          <w:tcPr>
            <w:tcW w:w="785" w:type="pct"/>
            <w:tcBorders>
              <w:top w:val="single" w:sz="4" w:space="0" w:color="auto"/>
              <w:left w:val="single" w:sz="4" w:space="0" w:color="auto"/>
              <w:bottom w:val="single" w:sz="4" w:space="0" w:color="auto"/>
              <w:right w:val="single" w:sz="4" w:space="0" w:color="auto"/>
            </w:tcBorders>
          </w:tcPr>
          <w:p w14:paraId="0EB63AC2" w14:textId="77777777" w:rsidR="00843998" w:rsidRPr="006F283B" w:rsidRDefault="00843998" w:rsidP="004E1FEC">
            <w:pPr>
              <w:pStyle w:val="TableText"/>
              <w:keepNext/>
              <w:keepLines/>
              <w:spacing w:line="256" w:lineRule="auto"/>
            </w:pPr>
            <w:r w:rsidRPr="006F283B">
              <w:t>Thrombocytopenia</w:t>
            </w:r>
          </w:p>
        </w:tc>
        <w:tc>
          <w:tcPr>
            <w:tcW w:w="583" w:type="pct"/>
            <w:tcBorders>
              <w:top w:val="single" w:sz="4" w:space="0" w:color="auto"/>
              <w:left w:val="single" w:sz="4" w:space="0" w:color="auto"/>
              <w:bottom w:val="single" w:sz="4" w:space="0" w:color="auto"/>
              <w:right w:val="single" w:sz="4" w:space="0" w:color="auto"/>
            </w:tcBorders>
            <w:vAlign w:val="center"/>
          </w:tcPr>
          <w:p w14:paraId="7FF8DAB9" w14:textId="77777777" w:rsidR="00843998" w:rsidRPr="006F283B" w:rsidRDefault="00843998" w:rsidP="004E1FEC">
            <w:pPr>
              <w:pStyle w:val="TableText"/>
              <w:keepNext/>
              <w:keepLines/>
              <w:spacing w:line="256" w:lineRule="auto"/>
              <w:jc w:val="center"/>
            </w:pPr>
            <w:r w:rsidRPr="006F283B">
              <w:t>57/165</w:t>
            </w:r>
          </w:p>
        </w:tc>
        <w:tc>
          <w:tcPr>
            <w:tcW w:w="585" w:type="pct"/>
            <w:tcBorders>
              <w:top w:val="single" w:sz="4" w:space="0" w:color="auto"/>
              <w:left w:val="single" w:sz="4" w:space="0" w:color="auto"/>
              <w:bottom w:val="single" w:sz="4" w:space="0" w:color="auto"/>
              <w:right w:val="single" w:sz="4" w:space="0" w:color="auto"/>
            </w:tcBorders>
            <w:vAlign w:val="center"/>
          </w:tcPr>
          <w:p w14:paraId="08EBD888" w14:textId="77777777" w:rsidR="00843998" w:rsidRPr="006F283B" w:rsidRDefault="00843998" w:rsidP="004E1FEC">
            <w:pPr>
              <w:pStyle w:val="TableText"/>
              <w:keepNext/>
              <w:keepLines/>
              <w:spacing w:line="256" w:lineRule="auto"/>
              <w:jc w:val="center"/>
            </w:pPr>
            <w:r w:rsidRPr="006F283B">
              <w:t>3/86</w:t>
            </w:r>
          </w:p>
        </w:tc>
        <w:tc>
          <w:tcPr>
            <w:tcW w:w="933" w:type="pct"/>
            <w:tcBorders>
              <w:top w:val="single" w:sz="4" w:space="0" w:color="auto"/>
              <w:left w:val="single" w:sz="4" w:space="0" w:color="auto"/>
              <w:bottom w:val="single" w:sz="4" w:space="0" w:color="auto"/>
              <w:right w:val="single" w:sz="4" w:space="0" w:color="auto"/>
            </w:tcBorders>
            <w:vAlign w:val="center"/>
          </w:tcPr>
          <w:p w14:paraId="5ADE8D7B" w14:textId="77777777" w:rsidR="00843998" w:rsidRPr="006F283B" w:rsidRDefault="00843998" w:rsidP="004E1FEC">
            <w:pPr>
              <w:pStyle w:val="TableText"/>
              <w:keepNext/>
              <w:keepLines/>
              <w:spacing w:line="256" w:lineRule="auto"/>
              <w:jc w:val="center"/>
            </w:pPr>
            <w:r w:rsidRPr="006F283B">
              <w:t>9.90 (3.19, 307)</w:t>
            </w:r>
          </w:p>
        </w:tc>
        <w:tc>
          <w:tcPr>
            <w:tcW w:w="766" w:type="pct"/>
            <w:tcBorders>
              <w:top w:val="single" w:sz="4" w:space="0" w:color="auto"/>
              <w:left w:val="single" w:sz="4" w:space="0" w:color="auto"/>
              <w:bottom w:val="single" w:sz="4" w:space="0" w:color="auto"/>
              <w:right w:val="single" w:sz="4" w:space="0" w:color="auto"/>
            </w:tcBorders>
            <w:vAlign w:val="center"/>
          </w:tcPr>
          <w:p w14:paraId="26E68ABE" w14:textId="77777777" w:rsidR="00843998" w:rsidRPr="006F283B" w:rsidRDefault="00843998" w:rsidP="004E1FEC">
            <w:pPr>
              <w:pStyle w:val="TableText"/>
              <w:keepNext/>
              <w:keepLines/>
              <w:spacing w:line="256" w:lineRule="auto"/>
              <w:jc w:val="center"/>
            </w:pPr>
            <w:r w:rsidRPr="006F283B">
              <w:t>34.5</w:t>
            </w:r>
          </w:p>
        </w:tc>
        <w:tc>
          <w:tcPr>
            <w:tcW w:w="702" w:type="pct"/>
            <w:tcBorders>
              <w:top w:val="single" w:sz="4" w:space="0" w:color="auto"/>
              <w:left w:val="single" w:sz="4" w:space="0" w:color="auto"/>
              <w:bottom w:val="single" w:sz="4" w:space="0" w:color="auto"/>
              <w:right w:val="single" w:sz="4" w:space="0" w:color="auto"/>
            </w:tcBorders>
            <w:vAlign w:val="center"/>
          </w:tcPr>
          <w:p w14:paraId="75655371" w14:textId="77777777" w:rsidR="00843998" w:rsidRPr="006F283B" w:rsidRDefault="00843998" w:rsidP="004E1FEC">
            <w:pPr>
              <w:pStyle w:val="TableText"/>
              <w:keepNext/>
              <w:keepLines/>
              <w:spacing w:line="256" w:lineRule="auto"/>
              <w:jc w:val="center"/>
            </w:pPr>
            <w:r w:rsidRPr="006F283B">
              <w:t>3.5</w:t>
            </w:r>
          </w:p>
        </w:tc>
        <w:tc>
          <w:tcPr>
            <w:tcW w:w="646" w:type="pct"/>
            <w:tcBorders>
              <w:top w:val="single" w:sz="4" w:space="0" w:color="auto"/>
              <w:left w:val="single" w:sz="4" w:space="0" w:color="auto"/>
              <w:bottom w:val="single" w:sz="4" w:space="0" w:color="auto"/>
              <w:right w:val="single" w:sz="4" w:space="0" w:color="auto"/>
            </w:tcBorders>
            <w:vAlign w:val="center"/>
          </w:tcPr>
          <w:p w14:paraId="4B3F0DA3" w14:textId="77777777" w:rsidR="00843998" w:rsidRPr="006F283B" w:rsidRDefault="00843998" w:rsidP="004E1FEC">
            <w:pPr>
              <w:pStyle w:val="TableText"/>
              <w:keepNext/>
              <w:keepLines/>
              <w:spacing w:line="256" w:lineRule="auto"/>
              <w:jc w:val="center"/>
            </w:pPr>
            <w:r w:rsidRPr="006F283B">
              <w:t>31.1</w:t>
            </w:r>
          </w:p>
        </w:tc>
      </w:tr>
      <w:tr w:rsidR="00843998" w:rsidRPr="006F283B" w14:paraId="2DC4AEBE" w14:textId="77777777" w:rsidTr="004E1FEC">
        <w:tc>
          <w:tcPr>
            <w:tcW w:w="785" w:type="pct"/>
            <w:tcBorders>
              <w:top w:val="single" w:sz="4" w:space="0" w:color="auto"/>
              <w:left w:val="single" w:sz="4" w:space="0" w:color="auto"/>
              <w:bottom w:val="single" w:sz="4" w:space="0" w:color="auto"/>
              <w:right w:val="single" w:sz="4" w:space="0" w:color="auto"/>
            </w:tcBorders>
          </w:tcPr>
          <w:p w14:paraId="53A8717B" w14:textId="77777777" w:rsidR="00843998" w:rsidRPr="006F283B" w:rsidRDefault="00843998" w:rsidP="004E1FEC">
            <w:pPr>
              <w:pStyle w:val="TableText"/>
              <w:keepNext/>
              <w:keepLines/>
              <w:spacing w:line="256" w:lineRule="auto"/>
            </w:pPr>
            <w:r w:rsidRPr="006F283B">
              <w:t>Vomiting</w:t>
            </w:r>
          </w:p>
        </w:tc>
        <w:tc>
          <w:tcPr>
            <w:tcW w:w="583" w:type="pct"/>
            <w:tcBorders>
              <w:top w:val="single" w:sz="4" w:space="0" w:color="auto"/>
              <w:left w:val="single" w:sz="4" w:space="0" w:color="auto"/>
              <w:bottom w:val="single" w:sz="4" w:space="0" w:color="auto"/>
              <w:right w:val="single" w:sz="4" w:space="0" w:color="auto"/>
            </w:tcBorders>
            <w:vAlign w:val="center"/>
          </w:tcPr>
          <w:p w14:paraId="00166B8E" w14:textId="77777777" w:rsidR="00843998" w:rsidRPr="006F283B" w:rsidRDefault="00843998" w:rsidP="004E1FEC">
            <w:pPr>
              <w:pStyle w:val="TableText"/>
              <w:keepNext/>
              <w:keepLines/>
              <w:spacing w:line="256" w:lineRule="auto"/>
              <w:jc w:val="center"/>
            </w:pPr>
            <w:r w:rsidRPr="006F283B">
              <w:t>28/165</w:t>
            </w:r>
          </w:p>
        </w:tc>
        <w:tc>
          <w:tcPr>
            <w:tcW w:w="585" w:type="pct"/>
            <w:tcBorders>
              <w:top w:val="single" w:sz="4" w:space="0" w:color="auto"/>
              <w:left w:val="single" w:sz="4" w:space="0" w:color="auto"/>
              <w:bottom w:val="single" w:sz="4" w:space="0" w:color="auto"/>
              <w:right w:val="single" w:sz="4" w:space="0" w:color="auto"/>
            </w:tcBorders>
            <w:vAlign w:val="center"/>
          </w:tcPr>
          <w:p w14:paraId="7728E154" w14:textId="77777777" w:rsidR="00843998" w:rsidRPr="006F283B" w:rsidRDefault="00843998" w:rsidP="004E1FEC">
            <w:pPr>
              <w:pStyle w:val="TableText"/>
              <w:keepNext/>
              <w:keepLines/>
              <w:spacing w:line="256" w:lineRule="auto"/>
              <w:jc w:val="center"/>
            </w:pPr>
            <w:r w:rsidRPr="006F283B">
              <w:t>8/86</w:t>
            </w:r>
          </w:p>
        </w:tc>
        <w:tc>
          <w:tcPr>
            <w:tcW w:w="933" w:type="pct"/>
            <w:tcBorders>
              <w:top w:val="single" w:sz="4" w:space="0" w:color="auto"/>
              <w:left w:val="single" w:sz="4" w:space="0" w:color="auto"/>
              <w:bottom w:val="single" w:sz="4" w:space="0" w:color="auto"/>
              <w:right w:val="single" w:sz="4" w:space="0" w:color="auto"/>
            </w:tcBorders>
            <w:vAlign w:val="center"/>
          </w:tcPr>
          <w:p w14:paraId="76593CF0" w14:textId="77777777" w:rsidR="00843998" w:rsidRPr="006F283B" w:rsidRDefault="00843998" w:rsidP="004E1FEC">
            <w:pPr>
              <w:pStyle w:val="TableText"/>
              <w:keepNext/>
              <w:keepLines/>
              <w:spacing w:line="256" w:lineRule="auto"/>
              <w:jc w:val="center"/>
            </w:pPr>
            <w:r w:rsidRPr="006F283B">
              <w:t>1.57 (0.75, 3.31)</w:t>
            </w:r>
          </w:p>
        </w:tc>
        <w:tc>
          <w:tcPr>
            <w:tcW w:w="766" w:type="pct"/>
            <w:tcBorders>
              <w:top w:val="single" w:sz="4" w:space="0" w:color="auto"/>
              <w:left w:val="single" w:sz="4" w:space="0" w:color="auto"/>
              <w:bottom w:val="single" w:sz="4" w:space="0" w:color="auto"/>
              <w:right w:val="single" w:sz="4" w:space="0" w:color="auto"/>
            </w:tcBorders>
            <w:vAlign w:val="center"/>
          </w:tcPr>
          <w:p w14:paraId="5883C08B" w14:textId="77777777" w:rsidR="00843998" w:rsidRPr="006F283B" w:rsidRDefault="00843998" w:rsidP="004E1FEC">
            <w:pPr>
              <w:pStyle w:val="TableText"/>
              <w:keepNext/>
              <w:keepLines/>
              <w:spacing w:line="256" w:lineRule="auto"/>
              <w:jc w:val="center"/>
            </w:pPr>
            <w:r w:rsidRPr="006F283B">
              <w:t>17.0</w:t>
            </w:r>
          </w:p>
        </w:tc>
        <w:tc>
          <w:tcPr>
            <w:tcW w:w="702" w:type="pct"/>
            <w:tcBorders>
              <w:top w:val="single" w:sz="4" w:space="0" w:color="auto"/>
              <w:left w:val="single" w:sz="4" w:space="0" w:color="auto"/>
              <w:bottom w:val="single" w:sz="4" w:space="0" w:color="auto"/>
              <w:right w:val="single" w:sz="4" w:space="0" w:color="auto"/>
            </w:tcBorders>
            <w:vAlign w:val="center"/>
          </w:tcPr>
          <w:p w14:paraId="517E69FD" w14:textId="77777777" w:rsidR="00843998" w:rsidRPr="006F283B" w:rsidRDefault="00843998" w:rsidP="004E1FEC">
            <w:pPr>
              <w:pStyle w:val="TableText"/>
              <w:keepNext/>
              <w:keepLines/>
              <w:spacing w:line="256" w:lineRule="auto"/>
              <w:jc w:val="center"/>
            </w:pPr>
            <w:r w:rsidRPr="006F283B">
              <w:t>9.3</w:t>
            </w:r>
          </w:p>
        </w:tc>
        <w:tc>
          <w:tcPr>
            <w:tcW w:w="646" w:type="pct"/>
            <w:tcBorders>
              <w:top w:val="single" w:sz="4" w:space="0" w:color="auto"/>
              <w:left w:val="single" w:sz="4" w:space="0" w:color="auto"/>
              <w:bottom w:val="single" w:sz="4" w:space="0" w:color="auto"/>
              <w:right w:val="single" w:sz="4" w:space="0" w:color="auto"/>
            </w:tcBorders>
          </w:tcPr>
          <w:p w14:paraId="79B4F269" w14:textId="77777777" w:rsidR="00843998" w:rsidRPr="006F283B" w:rsidRDefault="00843998" w:rsidP="004E1FEC">
            <w:pPr>
              <w:pStyle w:val="TableText"/>
              <w:keepNext/>
              <w:keepLines/>
              <w:spacing w:line="256" w:lineRule="auto"/>
              <w:jc w:val="center"/>
            </w:pPr>
            <w:r w:rsidRPr="006F283B">
              <w:t>7.7</w:t>
            </w:r>
          </w:p>
        </w:tc>
      </w:tr>
      <w:tr w:rsidR="00843998" w:rsidRPr="006F283B" w14:paraId="43843691" w14:textId="77777777" w:rsidTr="004E1FEC">
        <w:tc>
          <w:tcPr>
            <w:tcW w:w="785" w:type="pct"/>
            <w:tcBorders>
              <w:top w:val="single" w:sz="4" w:space="0" w:color="auto"/>
              <w:left w:val="single" w:sz="4" w:space="0" w:color="auto"/>
              <w:bottom w:val="single" w:sz="4" w:space="0" w:color="auto"/>
              <w:right w:val="single" w:sz="4" w:space="0" w:color="auto"/>
            </w:tcBorders>
          </w:tcPr>
          <w:p w14:paraId="6D706798" w14:textId="77777777" w:rsidR="00843998" w:rsidRPr="006F283B" w:rsidRDefault="00843998" w:rsidP="004E1FEC">
            <w:pPr>
              <w:pStyle w:val="TableText"/>
              <w:keepNext/>
              <w:keepLines/>
              <w:spacing w:line="256" w:lineRule="auto"/>
            </w:pPr>
            <w:r w:rsidRPr="006F283B">
              <w:t>Nausea</w:t>
            </w:r>
          </w:p>
        </w:tc>
        <w:tc>
          <w:tcPr>
            <w:tcW w:w="583" w:type="pct"/>
            <w:tcBorders>
              <w:top w:val="single" w:sz="4" w:space="0" w:color="auto"/>
              <w:left w:val="single" w:sz="4" w:space="0" w:color="auto"/>
              <w:bottom w:val="single" w:sz="4" w:space="0" w:color="auto"/>
              <w:right w:val="single" w:sz="4" w:space="0" w:color="auto"/>
            </w:tcBorders>
            <w:vAlign w:val="center"/>
          </w:tcPr>
          <w:p w14:paraId="0C431162" w14:textId="77777777" w:rsidR="00843998" w:rsidRPr="006F283B" w:rsidRDefault="00843998" w:rsidP="004E1FEC">
            <w:pPr>
              <w:pStyle w:val="TableText"/>
              <w:keepNext/>
              <w:keepLines/>
              <w:spacing w:line="256" w:lineRule="auto"/>
              <w:jc w:val="center"/>
            </w:pPr>
            <w:r w:rsidRPr="006F283B">
              <w:t>90/165</w:t>
            </w:r>
          </w:p>
        </w:tc>
        <w:tc>
          <w:tcPr>
            <w:tcW w:w="585" w:type="pct"/>
            <w:tcBorders>
              <w:top w:val="single" w:sz="4" w:space="0" w:color="auto"/>
              <w:left w:val="single" w:sz="4" w:space="0" w:color="auto"/>
              <w:bottom w:val="single" w:sz="4" w:space="0" w:color="auto"/>
              <w:right w:val="single" w:sz="4" w:space="0" w:color="auto"/>
            </w:tcBorders>
            <w:vAlign w:val="center"/>
          </w:tcPr>
          <w:p w14:paraId="03FE8418" w14:textId="77777777" w:rsidR="00843998" w:rsidRPr="006F283B" w:rsidRDefault="00843998" w:rsidP="004E1FEC">
            <w:pPr>
              <w:pStyle w:val="TableText"/>
              <w:keepNext/>
              <w:keepLines/>
              <w:spacing w:line="256" w:lineRule="auto"/>
              <w:jc w:val="center"/>
            </w:pPr>
            <w:r w:rsidRPr="006F283B">
              <w:t>18/86</w:t>
            </w:r>
          </w:p>
        </w:tc>
        <w:tc>
          <w:tcPr>
            <w:tcW w:w="933" w:type="pct"/>
            <w:tcBorders>
              <w:top w:val="single" w:sz="4" w:space="0" w:color="auto"/>
              <w:left w:val="single" w:sz="4" w:space="0" w:color="auto"/>
              <w:bottom w:val="single" w:sz="4" w:space="0" w:color="auto"/>
              <w:right w:val="single" w:sz="4" w:space="0" w:color="auto"/>
            </w:tcBorders>
            <w:vAlign w:val="center"/>
          </w:tcPr>
          <w:p w14:paraId="561E35A1" w14:textId="77777777" w:rsidR="00843998" w:rsidRPr="006F283B" w:rsidRDefault="00843998" w:rsidP="004E1FEC">
            <w:pPr>
              <w:pStyle w:val="TableText"/>
              <w:keepNext/>
              <w:keepLines/>
              <w:spacing w:line="256" w:lineRule="auto"/>
              <w:jc w:val="center"/>
            </w:pPr>
            <w:r w:rsidRPr="006F283B">
              <w:t>2.61 (1.69, 4.02)</w:t>
            </w:r>
          </w:p>
        </w:tc>
        <w:tc>
          <w:tcPr>
            <w:tcW w:w="766" w:type="pct"/>
            <w:tcBorders>
              <w:top w:val="single" w:sz="4" w:space="0" w:color="auto"/>
              <w:left w:val="single" w:sz="4" w:space="0" w:color="auto"/>
              <w:bottom w:val="single" w:sz="4" w:space="0" w:color="auto"/>
              <w:right w:val="single" w:sz="4" w:space="0" w:color="auto"/>
            </w:tcBorders>
            <w:vAlign w:val="center"/>
          </w:tcPr>
          <w:p w14:paraId="5FFC4212" w14:textId="77777777" w:rsidR="00843998" w:rsidRPr="006F283B" w:rsidRDefault="00843998" w:rsidP="004E1FEC">
            <w:pPr>
              <w:pStyle w:val="TableText"/>
              <w:keepNext/>
              <w:keepLines/>
              <w:spacing w:line="256" w:lineRule="auto"/>
              <w:jc w:val="center"/>
            </w:pPr>
            <w:r w:rsidRPr="006F283B">
              <w:t>54.5</w:t>
            </w:r>
          </w:p>
        </w:tc>
        <w:tc>
          <w:tcPr>
            <w:tcW w:w="702" w:type="pct"/>
            <w:tcBorders>
              <w:top w:val="single" w:sz="4" w:space="0" w:color="auto"/>
              <w:left w:val="single" w:sz="4" w:space="0" w:color="auto"/>
              <w:bottom w:val="single" w:sz="4" w:space="0" w:color="auto"/>
              <w:right w:val="single" w:sz="4" w:space="0" w:color="auto"/>
            </w:tcBorders>
            <w:vAlign w:val="center"/>
          </w:tcPr>
          <w:p w14:paraId="6B7F8B8C" w14:textId="77777777" w:rsidR="00843998" w:rsidRPr="006F283B" w:rsidRDefault="00843998" w:rsidP="004E1FEC">
            <w:pPr>
              <w:pStyle w:val="TableText"/>
              <w:keepNext/>
              <w:keepLines/>
              <w:spacing w:line="256" w:lineRule="auto"/>
              <w:jc w:val="center"/>
            </w:pPr>
            <w:r w:rsidRPr="006F283B">
              <w:t>20.9</w:t>
            </w:r>
          </w:p>
        </w:tc>
        <w:tc>
          <w:tcPr>
            <w:tcW w:w="646" w:type="pct"/>
            <w:tcBorders>
              <w:top w:val="single" w:sz="4" w:space="0" w:color="auto"/>
              <w:left w:val="single" w:sz="4" w:space="0" w:color="auto"/>
              <w:bottom w:val="single" w:sz="4" w:space="0" w:color="auto"/>
              <w:right w:val="single" w:sz="4" w:space="0" w:color="auto"/>
            </w:tcBorders>
          </w:tcPr>
          <w:p w14:paraId="17195FFD" w14:textId="77777777" w:rsidR="00843998" w:rsidRPr="006F283B" w:rsidRDefault="00843998" w:rsidP="004E1FEC">
            <w:pPr>
              <w:pStyle w:val="TableText"/>
              <w:keepNext/>
              <w:keepLines/>
              <w:spacing w:line="256" w:lineRule="auto"/>
              <w:jc w:val="center"/>
            </w:pPr>
            <w:r w:rsidRPr="006F283B">
              <w:t>33.6</w:t>
            </w:r>
          </w:p>
        </w:tc>
      </w:tr>
    </w:tbl>
    <w:p w14:paraId="422E215B" w14:textId="1E452F3E" w:rsidR="00843998" w:rsidRPr="006F283B" w:rsidRDefault="001152C0" w:rsidP="00F207AD">
      <w:pPr>
        <w:pStyle w:val="TableFooter"/>
      </w:pPr>
      <w:r w:rsidRPr="001152C0">
        <w:rPr>
          <w:i/>
          <w:iCs/>
        </w:rPr>
        <w:t>BRCAwt</w:t>
      </w:r>
      <w:r w:rsidR="00843998" w:rsidRPr="006F283B">
        <w:t xml:space="preserve"> = breast cancer gene wild type; </w:t>
      </w:r>
      <w:r w:rsidR="00DF48A2" w:rsidRPr="006F283B">
        <w:t xml:space="preserve">DCO </w:t>
      </w:r>
      <w:r w:rsidR="00843998" w:rsidRPr="006F283B">
        <w:t>= data cut off; HR = hazard ratio; HRD = homologous recombination deficiency; ITT = intention to treat; NE = not evaluable; NR =not reported</w:t>
      </w:r>
    </w:p>
    <w:p w14:paraId="7EC2813D" w14:textId="3B3DC555" w:rsidR="00843998" w:rsidRDefault="00843998" w:rsidP="00F207AD">
      <w:pPr>
        <w:pStyle w:val="TableFigureFooter"/>
        <w:jc w:val="both"/>
      </w:pPr>
      <w:r w:rsidRPr="006F283B">
        <w:t>Source: Tables 64, 66, 71 (p135, 140, 148) of the submission</w:t>
      </w:r>
      <w:bookmarkStart w:id="108" w:name="_Toc413139282"/>
      <w:bookmarkEnd w:id="106"/>
    </w:p>
    <w:p w14:paraId="4BC82219" w14:textId="03704526" w:rsidR="00F207AD" w:rsidRDefault="00F207AD" w:rsidP="007F799B">
      <w:pPr>
        <w:pStyle w:val="TableFigureFooter"/>
        <w:jc w:val="both"/>
      </w:pPr>
      <w:r w:rsidRPr="00F207AD">
        <w:rPr>
          <w:vertAlign w:val="superscript"/>
        </w:rPr>
        <w:t>a</w:t>
      </w:r>
      <w:r>
        <w:t xml:space="preserve"> </w:t>
      </w:r>
      <w:r w:rsidRPr="00F207AD">
        <w:rPr>
          <w:i/>
          <w:iCs/>
        </w:rPr>
        <w:t>Note: Results are derived from post-hoc analyses conducted by the evaluation specifically for the purposes of informing the PBAC consideration. Interpretation of the results and their application should therefore be limited to seeking to understand the basis for the PBAC outcome and should not be used for any other purpose</w:t>
      </w:r>
      <w:r w:rsidRPr="00F207AD">
        <w:t>.</w:t>
      </w:r>
    </w:p>
    <w:p w14:paraId="05196D71" w14:textId="36999FF4" w:rsidR="007F799B" w:rsidRPr="00F207AD" w:rsidRDefault="007F799B" w:rsidP="00F207AD">
      <w:pPr>
        <w:pStyle w:val="TableFigureFooter"/>
        <w:spacing w:after="120"/>
        <w:jc w:val="both"/>
      </w:pPr>
      <w:r w:rsidRPr="007F799B">
        <w:rPr>
          <w:vertAlign w:val="superscript"/>
        </w:rPr>
        <w:t>b</w:t>
      </w:r>
      <w:r>
        <w:t xml:space="preserve"> Safety results are from the May 2019 DCO and for the ISD cohort</w:t>
      </w:r>
    </w:p>
    <w:p w14:paraId="06E4F18E" w14:textId="5957D882" w:rsidR="00843998" w:rsidRPr="006F283B" w:rsidRDefault="00843998" w:rsidP="00AF4B69">
      <w:pPr>
        <w:pStyle w:val="ListParagraph"/>
        <w:spacing w:before="0" w:after="120"/>
      </w:pPr>
      <w:proofErr w:type="gramStart"/>
      <w:r w:rsidRPr="006F283B">
        <w:t>On the basis of</w:t>
      </w:r>
      <w:proofErr w:type="gramEnd"/>
      <w:r w:rsidRPr="006F283B">
        <w:t xml:space="preserve"> direct evidence presented by the submission, for every 100 patients treated with niraparib in comparison with placebo:</w:t>
      </w:r>
    </w:p>
    <w:p w14:paraId="181399BF" w14:textId="4FB1D10C" w:rsidR="00843998" w:rsidRPr="006F283B" w:rsidRDefault="00843998" w:rsidP="00AF4B69">
      <w:pPr>
        <w:pStyle w:val="ListParagraph"/>
        <w:numPr>
          <w:ilvl w:val="0"/>
          <w:numId w:val="14"/>
        </w:numPr>
        <w:spacing w:before="0" w:after="120"/>
        <w:ind w:left="1080"/>
      </w:pPr>
      <w:r w:rsidRPr="006F283B">
        <w:t xml:space="preserve">Approximately </w:t>
      </w:r>
      <w:r w:rsidR="004E02BD" w:rsidRPr="006F283B">
        <w:t>11</w:t>
      </w:r>
      <w:r w:rsidRPr="006F283B">
        <w:t xml:space="preserve"> additional patients will remain progression-free after approximately</w:t>
      </w:r>
      <w:r w:rsidR="004E02BD" w:rsidRPr="006F283B">
        <w:t xml:space="preserve"> 4 years</w:t>
      </w:r>
      <w:r w:rsidRPr="006F283B">
        <w:t>.</w:t>
      </w:r>
    </w:p>
    <w:p w14:paraId="42FE00F7" w14:textId="2A4E3603" w:rsidR="00843998" w:rsidRPr="006F283B" w:rsidRDefault="00843998" w:rsidP="00AF4B69">
      <w:pPr>
        <w:pStyle w:val="ListParagraph"/>
        <w:numPr>
          <w:ilvl w:val="0"/>
          <w:numId w:val="14"/>
        </w:numPr>
        <w:spacing w:before="0" w:after="120"/>
        <w:ind w:left="1080"/>
      </w:pPr>
      <w:r w:rsidRPr="006F283B">
        <w:t>Approximately 31 additional patients would experience thrombocytopenia.</w:t>
      </w:r>
    </w:p>
    <w:p w14:paraId="2577CFA3" w14:textId="77777777" w:rsidR="00843998" w:rsidRPr="006F283B" w:rsidRDefault="00843998" w:rsidP="00AF4B69">
      <w:pPr>
        <w:pStyle w:val="ListParagraph"/>
        <w:numPr>
          <w:ilvl w:val="0"/>
          <w:numId w:val="14"/>
        </w:numPr>
        <w:spacing w:before="0" w:after="120"/>
        <w:ind w:left="1080"/>
      </w:pPr>
      <w:r w:rsidRPr="006F283B">
        <w:t>Approximately 8 additional patients would experience vomiting.</w:t>
      </w:r>
    </w:p>
    <w:p w14:paraId="006553C5" w14:textId="77777777" w:rsidR="00843998" w:rsidRPr="006F283B" w:rsidRDefault="00843998" w:rsidP="00782BE3">
      <w:pPr>
        <w:pStyle w:val="ListParagraph"/>
        <w:numPr>
          <w:ilvl w:val="0"/>
          <w:numId w:val="14"/>
        </w:numPr>
        <w:spacing w:before="0" w:after="120"/>
        <w:ind w:left="1080"/>
      </w:pPr>
      <w:bookmarkStart w:id="109" w:name="_Toc95298227"/>
      <w:r w:rsidRPr="006F283B">
        <w:t>Approximately 34 additional patients would experience nausea.</w:t>
      </w:r>
    </w:p>
    <w:p w14:paraId="4A4B5ED8" w14:textId="77777777" w:rsidR="00843998" w:rsidRPr="006F283B" w:rsidRDefault="00843998" w:rsidP="00F029F7">
      <w:pPr>
        <w:pStyle w:val="4-SubsectionHeading"/>
      </w:pPr>
      <w:bookmarkStart w:id="110" w:name="_Toc123646836"/>
      <w:bookmarkStart w:id="111" w:name="_Toc123646937"/>
      <w:bookmarkStart w:id="112" w:name="_Toc123647172"/>
      <w:bookmarkStart w:id="113" w:name="_Toc124937096"/>
      <w:r w:rsidRPr="006F283B">
        <w:t>Clinical claim</w:t>
      </w:r>
      <w:bookmarkEnd w:id="109"/>
      <w:bookmarkEnd w:id="110"/>
      <w:bookmarkEnd w:id="111"/>
      <w:bookmarkEnd w:id="112"/>
      <w:bookmarkEnd w:id="113"/>
    </w:p>
    <w:p w14:paraId="6E1F783A" w14:textId="10D03DA2" w:rsidR="00F539FA" w:rsidRPr="006F283B" w:rsidRDefault="00F539FA" w:rsidP="00AF4B69">
      <w:pPr>
        <w:spacing w:before="0" w:after="120"/>
        <w:rPr>
          <w:b/>
          <w:bCs/>
        </w:rPr>
      </w:pPr>
      <w:r w:rsidRPr="006F283B">
        <w:rPr>
          <w:b/>
          <w:bCs/>
        </w:rPr>
        <w:t>Niraparib vs SMM</w:t>
      </w:r>
    </w:p>
    <w:p w14:paraId="488259BD" w14:textId="4B36B849" w:rsidR="00843998" w:rsidRPr="006F283B" w:rsidRDefault="00843998" w:rsidP="00AF4B69">
      <w:pPr>
        <w:pStyle w:val="ListParagraph"/>
        <w:spacing w:before="0" w:after="120"/>
        <w:rPr>
          <w:color w:val="auto"/>
        </w:rPr>
      </w:pPr>
      <w:r w:rsidRPr="006F283B">
        <w:rPr>
          <w:color w:val="auto"/>
        </w:rPr>
        <w:t xml:space="preserve">The submission described niraparib as superior in terms of effectiveness for PFS compared to SMM </w:t>
      </w:r>
      <w:r w:rsidRPr="006F283B">
        <w:t xml:space="preserve">in the HRD positive </w:t>
      </w:r>
      <w:r w:rsidR="001152C0" w:rsidRPr="001152C0">
        <w:rPr>
          <w:i/>
          <w:iCs/>
        </w:rPr>
        <w:t>BRCAwt</w:t>
      </w:r>
      <w:r w:rsidRPr="006F283B">
        <w:t xml:space="preserve"> population</w:t>
      </w:r>
      <w:r w:rsidRPr="006F283B">
        <w:rPr>
          <w:color w:val="auto"/>
        </w:rPr>
        <w:t xml:space="preserve">. While the PFS results </w:t>
      </w:r>
      <w:r w:rsidR="0034750B" w:rsidRPr="006F283B">
        <w:rPr>
          <w:color w:val="auto"/>
        </w:rPr>
        <w:t xml:space="preserve">in PRIMA </w:t>
      </w:r>
      <w:r w:rsidRPr="006F283B">
        <w:rPr>
          <w:color w:val="auto"/>
        </w:rPr>
        <w:t xml:space="preserve">demonstrated that niraparib was statistically significantly </w:t>
      </w:r>
      <w:r w:rsidR="0034750B" w:rsidRPr="006F283B">
        <w:rPr>
          <w:color w:val="auto"/>
        </w:rPr>
        <w:t>superior to</w:t>
      </w:r>
      <w:r w:rsidRPr="006F283B">
        <w:rPr>
          <w:color w:val="auto"/>
        </w:rPr>
        <w:t xml:space="preserve"> placebo for the HRD positive </w:t>
      </w:r>
      <w:r w:rsidR="001152C0" w:rsidRPr="001152C0">
        <w:rPr>
          <w:i/>
          <w:iCs/>
          <w:color w:val="auto"/>
        </w:rPr>
        <w:t>BRCAwt</w:t>
      </w:r>
      <w:r w:rsidRPr="006F283B">
        <w:rPr>
          <w:color w:val="auto"/>
        </w:rPr>
        <w:t xml:space="preserve"> population and the claim of superior clinical effectiveness may be plausible, the magnitude of PFS benefit and clinical significance may be considered uncertain as:</w:t>
      </w:r>
    </w:p>
    <w:p w14:paraId="4BB984A5" w14:textId="4639AD8B" w:rsidR="00843998" w:rsidRPr="006F283B" w:rsidRDefault="00843998" w:rsidP="00AF4B69">
      <w:pPr>
        <w:pStyle w:val="ListParagraph"/>
        <w:numPr>
          <w:ilvl w:val="0"/>
          <w:numId w:val="27"/>
        </w:numPr>
        <w:spacing w:before="0" w:after="120"/>
        <w:ind w:left="1134" w:hanging="425"/>
        <w:rPr>
          <w:color w:val="auto"/>
        </w:rPr>
      </w:pPr>
      <w:r w:rsidRPr="006F283B">
        <w:t xml:space="preserve">OS data </w:t>
      </w:r>
      <w:r w:rsidR="00D97F94" w:rsidRPr="006F283B">
        <w:t xml:space="preserve">from PRIMA </w:t>
      </w:r>
      <w:r w:rsidRPr="006F283B">
        <w:t>was immature</w:t>
      </w:r>
      <w:r w:rsidR="00D97F94" w:rsidRPr="006F283B">
        <w:t>.</w:t>
      </w:r>
      <w:r w:rsidRPr="006F283B">
        <w:t xml:space="preserve"> </w:t>
      </w:r>
      <w:r w:rsidR="00D97F94" w:rsidRPr="006F283B">
        <w:t>A</w:t>
      </w:r>
      <w:r w:rsidRPr="006F283B">
        <w:t xml:space="preserve">t the primary DCO there was no statistically significant difference in OS between </w:t>
      </w:r>
      <w:proofErr w:type="gramStart"/>
      <w:r w:rsidRPr="006F283B">
        <w:t>treatments;</w:t>
      </w:r>
      <w:proofErr w:type="gramEnd"/>
      <w:r w:rsidRPr="006F283B">
        <w:t xml:space="preserve"> </w:t>
      </w:r>
    </w:p>
    <w:p w14:paraId="272297BE" w14:textId="38D0FAD7" w:rsidR="00843998" w:rsidRPr="006F283B" w:rsidRDefault="00843998" w:rsidP="00AF4B69">
      <w:pPr>
        <w:pStyle w:val="ListParagraph"/>
        <w:numPr>
          <w:ilvl w:val="0"/>
          <w:numId w:val="27"/>
        </w:numPr>
        <w:spacing w:before="0" w:after="120"/>
        <w:ind w:left="1134" w:hanging="425"/>
        <w:rPr>
          <w:color w:val="auto"/>
        </w:rPr>
      </w:pPr>
      <w:r w:rsidRPr="006F283B">
        <w:lastRenderedPageBreak/>
        <w:t xml:space="preserve">PRIMA may not have been sufficiently powered to detect differences in the HRD positive </w:t>
      </w:r>
      <w:r w:rsidR="001152C0" w:rsidRPr="001152C0">
        <w:rPr>
          <w:i/>
          <w:iCs/>
        </w:rPr>
        <w:t>BRCAwt</w:t>
      </w:r>
      <w:r w:rsidRPr="006F283B">
        <w:t xml:space="preserve"> </w:t>
      </w:r>
      <w:proofErr w:type="gramStart"/>
      <w:r w:rsidRPr="006F283B">
        <w:t>subgroup;</w:t>
      </w:r>
      <w:proofErr w:type="gramEnd"/>
    </w:p>
    <w:p w14:paraId="752419C7" w14:textId="2074E230" w:rsidR="00843998" w:rsidRPr="006F283B" w:rsidRDefault="00843998" w:rsidP="00AF4B69">
      <w:pPr>
        <w:pStyle w:val="ListParagraph"/>
        <w:numPr>
          <w:ilvl w:val="0"/>
          <w:numId w:val="27"/>
        </w:numPr>
        <w:spacing w:before="0" w:after="120"/>
        <w:ind w:left="1134" w:hanging="425"/>
        <w:rPr>
          <w:color w:val="auto"/>
        </w:rPr>
      </w:pPr>
      <w:r w:rsidRPr="006F283B">
        <w:t xml:space="preserve">PRIMA was not stratified by </w:t>
      </w:r>
      <w:r w:rsidR="001152C0" w:rsidRPr="001152C0">
        <w:rPr>
          <w:i/>
          <w:iCs/>
        </w:rPr>
        <w:t xml:space="preserve">BRCA </w:t>
      </w:r>
      <w:r w:rsidRPr="006F283B">
        <w:t xml:space="preserve">status, and the HRD positive </w:t>
      </w:r>
      <w:r w:rsidR="001152C0" w:rsidRPr="001152C0">
        <w:rPr>
          <w:i/>
          <w:iCs/>
        </w:rPr>
        <w:t>BRCAwt</w:t>
      </w:r>
      <w:r w:rsidRPr="006F283B">
        <w:t xml:space="preserve"> subgroup results in PRIMA w</w:t>
      </w:r>
      <w:r w:rsidR="00A11EE4" w:rsidRPr="006F283B">
        <w:t xml:space="preserve">ere </w:t>
      </w:r>
      <w:r w:rsidRPr="006F283B">
        <w:t xml:space="preserve">not considered in the formal statistical testing plan and therefore </w:t>
      </w:r>
      <w:r w:rsidR="00A11EE4" w:rsidRPr="006F283B">
        <w:t xml:space="preserve">were </w:t>
      </w:r>
      <w:r w:rsidRPr="006F283B">
        <w:t>associated with a higher risk of detection and selection bias; and</w:t>
      </w:r>
    </w:p>
    <w:p w14:paraId="04FDEB9F" w14:textId="7767F23C" w:rsidR="00843998" w:rsidRPr="006F283B" w:rsidRDefault="00843998" w:rsidP="00AF4B69">
      <w:pPr>
        <w:pStyle w:val="ListParagraph"/>
        <w:numPr>
          <w:ilvl w:val="0"/>
          <w:numId w:val="27"/>
        </w:numPr>
        <w:spacing w:before="0" w:after="120"/>
        <w:ind w:left="1134" w:hanging="425"/>
        <w:rPr>
          <w:color w:val="auto"/>
        </w:rPr>
      </w:pPr>
      <w:r w:rsidRPr="006F283B">
        <w:rPr>
          <w:color w:val="auto"/>
        </w:rPr>
        <w:t xml:space="preserve">The HR of niraparib vs placebo for PFS benefit per INV at the longest </w:t>
      </w:r>
      <w:r w:rsidR="00A834CB" w:rsidRPr="006F283B">
        <w:rPr>
          <w:color w:val="auto"/>
        </w:rPr>
        <w:t>available</w:t>
      </w:r>
      <w:r w:rsidRPr="006F283B">
        <w:rPr>
          <w:color w:val="auto"/>
        </w:rPr>
        <w:t xml:space="preserve"> follow-up had a 95% confidence interval upper limit of 0.999, where a value 1 represents no difference in risk of PFS.</w:t>
      </w:r>
    </w:p>
    <w:p w14:paraId="3200AE8F" w14:textId="422F7554" w:rsidR="00805640" w:rsidRPr="006F283B" w:rsidRDefault="00805640" w:rsidP="00AF4B69">
      <w:pPr>
        <w:pStyle w:val="ListParagraph"/>
        <w:spacing w:before="0" w:after="120"/>
        <w:rPr>
          <w:iCs/>
          <w:color w:val="auto"/>
        </w:rPr>
      </w:pPr>
      <w:r w:rsidRPr="006F283B">
        <w:rPr>
          <w:iCs/>
          <w:color w:val="auto"/>
        </w:rPr>
        <w:t xml:space="preserve">The ESCs considered </w:t>
      </w:r>
      <w:r w:rsidRPr="006F283B">
        <w:rPr>
          <w:color w:val="auto"/>
        </w:rPr>
        <w:t xml:space="preserve">that PRIMA demonstrated a PFS benefit for niraparib compared with SMM, however the </w:t>
      </w:r>
      <w:r w:rsidRPr="006F283B">
        <w:rPr>
          <w:iCs/>
        </w:rPr>
        <w:t xml:space="preserve">magnitude of benefit for the proposed PBS population remained uncertain due to reliance on exploratory subgroup analyses, and </w:t>
      </w:r>
      <w:r w:rsidR="001F68AF" w:rsidRPr="006F283B">
        <w:rPr>
          <w:iCs/>
        </w:rPr>
        <w:t xml:space="preserve">because </w:t>
      </w:r>
      <w:r w:rsidRPr="006F283B">
        <w:rPr>
          <w:iCs/>
        </w:rPr>
        <w:t>OS data from PRIMA remained immature.</w:t>
      </w:r>
      <w:r w:rsidR="008E34C5">
        <w:rPr>
          <w:iCs/>
        </w:rPr>
        <w:t xml:space="preserve"> </w:t>
      </w:r>
    </w:p>
    <w:p w14:paraId="18FF9252" w14:textId="310CE7D9" w:rsidR="00843998" w:rsidRPr="006F283B" w:rsidRDefault="00843998" w:rsidP="00AF4B69">
      <w:pPr>
        <w:pStyle w:val="ListParagraph"/>
        <w:spacing w:before="0" w:after="120"/>
        <w:rPr>
          <w:color w:val="auto"/>
        </w:rPr>
      </w:pPr>
      <w:bookmarkStart w:id="114" w:name="_Hlk130549110"/>
      <w:r w:rsidRPr="006F283B">
        <w:rPr>
          <w:color w:val="auto"/>
        </w:rPr>
        <w:t xml:space="preserve">The submission described niraparib as inferior in terms of safety compared to SMM </w:t>
      </w:r>
      <w:r w:rsidRPr="006F283B">
        <w:t xml:space="preserve">in the HRD positive </w:t>
      </w:r>
      <w:r w:rsidR="001152C0" w:rsidRPr="001152C0">
        <w:rPr>
          <w:i/>
          <w:iCs/>
        </w:rPr>
        <w:t>BRCAwt</w:t>
      </w:r>
      <w:r w:rsidRPr="006F283B">
        <w:t xml:space="preserve"> population</w:t>
      </w:r>
      <w:r w:rsidRPr="006F283B">
        <w:rPr>
          <w:color w:val="auto"/>
        </w:rPr>
        <w:t>. Th</w:t>
      </w:r>
      <w:r w:rsidR="00DA7975" w:rsidRPr="006F283B">
        <w:rPr>
          <w:color w:val="auto"/>
        </w:rPr>
        <w:t>e ESCs agreed with the commentary</w:t>
      </w:r>
      <w:r w:rsidR="00DA7975" w:rsidRPr="006F283B">
        <w:rPr>
          <w:iCs/>
          <w:color w:val="auto"/>
        </w:rPr>
        <w:t xml:space="preserve"> that this </w:t>
      </w:r>
      <w:r w:rsidRPr="006F283B">
        <w:rPr>
          <w:iCs/>
          <w:color w:val="auto"/>
        </w:rPr>
        <w:t>claim was adequately supported and was consistent with the PBAC</w:t>
      </w:r>
      <w:r w:rsidR="006352BB" w:rsidRPr="006F283B">
        <w:rPr>
          <w:iCs/>
          <w:color w:val="auto"/>
        </w:rPr>
        <w:t>’</w:t>
      </w:r>
      <w:r w:rsidRPr="006F283B">
        <w:rPr>
          <w:iCs/>
          <w:color w:val="auto"/>
        </w:rPr>
        <w:t>s previous assessment of the safety for niraparib compared to placebo in the ITT population.</w:t>
      </w:r>
      <w:r w:rsidR="00805640" w:rsidRPr="006F283B">
        <w:rPr>
          <w:iCs/>
          <w:color w:val="auto"/>
        </w:rPr>
        <w:t xml:space="preserve"> </w:t>
      </w:r>
    </w:p>
    <w:bookmarkEnd w:id="114"/>
    <w:p w14:paraId="19D9A812" w14:textId="21487AF3" w:rsidR="003818BE" w:rsidRPr="006F283B" w:rsidRDefault="00F539FA" w:rsidP="00AF4B69">
      <w:pPr>
        <w:pStyle w:val="ListParagraph"/>
        <w:spacing w:before="0" w:after="120"/>
        <w:rPr>
          <w:rStyle w:val="InstructionalTextChar"/>
          <w:rFonts w:cstheme="minorBidi"/>
          <w:color w:val="auto"/>
        </w:rPr>
      </w:pPr>
      <w:r w:rsidRPr="006F283B">
        <w:rPr>
          <w:color w:val="auto"/>
        </w:rPr>
        <w:t xml:space="preserve">The PBAC considered the claim of superior effectiveness was supported by the improvement in PFS for niraparib compared to SMM </w:t>
      </w:r>
      <w:r w:rsidR="0063756A" w:rsidRPr="006F283B">
        <w:rPr>
          <w:color w:val="auto"/>
        </w:rPr>
        <w:t xml:space="preserve">demonstrated </w:t>
      </w:r>
      <w:r w:rsidR="00A57094" w:rsidRPr="006F283B">
        <w:rPr>
          <w:color w:val="auto"/>
        </w:rPr>
        <w:t>in</w:t>
      </w:r>
      <w:r w:rsidRPr="006F283B">
        <w:rPr>
          <w:color w:val="auto"/>
        </w:rPr>
        <w:t xml:space="preserve"> PRIMA</w:t>
      </w:r>
      <w:r w:rsidR="0063756A" w:rsidRPr="006F283B">
        <w:rPr>
          <w:color w:val="auto"/>
        </w:rPr>
        <w:t xml:space="preserve"> (</w:t>
      </w:r>
      <w:r w:rsidR="0063756A" w:rsidRPr="006F283B">
        <w:rPr>
          <w:color w:val="auto"/>
        </w:rPr>
        <w:fldChar w:fldCharType="begin" w:fldLock="1"/>
      </w:r>
      <w:r w:rsidR="0063756A" w:rsidRPr="006F283B">
        <w:rPr>
          <w:color w:val="auto"/>
        </w:rPr>
        <w:instrText xml:space="preserve"> REF _Ref121201049 \h </w:instrText>
      </w:r>
      <w:r w:rsidR="0063756A" w:rsidRPr="006F283B">
        <w:rPr>
          <w:color w:val="auto"/>
        </w:rPr>
      </w:r>
      <w:r w:rsidR="0063756A" w:rsidRPr="006F283B">
        <w:rPr>
          <w:color w:val="auto"/>
        </w:rPr>
        <w:fldChar w:fldCharType="separate"/>
      </w:r>
      <w:r w:rsidR="00305654" w:rsidRPr="006F283B">
        <w:t xml:space="preserve">Table </w:t>
      </w:r>
      <w:r w:rsidR="00305654">
        <w:rPr>
          <w:noProof/>
        </w:rPr>
        <w:t>6</w:t>
      </w:r>
      <w:r w:rsidR="0063756A" w:rsidRPr="006F283B">
        <w:rPr>
          <w:color w:val="auto"/>
        </w:rPr>
        <w:fldChar w:fldCharType="end"/>
      </w:r>
      <w:r w:rsidR="0063756A" w:rsidRPr="006F283B">
        <w:rPr>
          <w:color w:val="auto"/>
        </w:rPr>
        <w:t>)</w:t>
      </w:r>
      <w:r w:rsidR="003818BE" w:rsidRPr="006F283B">
        <w:rPr>
          <w:color w:val="auto"/>
        </w:rPr>
        <w:t xml:space="preserve">. </w:t>
      </w:r>
      <w:r w:rsidR="008C6E75">
        <w:rPr>
          <w:rStyle w:val="InstructionalTextChar"/>
          <w:iCs/>
          <w:color w:val="auto"/>
        </w:rPr>
        <w:t>At</w:t>
      </w:r>
      <w:r w:rsidR="008C6E75" w:rsidRPr="006F283B">
        <w:rPr>
          <w:rStyle w:val="InstructionalTextChar"/>
          <w:iCs/>
          <w:color w:val="auto"/>
        </w:rPr>
        <w:t xml:space="preserve"> </w:t>
      </w:r>
      <w:r w:rsidR="0063756A" w:rsidRPr="006F283B">
        <w:rPr>
          <w:rStyle w:val="InstructionalTextChar"/>
          <w:iCs/>
          <w:color w:val="auto"/>
        </w:rPr>
        <w:t xml:space="preserve">the primary </w:t>
      </w:r>
      <w:r w:rsidR="008C6E75">
        <w:rPr>
          <w:rStyle w:val="InstructionalTextChar"/>
          <w:iCs/>
          <w:color w:val="auto"/>
        </w:rPr>
        <w:t>data cut off</w:t>
      </w:r>
      <w:r w:rsidR="008C6E75" w:rsidRPr="006F283B">
        <w:rPr>
          <w:rStyle w:val="InstructionalTextChar"/>
          <w:iCs/>
          <w:color w:val="auto"/>
        </w:rPr>
        <w:t xml:space="preserve"> </w:t>
      </w:r>
      <w:r w:rsidR="003818BE" w:rsidRPr="006F283B">
        <w:rPr>
          <w:rStyle w:val="InstructionalTextChar"/>
          <w:iCs/>
          <w:color w:val="auto"/>
        </w:rPr>
        <w:t>(median follow-up 13.8 months</w:t>
      </w:r>
      <w:r w:rsidR="0063756A" w:rsidRPr="006F283B">
        <w:rPr>
          <w:rStyle w:val="InstructionalTextChar"/>
          <w:iCs/>
          <w:color w:val="auto"/>
        </w:rPr>
        <w:t>,</w:t>
      </w:r>
      <w:r w:rsidR="00F013F3" w:rsidRPr="006F283B">
        <w:rPr>
          <w:rStyle w:val="InstructionalTextChar"/>
          <w:iCs/>
          <w:color w:val="auto"/>
        </w:rPr>
        <w:t xml:space="preserve"> investigator</w:t>
      </w:r>
      <w:r w:rsidR="0063756A" w:rsidRPr="006F283B">
        <w:rPr>
          <w:rStyle w:val="InstructionalTextChar"/>
          <w:iCs/>
          <w:color w:val="auto"/>
        </w:rPr>
        <w:t xml:space="preserve"> </w:t>
      </w:r>
      <w:r w:rsidR="0063756A" w:rsidRPr="006F283B">
        <w:rPr>
          <w:rStyle w:val="InstructionalTextChar"/>
          <w:rFonts w:cstheme="minorBidi"/>
          <w:color w:val="auto"/>
        </w:rPr>
        <w:t>assessed</w:t>
      </w:r>
      <w:r w:rsidR="003818BE" w:rsidRPr="006F283B">
        <w:rPr>
          <w:rStyle w:val="InstructionalTextChar"/>
          <w:iCs/>
          <w:color w:val="auto"/>
        </w:rPr>
        <w:t xml:space="preserve">), the hazard ratio of niraparib vs placebo in the HRD positive </w:t>
      </w:r>
      <w:r w:rsidR="001152C0" w:rsidRPr="001152C0">
        <w:rPr>
          <w:rStyle w:val="InstructionalTextChar"/>
          <w:i/>
          <w:iCs/>
          <w:color w:val="auto"/>
        </w:rPr>
        <w:t>BRCAwt</w:t>
      </w:r>
      <w:r w:rsidR="003818BE" w:rsidRPr="006F283B">
        <w:rPr>
          <w:rStyle w:val="InstructionalTextChar"/>
          <w:iCs/>
          <w:color w:val="auto"/>
        </w:rPr>
        <w:t xml:space="preserve"> subgroup was 0.</w:t>
      </w:r>
      <w:r w:rsidR="00F013F3" w:rsidRPr="006F283B">
        <w:rPr>
          <w:rStyle w:val="InstructionalTextChar"/>
          <w:iCs/>
          <w:color w:val="auto"/>
        </w:rPr>
        <w:t>60</w:t>
      </w:r>
      <w:r w:rsidR="003818BE" w:rsidRPr="006F283B">
        <w:rPr>
          <w:rStyle w:val="InstructionalTextChar"/>
          <w:iCs/>
          <w:color w:val="auto"/>
        </w:rPr>
        <w:t xml:space="preserve"> (95% </w:t>
      </w:r>
      <w:r w:rsidR="003818BE" w:rsidRPr="006F283B">
        <w:rPr>
          <w:rStyle w:val="InstructionalTextChar"/>
          <w:bCs/>
          <w:iCs/>
          <w:color w:val="auto"/>
        </w:rPr>
        <w:t>C</w:t>
      </w:r>
      <w:r w:rsidR="003818BE" w:rsidRPr="006F283B">
        <w:rPr>
          <w:rStyle w:val="InstructionalTextChar"/>
          <w:iCs/>
          <w:color w:val="auto"/>
        </w:rPr>
        <w:t>I 0.</w:t>
      </w:r>
      <w:r w:rsidR="0063756A" w:rsidRPr="006F283B">
        <w:rPr>
          <w:rStyle w:val="InstructionalTextChar"/>
          <w:iCs/>
          <w:color w:val="auto"/>
        </w:rPr>
        <w:t>3</w:t>
      </w:r>
      <w:r w:rsidR="00F013F3" w:rsidRPr="006F283B">
        <w:rPr>
          <w:rStyle w:val="InstructionalTextChar"/>
          <w:iCs/>
          <w:color w:val="auto"/>
        </w:rPr>
        <w:t>74</w:t>
      </w:r>
      <w:r w:rsidR="003818BE" w:rsidRPr="006F283B">
        <w:rPr>
          <w:rStyle w:val="InstructionalTextChar"/>
          <w:iCs/>
          <w:color w:val="auto"/>
        </w:rPr>
        <w:t>, 0.</w:t>
      </w:r>
      <w:r w:rsidR="00F013F3" w:rsidRPr="006F283B">
        <w:rPr>
          <w:rStyle w:val="InstructionalTextChar"/>
          <w:iCs/>
          <w:color w:val="auto"/>
        </w:rPr>
        <w:t>954</w:t>
      </w:r>
      <w:r w:rsidR="003818BE" w:rsidRPr="006F283B">
        <w:rPr>
          <w:rStyle w:val="InstructionalTextChar"/>
          <w:iCs/>
          <w:color w:val="auto"/>
        </w:rPr>
        <w:t>)</w:t>
      </w:r>
      <w:r w:rsidR="007276B4">
        <w:rPr>
          <w:rStyle w:val="FootnoteReference"/>
          <w:rFonts w:cstheme="minorHAnsi"/>
          <w:iCs/>
          <w:color w:val="auto"/>
        </w:rPr>
        <w:footnoteReference w:id="8"/>
      </w:r>
      <w:r w:rsidR="003818BE" w:rsidRPr="006F283B">
        <w:rPr>
          <w:rStyle w:val="InstructionalTextChar"/>
          <w:iCs/>
          <w:color w:val="auto"/>
        </w:rPr>
        <w:t xml:space="preserve">. </w:t>
      </w:r>
      <w:r w:rsidR="009F6897" w:rsidRPr="006F283B">
        <w:rPr>
          <w:rStyle w:val="InstructionalTextChar"/>
          <w:iCs/>
          <w:color w:val="auto"/>
        </w:rPr>
        <w:t>A significant difference was maintained i</w:t>
      </w:r>
      <w:r w:rsidR="0063756A" w:rsidRPr="006F283B">
        <w:rPr>
          <w:rStyle w:val="InstructionalTextChar"/>
          <w:iCs/>
          <w:color w:val="auto"/>
        </w:rPr>
        <w:t xml:space="preserve">n the latest data cut (median follow-up 3.5 years), the hazard ratio of niraparib vs placebo was 0.66 (95% </w:t>
      </w:r>
      <w:r w:rsidR="0063756A" w:rsidRPr="006F283B">
        <w:rPr>
          <w:rStyle w:val="InstructionalTextChar"/>
          <w:bCs/>
          <w:iCs/>
          <w:color w:val="auto"/>
        </w:rPr>
        <w:t>C</w:t>
      </w:r>
      <w:r w:rsidR="0063756A" w:rsidRPr="006F283B">
        <w:rPr>
          <w:rStyle w:val="InstructionalTextChar"/>
          <w:iCs/>
          <w:color w:val="auto"/>
        </w:rPr>
        <w:t>I 0.437, 0.999)</w:t>
      </w:r>
      <w:r w:rsidR="004A7C6F" w:rsidRPr="006F283B">
        <w:rPr>
          <w:rStyle w:val="InstructionalTextChar"/>
          <w:iCs/>
          <w:color w:val="auto"/>
        </w:rPr>
        <w:t xml:space="preserve"> in the HRD positive </w:t>
      </w:r>
      <w:r w:rsidR="001152C0" w:rsidRPr="001152C0">
        <w:rPr>
          <w:rStyle w:val="InstructionalTextChar"/>
          <w:i/>
          <w:iCs/>
          <w:color w:val="auto"/>
        </w:rPr>
        <w:t>BRCAwt</w:t>
      </w:r>
      <w:r w:rsidR="004A7C6F" w:rsidRPr="006F283B">
        <w:rPr>
          <w:rStyle w:val="InstructionalTextChar"/>
          <w:iCs/>
          <w:color w:val="auto"/>
        </w:rPr>
        <w:t xml:space="preserve"> subgroup</w:t>
      </w:r>
      <w:r w:rsidR="0063756A" w:rsidRPr="006F283B">
        <w:rPr>
          <w:rStyle w:val="InstructionalTextChar"/>
          <w:iCs/>
          <w:color w:val="auto"/>
        </w:rPr>
        <w:t>.</w:t>
      </w:r>
      <w:r w:rsidR="008E34C5">
        <w:rPr>
          <w:rStyle w:val="InstructionalTextChar"/>
          <w:iCs/>
          <w:color w:val="auto"/>
        </w:rPr>
        <w:t xml:space="preserve"> </w:t>
      </w:r>
    </w:p>
    <w:p w14:paraId="24B1324D" w14:textId="0BD55A4F" w:rsidR="00EF74E4" w:rsidRPr="006F283B" w:rsidRDefault="004A7C6F" w:rsidP="00AF4B69">
      <w:pPr>
        <w:pStyle w:val="ListParagraph"/>
        <w:spacing w:before="0" w:after="120"/>
        <w:rPr>
          <w:color w:val="auto"/>
        </w:rPr>
      </w:pPr>
      <w:r w:rsidRPr="006F283B">
        <w:rPr>
          <w:color w:val="auto"/>
        </w:rPr>
        <w:t xml:space="preserve">The PBAC noted that OS data for the HRD positive </w:t>
      </w:r>
      <w:r w:rsidR="001152C0" w:rsidRPr="001152C0">
        <w:rPr>
          <w:i/>
          <w:color w:val="auto"/>
        </w:rPr>
        <w:t>BRCAwt</w:t>
      </w:r>
      <w:r w:rsidRPr="006F283B">
        <w:rPr>
          <w:color w:val="auto"/>
        </w:rPr>
        <w:t xml:space="preserve"> subgroup was immature (</w:t>
      </w:r>
      <w:r w:rsidR="00CD0471" w:rsidRPr="006F283B">
        <w:rPr>
          <w:color w:val="auto"/>
        </w:rPr>
        <w:fldChar w:fldCharType="begin" w:fldLock="1"/>
      </w:r>
      <w:r w:rsidR="00CD0471" w:rsidRPr="006F283B">
        <w:rPr>
          <w:color w:val="auto"/>
        </w:rPr>
        <w:instrText xml:space="preserve"> REF _Ref130549260 \h </w:instrText>
      </w:r>
      <w:r w:rsidR="00CD0471" w:rsidRPr="006F283B">
        <w:rPr>
          <w:color w:val="auto"/>
        </w:rPr>
      </w:r>
      <w:r w:rsidR="00CD0471" w:rsidRPr="006F283B">
        <w:rPr>
          <w:color w:val="auto"/>
        </w:rPr>
        <w:fldChar w:fldCharType="separate"/>
      </w:r>
      <w:r w:rsidR="00305654" w:rsidRPr="006F283B">
        <w:t xml:space="preserve">Table </w:t>
      </w:r>
      <w:r w:rsidR="00305654">
        <w:rPr>
          <w:noProof/>
        </w:rPr>
        <w:t>8</w:t>
      </w:r>
      <w:r w:rsidR="00CD0471" w:rsidRPr="006F283B">
        <w:rPr>
          <w:color w:val="auto"/>
        </w:rPr>
        <w:fldChar w:fldCharType="end"/>
      </w:r>
      <w:r w:rsidRPr="006F283B">
        <w:rPr>
          <w:color w:val="auto"/>
        </w:rPr>
        <w:t xml:space="preserve">). The OS HR (0.52, 95% CI 0.16-1.75) was not statistically significant </w:t>
      </w:r>
      <w:r w:rsidRPr="006F283B">
        <w:t xml:space="preserve">and had a </w:t>
      </w:r>
      <w:r w:rsidR="00A87D9A" w:rsidRPr="006F283B">
        <w:t xml:space="preserve">wide </w:t>
      </w:r>
      <w:r w:rsidRPr="006F283B">
        <w:t>95% confidence interval, indicating a high level of uncertainty</w:t>
      </w:r>
      <w:r w:rsidR="007276B4">
        <w:rPr>
          <w:rStyle w:val="FootnoteReference"/>
        </w:rPr>
        <w:footnoteReference w:id="9"/>
      </w:r>
      <w:r w:rsidRPr="006F283B">
        <w:t>. The KM plot showed a separation of curves in favour of niraparib approximately 11 months after treatment initiation</w:t>
      </w:r>
      <w:r w:rsidR="00737DDD" w:rsidRPr="006F283B">
        <w:t>, although this was uncertain due to high censoring</w:t>
      </w:r>
      <w:r w:rsidRPr="006F283B">
        <w:t xml:space="preserve"> (</w:t>
      </w:r>
      <w:r w:rsidRPr="006F283B">
        <w:fldChar w:fldCharType="begin" w:fldLock="1"/>
      </w:r>
      <w:r w:rsidRPr="006F283B">
        <w:instrText xml:space="preserve"> REF _Ref130485065 \h </w:instrText>
      </w:r>
      <w:r w:rsidRPr="006F283B">
        <w:fldChar w:fldCharType="separate"/>
      </w:r>
      <w:r w:rsidR="00305654" w:rsidRPr="006F283B">
        <w:t xml:space="preserve">Figure </w:t>
      </w:r>
      <w:r w:rsidR="00305654">
        <w:rPr>
          <w:noProof/>
        </w:rPr>
        <w:t>3</w:t>
      </w:r>
      <w:r w:rsidRPr="006F283B">
        <w:fldChar w:fldCharType="end"/>
      </w:r>
      <w:r w:rsidRPr="006F283B">
        <w:t xml:space="preserve">). </w:t>
      </w:r>
    </w:p>
    <w:p w14:paraId="029E43E0" w14:textId="2CF13300" w:rsidR="00F539FA" w:rsidRPr="006F283B" w:rsidRDefault="00F539FA" w:rsidP="00AF4B69">
      <w:pPr>
        <w:pStyle w:val="ListParagraph"/>
        <w:spacing w:before="0" w:after="120"/>
        <w:rPr>
          <w:color w:val="auto"/>
        </w:rPr>
      </w:pPr>
      <w:r w:rsidRPr="006F283B">
        <w:rPr>
          <w:color w:val="auto"/>
        </w:rPr>
        <w:t xml:space="preserve">The PBAC considered the claim of inferior safety of niraparib in comparison with </w:t>
      </w:r>
      <w:r w:rsidR="004A7C6F" w:rsidRPr="006F283B">
        <w:rPr>
          <w:color w:val="auto"/>
        </w:rPr>
        <w:t>placebo</w:t>
      </w:r>
      <w:r w:rsidRPr="006F283B">
        <w:rPr>
          <w:color w:val="auto"/>
        </w:rPr>
        <w:t xml:space="preserve"> was supported by the data presented. </w:t>
      </w:r>
      <w:r w:rsidR="007B3D3B" w:rsidRPr="006F283B">
        <w:rPr>
          <w:color w:val="auto"/>
        </w:rPr>
        <w:t>The incidence of TEAEs, ≥</w:t>
      </w:r>
      <w:r w:rsidR="006B0D16">
        <w:rPr>
          <w:color w:val="auto"/>
        </w:rPr>
        <w:t> </w:t>
      </w:r>
      <w:r w:rsidR="006B0D16" w:rsidRPr="006F283B">
        <w:rPr>
          <w:color w:val="auto"/>
        </w:rPr>
        <w:t>Grade</w:t>
      </w:r>
      <w:r w:rsidR="006B0D16">
        <w:rPr>
          <w:color w:val="auto"/>
        </w:rPr>
        <w:t> </w:t>
      </w:r>
      <w:r w:rsidR="007B3D3B" w:rsidRPr="006F283B">
        <w:rPr>
          <w:color w:val="auto"/>
        </w:rPr>
        <w:t xml:space="preserve">3 TEAEs, and SAEs, were significantly higher in </w:t>
      </w:r>
      <w:r w:rsidR="007B3D3B" w:rsidRPr="006F283B">
        <w:t xml:space="preserve">HRD positive </w:t>
      </w:r>
      <w:r w:rsidR="001152C0" w:rsidRPr="001152C0">
        <w:rPr>
          <w:i/>
          <w:iCs/>
        </w:rPr>
        <w:t>BRCAwt</w:t>
      </w:r>
      <w:r w:rsidR="007B3D3B" w:rsidRPr="006F283B">
        <w:t xml:space="preserve"> </w:t>
      </w:r>
      <w:r w:rsidR="007B3D3B" w:rsidRPr="006F283B">
        <w:rPr>
          <w:color w:val="auto"/>
        </w:rPr>
        <w:t>patients who received niraparib than those treated with placebo (</w:t>
      </w:r>
      <w:r w:rsidR="007B3D3B" w:rsidRPr="006F283B">
        <w:rPr>
          <w:color w:val="auto"/>
        </w:rPr>
        <w:fldChar w:fldCharType="begin" w:fldLock="1"/>
      </w:r>
      <w:r w:rsidR="007B3D3B" w:rsidRPr="006F283B">
        <w:rPr>
          <w:color w:val="auto"/>
        </w:rPr>
        <w:instrText xml:space="preserve"> REF _Ref130485532 \h </w:instrText>
      </w:r>
      <w:r w:rsidR="007B3D3B" w:rsidRPr="006F283B">
        <w:rPr>
          <w:color w:val="auto"/>
        </w:rPr>
      </w:r>
      <w:r w:rsidR="007B3D3B" w:rsidRPr="006F283B">
        <w:rPr>
          <w:color w:val="auto"/>
        </w:rPr>
        <w:fldChar w:fldCharType="separate"/>
      </w:r>
      <w:r w:rsidR="00305654" w:rsidRPr="006F283B">
        <w:t xml:space="preserve">Table </w:t>
      </w:r>
      <w:r w:rsidR="00305654">
        <w:rPr>
          <w:noProof/>
        </w:rPr>
        <w:t>11</w:t>
      </w:r>
      <w:r w:rsidR="007B3D3B" w:rsidRPr="006F283B">
        <w:rPr>
          <w:color w:val="auto"/>
        </w:rPr>
        <w:fldChar w:fldCharType="end"/>
      </w:r>
      <w:r w:rsidR="00A26F5F" w:rsidRPr="006F283B">
        <w:rPr>
          <w:color w:val="auto"/>
        </w:rPr>
        <w:t>)</w:t>
      </w:r>
      <w:r w:rsidR="007B3D3B" w:rsidRPr="006F283B">
        <w:rPr>
          <w:color w:val="auto"/>
        </w:rPr>
        <w:t>.</w:t>
      </w:r>
    </w:p>
    <w:p w14:paraId="6A57E63A" w14:textId="65195EAF" w:rsidR="00F539FA" w:rsidRPr="006F283B" w:rsidRDefault="00F539FA" w:rsidP="007276B4">
      <w:pPr>
        <w:keepNext/>
        <w:spacing w:after="120"/>
        <w:rPr>
          <w:b/>
          <w:bCs/>
        </w:rPr>
      </w:pPr>
      <w:bookmarkStart w:id="115" w:name="_Hlk130486165"/>
      <w:r w:rsidRPr="006F283B">
        <w:rPr>
          <w:b/>
          <w:bCs/>
        </w:rPr>
        <w:lastRenderedPageBreak/>
        <w:t>Niraparib vs olaparib</w:t>
      </w:r>
    </w:p>
    <w:p w14:paraId="166BFEFA" w14:textId="40A8832F" w:rsidR="00D97F94" w:rsidRPr="006F283B" w:rsidRDefault="00D97F94" w:rsidP="00AF4B69">
      <w:pPr>
        <w:pStyle w:val="ListParagraph"/>
        <w:spacing w:before="0" w:after="120"/>
        <w:rPr>
          <w:color w:val="auto"/>
        </w:rPr>
      </w:pPr>
      <w:bookmarkStart w:id="116" w:name="_Ref121225618"/>
      <w:bookmarkEnd w:id="115"/>
      <w:r w:rsidRPr="006F283B">
        <w:rPr>
          <w:color w:val="auto"/>
        </w:rPr>
        <w:t>Against the near market comparator</w:t>
      </w:r>
      <w:r w:rsidR="00DA7975" w:rsidRPr="006F283B">
        <w:rPr>
          <w:color w:val="auto"/>
        </w:rPr>
        <w:t>,</w:t>
      </w:r>
      <w:r w:rsidRPr="006F283B">
        <w:rPr>
          <w:color w:val="auto"/>
        </w:rPr>
        <w:t xml:space="preserve"> olaparib, the submission </w:t>
      </w:r>
      <w:r w:rsidR="00A834CB" w:rsidRPr="006F283B">
        <w:rPr>
          <w:color w:val="auto"/>
        </w:rPr>
        <w:t xml:space="preserve">claimed </w:t>
      </w:r>
      <w:r w:rsidRPr="006F283B">
        <w:rPr>
          <w:color w:val="auto"/>
        </w:rPr>
        <w:t>that there was insufficient clinical evidence to indicate there is an added clinical benefit for the combination (</w:t>
      </w:r>
      <w:proofErr w:type="gramStart"/>
      <w:r w:rsidRPr="006F283B">
        <w:rPr>
          <w:color w:val="auto"/>
        </w:rPr>
        <w:t>i.e.</w:t>
      </w:r>
      <w:proofErr w:type="gramEnd"/>
      <w:r w:rsidRPr="006F283B">
        <w:rPr>
          <w:color w:val="auto"/>
        </w:rPr>
        <w:t xml:space="preserve"> olaparib + bevacizumab) over monotherapy (</w:t>
      </w:r>
      <w:r w:rsidR="00DA7975" w:rsidRPr="006F283B">
        <w:rPr>
          <w:color w:val="auto"/>
        </w:rPr>
        <w:t xml:space="preserve">i.e. </w:t>
      </w:r>
      <w:r w:rsidRPr="006F283B">
        <w:rPr>
          <w:color w:val="auto"/>
        </w:rPr>
        <w:t>niraparib) in the non</w:t>
      </w:r>
      <w:r w:rsidR="006417E1" w:rsidRPr="006F283B">
        <w:rPr>
          <w:color w:val="auto"/>
        </w:rPr>
        <w:noBreakHyphen/>
      </w:r>
      <w:r w:rsidR="001152C0" w:rsidRPr="001152C0">
        <w:rPr>
          <w:i/>
          <w:iCs/>
          <w:color w:val="auto"/>
        </w:rPr>
        <w:t>BRCAm</w:t>
      </w:r>
      <w:r w:rsidRPr="006F283B">
        <w:rPr>
          <w:color w:val="auto"/>
        </w:rPr>
        <w:t xml:space="preserve"> HRD cohort</w:t>
      </w:r>
      <w:r w:rsidR="00DA7975" w:rsidRPr="006F283B">
        <w:rPr>
          <w:color w:val="auto"/>
        </w:rPr>
        <w:t>. The submission noted</w:t>
      </w:r>
      <w:r w:rsidRPr="006F283B">
        <w:rPr>
          <w:color w:val="auto"/>
        </w:rPr>
        <w:t xml:space="preserve"> the uncertainty as to whether a durable PFS advantage exists over time and the increased toxicity burden associated with the combination regimen. However, </w:t>
      </w:r>
      <w:r w:rsidR="001F37C1" w:rsidRPr="006F283B">
        <w:rPr>
          <w:color w:val="auto"/>
        </w:rPr>
        <w:t xml:space="preserve">the PAIC from Hettle 2021 suggests that this claim may not be supported as </w:t>
      </w:r>
      <w:r w:rsidR="00F013F3" w:rsidRPr="006F283B">
        <w:rPr>
          <w:color w:val="auto"/>
        </w:rPr>
        <w:t xml:space="preserve">in this analysis </w:t>
      </w:r>
      <w:r w:rsidR="001F37C1" w:rsidRPr="006F283B">
        <w:rPr>
          <w:color w:val="auto"/>
        </w:rPr>
        <w:t>olaparib + bevacizumab was superior in PFS to niraparib</w:t>
      </w:r>
      <w:r w:rsidR="00F013F3" w:rsidRPr="006F283B">
        <w:rPr>
          <w:color w:val="auto"/>
        </w:rPr>
        <w:t xml:space="preserve">. </w:t>
      </w:r>
      <w:bookmarkEnd w:id="116"/>
      <w:r w:rsidR="006417E1" w:rsidRPr="006F283B">
        <w:rPr>
          <w:iCs/>
          <w:color w:val="auto"/>
        </w:rPr>
        <w:t xml:space="preserve">The ESCs considered that the PAIC by Hettle 2021 was associated with a high level of uncertainty due to the limitations described (see paragraph </w:t>
      </w:r>
      <w:r w:rsidR="006417E1" w:rsidRPr="006F283B">
        <w:rPr>
          <w:iCs/>
          <w:color w:val="auto"/>
        </w:rPr>
        <w:fldChar w:fldCharType="begin" w:fldLock="1"/>
      </w:r>
      <w:r w:rsidR="006417E1" w:rsidRPr="006F283B">
        <w:rPr>
          <w:iCs/>
          <w:color w:val="auto"/>
        </w:rPr>
        <w:instrText xml:space="preserve"> REF _Ref127215856 \r \h </w:instrText>
      </w:r>
      <w:r w:rsidR="006417E1" w:rsidRPr="006F283B">
        <w:rPr>
          <w:iCs/>
          <w:color w:val="auto"/>
        </w:rPr>
      </w:r>
      <w:r w:rsidR="006417E1" w:rsidRPr="006F283B">
        <w:rPr>
          <w:iCs/>
          <w:color w:val="auto"/>
        </w:rPr>
        <w:fldChar w:fldCharType="separate"/>
      </w:r>
      <w:r w:rsidR="00305654">
        <w:rPr>
          <w:iCs/>
          <w:color w:val="auto"/>
        </w:rPr>
        <w:t>6.36</w:t>
      </w:r>
      <w:r w:rsidR="006417E1" w:rsidRPr="006F283B">
        <w:rPr>
          <w:iCs/>
          <w:color w:val="auto"/>
        </w:rPr>
        <w:fldChar w:fldCharType="end"/>
      </w:r>
      <w:r w:rsidR="006417E1" w:rsidRPr="006F283B">
        <w:rPr>
          <w:iCs/>
          <w:color w:val="auto"/>
        </w:rPr>
        <w:t>)</w:t>
      </w:r>
      <w:r w:rsidR="00DA7975" w:rsidRPr="006F283B">
        <w:rPr>
          <w:iCs/>
          <w:color w:val="auto"/>
        </w:rPr>
        <w:t xml:space="preserve"> and that non-inferiority between olaparib + bevacizumab vs niraparib was uncertain based on the evidence available</w:t>
      </w:r>
      <w:r w:rsidR="006417E1" w:rsidRPr="006F283B">
        <w:rPr>
          <w:iCs/>
          <w:color w:val="auto"/>
        </w:rPr>
        <w:t>.</w:t>
      </w:r>
      <w:r w:rsidR="00DA7975" w:rsidRPr="006F283B">
        <w:rPr>
          <w:iCs/>
          <w:color w:val="auto"/>
        </w:rPr>
        <w:t xml:space="preserve"> The ESCs also recalled that PBAC previously accepted non-inferior comparative safety for niraparib and olaparib (</w:t>
      </w:r>
      <w:r w:rsidR="00441755" w:rsidRPr="006F283B">
        <w:rPr>
          <w:iCs/>
          <w:color w:val="auto"/>
        </w:rPr>
        <w:t>paragraph 7.9, niraparib PSD, March 2022 PBAC meeting).</w:t>
      </w:r>
    </w:p>
    <w:p w14:paraId="4E14A3D5" w14:textId="598FEB1F" w:rsidR="00952AD6" w:rsidRPr="006F283B" w:rsidRDefault="00D95C2B" w:rsidP="00AF4B69">
      <w:pPr>
        <w:pStyle w:val="ListParagraph"/>
        <w:spacing w:before="0" w:after="120"/>
        <w:rPr>
          <w:color w:val="auto"/>
        </w:rPr>
      </w:pPr>
      <w:bookmarkStart w:id="117" w:name="_Hlk130575651"/>
      <w:r w:rsidRPr="006F283B">
        <w:rPr>
          <w:color w:val="auto"/>
        </w:rPr>
        <w:t xml:space="preserve">The PBAC considered that on balance, a conclusion of non-inferior </w:t>
      </w:r>
      <w:r w:rsidR="00A26F5F" w:rsidRPr="006F283B">
        <w:rPr>
          <w:color w:val="auto"/>
        </w:rPr>
        <w:t>efficacy</w:t>
      </w:r>
      <w:r w:rsidRPr="006F283B">
        <w:rPr>
          <w:color w:val="auto"/>
        </w:rPr>
        <w:t xml:space="preserve"> </w:t>
      </w:r>
      <w:r w:rsidR="00D4148C" w:rsidRPr="006F283B">
        <w:rPr>
          <w:color w:val="auto"/>
        </w:rPr>
        <w:t xml:space="preserve">and safety </w:t>
      </w:r>
      <w:r w:rsidR="00F013F3" w:rsidRPr="006F283B">
        <w:rPr>
          <w:color w:val="auto"/>
        </w:rPr>
        <w:t xml:space="preserve">for niraparib compared with olaparib </w:t>
      </w:r>
      <w:r w:rsidRPr="006F283B">
        <w:rPr>
          <w:color w:val="auto"/>
        </w:rPr>
        <w:t xml:space="preserve">was sufficiently supported by the evidence </w:t>
      </w:r>
      <w:r w:rsidR="00952AD6" w:rsidRPr="006F283B">
        <w:rPr>
          <w:color w:val="auto"/>
        </w:rPr>
        <w:t xml:space="preserve">presented, despite the </w:t>
      </w:r>
      <w:r w:rsidRPr="006F283B">
        <w:rPr>
          <w:color w:val="auto"/>
        </w:rPr>
        <w:t>limitations discussed in paragraphs</w:t>
      </w:r>
      <w:r w:rsidR="00952AD6" w:rsidRPr="006F283B">
        <w:rPr>
          <w:color w:val="auto"/>
        </w:rPr>
        <w:t xml:space="preserve"> </w:t>
      </w:r>
      <w:r w:rsidR="00952AD6" w:rsidRPr="006F283B">
        <w:rPr>
          <w:color w:val="auto"/>
        </w:rPr>
        <w:fldChar w:fldCharType="begin" w:fldLock="1"/>
      </w:r>
      <w:r w:rsidR="00952AD6" w:rsidRPr="006F283B">
        <w:rPr>
          <w:color w:val="auto"/>
        </w:rPr>
        <w:instrText xml:space="preserve"> REF _Ref130486345 \r \h </w:instrText>
      </w:r>
      <w:r w:rsidR="00952AD6" w:rsidRPr="006F283B">
        <w:rPr>
          <w:color w:val="auto"/>
        </w:rPr>
      </w:r>
      <w:r w:rsidR="00952AD6" w:rsidRPr="006F283B">
        <w:rPr>
          <w:color w:val="auto"/>
        </w:rPr>
        <w:fldChar w:fldCharType="separate"/>
      </w:r>
      <w:r w:rsidR="00305654">
        <w:rPr>
          <w:color w:val="auto"/>
        </w:rPr>
        <w:t>6.32</w:t>
      </w:r>
      <w:r w:rsidR="00952AD6" w:rsidRPr="006F283B">
        <w:rPr>
          <w:color w:val="auto"/>
        </w:rPr>
        <w:fldChar w:fldCharType="end"/>
      </w:r>
      <w:r w:rsidR="00952AD6" w:rsidRPr="006F283B">
        <w:rPr>
          <w:color w:val="auto"/>
        </w:rPr>
        <w:t xml:space="preserve"> to </w:t>
      </w:r>
      <w:r w:rsidR="00952AD6" w:rsidRPr="006F283B">
        <w:rPr>
          <w:color w:val="auto"/>
        </w:rPr>
        <w:fldChar w:fldCharType="begin" w:fldLock="1"/>
      </w:r>
      <w:r w:rsidR="00952AD6" w:rsidRPr="006F283B">
        <w:rPr>
          <w:color w:val="auto"/>
        </w:rPr>
        <w:instrText xml:space="preserve"> REF _Ref130486350 \r \h </w:instrText>
      </w:r>
      <w:r w:rsidR="00952AD6" w:rsidRPr="006F283B">
        <w:rPr>
          <w:color w:val="auto"/>
        </w:rPr>
      </w:r>
      <w:r w:rsidR="00952AD6" w:rsidRPr="006F283B">
        <w:rPr>
          <w:color w:val="auto"/>
        </w:rPr>
        <w:fldChar w:fldCharType="separate"/>
      </w:r>
      <w:r w:rsidR="00305654">
        <w:rPr>
          <w:color w:val="auto"/>
        </w:rPr>
        <w:t>6.37</w:t>
      </w:r>
      <w:r w:rsidR="00952AD6" w:rsidRPr="006F283B">
        <w:rPr>
          <w:color w:val="auto"/>
        </w:rPr>
        <w:fldChar w:fldCharType="end"/>
      </w:r>
      <w:r w:rsidR="00A26F5F" w:rsidRPr="006F283B">
        <w:rPr>
          <w:color w:val="auto"/>
        </w:rPr>
        <w:t xml:space="preserve"> and </w:t>
      </w:r>
      <w:r w:rsidR="00A26F5F" w:rsidRPr="006F283B">
        <w:rPr>
          <w:color w:val="auto"/>
        </w:rPr>
        <w:fldChar w:fldCharType="begin" w:fldLock="1"/>
      </w:r>
      <w:r w:rsidR="00A26F5F" w:rsidRPr="006F283B">
        <w:rPr>
          <w:color w:val="auto"/>
        </w:rPr>
        <w:instrText xml:space="preserve"> REF _Ref130487952 \r \h </w:instrText>
      </w:r>
      <w:r w:rsidR="00A26F5F" w:rsidRPr="006F283B">
        <w:rPr>
          <w:color w:val="auto"/>
        </w:rPr>
      </w:r>
      <w:r w:rsidR="00A26F5F" w:rsidRPr="006F283B">
        <w:rPr>
          <w:color w:val="auto"/>
        </w:rPr>
        <w:fldChar w:fldCharType="separate"/>
      </w:r>
      <w:r w:rsidR="00305654">
        <w:rPr>
          <w:color w:val="auto"/>
        </w:rPr>
        <w:t>6.42</w:t>
      </w:r>
      <w:r w:rsidR="00A26F5F" w:rsidRPr="006F283B">
        <w:rPr>
          <w:color w:val="auto"/>
        </w:rPr>
        <w:fldChar w:fldCharType="end"/>
      </w:r>
      <w:r w:rsidRPr="006F283B">
        <w:rPr>
          <w:color w:val="auto"/>
        </w:rPr>
        <w:t xml:space="preserve">. </w:t>
      </w:r>
      <w:r w:rsidR="00952AD6" w:rsidRPr="006F283B">
        <w:rPr>
          <w:color w:val="auto"/>
        </w:rPr>
        <w:t xml:space="preserve">The PBAC noted </w:t>
      </w:r>
      <w:r w:rsidR="00DC624A" w:rsidRPr="006F283B">
        <w:rPr>
          <w:color w:val="auto"/>
        </w:rPr>
        <w:t xml:space="preserve">this conclusion </w:t>
      </w:r>
      <w:r w:rsidR="00952AD6" w:rsidRPr="006F283B">
        <w:rPr>
          <w:color w:val="auto"/>
        </w:rPr>
        <w:t xml:space="preserve">was consistent with its previous </w:t>
      </w:r>
      <w:r w:rsidR="00DC624A" w:rsidRPr="006F283B">
        <w:rPr>
          <w:color w:val="auto"/>
        </w:rPr>
        <w:t xml:space="preserve">consideration in </w:t>
      </w:r>
      <w:r w:rsidR="006B0D16" w:rsidRPr="006F283B">
        <w:rPr>
          <w:color w:val="auto"/>
        </w:rPr>
        <w:t>March</w:t>
      </w:r>
      <w:r w:rsidR="006B0D16">
        <w:rPr>
          <w:color w:val="auto"/>
        </w:rPr>
        <w:t> </w:t>
      </w:r>
      <w:r w:rsidR="00DC624A" w:rsidRPr="006F283B">
        <w:rPr>
          <w:color w:val="auto"/>
        </w:rPr>
        <w:t>2022, in which</w:t>
      </w:r>
      <w:r w:rsidR="00D4148C" w:rsidRPr="006F283B">
        <w:rPr>
          <w:color w:val="auto"/>
        </w:rPr>
        <w:t xml:space="preserve"> </w:t>
      </w:r>
      <w:r w:rsidR="00A26F5F" w:rsidRPr="006F283B">
        <w:rPr>
          <w:color w:val="auto"/>
        </w:rPr>
        <w:t>a</w:t>
      </w:r>
      <w:r w:rsidR="00D4148C" w:rsidRPr="006F283B">
        <w:rPr>
          <w:color w:val="auto"/>
        </w:rPr>
        <w:t xml:space="preserve"> claim of </w:t>
      </w:r>
      <w:r w:rsidR="00952AD6" w:rsidRPr="006F283B">
        <w:rPr>
          <w:color w:val="auto"/>
        </w:rPr>
        <w:t>non</w:t>
      </w:r>
      <w:r w:rsidR="00DC624A" w:rsidRPr="006F283B">
        <w:rPr>
          <w:color w:val="auto"/>
        </w:rPr>
        <w:noBreakHyphen/>
      </w:r>
      <w:r w:rsidR="00952AD6" w:rsidRPr="006F283B">
        <w:rPr>
          <w:color w:val="auto"/>
        </w:rPr>
        <w:t xml:space="preserve">inferior efficacy </w:t>
      </w:r>
      <w:r w:rsidR="00D4148C" w:rsidRPr="006F283B">
        <w:rPr>
          <w:color w:val="auto"/>
        </w:rPr>
        <w:t xml:space="preserve">and safety </w:t>
      </w:r>
      <w:r w:rsidR="00DC624A" w:rsidRPr="006F283B">
        <w:rPr>
          <w:color w:val="auto"/>
        </w:rPr>
        <w:t xml:space="preserve">was accepted </w:t>
      </w:r>
      <w:r w:rsidR="00952AD6" w:rsidRPr="006F283B">
        <w:rPr>
          <w:color w:val="auto"/>
        </w:rPr>
        <w:t xml:space="preserve">for </w:t>
      </w:r>
      <w:r w:rsidR="00952AD6" w:rsidRPr="006F283B">
        <w:t>niraparib compared with olaparib</w:t>
      </w:r>
      <w:r w:rsidR="00DC624A" w:rsidRPr="006F283B">
        <w:t xml:space="preserve"> in </w:t>
      </w:r>
      <w:r w:rsidR="00DC624A" w:rsidRPr="006F283B">
        <w:rPr>
          <w:color w:val="auto"/>
        </w:rPr>
        <w:t xml:space="preserve">the </w:t>
      </w:r>
      <w:r w:rsidR="001152C0" w:rsidRPr="001152C0">
        <w:rPr>
          <w:i/>
          <w:color w:val="auto"/>
        </w:rPr>
        <w:t>BRCAm</w:t>
      </w:r>
      <w:r w:rsidR="00DC624A" w:rsidRPr="006F283B">
        <w:rPr>
          <w:color w:val="auto"/>
        </w:rPr>
        <w:t xml:space="preserve"> population</w:t>
      </w:r>
      <w:r w:rsidR="00DC624A" w:rsidRPr="006F283B">
        <w:t xml:space="preserve"> (Paragraph</w:t>
      </w:r>
      <w:r w:rsidR="00D4148C" w:rsidRPr="006F283B">
        <w:t>s</w:t>
      </w:r>
      <w:r w:rsidR="00DC624A" w:rsidRPr="006F283B">
        <w:t xml:space="preserve"> 7.8</w:t>
      </w:r>
      <w:r w:rsidR="00D4148C" w:rsidRPr="006F283B">
        <w:t xml:space="preserve"> and 7.9</w:t>
      </w:r>
      <w:r w:rsidR="00DC624A" w:rsidRPr="006F283B">
        <w:t xml:space="preserve">, </w:t>
      </w:r>
      <w:r w:rsidR="00F013F3" w:rsidRPr="006F283B">
        <w:t>n</w:t>
      </w:r>
      <w:r w:rsidR="00DC624A" w:rsidRPr="006F283B">
        <w:t>iraparib PSD, March 2022)</w:t>
      </w:r>
      <w:r w:rsidR="00952AD6" w:rsidRPr="006F283B">
        <w:t>.</w:t>
      </w:r>
      <w:r w:rsidR="00982F0F" w:rsidRPr="006F283B">
        <w:t xml:space="preserve"> </w:t>
      </w:r>
      <w:r w:rsidR="00D55835" w:rsidRPr="006F283B">
        <w:t xml:space="preserve">The PBAC considered there were </w:t>
      </w:r>
      <w:r w:rsidR="00D55835" w:rsidRPr="006F283B">
        <w:rPr>
          <w:color w:val="auto"/>
        </w:rPr>
        <w:t xml:space="preserve">no reliable data to suggest a different therapeutic conclusion in the </w:t>
      </w:r>
      <w:r w:rsidR="001152C0" w:rsidRPr="001152C0">
        <w:rPr>
          <w:i/>
          <w:color w:val="auto"/>
        </w:rPr>
        <w:t>BRCAm</w:t>
      </w:r>
      <w:r w:rsidR="00D55835" w:rsidRPr="006F283B">
        <w:rPr>
          <w:color w:val="auto"/>
        </w:rPr>
        <w:t xml:space="preserve"> HRDwt population</w:t>
      </w:r>
      <w:r w:rsidR="004E02BD" w:rsidRPr="006F283B">
        <w:rPr>
          <w:color w:val="auto"/>
        </w:rPr>
        <w:t xml:space="preserve"> compared with the </w:t>
      </w:r>
      <w:r w:rsidR="001152C0" w:rsidRPr="001152C0">
        <w:rPr>
          <w:i/>
          <w:iCs/>
          <w:color w:val="auto"/>
        </w:rPr>
        <w:t>BRCAm</w:t>
      </w:r>
      <w:r w:rsidR="004E02BD" w:rsidRPr="006F283B">
        <w:rPr>
          <w:color w:val="auto"/>
        </w:rPr>
        <w:t xml:space="preserve"> population</w:t>
      </w:r>
      <w:r w:rsidR="00D55835" w:rsidRPr="006F283B">
        <w:rPr>
          <w:color w:val="auto"/>
        </w:rPr>
        <w:t>.</w:t>
      </w:r>
    </w:p>
    <w:p w14:paraId="1F9D0804" w14:textId="77777777" w:rsidR="00843998" w:rsidRPr="006F283B" w:rsidRDefault="00843998" w:rsidP="00F029F7">
      <w:pPr>
        <w:pStyle w:val="4-SubsectionHeading"/>
      </w:pPr>
      <w:bookmarkStart w:id="118" w:name="_Toc95298228"/>
      <w:bookmarkStart w:id="119" w:name="_Toc123646837"/>
      <w:bookmarkStart w:id="120" w:name="_Toc123646938"/>
      <w:bookmarkStart w:id="121" w:name="_Toc123647173"/>
      <w:bookmarkStart w:id="122" w:name="_Toc124937097"/>
      <w:bookmarkStart w:id="123" w:name="_Hlk130549554"/>
      <w:bookmarkEnd w:id="117"/>
      <w:r w:rsidRPr="006F283B">
        <w:t>Claim of codependence</w:t>
      </w:r>
      <w:bookmarkEnd w:id="118"/>
      <w:bookmarkEnd w:id="119"/>
      <w:bookmarkEnd w:id="120"/>
      <w:bookmarkEnd w:id="121"/>
      <w:bookmarkEnd w:id="122"/>
    </w:p>
    <w:p w14:paraId="66494C14" w14:textId="2EDEF78C" w:rsidR="00843998" w:rsidRPr="006F283B" w:rsidRDefault="00843998" w:rsidP="00AF4B69">
      <w:pPr>
        <w:pStyle w:val="ListParagraph"/>
        <w:spacing w:before="0" w:after="120"/>
        <w:rPr>
          <w:color w:val="auto"/>
        </w:rPr>
      </w:pPr>
      <w:r w:rsidRPr="006F283B">
        <w:rPr>
          <w:color w:val="auto"/>
        </w:rPr>
        <w:t xml:space="preserve">The submission did not explicitly state that there was a biological rationale for targeting HRD positive </w:t>
      </w:r>
      <w:r w:rsidR="001152C0" w:rsidRPr="001152C0">
        <w:rPr>
          <w:i/>
          <w:iCs/>
          <w:color w:val="auto"/>
        </w:rPr>
        <w:t>BRCAwt</w:t>
      </w:r>
      <w:r w:rsidRPr="006F283B">
        <w:rPr>
          <w:color w:val="auto"/>
        </w:rPr>
        <w:t xml:space="preserve"> HGEOC. While the codependency between HRD status and PARP inhibitors has not previously been accepted by MSAC and PBAC, they have both accepted that variation in the size of the treatment effect of PARP inhibitors is predicted by </w:t>
      </w:r>
      <w:r w:rsidR="001152C0" w:rsidRPr="001152C0">
        <w:rPr>
          <w:i/>
          <w:iCs/>
          <w:color w:val="auto"/>
        </w:rPr>
        <w:t>BRCA1/2</w:t>
      </w:r>
      <w:r w:rsidRPr="006F283B">
        <w:rPr>
          <w:color w:val="auto"/>
        </w:rPr>
        <w:t xml:space="preserve"> status as one HRD biomarker (paragraph 6.45, olaparib PSD, July 2022 PBAC meeting).</w:t>
      </w:r>
    </w:p>
    <w:p w14:paraId="24F8982C" w14:textId="705A01E6" w:rsidR="00843998" w:rsidRPr="006F283B" w:rsidRDefault="00843998" w:rsidP="00AF4B69">
      <w:pPr>
        <w:pStyle w:val="ListParagraph"/>
        <w:spacing w:before="0" w:after="120"/>
        <w:rPr>
          <w:color w:val="auto"/>
        </w:rPr>
      </w:pPr>
      <w:r w:rsidRPr="006F283B">
        <w:rPr>
          <w:color w:val="auto"/>
        </w:rPr>
        <w:t xml:space="preserve">However, as discussed in paragraph </w:t>
      </w:r>
      <w:r w:rsidRPr="006F283B">
        <w:rPr>
          <w:color w:val="auto"/>
        </w:rPr>
        <w:fldChar w:fldCharType="begin" w:fldLock="1"/>
      </w:r>
      <w:r w:rsidRPr="006F283B">
        <w:rPr>
          <w:color w:val="auto"/>
        </w:rPr>
        <w:instrText xml:space="preserve"> REF _Ref121204206 \r \h </w:instrText>
      </w:r>
      <w:r w:rsidR="00F40CF1" w:rsidRPr="006F283B">
        <w:rPr>
          <w:color w:val="auto"/>
        </w:rPr>
        <w:instrText xml:space="preserve"> \* MERGEFORMAT </w:instrText>
      </w:r>
      <w:r w:rsidRPr="006F283B">
        <w:rPr>
          <w:color w:val="auto"/>
        </w:rPr>
      </w:r>
      <w:r w:rsidRPr="006F283B">
        <w:rPr>
          <w:color w:val="auto"/>
        </w:rPr>
        <w:fldChar w:fldCharType="separate"/>
      </w:r>
      <w:r w:rsidR="00305654">
        <w:rPr>
          <w:color w:val="auto"/>
        </w:rPr>
        <w:t>6.24</w:t>
      </w:r>
      <w:r w:rsidRPr="006F283B">
        <w:rPr>
          <w:color w:val="auto"/>
        </w:rPr>
        <w:fldChar w:fldCharType="end"/>
      </w:r>
      <w:r w:rsidRPr="006F283B">
        <w:rPr>
          <w:color w:val="auto"/>
        </w:rPr>
        <w:t xml:space="preserve">, PFS results from PRIMA </w:t>
      </w:r>
      <w:r w:rsidR="009D7C9D" w:rsidRPr="006F283B">
        <w:rPr>
          <w:color w:val="auto"/>
        </w:rPr>
        <w:t>provided less</w:t>
      </w:r>
      <w:r w:rsidRPr="006F283B">
        <w:rPr>
          <w:color w:val="auto"/>
        </w:rPr>
        <w:t xml:space="preserve"> support </w:t>
      </w:r>
      <w:r w:rsidR="009D7C9D" w:rsidRPr="006F283B">
        <w:rPr>
          <w:color w:val="auto"/>
        </w:rPr>
        <w:t xml:space="preserve">for </w:t>
      </w:r>
      <w:r w:rsidRPr="006F283B">
        <w:rPr>
          <w:color w:val="auto"/>
        </w:rPr>
        <w:t>a claim of codependence, as niraparib appears to provide a statistically significant PFS benefit over placebo irrespective of the patient</w:t>
      </w:r>
      <w:r w:rsidR="00B2500E" w:rsidRPr="006F283B">
        <w:rPr>
          <w:color w:val="auto"/>
        </w:rPr>
        <w:t>’</w:t>
      </w:r>
      <w:r w:rsidRPr="006F283B">
        <w:rPr>
          <w:color w:val="auto"/>
        </w:rPr>
        <w:t>s HRD status, though the clinical significance of the median PFS benefit in the HRD negative population was unclear.</w:t>
      </w:r>
      <w:r w:rsidR="00440F8A" w:rsidRPr="006F283B">
        <w:rPr>
          <w:color w:val="auto"/>
        </w:rPr>
        <w:t xml:space="preserve"> </w:t>
      </w:r>
      <w:r w:rsidR="00441755" w:rsidRPr="006F283B">
        <w:rPr>
          <w:iCs/>
          <w:color w:val="auto"/>
        </w:rPr>
        <w:t>The ESCs noted that this was inconsistent with studies in other PARP inhibitors</w:t>
      </w:r>
      <w:r w:rsidR="001A5406" w:rsidRPr="006F283B">
        <w:rPr>
          <w:iCs/>
          <w:color w:val="auto"/>
        </w:rPr>
        <w:t xml:space="preserve"> which makes it difficult to determine </w:t>
      </w:r>
      <w:proofErr w:type="gramStart"/>
      <w:r w:rsidR="001A5406" w:rsidRPr="006F283B">
        <w:rPr>
          <w:iCs/>
          <w:color w:val="auto"/>
        </w:rPr>
        <w:t>whether or not</w:t>
      </w:r>
      <w:proofErr w:type="gramEnd"/>
      <w:r w:rsidR="001A5406" w:rsidRPr="006F283B">
        <w:rPr>
          <w:iCs/>
          <w:color w:val="auto"/>
        </w:rPr>
        <w:t xml:space="preserve"> the claim of codependence is reasonable.</w:t>
      </w:r>
      <w:r w:rsidR="001A5406" w:rsidRPr="006F283B">
        <w:rPr>
          <w:color w:val="auto"/>
        </w:rPr>
        <w:t xml:space="preserve"> </w:t>
      </w:r>
    </w:p>
    <w:p w14:paraId="6FF2A1F4" w14:textId="77777777" w:rsidR="00843998" w:rsidRPr="006F283B" w:rsidRDefault="00843998" w:rsidP="00F029F7">
      <w:pPr>
        <w:pStyle w:val="4-SubsectionHeading"/>
      </w:pPr>
      <w:bookmarkStart w:id="124" w:name="_Toc95298229"/>
      <w:bookmarkStart w:id="125" w:name="_Toc123646838"/>
      <w:bookmarkStart w:id="126" w:name="_Toc123646939"/>
      <w:bookmarkStart w:id="127" w:name="_Toc123647174"/>
      <w:bookmarkStart w:id="128" w:name="_Toc124937098"/>
      <w:bookmarkEnd w:id="123"/>
      <w:r w:rsidRPr="006F283B">
        <w:t>Economic analysis</w:t>
      </w:r>
      <w:bookmarkEnd w:id="108"/>
      <w:bookmarkEnd w:id="124"/>
      <w:bookmarkEnd w:id="125"/>
      <w:bookmarkEnd w:id="126"/>
      <w:bookmarkEnd w:id="127"/>
      <w:bookmarkEnd w:id="128"/>
    </w:p>
    <w:p w14:paraId="4A3C02E7" w14:textId="2A5265DF" w:rsidR="00843998" w:rsidRPr="006F283B" w:rsidRDefault="00843998" w:rsidP="00AF4B69">
      <w:pPr>
        <w:pStyle w:val="ListParagraph"/>
        <w:spacing w:before="0" w:after="120"/>
        <w:rPr>
          <w:color w:val="auto"/>
        </w:rPr>
      </w:pPr>
      <w:r w:rsidRPr="006F283B">
        <w:rPr>
          <w:color w:val="auto"/>
        </w:rPr>
        <w:t>The submission presented a modelled economic evaluation, based on subgroup results from PRIMA</w:t>
      </w:r>
      <w:r w:rsidR="002B1BAA" w:rsidRPr="006F283B">
        <w:rPr>
          <w:color w:val="auto"/>
        </w:rPr>
        <w:t xml:space="preserve">. </w:t>
      </w:r>
      <w:r w:rsidR="00530FC5" w:rsidRPr="006F283B">
        <w:t>The submission stated that a</w:t>
      </w:r>
      <w:r w:rsidRPr="006F283B">
        <w:t xml:space="preserve">s there was an absence of mature </w:t>
      </w:r>
      <w:r w:rsidRPr="006F283B">
        <w:lastRenderedPageBreak/>
        <w:t xml:space="preserve">OS data for PRIMA, data from </w:t>
      </w:r>
      <w:r w:rsidR="00847630" w:rsidRPr="006F283B">
        <w:t>an o</w:t>
      </w:r>
      <w:r w:rsidR="00695B00" w:rsidRPr="006F283B">
        <w:t>laparib</w:t>
      </w:r>
      <w:r w:rsidR="00847630" w:rsidRPr="006F283B">
        <w:t xml:space="preserve"> trial</w:t>
      </w:r>
      <w:r w:rsidRPr="006F283B">
        <w:t xml:space="preserve"> in the </w:t>
      </w:r>
      <w:r w:rsidR="001152C0" w:rsidRPr="001152C0">
        <w:rPr>
          <w:i/>
          <w:iCs/>
        </w:rPr>
        <w:t>BRCAm</w:t>
      </w:r>
      <w:r w:rsidRPr="006F283B">
        <w:t xml:space="preserve"> population </w:t>
      </w:r>
      <w:r w:rsidR="00A5722C" w:rsidRPr="006F283B">
        <w:t xml:space="preserve">were </w:t>
      </w:r>
      <w:r w:rsidRPr="006F283B">
        <w:t>used (SOLO-1)</w:t>
      </w:r>
      <w:r w:rsidR="00530FC5" w:rsidRPr="006F283B">
        <w:t xml:space="preserve"> in the estimation of OS for the niraparib arm, while </w:t>
      </w:r>
      <w:r w:rsidR="00695B00" w:rsidRPr="006F283B">
        <w:t xml:space="preserve">PRIMA OS data </w:t>
      </w:r>
      <w:r w:rsidR="00295706" w:rsidRPr="006F283B">
        <w:t xml:space="preserve">were used </w:t>
      </w:r>
      <w:r w:rsidR="00695B00" w:rsidRPr="006F283B">
        <w:t xml:space="preserve">for the </w:t>
      </w:r>
      <w:r w:rsidR="00530FC5" w:rsidRPr="006F283B">
        <w:t>SMM arm</w:t>
      </w:r>
      <w:r w:rsidRPr="006F283B">
        <w:t>.</w:t>
      </w:r>
    </w:p>
    <w:p w14:paraId="7B483C18" w14:textId="1F452CA2" w:rsidR="00843998" w:rsidRPr="006F283B" w:rsidRDefault="00843998" w:rsidP="00AF4B69">
      <w:pPr>
        <w:pStyle w:val="ListParagraph"/>
        <w:spacing w:before="0" w:after="120"/>
        <w:rPr>
          <w:color w:val="auto"/>
        </w:rPr>
      </w:pPr>
      <w:r w:rsidRPr="006F283B">
        <w:rPr>
          <w:color w:val="auto"/>
        </w:rPr>
        <w:t xml:space="preserve">The basis of the economic evaluation was a cost </w:t>
      </w:r>
      <w:r w:rsidR="00695B00" w:rsidRPr="006F283B">
        <w:rPr>
          <w:color w:val="auto"/>
        </w:rPr>
        <w:t>utility</w:t>
      </w:r>
      <w:r w:rsidR="001A5406" w:rsidRPr="006F283B">
        <w:rPr>
          <w:color w:val="auto"/>
        </w:rPr>
        <w:t xml:space="preserve"> </w:t>
      </w:r>
      <w:r w:rsidRPr="006F283B">
        <w:rPr>
          <w:color w:val="auto"/>
        </w:rPr>
        <w:t>analysis (C</w:t>
      </w:r>
      <w:r w:rsidR="00695B00" w:rsidRPr="006F283B">
        <w:rPr>
          <w:color w:val="auto"/>
        </w:rPr>
        <w:t>U</w:t>
      </w:r>
      <w:r w:rsidRPr="006F283B">
        <w:rPr>
          <w:color w:val="auto"/>
        </w:rPr>
        <w:t>A). The model used a partitioned survival analysis with patients distributed between four mutually exclusive health states; progression-free (‘cured’), progression-free (‘not-cured</w:t>
      </w:r>
      <w:r w:rsidR="000C5027" w:rsidRPr="006F283B">
        <w:rPr>
          <w:color w:val="auto"/>
        </w:rPr>
        <w:t>’</w:t>
      </w:r>
      <w:r w:rsidRPr="006F283B">
        <w:rPr>
          <w:color w:val="auto"/>
        </w:rPr>
        <w:t>), progressed disease and death, over a base case time horizon of 20 years.</w:t>
      </w:r>
    </w:p>
    <w:p w14:paraId="1D365F4E" w14:textId="77777777" w:rsidR="00843998" w:rsidRPr="006F283B" w:rsidRDefault="00843998" w:rsidP="00AF4B69">
      <w:pPr>
        <w:pStyle w:val="ListParagraph"/>
        <w:spacing w:before="0" w:after="120"/>
        <w:rPr>
          <w:color w:val="auto"/>
        </w:rPr>
      </w:pPr>
      <w:r w:rsidRPr="006F283B">
        <w:rPr>
          <w:color w:val="auto"/>
        </w:rPr>
        <w:t xml:space="preserve">The table below summarises the key components of the economic evaluation. </w:t>
      </w:r>
    </w:p>
    <w:p w14:paraId="49F2ED1B" w14:textId="6823B2B2" w:rsidR="00843998" w:rsidRPr="006F283B" w:rsidRDefault="00CB2BDC" w:rsidP="00593A64">
      <w:pPr>
        <w:pStyle w:val="Caption"/>
      </w:pPr>
      <w:r w:rsidRPr="006F283B">
        <w:t xml:space="preserve">Table </w:t>
      </w:r>
      <w:r w:rsidR="00091054">
        <w:fldChar w:fldCharType="begin" w:fldLock="1"/>
      </w:r>
      <w:r w:rsidR="00091054">
        <w:instrText xml:space="preserve"> SEQ Table \* ARABIC </w:instrText>
      </w:r>
      <w:r w:rsidR="00091054">
        <w:fldChar w:fldCharType="separate"/>
      </w:r>
      <w:r w:rsidR="00305654">
        <w:rPr>
          <w:noProof/>
        </w:rPr>
        <w:t>14</w:t>
      </w:r>
      <w:r w:rsidR="00091054">
        <w:rPr>
          <w:noProof/>
        </w:rPr>
        <w:fldChar w:fldCharType="end"/>
      </w:r>
      <w:r w:rsidR="00AF4B69">
        <w:t xml:space="preserve">: </w:t>
      </w:r>
      <w:r w:rsidR="00843998" w:rsidRPr="006F283B">
        <w:t>Summary of model structure, key inputs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775"/>
        <w:gridCol w:w="3312"/>
      </w:tblGrid>
      <w:tr w:rsidR="00843998" w:rsidRPr="006F283B" w14:paraId="29471982" w14:textId="77777777" w:rsidTr="0011313C">
        <w:trPr>
          <w:cantSplit/>
          <w:tblHeader/>
        </w:trPr>
        <w:tc>
          <w:tcPr>
            <w:tcW w:w="1980" w:type="dxa"/>
            <w:shd w:val="clear" w:color="auto" w:fill="auto"/>
            <w:vAlign w:val="center"/>
          </w:tcPr>
          <w:p w14:paraId="077F0060" w14:textId="77777777" w:rsidR="00843998" w:rsidRPr="006F283B" w:rsidRDefault="00843998" w:rsidP="0011313C">
            <w:pPr>
              <w:pStyle w:val="TableText"/>
              <w:keepNext/>
              <w:rPr>
                <w:b/>
              </w:rPr>
            </w:pPr>
            <w:r w:rsidRPr="006F283B">
              <w:rPr>
                <w:b/>
              </w:rPr>
              <w:t xml:space="preserve">Component </w:t>
            </w:r>
          </w:p>
        </w:tc>
        <w:tc>
          <w:tcPr>
            <w:tcW w:w="3775" w:type="dxa"/>
            <w:shd w:val="clear" w:color="auto" w:fill="auto"/>
            <w:vAlign w:val="center"/>
          </w:tcPr>
          <w:p w14:paraId="2E3E1501" w14:textId="77777777" w:rsidR="00843998" w:rsidRPr="006F283B" w:rsidRDefault="00843998" w:rsidP="0011313C">
            <w:pPr>
              <w:pStyle w:val="TableText"/>
              <w:keepNext/>
              <w:rPr>
                <w:b/>
              </w:rPr>
            </w:pPr>
            <w:r w:rsidRPr="006F283B">
              <w:rPr>
                <w:b/>
              </w:rPr>
              <w:t>Description</w:t>
            </w:r>
          </w:p>
        </w:tc>
        <w:tc>
          <w:tcPr>
            <w:tcW w:w="3312" w:type="dxa"/>
            <w:vAlign w:val="center"/>
          </w:tcPr>
          <w:p w14:paraId="1EB88EB3" w14:textId="77777777" w:rsidR="00843998" w:rsidRPr="006F283B" w:rsidRDefault="00843998" w:rsidP="0011313C">
            <w:pPr>
              <w:pStyle w:val="TableText"/>
              <w:keepNext/>
              <w:rPr>
                <w:b/>
              </w:rPr>
            </w:pPr>
            <w:r w:rsidRPr="006F283B">
              <w:rPr>
                <w:b/>
              </w:rPr>
              <w:t>Justification/comments</w:t>
            </w:r>
          </w:p>
        </w:tc>
      </w:tr>
      <w:tr w:rsidR="00843998" w:rsidRPr="006F283B" w14:paraId="4F58D441" w14:textId="77777777" w:rsidTr="0011313C">
        <w:trPr>
          <w:cantSplit/>
        </w:trPr>
        <w:tc>
          <w:tcPr>
            <w:tcW w:w="1980" w:type="dxa"/>
            <w:shd w:val="clear" w:color="auto" w:fill="auto"/>
            <w:vAlign w:val="center"/>
          </w:tcPr>
          <w:p w14:paraId="27AA57B6" w14:textId="77777777" w:rsidR="00843998" w:rsidRPr="006F283B" w:rsidRDefault="00843998" w:rsidP="0011313C">
            <w:pPr>
              <w:pStyle w:val="TableText"/>
              <w:keepNext/>
              <w:rPr>
                <w:b/>
              </w:rPr>
            </w:pPr>
            <w:r w:rsidRPr="006F283B">
              <w:t>Type(s) of analysis</w:t>
            </w:r>
          </w:p>
        </w:tc>
        <w:tc>
          <w:tcPr>
            <w:tcW w:w="3775" w:type="dxa"/>
            <w:shd w:val="clear" w:color="auto" w:fill="auto"/>
            <w:vAlign w:val="center"/>
          </w:tcPr>
          <w:p w14:paraId="4CF39F88" w14:textId="77777777" w:rsidR="00843998" w:rsidRPr="006F283B" w:rsidRDefault="00843998" w:rsidP="0011313C">
            <w:pPr>
              <w:pStyle w:val="TableText"/>
              <w:keepNext/>
              <w:rPr>
                <w:b/>
              </w:rPr>
            </w:pPr>
            <w:r w:rsidRPr="006F283B">
              <w:t>Cost-utility analysis</w:t>
            </w:r>
          </w:p>
        </w:tc>
        <w:tc>
          <w:tcPr>
            <w:tcW w:w="3312" w:type="dxa"/>
            <w:vAlign w:val="center"/>
          </w:tcPr>
          <w:p w14:paraId="393C0A02" w14:textId="77777777" w:rsidR="00843998" w:rsidRPr="006F283B" w:rsidRDefault="00843998" w:rsidP="0011313C">
            <w:pPr>
              <w:pStyle w:val="TableText"/>
              <w:keepNext/>
            </w:pPr>
            <w:r w:rsidRPr="006F283B">
              <w:rPr>
                <w:rFonts w:eastAsiaTheme="majorEastAsia" w:cs="Arial"/>
                <w:szCs w:val="20"/>
                <w:lang w:bidi="en-US"/>
              </w:rPr>
              <w:t>Appropriate.</w:t>
            </w:r>
          </w:p>
        </w:tc>
      </w:tr>
      <w:tr w:rsidR="00843998" w:rsidRPr="006F283B" w14:paraId="1D25A1A4" w14:textId="77777777" w:rsidTr="0011313C">
        <w:trPr>
          <w:cantSplit/>
        </w:trPr>
        <w:tc>
          <w:tcPr>
            <w:tcW w:w="1980" w:type="dxa"/>
            <w:shd w:val="clear" w:color="auto" w:fill="auto"/>
            <w:vAlign w:val="center"/>
          </w:tcPr>
          <w:p w14:paraId="1DD3A02D" w14:textId="77777777" w:rsidR="00843998" w:rsidRPr="006F283B" w:rsidRDefault="00843998" w:rsidP="0011313C">
            <w:pPr>
              <w:pStyle w:val="TableText"/>
              <w:keepNext/>
              <w:rPr>
                <w:b/>
              </w:rPr>
            </w:pPr>
            <w:r w:rsidRPr="006F283B">
              <w:t>Outcomes</w:t>
            </w:r>
          </w:p>
        </w:tc>
        <w:tc>
          <w:tcPr>
            <w:tcW w:w="3775" w:type="dxa"/>
            <w:shd w:val="clear" w:color="auto" w:fill="auto"/>
            <w:vAlign w:val="center"/>
          </w:tcPr>
          <w:p w14:paraId="5AB49AAA" w14:textId="77777777" w:rsidR="00843998" w:rsidRPr="006F283B" w:rsidRDefault="00843998" w:rsidP="0011313C">
            <w:pPr>
              <w:pStyle w:val="TableText"/>
              <w:keepNext/>
              <w:rPr>
                <w:b/>
              </w:rPr>
            </w:pPr>
            <w:r w:rsidRPr="006F283B">
              <w:t>Quality adjusted life-years (and life years)</w:t>
            </w:r>
          </w:p>
        </w:tc>
        <w:tc>
          <w:tcPr>
            <w:tcW w:w="3312" w:type="dxa"/>
            <w:vAlign w:val="center"/>
          </w:tcPr>
          <w:p w14:paraId="5D9E4E10" w14:textId="77777777" w:rsidR="00843998" w:rsidRPr="006F283B" w:rsidRDefault="00843998" w:rsidP="0011313C">
            <w:pPr>
              <w:pStyle w:val="TableText"/>
              <w:keepNext/>
            </w:pPr>
            <w:r w:rsidRPr="006F283B">
              <w:rPr>
                <w:rFonts w:eastAsiaTheme="majorEastAsia" w:cs="Arial"/>
                <w:szCs w:val="20"/>
                <w:lang w:bidi="en-US"/>
              </w:rPr>
              <w:t>Appropriate.</w:t>
            </w:r>
          </w:p>
        </w:tc>
      </w:tr>
      <w:tr w:rsidR="00843998" w:rsidRPr="006F283B" w14:paraId="60204813" w14:textId="77777777" w:rsidTr="0011313C">
        <w:trPr>
          <w:cantSplit/>
        </w:trPr>
        <w:tc>
          <w:tcPr>
            <w:tcW w:w="1980" w:type="dxa"/>
            <w:shd w:val="clear" w:color="auto" w:fill="auto"/>
            <w:vAlign w:val="center"/>
          </w:tcPr>
          <w:p w14:paraId="47B6E4A6" w14:textId="77777777" w:rsidR="00843998" w:rsidRPr="006F283B" w:rsidRDefault="00843998" w:rsidP="0011313C">
            <w:pPr>
              <w:pStyle w:val="TableText"/>
              <w:keepNext/>
              <w:rPr>
                <w:b/>
              </w:rPr>
            </w:pPr>
            <w:r w:rsidRPr="006F283B">
              <w:t>Time horizon</w:t>
            </w:r>
          </w:p>
        </w:tc>
        <w:tc>
          <w:tcPr>
            <w:tcW w:w="3775" w:type="dxa"/>
            <w:shd w:val="clear" w:color="auto" w:fill="auto"/>
            <w:vAlign w:val="center"/>
          </w:tcPr>
          <w:p w14:paraId="4E6E8680" w14:textId="77777777" w:rsidR="00843998" w:rsidRPr="006F283B" w:rsidRDefault="00843998" w:rsidP="0011313C">
            <w:pPr>
              <w:pStyle w:val="TableText"/>
              <w:keepNext/>
            </w:pPr>
            <w:r w:rsidRPr="006F283B">
              <w:t>20 years</w:t>
            </w:r>
          </w:p>
        </w:tc>
        <w:tc>
          <w:tcPr>
            <w:tcW w:w="3312" w:type="dxa"/>
            <w:vAlign w:val="center"/>
          </w:tcPr>
          <w:p w14:paraId="012AC04F" w14:textId="224F66B8" w:rsidR="00843998" w:rsidRPr="006F283B" w:rsidRDefault="00843998" w:rsidP="0011313C">
            <w:pPr>
              <w:pStyle w:val="TableText"/>
              <w:keepNext/>
            </w:pPr>
            <w:r w:rsidRPr="006F283B">
              <w:rPr>
                <w:rFonts w:eastAsiaTheme="majorEastAsia" w:cs="Arial"/>
                <w:szCs w:val="20"/>
                <w:lang w:bidi="en-US"/>
              </w:rPr>
              <w:t>The PBAC considered that the time horizon of 20 years was reasonable for the HRD+ population (paragraph 7.12, olaparib</w:t>
            </w:r>
            <w:r w:rsidR="00E6172A" w:rsidRPr="006F283B">
              <w:rPr>
                <w:rFonts w:eastAsiaTheme="majorEastAsia" w:cs="Arial"/>
                <w:szCs w:val="20"/>
                <w:lang w:bidi="en-US"/>
              </w:rPr>
              <w:t xml:space="preserve"> PSD</w:t>
            </w:r>
            <w:r w:rsidRPr="006F283B">
              <w:rPr>
                <w:rFonts w:eastAsiaTheme="majorEastAsia" w:cs="Arial"/>
                <w:szCs w:val="20"/>
                <w:lang w:bidi="en-US"/>
              </w:rPr>
              <w:t xml:space="preserve">, July 2022 PBAC meeting). However median follow up in PRIMA </w:t>
            </w:r>
            <w:r w:rsidR="00E6172A" w:rsidRPr="006F283B">
              <w:rPr>
                <w:rFonts w:eastAsiaTheme="majorEastAsia" w:cs="Arial"/>
                <w:szCs w:val="20"/>
                <w:lang w:bidi="en-US"/>
              </w:rPr>
              <w:t xml:space="preserve">was </w:t>
            </w:r>
            <w:r w:rsidRPr="006F283B">
              <w:rPr>
                <w:rFonts w:eastAsiaTheme="majorEastAsia" w:cs="Arial"/>
                <w:szCs w:val="20"/>
                <w:lang w:bidi="en-US"/>
              </w:rPr>
              <w:t xml:space="preserve">only around 15 months. </w:t>
            </w:r>
          </w:p>
        </w:tc>
      </w:tr>
      <w:tr w:rsidR="00843998" w:rsidRPr="006F283B" w14:paraId="5B26B360" w14:textId="77777777" w:rsidTr="0011313C">
        <w:trPr>
          <w:cantSplit/>
        </w:trPr>
        <w:tc>
          <w:tcPr>
            <w:tcW w:w="1980" w:type="dxa"/>
            <w:shd w:val="clear" w:color="auto" w:fill="BDD6EE" w:themeFill="accent1" w:themeFillTint="66"/>
            <w:vAlign w:val="center"/>
          </w:tcPr>
          <w:p w14:paraId="5179F5A4" w14:textId="77777777" w:rsidR="00843998" w:rsidRPr="006F283B" w:rsidRDefault="00843998" w:rsidP="0011313C">
            <w:pPr>
              <w:pStyle w:val="TableText"/>
              <w:keepNext/>
              <w:rPr>
                <w:b/>
              </w:rPr>
            </w:pPr>
            <w:r w:rsidRPr="006F283B">
              <w:t>Method(s) used to generate results</w:t>
            </w:r>
          </w:p>
        </w:tc>
        <w:tc>
          <w:tcPr>
            <w:tcW w:w="3775" w:type="dxa"/>
            <w:shd w:val="clear" w:color="auto" w:fill="BDD6EE" w:themeFill="accent1" w:themeFillTint="66"/>
            <w:vAlign w:val="center"/>
          </w:tcPr>
          <w:p w14:paraId="4ED179BB" w14:textId="77777777" w:rsidR="00843998" w:rsidRPr="006F283B" w:rsidRDefault="00843998" w:rsidP="0011313C">
            <w:pPr>
              <w:pStyle w:val="TableText"/>
              <w:keepNext/>
            </w:pPr>
            <w:r w:rsidRPr="006F283B">
              <w:t>Partitioned survival analysis</w:t>
            </w:r>
          </w:p>
        </w:tc>
        <w:tc>
          <w:tcPr>
            <w:tcW w:w="3312" w:type="dxa"/>
            <w:vAlign w:val="center"/>
          </w:tcPr>
          <w:p w14:paraId="5537DD04" w14:textId="77777777" w:rsidR="00843998" w:rsidRPr="006F283B" w:rsidRDefault="00843998" w:rsidP="0011313C">
            <w:pPr>
              <w:pStyle w:val="TableText"/>
              <w:keepNext/>
              <w:rPr>
                <w:highlight w:val="yellow"/>
              </w:rPr>
            </w:pPr>
            <w:r w:rsidRPr="006F283B">
              <w:rPr>
                <w:rFonts w:eastAsiaTheme="majorEastAsia" w:cs="Arial"/>
                <w:szCs w:val="20"/>
                <w:lang w:bidi="en-US"/>
              </w:rPr>
              <w:t>Appropriate. As used in previous niraparib submissions.</w:t>
            </w:r>
          </w:p>
        </w:tc>
      </w:tr>
      <w:tr w:rsidR="00843998" w:rsidRPr="006F283B" w14:paraId="6D7D145A" w14:textId="77777777" w:rsidTr="0011313C">
        <w:trPr>
          <w:cantSplit/>
        </w:trPr>
        <w:tc>
          <w:tcPr>
            <w:tcW w:w="1980" w:type="dxa"/>
            <w:shd w:val="clear" w:color="auto" w:fill="BDD6EE" w:themeFill="accent1" w:themeFillTint="66"/>
            <w:vAlign w:val="center"/>
          </w:tcPr>
          <w:p w14:paraId="76BC4A4E" w14:textId="77777777" w:rsidR="00843998" w:rsidRPr="006F283B" w:rsidRDefault="00843998" w:rsidP="0011313C">
            <w:pPr>
              <w:pStyle w:val="TableText"/>
              <w:keepNext/>
            </w:pPr>
            <w:r w:rsidRPr="006F283B">
              <w:t>Health states</w:t>
            </w:r>
          </w:p>
        </w:tc>
        <w:tc>
          <w:tcPr>
            <w:tcW w:w="3775" w:type="dxa"/>
            <w:shd w:val="clear" w:color="auto" w:fill="BDD6EE" w:themeFill="accent1" w:themeFillTint="66"/>
            <w:vAlign w:val="center"/>
          </w:tcPr>
          <w:p w14:paraId="307B89C6" w14:textId="77777777" w:rsidR="00843998" w:rsidRPr="006F283B" w:rsidRDefault="00843998" w:rsidP="0011313C">
            <w:pPr>
              <w:pStyle w:val="TableText"/>
              <w:keepNext/>
            </w:pPr>
            <w:r w:rsidRPr="006F283B">
              <w:t>Progression-free (‘cured’ and ‘not cured’), progressed disease and dead.</w:t>
            </w:r>
          </w:p>
          <w:p w14:paraId="0E613917" w14:textId="77777777" w:rsidR="00843998" w:rsidRPr="006F283B" w:rsidRDefault="00843998" w:rsidP="0011313C">
            <w:pPr>
              <w:pStyle w:val="TableText"/>
              <w:keepNext/>
            </w:pPr>
            <w:r w:rsidRPr="006F283B">
              <w:t>Cured patients were attributed zero progression and general population mortality.</w:t>
            </w:r>
          </w:p>
        </w:tc>
        <w:tc>
          <w:tcPr>
            <w:tcW w:w="3312" w:type="dxa"/>
            <w:vAlign w:val="center"/>
          </w:tcPr>
          <w:p w14:paraId="42D7D7C2" w14:textId="77777777" w:rsidR="00843998" w:rsidRPr="006F283B" w:rsidRDefault="00843998" w:rsidP="0011313C">
            <w:pPr>
              <w:pStyle w:val="TableText"/>
              <w:keepNext/>
            </w:pPr>
            <w:r w:rsidRPr="006F283B">
              <w:rPr>
                <w:rFonts w:eastAsiaTheme="majorEastAsia" w:cs="Arial"/>
                <w:szCs w:val="20"/>
                <w:lang w:bidi="en-US"/>
              </w:rPr>
              <w:t>Reasonable. As used in previous niraparib submissions.</w:t>
            </w:r>
          </w:p>
        </w:tc>
      </w:tr>
      <w:tr w:rsidR="00843998" w:rsidRPr="006F283B" w14:paraId="173F05EA" w14:textId="77777777" w:rsidTr="0011313C">
        <w:trPr>
          <w:cantSplit/>
        </w:trPr>
        <w:tc>
          <w:tcPr>
            <w:tcW w:w="1980" w:type="dxa"/>
            <w:shd w:val="clear" w:color="auto" w:fill="auto"/>
            <w:vAlign w:val="center"/>
          </w:tcPr>
          <w:p w14:paraId="7282A998" w14:textId="77777777" w:rsidR="00843998" w:rsidRPr="006F283B" w:rsidRDefault="00843998" w:rsidP="0011313C">
            <w:pPr>
              <w:pStyle w:val="TableText"/>
              <w:keepNext/>
              <w:rPr>
                <w:b/>
              </w:rPr>
            </w:pPr>
            <w:r w:rsidRPr="006F283B">
              <w:t>Transition probabilities</w:t>
            </w:r>
          </w:p>
        </w:tc>
        <w:tc>
          <w:tcPr>
            <w:tcW w:w="3775" w:type="dxa"/>
            <w:shd w:val="clear" w:color="auto" w:fill="auto"/>
            <w:vAlign w:val="center"/>
          </w:tcPr>
          <w:p w14:paraId="19B11173" w14:textId="3F8809B5" w:rsidR="00843998" w:rsidRPr="006F283B" w:rsidRDefault="00843998" w:rsidP="0011313C">
            <w:pPr>
              <w:pStyle w:val="TableText"/>
              <w:keepNext/>
            </w:pPr>
            <w:r w:rsidRPr="006F283B">
              <w:t>The model included a diagnostic component to account for the impact of HRD testing to determine niraparib eligibility in clinical practice. The PPV and NPV of HRD testing based on clinical practice testing (Illumina TruSight Oncology 500 RUO) versus the clinical utility standard (Myriad myChoice PLUS) from Weichert 2021a/2022, were used to allocate patient outcomes based on HRD/</w:t>
            </w:r>
            <w:r w:rsidR="001152C0" w:rsidRPr="001152C0">
              <w:rPr>
                <w:i/>
                <w:iCs/>
              </w:rPr>
              <w:t xml:space="preserve">BRCA </w:t>
            </w:r>
            <w:r w:rsidRPr="006F283B">
              <w:t>status.</w:t>
            </w:r>
          </w:p>
          <w:p w14:paraId="38F72B8A" w14:textId="77777777" w:rsidR="00843998" w:rsidRPr="006F283B" w:rsidRDefault="00843998" w:rsidP="0011313C">
            <w:pPr>
              <w:pStyle w:val="TableText"/>
              <w:keepNext/>
            </w:pPr>
          </w:p>
          <w:p w14:paraId="7D4E20E6" w14:textId="7166241E" w:rsidR="00843998" w:rsidRPr="006F283B" w:rsidRDefault="00843998" w:rsidP="0011313C">
            <w:pPr>
              <w:pStyle w:val="TableText"/>
              <w:keepNext/>
            </w:pPr>
            <w:r w:rsidRPr="006F283B">
              <w:t>Within each HRD/</w:t>
            </w:r>
            <w:r w:rsidR="001152C0" w:rsidRPr="001152C0">
              <w:rPr>
                <w:i/>
                <w:iCs/>
              </w:rPr>
              <w:t xml:space="preserve">BRCA </w:t>
            </w:r>
            <w:r w:rsidRPr="006F283B">
              <w:t>based population, transition probabilities between health states were implicitly captured via PFS and OS curves, in line with the partitioned survival model structure. PFS and OS curves were estimated based on a combination of Kaplan-Meier data from PRIMA, fitted parametric survival functions, hazard ratios and curve convergence.</w:t>
            </w:r>
          </w:p>
        </w:tc>
        <w:tc>
          <w:tcPr>
            <w:tcW w:w="3312" w:type="dxa"/>
            <w:vAlign w:val="center"/>
          </w:tcPr>
          <w:p w14:paraId="77767A4E" w14:textId="074532C8" w:rsidR="00843998" w:rsidRPr="006F283B" w:rsidRDefault="00843998" w:rsidP="0011313C">
            <w:pPr>
              <w:pStyle w:val="TableText"/>
              <w:keepNext/>
            </w:pPr>
            <w:r w:rsidRPr="006F283B">
              <w:rPr>
                <w:rFonts w:eastAsiaTheme="majorEastAsia" w:cs="Arial"/>
                <w:szCs w:val="20"/>
                <w:lang w:bidi="en-US"/>
              </w:rPr>
              <w:t>The inclusion of a diagnostic component to account for the impact of HRD testing was appropriate.</w:t>
            </w:r>
          </w:p>
        </w:tc>
      </w:tr>
      <w:tr w:rsidR="00843998" w:rsidRPr="006F283B" w14:paraId="0F622EAD" w14:textId="77777777" w:rsidTr="0011313C">
        <w:trPr>
          <w:cantSplit/>
        </w:trPr>
        <w:tc>
          <w:tcPr>
            <w:tcW w:w="1980" w:type="dxa"/>
            <w:shd w:val="clear" w:color="auto" w:fill="auto"/>
            <w:vAlign w:val="center"/>
          </w:tcPr>
          <w:p w14:paraId="67D293FC" w14:textId="77777777" w:rsidR="00843998" w:rsidRPr="006F283B" w:rsidRDefault="00843998" w:rsidP="004E1FEC">
            <w:pPr>
              <w:pStyle w:val="TableText"/>
            </w:pPr>
            <w:r w:rsidRPr="006F283B">
              <w:t>Extrapolation method</w:t>
            </w:r>
          </w:p>
        </w:tc>
        <w:tc>
          <w:tcPr>
            <w:tcW w:w="3775" w:type="dxa"/>
            <w:shd w:val="clear" w:color="auto" w:fill="auto"/>
            <w:vAlign w:val="center"/>
          </w:tcPr>
          <w:p w14:paraId="288C316C" w14:textId="6A585100" w:rsidR="00843998" w:rsidRPr="006F283B" w:rsidRDefault="00843998" w:rsidP="004E1FEC">
            <w:pPr>
              <w:pStyle w:val="TableText"/>
            </w:pPr>
            <w:r w:rsidRPr="006F283B">
              <w:t>Independent parametric extrapolation was conducted for PFS and TTD. OS was modelled via a HR based on the ratio of PFS to OS ‘benefit’ from SOLO-1, and curve convergence relative to SMM OS was applied from 80 months until 20 years using an ‘adjusted curve convergence’.</w:t>
            </w:r>
          </w:p>
        </w:tc>
        <w:tc>
          <w:tcPr>
            <w:tcW w:w="3312" w:type="dxa"/>
            <w:vAlign w:val="center"/>
          </w:tcPr>
          <w:p w14:paraId="2654698E" w14:textId="559F0E8A" w:rsidR="00843998" w:rsidRPr="006F283B" w:rsidRDefault="00295706" w:rsidP="004E1FEC">
            <w:pPr>
              <w:pStyle w:val="TableText"/>
            </w:pPr>
            <w:r w:rsidRPr="006F283B">
              <w:rPr>
                <w:rFonts w:eastAsiaTheme="majorEastAsia" w:cs="Arial"/>
                <w:szCs w:val="20"/>
                <w:lang w:bidi="en-US"/>
              </w:rPr>
              <w:t xml:space="preserve">The </w:t>
            </w:r>
            <w:r w:rsidR="00843998" w:rsidRPr="006F283B">
              <w:rPr>
                <w:rFonts w:eastAsiaTheme="majorEastAsia" w:cs="Arial"/>
                <w:szCs w:val="20"/>
                <w:lang w:bidi="en-US"/>
              </w:rPr>
              <w:t xml:space="preserve">submission used </w:t>
            </w:r>
            <w:r w:rsidR="00C22F5F" w:rsidRPr="006F283B">
              <w:rPr>
                <w:rFonts w:eastAsiaTheme="majorEastAsia" w:cs="Arial"/>
                <w:szCs w:val="20"/>
                <w:lang w:bidi="en-US"/>
              </w:rPr>
              <w:t xml:space="preserve">a </w:t>
            </w:r>
            <w:r w:rsidR="00CC74E7" w:rsidRPr="006F283B">
              <w:rPr>
                <w:rFonts w:eastAsiaTheme="majorEastAsia" w:cs="Arial"/>
                <w:szCs w:val="20"/>
                <w:lang w:bidi="en-US"/>
              </w:rPr>
              <w:t>single measure</w:t>
            </w:r>
            <w:r w:rsidR="00C22F5F" w:rsidRPr="006F283B">
              <w:rPr>
                <w:rFonts w:eastAsiaTheme="majorEastAsia" w:cs="Arial"/>
                <w:szCs w:val="20"/>
                <w:lang w:bidi="en-US"/>
              </w:rPr>
              <w:t xml:space="preserve"> of PFS and OS</w:t>
            </w:r>
            <w:r w:rsidR="00843998" w:rsidRPr="006F283B">
              <w:rPr>
                <w:rFonts w:eastAsiaTheme="majorEastAsia" w:cs="Arial"/>
                <w:szCs w:val="20"/>
                <w:lang w:bidi="en-US"/>
              </w:rPr>
              <w:t xml:space="preserve"> from SOLO-1 to calculate a </w:t>
            </w:r>
            <w:r w:rsidRPr="006F283B">
              <w:rPr>
                <w:rFonts w:eastAsiaTheme="majorEastAsia" w:cs="Arial"/>
                <w:szCs w:val="20"/>
                <w:lang w:bidi="en-US"/>
              </w:rPr>
              <w:t xml:space="preserve">constant </w:t>
            </w:r>
            <w:r w:rsidR="00843998" w:rsidRPr="006F283B">
              <w:rPr>
                <w:rFonts w:eastAsiaTheme="majorEastAsia" w:cs="Arial"/>
                <w:szCs w:val="20"/>
                <w:lang w:bidi="en-US"/>
              </w:rPr>
              <w:t xml:space="preserve">ratio of the proportion of PFS benefit translating to OS benefit’ </w:t>
            </w:r>
            <w:r w:rsidRPr="006F283B">
              <w:rPr>
                <w:rFonts w:eastAsiaTheme="majorEastAsia" w:cs="Arial"/>
                <w:szCs w:val="20"/>
                <w:lang w:bidi="en-US"/>
              </w:rPr>
              <w:t xml:space="preserve">for the treatment arm </w:t>
            </w:r>
            <w:r w:rsidR="00843998" w:rsidRPr="006F283B">
              <w:rPr>
                <w:rFonts w:eastAsiaTheme="majorEastAsia" w:cs="Arial"/>
                <w:szCs w:val="20"/>
                <w:lang w:bidi="en-US"/>
              </w:rPr>
              <w:t xml:space="preserve">and used this to estimate OS HR for the HRD positive </w:t>
            </w:r>
            <w:r w:rsidR="001152C0" w:rsidRPr="001152C0">
              <w:rPr>
                <w:rFonts w:eastAsiaTheme="majorEastAsia" w:cs="Arial"/>
                <w:i/>
                <w:iCs/>
                <w:szCs w:val="20"/>
                <w:lang w:bidi="en-US"/>
              </w:rPr>
              <w:t>BRCAwt</w:t>
            </w:r>
            <w:r w:rsidR="00843998" w:rsidRPr="006F283B">
              <w:rPr>
                <w:rFonts w:eastAsiaTheme="majorEastAsia" w:cs="Arial"/>
                <w:szCs w:val="20"/>
                <w:lang w:bidi="en-US"/>
              </w:rPr>
              <w:t xml:space="preserve"> and HRD negative cohorts. This methodology introduced a high degree of uncertainty. </w:t>
            </w:r>
          </w:p>
        </w:tc>
      </w:tr>
      <w:tr w:rsidR="00843998" w:rsidRPr="006F283B" w14:paraId="40DAF8B7" w14:textId="77777777" w:rsidTr="0011313C">
        <w:trPr>
          <w:cantSplit/>
        </w:trPr>
        <w:tc>
          <w:tcPr>
            <w:tcW w:w="1980" w:type="dxa"/>
            <w:shd w:val="clear" w:color="auto" w:fill="auto"/>
            <w:vAlign w:val="center"/>
          </w:tcPr>
          <w:p w14:paraId="44A55E44" w14:textId="77777777" w:rsidR="00843998" w:rsidRPr="006F283B" w:rsidRDefault="00843998" w:rsidP="004E1FEC">
            <w:pPr>
              <w:pStyle w:val="TableText"/>
            </w:pPr>
            <w:r w:rsidRPr="006F283B">
              <w:lastRenderedPageBreak/>
              <w:t>Cure fraction</w:t>
            </w:r>
          </w:p>
        </w:tc>
        <w:tc>
          <w:tcPr>
            <w:tcW w:w="3775" w:type="dxa"/>
            <w:shd w:val="clear" w:color="auto" w:fill="auto"/>
            <w:vAlign w:val="center"/>
          </w:tcPr>
          <w:p w14:paraId="171E321E" w14:textId="77777777" w:rsidR="00843998" w:rsidRPr="006F283B" w:rsidRDefault="00843998" w:rsidP="004E1FEC">
            <w:pPr>
              <w:pStyle w:val="TableText"/>
            </w:pPr>
            <w:r w:rsidRPr="006F283B">
              <w:t>A cure fraction was estimated to equal 5% for both treatment arms.</w:t>
            </w:r>
          </w:p>
        </w:tc>
        <w:tc>
          <w:tcPr>
            <w:tcW w:w="3312" w:type="dxa"/>
            <w:vAlign w:val="center"/>
          </w:tcPr>
          <w:p w14:paraId="7C757373" w14:textId="74719C50" w:rsidR="00843998" w:rsidRPr="006F283B" w:rsidRDefault="00843998" w:rsidP="004E1FEC">
            <w:pPr>
              <w:pStyle w:val="TableText"/>
              <w:rPr>
                <w:rFonts w:eastAsiaTheme="majorEastAsia" w:cs="Arial"/>
                <w:szCs w:val="20"/>
                <w:lang w:bidi="en-US"/>
              </w:rPr>
            </w:pPr>
            <w:r w:rsidRPr="006F283B">
              <w:rPr>
                <w:rFonts w:eastAsiaTheme="majorEastAsia" w:cs="Arial"/>
                <w:szCs w:val="20"/>
                <w:lang w:bidi="en-US"/>
              </w:rPr>
              <w:t xml:space="preserve">This cure fraction used </w:t>
            </w:r>
            <w:proofErr w:type="gramStart"/>
            <w:r w:rsidRPr="006F283B">
              <w:rPr>
                <w:rFonts w:eastAsiaTheme="majorEastAsia" w:cs="Arial"/>
                <w:szCs w:val="20"/>
                <w:lang w:bidi="en-US"/>
              </w:rPr>
              <w:t>was in contrast to</w:t>
            </w:r>
            <w:proofErr w:type="gramEnd"/>
            <w:r w:rsidRPr="006F283B">
              <w:rPr>
                <w:rFonts w:eastAsiaTheme="majorEastAsia" w:cs="Arial"/>
                <w:szCs w:val="20"/>
                <w:lang w:bidi="en-US"/>
              </w:rPr>
              <w:t xml:space="preserve"> the cure fraction used for olaparib plus bevacizumab (38.57%, used with a comparator cure fraction of 6.63%), (Table 12, olaparib</w:t>
            </w:r>
            <w:r w:rsidR="00B3598A" w:rsidRPr="006F283B">
              <w:rPr>
                <w:rFonts w:eastAsiaTheme="majorEastAsia" w:cs="Arial"/>
                <w:szCs w:val="20"/>
                <w:lang w:bidi="en-US"/>
              </w:rPr>
              <w:t xml:space="preserve"> PSD</w:t>
            </w:r>
            <w:r w:rsidRPr="006F283B">
              <w:rPr>
                <w:rFonts w:eastAsiaTheme="majorEastAsia" w:cs="Arial"/>
                <w:szCs w:val="20"/>
                <w:lang w:bidi="en-US"/>
              </w:rPr>
              <w:t>, July 2022 PBAC meeting).</w:t>
            </w:r>
          </w:p>
        </w:tc>
      </w:tr>
      <w:tr w:rsidR="00843998" w:rsidRPr="006F283B" w14:paraId="4E6FEBEE" w14:textId="77777777" w:rsidTr="0011313C">
        <w:trPr>
          <w:cantSplit/>
        </w:trPr>
        <w:tc>
          <w:tcPr>
            <w:tcW w:w="1980" w:type="dxa"/>
            <w:shd w:val="clear" w:color="auto" w:fill="BDD6EE" w:themeFill="accent1" w:themeFillTint="66"/>
            <w:vAlign w:val="center"/>
          </w:tcPr>
          <w:p w14:paraId="2B845AB9" w14:textId="77777777" w:rsidR="00843998" w:rsidRPr="006F283B" w:rsidRDefault="00843998" w:rsidP="004E1FEC">
            <w:pPr>
              <w:pStyle w:val="TableText"/>
            </w:pPr>
            <w:r w:rsidRPr="006F283B">
              <w:t>Health related quality of life</w:t>
            </w:r>
          </w:p>
        </w:tc>
        <w:tc>
          <w:tcPr>
            <w:tcW w:w="3775" w:type="dxa"/>
            <w:shd w:val="clear" w:color="auto" w:fill="BDD6EE" w:themeFill="accent1" w:themeFillTint="66"/>
            <w:vAlign w:val="center"/>
          </w:tcPr>
          <w:p w14:paraId="0F9947AC" w14:textId="77777777" w:rsidR="00843998" w:rsidRPr="006F283B" w:rsidRDefault="00843998" w:rsidP="004E1FEC">
            <w:pPr>
              <w:pStyle w:val="TableText"/>
            </w:pPr>
            <w:r w:rsidRPr="006F283B">
              <w:t>Values are derived from the PRIMA ITT cohort using an Australian EQ-5D mapping algorithm (Norman 2013), PF = 0.777 and PD = 0.689.</w:t>
            </w:r>
          </w:p>
          <w:p w14:paraId="065F4A82" w14:textId="783304CE" w:rsidR="00843998" w:rsidRPr="006F283B" w:rsidRDefault="00843998" w:rsidP="004E1FEC">
            <w:pPr>
              <w:pStyle w:val="TableText"/>
            </w:pPr>
            <w:r w:rsidRPr="006F283B">
              <w:t>Additionally, a disutility of 0.008 was applied to niraparib patients in the model base case. This QALY loss was derived from disutility and incidence data presented in the NICE Single Technology Assessment Report for Niraparib in advanced HGEOC (BMJ-TAG 2020).</w:t>
            </w:r>
            <w:r w:rsidR="008E34C5">
              <w:t xml:space="preserve"> </w:t>
            </w:r>
          </w:p>
        </w:tc>
        <w:tc>
          <w:tcPr>
            <w:tcW w:w="3312" w:type="dxa"/>
            <w:vAlign w:val="center"/>
          </w:tcPr>
          <w:p w14:paraId="10BA1979" w14:textId="57FEDF8F" w:rsidR="00843998" w:rsidRPr="006F283B" w:rsidRDefault="00843998" w:rsidP="004E1FEC">
            <w:pPr>
              <w:pStyle w:val="TableText"/>
              <w:rPr>
                <w:rFonts w:eastAsiaTheme="majorEastAsia" w:cs="Arial"/>
                <w:szCs w:val="20"/>
                <w:lang w:bidi="en-US"/>
              </w:rPr>
            </w:pPr>
            <w:r w:rsidRPr="006F283B">
              <w:rPr>
                <w:rFonts w:eastAsiaTheme="majorEastAsia" w:cs="Arial"/>
                <w:szCs w:val="20"/>
                <w:lang w:bidi="en-US"/>
              </w:rPr>
              <w:t>Reasonable. The PBAC previously considered not applying a disutility associated with niraparib treatment compared with no active treatment to be inappropriate given a conclusion of inferior safety, and favours niraparib (paragraph 6.53, niraparib</w:t>
            </w:r>
            <w:r w:rsidR="00B3598A" w:rsidRPr="006F283B">
              <w:rPr>
                <w:rFonts w:eastAsiaTheme="majorEastAsia" w:cs="Arial"/>
                <w:szCs w:val="20"/>
                <w:lang w:bidi="en-US"/>
              </w:rPr>
              <w:t xml:space="preserve"> PSD</w:t>
            </w:r>
            <w:r w:rsidRPr="006F283B">
              <w:rPr>
                <w:rFonts w:eastAsiaTheme="majorEastAsia" w:cs="Arial"/>
                <w:szCs w:val="20"/>
                <w:lang w:bidi="en-US"/>
              </w:rPr>
              <w:t>, July 2021 PBAC meeting).</w:t>
            </w:r>
          </w:p>
        </w:tc>
      </w:tr>
      <w:tr w:rsidR="00843998" w:rsidRPr="006F283B" w14:paraId="22F62FB3" w14:textId="77777777" w:rsidTr="0011313C">
        <w:trPr>
          <w:cantSplit/>
        </w:trPr>
        <w:tc>
          <w:tcPr>
            <w:tcW w:w="1980" w:type="dxa"/>
            <w:shd w:val="clear" w:color="auto" w:fill="BDD6EE" w:themeFill="accent1" w:themeFillTint="66"/>
            <w:vAlign w:val="center"/>
          </w:tcPr>
          <w:p w14:paraId="36BAF369" w14:textId="77777777" w:rsidR="00843998" w:rsidRPr="006F283B" w:rsidRDefault="00843998" w:rsidP="004E1FEC">
            <w:pPr>
              <w:pStyle w:val="TableText"/>
              <w:rPr>
                <w:b/>
              </w:rPr>
            </w:pPr>
            <w:r w:rsidRPr="006F283B">
              <w:t>Software</w:t>
            </w:r>
          </w:p>
        </w:tc>
        <w:tc>
          <w:tcPr>
            <w:tcW w:w="3775" w:type="dxa"/>
            <w:shd w:val="clear" w:color="auto" w:fill="BDD6EE" w:themeFill="accent1" w:themeFillTint="66"/>
            <w:vAlign w:val="center"/>
          </w:tcPr>
          <w:p w14:paraId="3D18D6D7" w14:textId="77777777" w:rsidR="00843998" w:rsidRPr="006F283B" w:rsidRDefault="00843998" w:rsidP="004E1FEC">
            <w:pPr>
              <w:pStyle w:val="TableText"/>
            </w:pPr>
            <w:r w:rsidRPr="006F283B">
              <w:t xml:space="preserve">Microsoft Excel </w:t>
            </w:r>
          </w:p>
        </w:tc>
        <w:tc>
          <w:tcPr>
            <w:tcW w:w="3312" w:type="dxa"/>
            <w:vAlign w:val="center"/>
          </w:tcPr>
          <w:p w14:paraId="7CF6CBD2" w14:textId="77777777" w:rsidR="00843998" w:rsidRPr="006F283B" w:rsidRDefault="00843998" w:rsidP="004E1FEC">
            <w:pPr>
              <w:pStyle w:val="TableText"/>
            </w:pPr>
            <w:r w:rsidRPr="006F283B">
              <w:rPr>
                <w:rFonts w:eastAsiaTheme="majorEastAsia" w:cs="Arial"/>
                <w:szCs w:val="20"/>
                <w:lang w:bidi="en-US"/>
              </w:rPr>
              <w:t>Reasonable.</w:t>
            </w:r>
          </w:p>
        </w:tc>
      </w:tr>
    </w:tbl>
    <w:p w14:paraId="69FF6B05" w14:textId="77777777" w:rsidR="00CB2BDC" w:rsidRPr="006F283B" w:rsidRDefault="00CB2BDC" w:rsidP="00CB2BDC">
      <w:pPr>
        <w:pStyle w:val="TableFooter"/>
      </w:pPr>
      <w:r w:rsidRPr="006F283B">
        <w:t>Source: Constructed during the evaluation using Tables 80 and 81, pp166-167 of the submission.</w:t>
      </w:r>
    </w:p>
    <w:p w14:paraId="5990BBF8" w14:textId="205C5B29" w:rsidR="00843998" w:rsidRPr="006F283B" w:rsidRDefault="001152C0" w:rsidP="00843998">
      <w:pPr>
        <w:pStyle w:val="TableFooter"/>
      </w:pPr>
      <w:r w:rsidRPr="001152C0">
        <w:rPr>
          <w:i/>
          <w:iCs/>
        </w:rPr>
        <w:t xml:space="preserve">BRCA </w:t>
      </w:r>
      <w:r w:rsidR="00843998" w:rsidRPr="006F283B">
        <w:t xml:space="preserve">= breast cancer gene; </w:t>
      </w:r>
      <w:r w:rsidRPr="001152C0">
        <w:rPr>
          <w:i/>
          <w:iCs/>
        </w:rPr>
        <w:t>BRCAm</w:t>
      </w:r>
      <w:r w:rsidR="00843998" w:rsidRPr="006F283B">
        <w:t xml:space="preserve"> = breast cancer gene mutation; </w:t>
      </w:r>
      <w:r w:rsidRPr="001152C0">
        <w:rPr>
          <w:i/>
          <w:iCs/>
        </w:rPr>
        <w:t>BRCAwt</w:t>
      </w:r>
      <w:r w:rsidR="00843998" w:rsidRPr="006F283B">
        <w:t xml:space="preserve"> = breast cancer gene wild type; HGEOC = high-grade epithelial ovarian cancer; HR = hazard ratio; HRD = homologous recombination deficient; HRnd = homologous recombination not determined; ITT = intention to treat; NPV = negative predictive value; OS = overall survival; PFS = progression-free survival; PPV = positive predictive value; SMM = standard medical management.</w:t>
      </w:r>
    </w:p>
    <w:p w14:paraId="3931891D" w14:textId="2DC09DFA" w:rsidR="007E7DF1" w:rsidRPr="006F283B" w:rsidRDefault="007E7DF1" w:rsidP="00AF4B69">
      <w:pPr>
        <w:pStyle w:val="TableFooter"/>
        <w:spacing w:after="120"/>
      </w:pPr>
      <w:r w:rsidRPr="006F283B">
        <w:t xml:space="preserve">Blue shaded cells indicate inputs </w:t>
      </w:r>
      <w:r w:rsidR="00BA4B4A" w:rsidRPr="006F283B">
        <w:t xml:space="preserve">that </w:t>
      </w:r>
      <w:r w:rsidRPr="006F283B">
        <w:t xml:space="preserve">have previously been considered by </w:t>
      </w:r>
      <w:proofErr w:type="gramStart"/>
      <w:r w:rsidRPr="006F283B">
        <w:t>PBAC</w:t>
      </w:r>
      <w:proofErr w:type="gramEnd"/>
    </w:p>
    <w:p w14:paraId="1C7695DE" w14:textId="4A5D1178" w:rsidR="00843998" w:rsidRPr="006F283B" w:rsidRDefault="00843998" w:rsidP="00AF4B69">
      <w:pPr>
        <w:pStyle w:val="ListParagraph"/>
        <w:spacing w:before="0" w:after="120"/>
        <w:rPr>
          <w:color w:val="auto"/>
        </w:rPr>
      </w:pPr>
      <w:r w:rsidRPr="006F283B">
        <w:rPr>
          <w:color w:val="auto"/>
        </w:rPr>
        <w:t xml:space="preserve">No data from the unplanned November 2021 DCO was used in the economic model. While this </w:t>
      </w:r>
      <w:r w:rsidR="00C22F5F" w:rsidRPr="006F283B">
        <w:rPr>
          <w:color w:val="auto"/>
        </w:rPr>
        <w:t xml:space="preserve">may have been </w:t>
      </w:r>
      <w:r w:rsidRPr="006F283B">
        <w:rPr>
          <w:color w:val="auto"/>
        </w:rPr>
        <w:t>reasonable</w:t>
      </w:r>
      <w:r w:rsidR="00A25A35" w:rsidRPr="006F283B">
        <w:rPr>
          <w:color w:val="auto"/>
        </w:rPr>
        <w:t xml:space="preserve"> due to the ad hoc nature of the </w:t>
      </w:r>
      <w:r w:rsidR="00AF4B69" w:rsidRPr="006F283B">
        <w:rPr>
          <w:color w:val="auto"/>
        </w:rPr>
        <w:t>November</w:t>
      </w:r>
      <w:r w:rsidR="00AF4B69">
        <w:rPr>
          <w:color w:val="auto"/>
        </w:rPr>
        <w:t> </w:t>
      </w:r>
      <w:r w:rsidR="00A25A35" w:rsidRPr="006F283B">
        <w:rPr>
          <w:color w:val="auto"/>
        </w:rPr>
        <w:t>2021 DCO</w:t>
      </w:r>
      <w:r w:rsidRPr="006F283B">
        <w:rPr>
          <w:color w:val="auto"/>
        </w:rPr>
        <w:t xml:space="preserve">, the May 2019 DCO used to inform the model only had a follow-up of around </w:t>
      </w:r>
      <w:r w:rsidR="00AF4B69" w:rsidRPr="006F283B">
        <w:rPr>
          <w:color w:val="auto"/>
        </w:rPr>
        <w:t>15</w:t>
      </w:r>
      <w:r w:rsidR="00AF4B69">
        <w:rPr>
          <w:color w:val="auto"/>
        </w:rPr>
        <w:t> </w:t>
      </w:r>
      <w:r w:rsidRPr="006F283B">
        <w:rPr>
          <w:color w:val="auto"/>
        </w:rPr>
        <w:t>months, which was extrapolated to 20-years in the base case of the model.</w:t>
      </w:r>
    </w:p>
    <w:p w14:paraId="0746118F" w14:textId="34D4D4EB" w:rsidR="00843998" w:rsidRPr="006F283B" w:rsidRDefault="00843998" w:rsidP="00AF4B69">
      <w:pPr>
        <w:pStyle w:val="ListParagraph"/>
        <w:spacing w:before="0" w:after="120"/>
        <w:rPr>
          <w:color w:val="auto"/>
        </w:rPr>
      </w:pPr>
      <w:r w:rsidRPr="006F283B">
        <w:rPr>
          <w:color w:val="auto"/>
        </w:rPr>
        <w:t xml:space="preserve">The economic model compared the proposed scenario where all patients undergo HRD testing versus the comparator/current scenario where patients receive </w:t>
      </w:r>
      <w:r w:rsidR="001152C0" w:rsidRPr="001152C0">
        <w:rPr>
          <w:i/>
          <w:iCs/>
          <w:color w:val="auto"/>
        </w:rPr>
        <w:t xml:space="preserve">BRCA </w:t>
      </w:r>
      <w:r w:rsidRPr="006F283B">
        <w:rPr>
          <w:color w:val="auto"/>
        </w:rPr>
        <w:t xml:space="preserve">testing only, using a stepped economic evaluation. The model base case scenario of HRD testing to determine </w:t>
      </w:r>
      <w:r w:rsidR="001152C0" w:rsidRPr="001152C0">
        <w:rPr>
          <w:i/>
          <w:iCs/>
          <w:color w:val="auto"/>
        </w:rPr>
        <w:t>BRCA1/2</w:t>
      </w:r>
      <w:r w:rsidRPr="006F283B">
        <w:rPr>
          <w:color w:val="auto"/>
        </w:rPr>
        <w:t xml:space="preserve"> variant and GIS in parallel at diagnosis is shown in the figure below.</w:t>
      </w:r>
      <w:r w:rsidR="00372D7C" w:rsidRPr="006F283B">
        <w:rPr>
          <w:color w:val="auto"/>
        </w:rPr>
        <w:t xml:space="preserve"> The submission also proposed a ‘without diagnostic testing’ scenario. However, this was </w:t>
      </w:r>
      <w:proofErr w:type="gramStart"/>
      <w:r w:rsidR="00372D7C" w:rsidRPr="006F283B">
        <w:rPr>
          <w:color w:val="auto"/>
        </w:rPr>
        <w:t>actually a</w:t>
      </w:r>
      <w:proofErr w:type="gramEnd"/>
      <w:r w:rsidR="00372D7C" w:rsidRPr="006F283B">
        <w:rPr>
          <w:color w:val="auto"/>
        </w:rPr>
        <w:t xml:space="preserve"> ‘free and perfect testing’ scenario which assumed that all patients were correctly classified and treated with no testing costs and was therefore implausible. </w:t>
      </w:r>
    </w:p>
    <w:p w14:paraId="261C4B5B" w14:textId="188E4192" w:rsidR="00843998" w:rsidRPr="006F283B" w:rsidRDefault="00CB2BDC" w:rsidP="0063757D">
      <w:pPr>
        <w:pStyle w:val="Caption"/>
        <w:ind w:left="851" w:hanging="851"/>
      </w:pPr>
      <w:r w:rsidRPr="006F283B">
        <w:lastRenderedPageBreak/>
        <w:t xml:space="preserve">Figure </w:t>
      </w:r>
      <w:r w:rsidR="00091054">
        <w:fldChar w:fldCharType="begin" w:fldLock="1"/>
      </w:r>
      <w:r w:rsidR="00091054">
        <w:instrText xml:space="preserve"> S</w:instrText>
      </w:r>
      <w:r w:rsidR="00091054">
        <w:instrText xml:space="preserve">EQ Figure_PBAC. \* ARABIC </w:instrText>
      </w:r>
      <w:r w:rsidR="00091054">
        <w:fldChar w:fldCharType="separate"/>
      </w:r>
      <w:r w:rsidR="00305654">
        <w:rPr>
          <w:noProof/>
        </w:rPr>
        <w:t>7</w:t>
      </w:r>
      <w:r w:rsidR="00091054">
        <w:rPr>
          <w:noProof/>
        </w:rPr>
        <w:fldChar w:fldCharType="end"/>
      </w:r>
      <w:r w:rsidR="00AF4B69">
        <w:t xml:space="preserve">: </w:t>
      </w:r>
      <w:r w:rsidR="00843998" w:rsidRPr="006F283B">
        <w:t>Tumour testing at diagnosis and outcomes in proposed clinical practice (Population #1: parallel – base case)</w:t>
      </w:r>
    </w:p>
    <w:p w14:paraId="2683A293" w14:textId="77777777" w:rsidR="00843998" w:rsidRPr="006F283B" w:rsidRDefault="00843998" w:rsidP="00A25A35">
      <w:pPr>
        <w:keepNext/>
        <w:keepLines/>
        <w:spacing w:before="0" w:after="0"/>
      </w:pPr>
      <w:r w:rsidRPr="006F283B">
        <w:rPr>
          <w:noProof/>
        </w:rPr>
        <w:drawing>
          <wp:inline distT="0" distB="0" distL="0" distR="0" wp14:anchorId="6E88C856" wp14:editId="07315A22">
            <wp:extent cx="5703325" cy="1619250"/>
            <wp:effectExtent l="0" t="0" r="0" b="0"/>
            <wp:docPr id="1959018441" name="Picture 1959018441" descr="Figure 7: Tumour testing at diagnosis and outcomes in proposed clinical practice (Population #1: parallel –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41" name="Picture 1959018441" descr="Figure 7: Tumour testing at diagnosis and outcomes in proposed clinical practice (Population #1: parallel – base case)"/>
                    <pic:cNvPicPr/>
                  </pic:nvPicPr>
                  <pic:blipFill>
                    <a:blip r:embed="rId14" cstate="print">
                      <a:extLst>
                        <a:ext uri="{28A0092B-C50C-407E-A947-70E740481C1C}">
                          <a14:useLocalDpi xmlns:a14="http://schemas.microsoft.com/office/drawing/2010/main"/>
                        </a:ext>
                      </a:extLst>
                    </a:blip>
                    <a:stretch>
                      <a:fillRect/>
                    </a:stretch>
                  </pic:blipFill>
                  <pic:spPr>
                    <a:xfrm>
                      <a:off x="0" y="0"/>
                      <a:ext cx="5706740" cy="1620220"/>
                    </a:xfrm>
                    <a:prstGeom prst="rect">
                      <a:avLst/>
                    </a:prstGeom>
                  </pic:spPr>
                </pic:pic>
              </a:graphicData>
            </a:graphic>
          </wp:inline>
        </w:drawing>
      </w:r>
    </w:p>
    <w:p w14:paraId="5C3FE4AA" w14:textId="77777777" w:rsidR="00CB2BDC" w:rsidRPr="006F283B" w:rsidRDefault="00CB2BDC" w:rsidP="00CB2BDC">
      <w:pPr>
        <w:pStyle w:val="TableNotes"/>
        <w:keepNext/>
        <w:keepLines/>
        <w:spacing w:after="0"/>
        <w:rPr>
          <w:sz w:val="18"/>
          <w:szCs w:val="18"/>
        </w:rPr>
      </w:pPr>
      <w:r w:rsidRPr="006F283B">
        <w:rPr>
          <w:sz w:val="18"/>
          <w:szCs w:val="18"/>
        </w:rPr>
        <w:t>Source: Figure 41, p177 of the submission</w:t>
      </w:r>
    </w:p>
    <w:p w14:paraId="2300A3F1" w14:textId="6462304B" w:rsidR="00843998" w:rsidRPr="006F283B" w:rsidRDefault="001152C0" w:rsidP="00A25A35">
      <w:pPr>
        <w:pStyle w:val="TableNotes"/>
        <w:keepNext/>
        <w:keepLines/>
        <w:spacing w:after="0"/>
        <w:rPr>
          <w:sz w:val="18"/>
          <w:szCs w:val="18"/>
        </w:rPr>
      </w:pPr>
      <w:r w:rsidRPr="001152C0">
        <w:rPr>
          <w:i/>
          <w:iCs/>
          <w:sz w:val="18"/>
          <w:szCs w:val="18"/>
        </w:rPr>
        <w:t>BRCAm</w:t>
      </w:r>
      <w:r w:rsidR="00843998" w:rsidRPr="006F283B">
        <w:rPr>
          <w:sz w:val="18"/>
          <w:szCs w:val="18"/>
        </w:rPr>
        <w:t xml:space="preserve"> = breast cancer gene mutation; CP = complete response; HGEOC = high-grade epithelial ovarian cancer; HRnd = homologous recombination not determined; HRD = homologous recombination deficient; HRp = homologous recombination proficient; ND = not determined; NDA = newly diagnosed advanced; PBC = platinum-based chemotherapy; PR = partial response; SMM = standard medical management.</w:t>
      </w:r>
    </w:p>
    <w:p w14:paraId="6A9E136A" w14:textId="77777777" w:rsidR="00843998" w:rsidRPr="006F283B" w:rsidRDefault="00843998" w:rsidP="003915F9">
      <w:pPr>
        <w:pStyle w:val="TableNotes"/>
        <w:keepLines/>
        <w:spacing w:after="120"/>
        <w:rPr>
          <w:sz w:val="18"/>
          <w:szCs w:val="18"/>
        </w:rPr>
      </w:pPr>
      <w:r w:rsidRPr="006F283B">
        <w:rPr>
          <w:sz w:val="18"/>
          <w:szCs w:val="18"/>
        </w:rPr>
        <w:t>* The diagnostic accuracy of HRD testing was assessed based on concordance between Illumina TSO 500 assay and Myriad myChoice.</w:t>
      </w:r>
    </w:p>
    <w:p w14:paraId="51DDE4C0" w14:textId="29F8EB30" w:rsidR="00843998" w:rsidRPr="006F283B" w:rsidRDefault="00843998" w:rsidP="00AF4B69">
      <w:pPr>
        <w:pStyle w:val="ListParagraph"/>
        <w:spacing w:before="0" w:after="120"/>
        <w:rPr>
          <w:color w:val="auto"/>
        </w:rPr>
      </w:pPr>
      <w:r w:rsidRPr="006F283B">
        <w:rPr>
          <w:color w:val="auto"/>
        </w:rPr>
        <w:t xml:space="preserve">While treatment allocation was based on the tests used in clinical practice, the clinical outcomes experienced by patients are a function of diagnostic accuracy. Patients treated with niraparib with a true positive result were allocated outcomes from the HRD positive </w:t>
      </w:r>
      <w:r w:rsidR="001152C0" w:rsidRPr="001152C0">
        <w:rPr>
          <w:i/>
          <w:iCs/>
          <w:color w:val="auto"/>
        </w:rPr>
        <w:t>BRCAwt</w:t>
      </w:r>
      <w:r w:rsidRPr="006F283B">
        <w:rPr>
          <w:color w:val="auto"/>
        </w:rPr>
        <w:t xml:space="preserve"> cohort in PRIMA, while patients with a false positive result were allocated outcomes from the HRD negative cohort. Patients with a true negative result were treated with SMM and allocated outcomes from the HRD negative cohort, and patients with a false negative result were treated with SMM were allocated outcomes from the HRD positive </w:t>
      </w:r>
      <w:r w:rsidR="001152C0" w:rsidRPr="001152C0">
        <w:rPr>
          <w:i/>
          <w:iCs/>
          <w:color w:val="auto"/>
        </w:rPr>
        <w:t>BRCAwt</w:t>
      </w:r>
      <w:r w:rsidRPr="006F283B">
        <w:rPr>
          <w:color w:val="auto"/>
        </w:rPr>
        <w:t xml:space="preserve"> cohort. While false results were considered for HRD they were not considered separately for GIS and </w:t>
      </w:r>
      <w:r w:rsidR="001152C0" w:rsidRPr="001152C0">
        <w:rPr>
          <w:i/>
          <w:iCs/>
          <w:color w:val="auto"/>
        </w:rPr>
        <w:t xml:space="preserve">BRCA </w:t>
      </w:r>
      <w:r w:rsidRPr="006F283B">
        <w:rPr>
          <w:color w:val="auto"/>
        </w:rPr>
        <w:t xml:space="preserve">results. All categorisation of </w:t>
      </w:r>
      <w:r w:rsidR="001152C0" w:rsidRPr="001152C0">
        <w:rPr>
          <w:i/>
          <w:iCs/>
          <w:color w:val="auto"/>
        </w:rPr>
        <w:t>BRCAm</w:t>
      </w:r>
      <w:r w:rsidRPr="006F283B">
        <w:rPr>
          <w:color w:val="auto"/>
        </w:rPr>
        <w:t xml:space="preserve"> or </w:t>
      </w:r>
      <w:r w:rsidR="001152C0" w:rsidRPr="001152C0">
        <w:rPr>
          <w:i/>
          <w:iCs/>
          <w:color w:val="auto"/>
        </w:rPr>
        <w:t>BRCAwt</w:t>
      </w:r>
      <w:r w:rsidRPr="006F283B">
        <w:rPr>
          <w:color w:val="auto"/>
        </w:rPr>
        <w:t xml:space="preserve"> were inappropriately assumed to be true positives. False </w:t>
      </w:r>
      <w:r w:rsidR="001152C0" w:rsidRPr="001152C0">
        <w:rPr>
          <w:i/>
          <w:iCs/>
          <w:color w:val="auto"/>
        </w:rPr>
        <w:t xml:space="preserve">BRCA </w:t>
      </w:r>
      <w:r w:rsidRPr="006F283B">
        <w:rPr>
          <w:color w:val="auto"/>
        </w:rPr>
        <w:t xml:space="preserve">test results should have been considered for </w:t>
      </w:r>
      <w:r w:rsidR="001152C0" w:rsidRPr="001152C0">
        <w:rPr>
          <w:i/>
          <w:iCs/>
          <w:color w:val="auto"/>
        </w:rPr>
        <w:t>BRCAm</w:t>
      </w:r>
      <w:r w:rsidRPr="006F283B">
        <w:rPr>
          <w:color w:val="auto"/>
        </w:rPr>
        <w:t xml:space="preserve"> patients as this could result in a different treatment allocation.</w:t>
      </w:r>
    </w:p>
    <w:p w14:paraId="489D7A8F" w14:textId="34B0C9CD" w:rsidR="00843998" w:rsidRPr="006F283B" w:rsidRDefault="00843998" w:rsidP="00AF4B69">
      <w:pPr>
        <w:pStyle w:val="ListParagraph"/>
        <w:spacing w:before="0" w:after="120"/>
        <w:rPr>
          <w:color w:val="auto"/>
        </w:rPr>
      </w:pPr>
      <w:bookmarkStart w:id="129" w:name="_Ref127277563"/>
      <w:r w:rsidRPr="006F283B">
        <w:rPr>
          <w:color w:val="auto"/>
        </w:rPr>
        <w:t xml:space="preserve">The submission stated that </w:t>
      </w:r>
      <w:r w:rsidR="001152C0" w:rsidRPr="001152C0">
        <w:rPr>
          <w:i/>
          <w:iCs/>
          <w:color w:val="auto"/>
        </w:rPr>
        <w:t>BRCAm</w:t>
      </w:r>
      <w:r w:rsidRPr="006F283B">
        <w:rPr>
          <w:color w:val="auto"/>
        </w:rPr>
        <w:t xml:space="preserve"> and </w:t>
      </w:r>
      <w:r w:rsidRPr="006F283B">
        <w:t>homologous recombination not determined</w:t>
      </w:r>
      <w:r w:rsidRPr="006F283B">
        <w:rPr>
          <w:color w:val="auto"/>
        </w:rPr>
        <w:t xml:space="preserve"> (HRnd) patients were not included in the model as HRD testing is not expected to impact the use of PARP inhibitors in these patients. As it was proposed HRD testing will replace the currently available </w:t>
      </w:r>
      <w:r w:rsidR="001152C0" w:rsidRPr="001152C0">
        <w:rPr>
          <w:i/>
          <w:iCs/>
          <w:color w:val="auto"/>
        </w:rPr>
        <w:t xml:space="preserve">BRCA </w:t>
      </w:r>
      <w:r w:rsidRPr="006F283B">
        <w:rPr>
          <w:color w:val="auto"/>
        </w:rPr>
        <w:t xml:space="preserve">test, </w:t>
      </w:r>
      <w:r w:rsidR="001152C0" w:rsidRPr="001152C0">
        <w:rPr>
          <w:i/>
          <w:iCs/>
          <w:color w:val="auto"/>
        </w:rPr>
        <w:t>BRCAm</w:t>
      </w:r>
      <w:r w:rsidRPr="006F283B">
        <w:rPr>
          <w:color w:val="auto"/>
        </w:rPr>
        <w:t xml:space="preserve"> patients would face a higher cost of testing for no additional benefit</w:t>
      </w:r>
      <w:r w:rsidR="005526D3" w:rsidRPr="006F283B">
        <w:rPr>
          <w:color w:val="auto"/>
        </w:rPr>
        <w:t xml:space="preserve">, </w:t>
      </w:r>
      <w:r w:rsidR="005526D3" w:rsidRPr="006F283B">
        <w:rPr>
          <w:iCs/>
          <w:color w:val="auto"/>
        </w:rPr>
        <w:t>with a potentially less accurate test</w:t>
      </w:r>
      <w:r w:rsidRPr="006F283B">
        <w:rPr>
          <w:color w:val="auto"/>
        </w:rPr>
        <w:t>.</w:t>
      </w:r>
      <w:r w:rsidR="005526D3" w:rsidRPr="006F283B">
        <w:rPr>
          <w:color w:val="auto"/>
        </w:rPr>
        <w:t xml:space="preserve"> </w:t>
      </w:r>
      <w:r w:rsidR="005526D3" w:rsidRPr="006F283B">
        <w:rPr>
          <w:bCs/>
          <w:iCs/>
          <w:color w:val="auto"/>
        </w:rPr>
        <w:t xml:space="preserve">The PSCR stated that the base case applied parallel testing at OC diagnosis, in which all patients receive HRD testing in the niraparib arm of the model and therefore the model captures the costs of HRD testing across all patients, including </w:t>
      </w:r>
      <w:r w:rsidR="001152C0" w:rsidRPr="001152C0">
        <w:rPr>
          <w:bCs/>
          <w:i/>
          <w:iCs/>
          <w:color w:val="auto"/>
        </w:rPr>
        <w:t>BRCAm</w:t>
      </w:r>
      <w:r w:rsidR="005526D3" w:rsidRPr="006F283B">
        <w:rPr>
          <w:bCs/>
          <w:iCs/>
          <w:color w:val="auto"/>
        </w:rPr>
        <w:t xml:space="preserve"> patients, via the inflation of diagnostic testing costs from $3,000 per test to $17,252 per treated patient included in the modelled cohort in the submission base case. As such, </w:t>
      </w:r>
      <w:r w:rsidR="005526D3" w:rsidRPr="006F283B">
        <w:rPr>
          <w:iCs/>
          <w:color w:val="000000"/>
        </w:rPr>
        <w:t xml:space="preserve">the effective price of niraparib in the HRD+ </w:t>
      </w:r>
      <w:r w:rsidR="001152C0" w:rsidRPr="001152C0">
        <w:rPr>
          <w:i/>
          <w:iCs/>
          <w:color w:val="000000"/>
        </w:rPr>
        <w:t>BRCAwt</w:t>
      </w:r>
      <w:r w:rsidR="005526D3" w:rsidRPr="006F283B">
        <w:rPr>
          <w:iCs/>
          <w:color w:val="000000"/>
        </w:rPr>
        <w:t xml:space="preserve"> cohort has factored in the cost of testing the entire eligible population.</w:t>
      </w:r>
      <w:r w:rsidR="005526D3" w:rsidRPr="006F283B">
        <w:rPr>
          <w:bCs/>
          <w:iCs/>
          <w:color w:val="auto"/>
        </w:rPr>
        <w:t xml:space="preserve"> The ESCs noted the inclusion of </w:t>
      </w:r>
      <w:r w:rsidR="001F68AF" w:rsidRPr="006F283B">
        <w:rPr>
          <w:bCs/>
          <w:iCs/>
          <w:color w:val="auto"/>
        </w:rPr>
        <w:t xml:space="preserve">overall </w:t>
      </w:r>
      <w:r w:rsidR="005526D3" w:rsidRPr="006F283B">
        <w:rPr>
          <w:bCs/>
          <w:iCs/>
          <w:color w:val="auto"/>
        </w:rPr>
        <w:t xml:space="preserve">HRD testing </w:t>
      </w:r>
      <w:proofErr w:type="gramStart"/>
      <w:r w:rsidR="005526D3" w:rsidRPr="006F283B">
        <w:rPr>
          <w:bCs/>
          <w:iCs/>
          <w:color w:val="auto"/>
        </w:rPr>
        <w:t>costs, but</w:t>
      </w:r>
      <w:proofErr w:type="gramEnd"/>
      <w:r w:rsidR="005526D3" w:rsidRPr="006F283B">
        <w:rPr>
          <w:bCs/>
          <w:iCs/>
          <w:color w:val="auto"/>
        </w:rPr>
        <w:t xml:space="preserve"> considered that a revised model would be required to estimate the cost-effectiveness for the entire population impacted by the proposed medicine and proposed test, which would include </w:t>
      </w:r>
      <w:r w:rsidR="001152C0" w:rsidRPr="001152C0">
        <w:rPr>
          <w:bCs/>
          <w:i/>
          <w:iCs/>
          <w:color w:val="auto"/>
        </w:rPr>
        <w:t>BRCAm</w:t>
      </w:r>
      <w:r w:rsidR="005526D3" w:rsidRPr="006F283B">
        <w:rPr>
          <w:bCs/>
          <w:iCs/>
          <w:color w:val="auto"/>
        </w:rPr>
        <w:t xml:space="preserve"> patients. </w:t>
      </w:r>
      <w:r w:rsidR="005526D3" w:rsidRPr="006F283B">
        <w:rPr>
          <w:bCs/>
          <w:color w:val="auto"/>
        </w:rPr>
        <w:t>H</w:t>
      </w:r>
      <w:r w:rsidRPr="006F283B">
        <w:t xml:space="preserve">Rnd patients would also incur additional costs for testing with no benefit, and some would need to have a </w:t>
      </w:r>
      <w:r w:rsidRPr="006F283B">
        <w:lastRenderedPageBreak/>
        <w:t xml:space="preserve">subsequent germline </w:t>
      </w:r>
      <w:r w:rsidR="001152C0" w:rsidRPr="001152C0">
        <w:rPr>
          <w:i/>
          <w:iCs/>
        </w:rPr>
        <w:t xml:space="preserve">BRCA </w:t>
      </w:r>
      <w:r w:rsidRPr="006F283B">
        <w:t>test, which was not accounted for in the economic model nor in the financial estimates.</w:t>
      </w:r>
      <w:bookmarkEnd w:id="129"/>
    </w:p>
    <w:p w14:paraId="5C738D80" w14:textId="78D47D86" w:rsidR="00843998" w:rsidRPr="006F283B" w:rsidRDefault="00843998" w:rsidP="00AF4B69">
      <w:pPr>
        <w:pStyle w:val="ListParagraph"/>
        <w:spacing w:before="0" w:after="120"/>
        <w:rPr>
          <w:color w:val="auto"/>
        </w:rPr>
      </w:pPr>
      <w:bookmarkStart w:id="130" w:name="_Ref121206247"/>
      <w:r w:rsidRPr="006F283B">
        <w:rPr>
          <w:color w:val="auto"/>
        </w:rPr>
        <w:t xml:space="preserve">The clinical outcomes modelled in the economic evaluation (based on concordance from Weichert 2021a and 2022) are presented in </w:t>
      </w:r>
      <w:r w:rsidRPr="006F283B">
        <w:rPr>
          <w:color w:val="auto"/>
        </w:rPr>
        <w:fldChar w:fldCharType="begin" w:fldLock="1"/>
      </w:r>
      <w:r w:rsidRPr="006F283B">
        <w:rPr>
          <w:color w:val="auto"/>
        </w:rPr>
        <w:instrText xml:space="preserve"> REF _Ref121208203 \h </w:instrText>
      </w:r>
      <w:r w:rsidRPr="006F283B">
        <w:rPr>
          <w:color w:val="auto"/>
        </w:rPr>
      </w:r>
      <w:r w:rsidRPr="006F283B">
        <w:rPr>
          <w:color w:val="auto"/>
        </w:rPr>
        <w:fldChar w:fldCharType="separate"/>
      </w:r>
      <w:r w:rsidR="00305654" w:rsidRPr="006F283B">
        <w:t xml:space="preserve">Figure </w:t>
      </w:r>
      <w:r w:rsidR="00305654">
        <w:rPr>
          <w:noProof/>
        </w:rPr>
        <w:t>8</w:t>
      </w:r>
      <w:r w:rsidRPr="006F283B">
        <w:rPr>
          <w:color w:val="auto"/>
        </w:rPr>
        <w:fldChar w:fldCharType="end"/>
      </w:r>
      <w:r w:rsidRPr="006F283B">
        <w:rPr>
          <w:color w:val="auto"/>
        </w:rPr>
        <w:t xml:space="preserve">. The figure shows that 94.43% (21.3%/22.6%) of all patients treated with niraparib </w:t>
      </w:r>
      <w:proofErr w:type="gramStart"/>
      <w:r w:rsidRPr="006F283B">
        <w:rPr>
          <w:color w:val="auto"/>
        </w:rPr>
        <w:t>were considered to be</w:t>
      </w:r>
      <w:proofErr w:type="gramEnd"/>
      <w:r w:rsidRPr="006F283B">
        <w:rPr>
          <w:color w:val="auto"/>
        </w:rPr>
        <w:t xml:space="preserve"> true HRD positive </w:t>
      </w:r>
      <w:r w:rsidR="001152C0" w:rsidRPr="001152C0">
        <w:rPr>
          <w:i/>
          <w:iCs/>
          <w:color w:val="auto"/>
        </w:rPr>
        <w:t>BRCAwt</w:t>
      </w:r>
      <w:r w:rsidRPr="006F283B">
        <w:rPr>
          <w:color w:val="auto"/>
        </w:rPr>
        <w:t xml:space="preserve"> and 5.57% (1.</w:t>
      </w:r>
      <w:r w:rsidR="00237489" w:rsidRPr="006F283B" w:rsidDel="00237489">
        <w:rPr>
          <w:color w:val="auto"/>
        </w:rPr>
        <w:t xml:space="preserve"> </w:t>
      </w:r>
      <w:r w:rsidRPr="006F283B">
        <w:rPr>
          <w:color w:val="auto"/>
        </w:rPr>
        <w:t xml:space="preserve">3%/22.6%) were false </w:t>
      </w:r>
      <w:r w:rsidR="00237489" w:rsidRPr="006F283B">
        <w:rPr>
          <w:color w:val="auto"/>
        </w:rPr>
        <w:t xml:space="preserve">positives </w:t>
      </w:r>
      <w:r w:rsidRPr="006F283B">
        <w:rPr>
          <w:color w:val="auto"/>
        </w:rPr>
        <w:t xml:space="preserve">and were </w:t>
      </w:r>
      <w:proofErr w:type="gramStart"/>
      <w:r w:rsidRPr="006F283B">
        <w:rPr>
          <w:color w:val="auto"/>
        </w:rPr>
        <w:t>actually HRD</w:t>
      </w:r>
      <w:proofErr w:type="gramEnd"/>
      <w:r w:rsidRPr="006F283B">
        <w:rPr>
          <w:color w:val="auto"/>
        </w:rPr>
        <w:t xml:space="preserve"> negative patients.</w:t>
      </w:r>
      <w:r w:rsidRPr="006F283B">
        <w:rPr>
          <w:iCs/>
          <w:color w:val="auto"/>
        </w:rPr>
        <w:t xml:space="preserve"> </w:t>
      </w:r>
    </w:p>
    <w:p w14:paraId="58084143" w14:textId="6B709B4E" w:rsidR="00843998" w:rsidRPr="006F283B" w:rsidRDefault="00CB2BDC" w:rsidP="00593A64">
      <w:pPr>
        <w:pStyle w:val="Caption"/>
      </w:pPr>
      <w:bookmarkStart w:id="131" w:name="_Ref121208203"/>
      <w:r w:rsidRPr="006F283B">
        <w:t xml:space="preserve">Figure </w:t>
      </w:r>
      <w:r w:rsidR="00091054">
        <w:fldChar w:fldCharType="begin" w:fldLock="1"/>
      </w:r>
      <w:r w:rsidR="00091054">
        <w:instrText xml:space="preserve"> SEQ Figure_PBAC. \* ARABIC </w:instrText>
      </w:r>
      <w:r w:rsidR="00091054">
        <w:fldChar w:fldCharType="separate"/>
      </w:r>
      <w:r w:rsidR="00305654">
        <w:rPr>
          <w:noProof/>
        </w:rPr>
        <w:t>8</w:t>
      </w:r>
      <w:r w:rsidR="00091054">
        <w:rPr>
          <w:noProof/>
        </w:rPr>
        <w:fldChar w:fldCharType="end"/>
      </w:r>
      <w:bookmarkEnd w:id="131"/>
      <w:r w:rsidR="00AF4B69">
        <w:rPr>
          <w:noProof/>
        </w:rPr>
        <w:t xml:space="preserve">: </w:t>
      </w:r>
      <w:r w:rsidR="00843998" w:rsidRPr="006F283B">
        <w:t xml:space="preserve">Clinical outcomes (blue shaded boxes) modelled in the economic evaluation – parallel </w:t>
      </w:r>
      <w:proofErr w:type="gramStart"/>
      <w:r w:rsidR="00843998" w:rsidRPr="006F283B">
        <w:t>testing</w:t>
      </w:r>
      <w:proofErr w:type="gramEnd"/>
    </w:p>
    <w:p w14:paraId="4FBC9868" w14:textId="77777777" w:rsidR="00843998" w:rsidRPr="006F283B" w:rsidRDefault="00843998" w:rsidP="00AF4B69">
      <w:pPr>
        <w:keepNext/>
        <w:keepLines/>
        <w:spacing w:before="0" w:after="0"/>
      </w:pPr>
      <w:r w:rsidRPr="006F283B">
        <w:rPr>
          <w:noProof/>
        </w:rPr>
        <w:drawing>
          <wp:inline distT="0" distB="0" distL="0" distR="0" wp14:anchorId="4838E6AE" wp14:editId="35C429D0">
            <wp:extent cx="5759976" cy="2495550"/>
            <wp:effectExtent l="0" t="0" r="0" b="0"/>
            <wp:docPr id="1959018442" name="Picture 1959018442" descr="Figure 8: Clinical outcomes (blue shaded boxes) modelled in the economic evaluation – parallel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42" name="Picture 1959018442" descr="Figure 8: Clinical outcomes (blue shaded boxes) modelled in the economic evaluation – parallel testing"/>
                    <pic:cNvPicPr/>
                  </pic:nvPicPr>
                  <pic:blipFill>
                    <a:blip r:embed="rId15" cstate="screen">
                      <a:extLst>
                        <a:ext uri="{28A0092B-C50C-407E-A947-70E740481C1C}">
                          <a14:useLocalDpi xmlns:a14="http://schemas.microsoft.com/office/drawing/2010/main"/>
                        </a:ext>
                      </a:extLst>
                    </a:blip>
                    <a:stretch>
                      <a:fillRect/>
                    </a:stretch>
                  </pic:blipFill>
                  <pic:spPr>
                    <a:xfrm>
                      <a:off x="0" y="0"/>
                      <a:ext cx="5762584" cy="2496680"/>
                    </a:xfrm>
                    <a:prstGeom prst="rect">
                      <a:avLst/>
                    </a:prstGeom>
                  </pic:spPr>
                </pic:pic>
              </a:graphicData>
            </a:graphic>
          </wp:inline>
        </w:drawing>
      </w:r>
    </w:p>
    <w:p w14:paraId="3F7BB63F" w14:textId="77777777" w:rsidR="00CB2BDC" w:rsidRPr="006F283B" w:rsidRDefault="00CB2BDC" w:rsidP="00CB2BDC">
      <w:pPr>
        <w:pStyle w:val="TableFooter"/>
        <w:keepNext/>
        <w:keepLines/>
      </w:pPr>
      <w:r w:rsidRPr="006F283B">
        <w:t>Source: Figure 49, p194 of the submission</w:t>
      </w:r>
    </w:p>
    <w:p w14:paraId="112FAB4C" w14:textId="69D47F15" w:rsidR="00843998" w:rsidRPr="006F283B" w:rsidRDefault="001152C0" w:rsidP="003915F9">
      <w:pPr>
        <w:pStyle w:val="TableFooter"/>
        <w:keepLines/>
        <w:spacing w:after="120"/>
      </w:pPr>
      <w:r w:rsidRPr="001152C0">
        <w:rPr>
          <w:i/>
          <w:iCs/>
        </w:rPr>
        <w:t>BRCAm</w:t>
      </w:r>
      <w:r w:rsidR="00843998" w:rsidRPr="006F283B">
        <w:t xml:space="preserve"> = </w:t>
      </w:r>
      <w:r w:rsidRPr="001152C0">
        <w:rPr>
          <w:i/>
          <w:iCs/>
        </w:rPr>
        <w:t xml:space="preserve">BRCA </w:t>
      </w:r>
      <w:r w:rsidR="00843998" w:rsidRPr="006F283B">
        <w:t>mutation; HRD = homologous recombination deficient; HRnd = homologous recombination not determined; HRp = homologous recombination proficient; SMM = standard medical management</w:t>
      </w:r>
    </w:p>
    <w:p w14:paraId="491AD05B" w14:textId="7B69DAAF" w:rsidR="00843998" w:rsidRPr="006F283B" w:rsidRDefault="005526D3" w:rsidP="00AF4B69">
      <w:pPr>
        <w:pStyle w:val="ListParagraph"/>
        <w:spacing w:before="0" w:after="120"/>
        <w:rPr>
          <w:color w:val="auto"/>
        </w:rPr>
      </w:pPr>
      <w:r w:rsidRPr="006F283B">
        <w:rPr>
          <w:color w:val="auto"/>
        </w:rPr>
        <w:t>T</w:t>
      </w:r>
      <w:r w:rsidR="00843998" w:rsidRPr="006F283B">
        <w:rPr>
          <w:color w:val="auto"/>
        </w:rPr>
        <w:t xml:space="preserve">he </w:t>
      </w:r>
      <w:r w:rsidRPr="006F283B">
        <w:rPr>
          <w:color w:val="auto"/>
        </w:rPr>
        <w:t xml:space="preserve">ratio of the </w:t>
      </w:r>
      <w:r w:rsidR="008339A4" w:rsidRPr="006F283B">
        <w:rPr>
          <w:color w:val="auto"/>
        </w:rPr>
        <w:t>single</w:t>
      </w:r>
      <w:r w:rsidRPr="006F283B">
        <w:rPr>
          <w:color w:val="auto"/>
        </w:rPr>
        <w:t xml:space="preserve"> estimate of</w:t>
      </w:r>
      <w:r w:rsidR="00843998" w:rsidRPr="006F283B">
        <w:rPr>
          <w:color w:val="auto"/>
        </w:rPr>
        <w:t xml:space="preserve"> PFS</w:t>
      </w:r>
      <w:r w:rsidR="008339A4" w:rsidRPr="006F283B">
        <w:rPr>
          <w:color w:val="auto"/>
        </w:rPr>
        <w:t xml:space="preserve"> HR</w:t>
      </w:r>
      <w:r w:rsidR="00843998" w:rsidRPr="006F283B">
        <w:rPr>
          <w:color w:val="auto"/>
        </w:rPr>
        <w:t xml:space="preserve"> to </w:t>
      </w:r>
      <w:r w:rsidRPr="006F283B">
        <w:rPr>
          <w:color w:val="auto"/>
        </w:rPr>
        <w:t xml:space="preserve">the </w:t>
      </w:r>
      <w:r w:rsidR="008339A4" w:rsidRPr="006F283B">
        <w:rPr>
          <w:color w:val="auto"/>
        </w:rPr>
        <w:t>single</w:t>
      </w:r>
      <w:r w:rsidRPr="006F283B">
        <w:rPr>
          <w:color w:val="auto"/>
        </w:rPr>
        <w:t xml:space="preserve"> estimate of </w:t>
      </w:r>
      <w:r w:rsidR="00843998" w:rsidRPr="006F283B">
        <w:rPr>
          <w:color w:val="auto"/>
        </w:rPr>
        <w:t>OS</w:t>
      </w:r>
      <w:r w:rsidR="008339A4" w:rsidRPr="006F283B">
        <w:rPr>
          <w:color w:val="auto"/>
        </w:rPr>
        <w:t xml:space="preserve"> HR</w:t>
      </w:r>
      <w:r w:rsidR="00843998" w:rsidRPr="006F283B">
        <w:rPr>
          <w:color w:val="auto"/>
        </w:rPr>
        <w:t xml:space="preserve"> from SOLO-1 was applied to PRIMA PFS data to derive </w:t>
      </w:r>
      <w:r w:rsidR="005E66AD" w:rsidRPr="006F283B">
        <w:rPr>
          <w:color w:val="auto"/>
        </w:rPr>
        <w:t>the</w:t>
      </w:r>
      <w:r w:rsidR="00843998" w:rsidRPr="006F283B">
        <w:rPr>
          <w:color w:val="auto"/>
        </w:rPr>
        <w:t xml:space="preserve"> OS HR applied to the niraparib arm </w:t>
      </w:r>
      <w:r w:rsidR="005E66AD" w:rsidRPr="006F283B">
        <w:rPr>
          <w:color w:val="auto"/>
        </w:rPr>
        <w:t>(as</w:t>
      </w:r>
      <w:r w:rsidR="00843998" w:rsidRPr="006F283B">
        <w:rPr>
          <w:color w:val="auto"/>
        </w:rPr>
        <w:t xml:space="preserve"> outlined in </w:t>
      </w:r>
      <w:r w:rsidR="00843998" w:rsidRPr="006F283B">
        <w:rPr>
          <w:color w:val="auto"/>
        </w:rPr>
        <w:fldChar w:fldCharType="begin" w:fldLock="1"/>
      </w:r>
      <w:r w:rsidR="00843998" w:rsidRPr="006F283B">
        <w:rPr>
          <w:color w:val="auto"/>
        </w:rPr>
        <w:instrText xml:space="preserve"> REF _Ref121205419 \h </w:instrText>
      </w:r>
      <w:r w:rsidR="00843998" w:rsidRPr="006F283B">
        <w:rPr>
          <w:color w:val="auto"/>
        </w:rPr>
      </w:r>
      <w:r w:rsidR="00843998" w:rsidRPr="006F283B">
        <w:rPr>
          <w:color w:val="auto"/>
        </w:rPr>
        <w:fldChar w:fldCharType="separate"/>
      </w:r>
      <w:r w:rsidR="00305654" w:rsidRPr="006F283B">
        <w:t xml:space="preserve">Table </w:t>
      </w:r>
      <w:r w:rsidR="00305654">
        <w:rPr>
          <w:noProof/>
        </w:rPr>
        <w:t>15</w:t>
      </w:r>
      <w:r w:rsidR="00843998" w:rsidRPr="006F283B">
        <w:rPr>
          <w:color w:val="auto"/>
        </w:rPr>
        <w:fldChar w:fldCharType="end"/>
      </w:r>
      <w:r w:rsidR="005E66AD" w:rsidRPr="006F283B">
        <w:rPr>
          <w:color w:val="auto"/>
        </w:rPr>
        <w:t>)</w:t>
      </w:r>
      <w:r w:rsidR="00843998" w:rsidRPr="006F283B">
        <w:rPr>
          <w:color w:val="auto"/>
        </w:rPr>
        <w:t>.</w:t>
      </w:r>
      <w:bookmarkEnd w:id="130"/>
      <w:r w:rsidR="00843998" w:rsidRPr="006F283B">
        <w:rPr>
          <w:color w:val="auto"/>
        </w:rPr>
        <w:t xml:space="preserve"> </w:t>
      </w:r>
    </w:p>
    <w:p w14:paraId="24B813CB" w14:textId="6B3E18DE" w:rsidR="00843998" w:rsidRPr="006F283B" w:rsidRDefault="00CB2BDC" w:rsidP="00593A64">
      <w:pPr>
        <w:pStyle w:val="Caption"/>
      </w:pPr>
      <w:bookmarkStart w:id="132" w:name="_Ref121205419"/>
      <w:r w:rsidRPr="006F283B">
        <w:t xml:space="preserve">Table </w:t>
      </w:r>
      <w:r w:rsidR="00091054">
        <w:fldChar w:fldCharType="begin" w:fldLock="1"/>
      </w:r>
      <w:r w:rsidR="00091054">
        <w:instrText xml:space="preserve"> SEQ Table \* ARABIC </w:instrText>
      </w:r>
      <w:r w:rsidR="00091054">
        <w:fldChar w:fldCharType="separate"/>
      </w:r>
      <w:r w:rsidR="00305654">
        <w:rPr>
          <w:noProof/>
        </w:rPr>
        <w:t>15</w:t>
      </w:r>
      <w:r w:rsidR="00091054">
        <w:rPr>
          <w:noProof/>
        </w:rPr>
        <w:fldChar w:fldCharType="end"/>
      </w:r>
      <w:bookmarkEnd w:id="132"/>
      <w:r w:rsidR="00AF4B69">
        <w:rPr>
          <w:noProof/>
        </w:rPr>
        <w:t>:</w:t>
      </w:r>
      <w:r w:rsidR="00AF4B69">
        <w:t xml:space="preserve"> </w:t>
      </w:r>
      <w:r w:rsidR="00843998" w:rsidRPr="006F283B">
        <w:t>PFS to OS benefit in SOLO-1</w:t>
      </w:r>
    </w:p>
    <w:tbl>
      <w:tblPr>
        <w:tblStyle w:val="ASDTable1"/>
        <w:tblW w:w="5000" w:type="pct"/>
        <w:tblLook w:val="04A0" w:firstRow="1" w:lastRow="0" w:firstColumn="1" w:lastColumn="0" w:noHBand="0" w:noVBand="1"/>
      </w:tblPr>
      <w:tblGrid>
        <w:gridCol w:w="1838"/>
        <w:gridCol w:w="1558"/>
        <w:gridCol w:w="1560"/>
        <w:gridCol w:w="1277"/>
        <w:gridCol w:w="1562"/>
        <w:gridCol w:w="1221"/>
      </w:tblGrid>
      <w:tr w:rsidR="00843998" w:rsidRPr="006F283B" w14:paraId="59ECC517" w14:textId="77777777" w:rsidTr="004E1FEC">
        <w:trPr>
          <w:trHeight w:val="525"/>
        </w:trPr>
        <w:tc>
          <w:tcPr>
            <w:tcW w:w="1019" w:type="pct"/>
          </w:tcPr>
          <w:p w14:paraId="44DC1954" w14:textId="77777777" w:rsidR="00843998" w:rsidRPr="006F283B" w:rsidRDefault="00843998" w:rsidP="00A44BCE">
            <w:pPr>
              <w:pStyle w:val="Tabletext0"/>
              <w:keepNext/>
              <w:keepLines/>
              <w:rPr>
                <w:b/>
                <w:bCs/>
              </w:rPr>
            </w:pPr>
          </w:p>
        </w:tc>
        <w:tc>
          <w:tcPr>
            <w:tcW w:w="864" w:type="pct"/>
          </w:tcPr>
          <w:p w14:paraId="4AC48967" w14:textId="77777777" w:rsidR="00843998" w:rsidRPr="006F283B" w:rsidRDefault="00843998" w:rsidP="00A44BCE">
            <w:pPr>
              <w:pStyle w:val="Tabletext0"/>
              <w:keepNext/>
              <w:keepLines/>
              <w:jc w:val="center"/>
              <w:rPr>
                <w:b/>
                <w:bCs/>
              </w:rPr>
            </w:pPr>
            <w:r w:rsidRPr="006F283B">
              <w:rPr>
                <w:b/>
                <w:bCs/>
              </w:rPr>
              <w:t>PFS HR (95%CI)</w:t>
            </w:r>
          </w:p>
        </w:tc>
        <w:tc>
          <w:tcPr>
            <w:tcW w:w="865" w:type="pct"/>
          </w:tcPr>
          <w:p w14:paraId="70D7FEBF" w14:textId="77777777" w:rsidR="00843998" w:rsidRPr="006F283B" w:rsidRDefault="00843998" w:rsidP="00A44BCE">
            <w:pPr>
              <w:pStyle w:val="Tabletext0"/>
              <w:keepNext/>
              <w:keepLines/>
              <w:jc w:val="center"/>
              <w:rPr>
                <w:b/>
                <w:bCs/>
              </w:rPr>
            </w:pPr>
            <w:r w:rsidRPr="006F283B">
              <w:rPr>
                <w:b/>
                <w:bCs/>
              </w:rPr>
              <w:t>OS HR (95%CI)</w:t>
            </w:r>
          </w:p>
        </w:tc>
        <w:tc>
          <w:tcPr>
            <w:tcW w:w="708" w:type="pct"/>
          </w:tcPr>
          <w:p w14:paraId="2954C66C" w14:textId="77777777" w:rsidR="00843998" w:rsidRPr="006F283B" w:rsidRDefault="00843998" w:rsidP="00A44BCE">
            <w:pPr>
              <w:pStyle w:val="Tabletext0"/>
              <w:keepNext/>
              <w:keepLines/>
              <w:jc w:val="center"/>
              <w:rPr>
                <w:b/>
                <w:bCs/>
              </w:rPr>
            </w:pPr>
            <w:r w:rsidRPr="006F283B">
              <w:rPr>
                <w:b/>
                <w:bCs/>
              </w:rPr>
              <w:t xml:space="preserve">Proportion of PFS benefit translating to OS benefit </w:t>
            </w:r>
            <w:r w:rsidRPr="006F283B">
              <w:rPr>
                <w:b/>
                <w:bCs/>
                <w:vertAlign w:val="superscript"/>
              </w:rPr>
              <w:t>a</w:t>
            </w:r>
          </w:p>
        </w:tc>
        <w:tc>
          <w:tcPr>
            <w:tcW w:w="866" w:type="pct"/>
          </w:tcPr>
          <w:p w14:paraId="344CD967" w14:textId="0B601BE3" w:rsidR="00843998" w:rsidRPr="006F283B" w:rsidRDefault="00843998" w:rsidP="00A44BCE">
            <w:pPr>
              <w:pStyle w:val="Tabletext0"/>
              <w:keepNext/>
              <w:keepLines/>
              <w:jc w:val="center"/>
              <w:rPr>
                <w:b/>
                <w:bCs/>
                <w:i/>
                <w:iCs/>
                <w:vertAlign w:val="superscript"/>
              </w:rPr>
            </w:pPr>
            <w:r w:rsidRPr="006F283B">
              <w:rPr>
                <w:b/>
                <w:bCs/>
              </w:rPr>
              <w:t xml:space="preserve">Estimated OS HR HRD positive </w:t>
            </w:r>
            <w:r w:rsidR="001152C0" w:rsidRPr="001152C0">
              <w:rPr>
                <w:b/>
                <w:bCs/>
                <w:i/>
                <w:iCs/>
              </w:rPr>
              <w:t>BRCAwt</w:t>
            </w:r>
            <w:r w:rsidRPr="006F283B">
              <w:rPr>
                <w:b/>
                <w:bCs/>
              </w:rPr>
              <w:t xml:space="preserve"> for niraparib </w:t>
            </w:r>
            <w:r w:rsidRPr="006F283B">
              <w:rPr>
                <w:b/>
                <w:bCs/>
                <w:vertAlign w:val="superscript"/>
              </w:rPr>
              <w:t>b</w:t>
            </w:r>
          </w:p>
        </w:tc>
        <w:tc>
          <w:tcPr>
            <w:tcW w:w="677" w:type="pct"/>
          </w:tcPr>
          <w:p w14:paraId="033D18CB" w14:textId="77777777" w:rsidR="00843998" w:rsidRPr="006F283B" w:rsidRDefault="00843998" w:rsidP="00A44BCE">
            <w:pPr>
              <w:pStyle w:val="Tabletext0"/>
              <w:keepNext/>
              <w:keepLines/>
              <w:jc w:val="center"/>
              <w:rPr>
                <w:b/>
                <w:bCs/>
                <w:vertAlign w:val="superscript"/>
              </w:rPr>
            </w:pPr>
            <w:r w:rsidRPr="006F283B">
              <w:rPr>
                <w:b/>
                <w:bCs/>
              </w:rPr>
              <w:t xml:space="preserve">Estimated OS HR HRD negative for niraparib </w:t>
            </w:r>
            <w:r w:rsidRPr="006F283B">
              <w:rPr>
                <w:b/>
                <w:bCs/>
                <w:vertAlign w:val="superscript"/>
              </w:rPr>
              <w:t>b</w:t>
            </w:r>
          </w:p>
        </w:tc>
      </w:tr>
      <w:tr w:rsidR="00843998" w:rsidRPr="006F283B" w14:paraId="067BE1F8" w14:textId="77777777" w:rsidTr="004E1FEC">
        <w:trPr>
          <w:trHeight w:val="67"/>
        </w:trPr>
        <w:tc>
          <w:tcPr>
            <w:tcW w:w="1019" w:type="pct"/>
          </w:tcPr>
          <w:p w14:paraId="2E44F16E" w14:textId="74CB39C9" w:rsidR="00843998" w:rsidRPr="006F283B" w:rsidRDefault="001152C0" w:rsidP="00A44BCE">
            <w:pPr>
              <w:pStyle w:val="Tabletext0"/>
              <w:keepNext/>
              <w:keepLines/>
            </w:pPr>
            <w:r w:rsidRPr="001152C0">
              <w:rPr>
                <w:i/>
                <w:iCs/>
              </w:rPr>
              <w:t>BRCAm</w:t>
            </w:r>
            <w:r w:rsidR="00843998" w:rsidRPr="006F283B">
              <w:t xml:space="preserve"> unadjusted </w:t>
            </w:r>
            <w:r w:rsidR="00843998" w:rsidRPr="006F283B">
              <w:rPr>
                <w:vertAlign w:val="superscript"/>
              </w:rPr>
              <w:t>b</w:t>
            </w:r>
          </w:p>
        </w:tc>
        <w:tc>
          <w:tcPr>
            <w:tcW w:w="864" w:type="pct"/>
          </w:tcPr>
          <w:p w14:paraId="25EED850" w14:textId="77777777" w:rsidR="00843998" w:rsidRPr="006F283B" w:rsidRDefault="00843998" w:rsidP="00A44BCE">
            <w:pPr>
              <w:pStyle w:val="Tabletext0"/>
              <w:keepNext/>
              <w:keepLines/>
              <w:jc w:val="center"/>
            </w:pPr>
            <w:r w:rsidRPr="006F283B">
              <w:t>0.28 (0.20, 0.39)</w:t>
            </w:r>
          </w:p>
        </w:tc>
        <w:tc>
          <w:tcPr>
            <w:tcW w:w="865" w:type="pct"/>
          </w:tcPr>
          <w:p w14:paraId="56ED3640" w14:textId="77777777" w:rsidR="00843998" w:rsidRPr="006F283B" w:rsidRDefault="00843998" w:rsidP="00A44BCE">
            <w:pPr>
              <w:pStyle w:val="Tabletext0"/>
              <w:keepNext/>
              <w:keepLines/>
              <w:jc w:val="center"/>
            </w:pPr>
            <w:r w:rsidRPr="006F283B">
              <w:t>0.55 (0.40, 0.76)</w:t>
            </w:r>
          </w:p>
        </w:tc>
        <w:tc>
          <w:tcPr>
            <w:tcW w:w="708" w:type="pct"/>
          </w:tcPr>
          <w:p w14:paraId="65471023" w14:textId="77777777" w:rsidR="00843998" w:rsidRPr="006F283B" w:rsidRDefault="00843998" w:rsidP="00A44BCE">
            <w:pPr>
              <w:pStyle w:val="Tabletext0"/>
              <w:keepNext/>
              <w:keepLines/>
              <w:jc w:val="center"/>
              <w:rPr>
                <w:b/>
                <w:bCs/>
              </w:rPr>
            </w:pPr>
            <w:r w:rsidRPr="006F283B">
              <w:rPr>
                <w:b/>
                <w:bCs/>
              </w:rPr>
              <w:t>62.5%</w:t>
            </w:r>
          </w:p>
        </w:tc>
        <w:tc>
          <w:tcPr>
            <w:tcW w:w="866" w:type="pct"/>
          </w:tcPr>
          <w:p w14:paraId="7242F537" w14:textId="77777777" w:rsidR="00843998" w:rsidRPr="006F283B" w:rsidRDefault="00843998" w:rsidP="00A44BCE">
            <w:pPr>
              <w:pStyle w:val="Tabletext0"/>
              <w:keepNext/>
              <w:keepLines/>
              <w:jc w:val="center"/>
              <w:rPr>
                <w:b/>
                <w:bCs/>
              </w:rPr>
            </w:pPr>
            <w:r w:rsidRPr="006F283B">
              <w:rPr>
                <w:b/>
                <w:bCs/>
              </w:rPr>
              <w:t>0.69</w:t>
            </w:r>
          </w:p>
        </w:tc>
        <w:tc>
          <w:tcPr>
            <w:tcW w:w="677" w:type="pct"/>
          </w:tcPr>
          <w:p w14:paraId="0DC62B68" w14:textId="77777777" w:rsidR="00843998" w:rsidRPr="006F283B" w:rsidRDefault="00843998" w:rsidP="00A44BCE">
            <w:pPr>
              <w:pStyle w:val="Tabletext0"/>
              <w:keepNext/>
              <w:keepLines/>
              <w:jc w:val="center"/>
              <w:rPr>
                <w:b/>
                <w:bCs/>
              </w:rPr>
            </w:pPr>
            <w:r w:rsidRPr="006F283B">
              <w:rPr>
                <w:b/>
                <w:bCs/>
              </w:rPr>
              <w:t>0.80</w:t>
            </w:r>
          </w:p>
        </w:tc>
      </w:tr>
    </w:tbl>
    <w:p w14:paraId="56DA884B" w14:textId="77777777" w:rsidR="00CB2BDC" w:rsidRPr="006F283B" w:rsidRDefault="00CB2BDC" w:rsidP="00CB2BDC">
      <w:pPr>
        <w:pStyle w:val="TableFooter"/>
        <w:keepNext/>
        <w:keepLines/>
      </w:pPr>
      <w:r w:rsidRPr="006F283B">
        <w:t>Source: Tables 105 and 106, p217 of the submission</w:t>
      </w:r>
    </w:p>
    <w:p w14:paraId="59988883" w14:textId="77777777" w:rsidR="00843998" w:rsidRPr="006F283B" w:rsidRDefault="00843998" w:rsidP="00A44BCE">
      <w:pPr>
        <w:pStyle w:val="TableFooter"/>
        <w:keepNext/>
        <w:keepLines/>
      </w:pPr>
      <w:r w:rsidRPr="006F283B">
        <w:rPr>
          <w:vertAlign w:val="superscript"/>
        </w:rPr>
        <w:t>a</w:t>
      </w:r>
      <w:r w:rsidRPr="006F283B">
        <w:t xml:space="preserve"> Calculated as the OS rate reduction (1- OS HR) divided by the PFS rate reduction (1 – PFS HR).</w:t>
      </w:r>
    </w:p>
    <w:p w14:paraId="4BB9E3E1" w14:textId="64B21B08" w:rsidR="00843998" w:rsidRPr="006F283B" w:rsidRDefault="00843998" w:rsidP="003915F9">
      <w:pPr>
        <w:pStyle w:val="TableFooter"/>
        <w:keepLines/>
        <w:spacing w:after="120"/>
      </w:pPr>
      <w:r w:rsidRPr="006F283B">
        <w:rPr>
          <w:vertAlign w:val="superscript"/>
        </w:rPr>
        <w:t xml:space="preserve">b </w:t>
      </w:r>
      <w:r w:rsidR="00E60876">
        <w:t>E</w:t>
      </w:r>
      <w:r w:rsidR="00E60876" w:rsidRPr="00E60876">
        <w:t xml:space="preserve">stimated </w:t>
      </w:r>
      <w:proofErr w:type="gramStart"/>
      <w:r w:rsidR="00E60876">
        <w:t>by</w:t>
      </w:r>
      <w:r w:rsidR="00E60876" w:rsidRPr="00E60876">
        <w:t>:</w:t>
      </w:r>
      <w:proofErr w:type="gramEnd"/>
      <w:r w:rsidR="00E60876" w:rsidRPr="00E60876">
        <w:t xml:space="preserve"> 1 – proportion of PFS benefit translating to OS benefit (62.5%) multiplied by PFS benefit reported in PRIMA of 50% in HRD positive BRCAwt (PFS HR = 0.5, 95% CI 0.305,0.831) and 32% in HRD negative patients (PFS HR = 0.68, 95% CI 0.492, 0.944)</w:t>
      </w:r>
    </w:p>
    <w:p w14:paraId="7268CF95" w14:textId="39EF8E55" w:rsidR="00843998" w:rsidRPr="006F283B" w:rsidRDefault="00843998" w:rsidP="00AF4B69">
      <w:pPr>
        <w:pStyle w:val="ListParagraph"/>
        <w:spacing w:before="0" w:after="120"/>
        <w:rPr>
          <w:color w:val="auto"/>
        </w:rPr>
      </w:pPr>
      <w:r w:rsidRPr="006F283B">
        <w:rPr>
          <w:color w:val="auto"/>
        </w:rPr>
        <w:t xml:space="preserve">The submission claimed that the derivation of niraparib survival based on a HR relative to SMM was aligned with the approach previously accepted for olaparib in </w:t>
      </w:r>
      <w:r w:rsidR="001152C0" w:rsidRPr="001152C0">
        <w:rPr>
          <w:i/>
          <w:iCs/>
          <w:color w:val="auto"/>
        </w:rPr>
        <w:t>BRCAm</w:t>
      </w:r>
      <w:r w:rsidRPr="006F283B">
        <w:rPr>
          <w:color w:val="auto"/>
        </w:rPr>
        <w:t xml:space="preserve"> NDA HGEOC, referencing paragraph 7.17, olaparib</w:t>
      </w:r>
      <w:r w:rsidR="000A7E26" w:rsidRPr="006F283B">
        <w:rPr>
          <w:color w:val="auto"/>
        </w:rPr>
        <w:t xml:space="preserve"> PSD</w:t>
      </w:r>
      <w:r w:rsidRPr="006F283B">
        <w:rPr>
          <w:color w:val="auto"/>
        </w:rPr>
        <w:t xml:space="preserve">, July 2020. In </w:t>
      </w:r>
      <w:r w:rsidR="005E66AD" w:rsidRPr="006F283B">
        <w:rPr>
          <w:color w:val="auto"/>
        </w:rPr>
        <w:t>that submission</w:t>
      </w:r>
      <w:r w:rsidRPr="006F283B">
        <w:rPr>
          <w:color w:val="auto"/>
        </w:rPr>
        <w:t xml:space="preserve"> a</w:t>
      </w:r>
      <w:r w:rsidR="00BA3CA0" w:rsidRPr="006F283B">
        <w:rPr>
          <w:color w:val="auto"/>
        </w:rPr>
        <w:t>n</w:t>
      </w:r>
      <w:r w:rsidRPr="006F283B">
        <w:rPr>
          <w:color w:val="auto"/>
        </w:rPr>
        <w:t xml:space="preserve"> OS HR of 0.95 was applied for olaparib relative to SMM based on interim OS results from that submission’s pivotal trial SOLO-1 (DCO: 17/5/2018). However, in the olaparib submission the data used </w:t>
      </w:r>
      <w:r w:rsidR="00BA3CA0" w:rsidRPr="006F283B">
        <w:rPr>
          <w:color w:val="auto"/>
        </w:rPr>
        <w:t xml:space="preserve">were </w:t>
      </w:r>
      <w:r w:rsidRPr="006F283B">
        <w:rPr>
          <w:color w:val="auto"/>
        </w:rPr>
        <w:t xml:space="preserve">from the pivotal trial rather than from an external trial in a different biomarker population, and the OS HR was not estimated </w:t>
      </w:r>
      <w:r w:rsidRPr="006F283B">
        <w:rPr>
          <w:color w:val="auto"/>
        </w:rPr>
        <w:lastRenderedPageBreak/>
        <w:t xml:space="preserve">using a calculated proportion of PFS benefit translating to OS benefit. Consequently, the methodology </w:t>
      </w:r>
      <w:r w:rsidR="006A3339" w:rsidRPr="006F283B">
        <w:rPr>
          <w:color w:val="auto"/>
        </w:rPr>
        <w:t xml:space="preserve">in the </w:t>
      </w:r>
      <w:r w:rsidRPr="006F283B">
        <w:rPr>
          <w:color w:val="auto"/>
        </w:rPr>
        <w:t xml:space="preserve">current submission </w:t>
      </w:r>
      <w:r w:rsidR="00F978ED" w:rsidRPr="006F283B">
        <w:rPr>
          <w:color w:val="auto"/>
        </w:rPr>
        <w:t>wa</w:t>
      </w:r>
      <w:r w:rsidRPr="006F283B">
        <w:rPr>
          <w:color w:val="auto"/>
        </w:rPr>
        <w:t xml:space="preserve">s not </w:t>
      </w:r>
      <w:proofErr w:type="gramStart"/>
      <w:r w:rsidRPr="006F283B">
        <w:rPr>
          <w:color w:val="auto"/>
        </w:rPr>
        <w:t>similar to</w:t>
      </w:r>
      <w:proofErr w:type="gramEnd"/>
      <w:r w:rsidRPr="006F283B">
        <w:rPr>
          <w:color w:val="auto"/>
        </w:rPr>
        <w:t xml:space="preserve"> olaparib in </w:t>
      </w:r>
      <w:r w:rsidR="00AF4B69" w:rsidRPr="006F283B">
        <w:rPr>
          <w:color w:val="auto"/>
        </w:rPr>
        <w:t>July</w:t>
      </w:r>
      <w:r w:rsidR="00AF4B69">
        <w:rPr>
          <w:color w:val="auto"/>
        </w:rPr>
        <w:t> </w:t>
      </w:r>
      <w:r w:rsidRPr="006F283B">
        <w:rPr>
          <w:color w:val="auto"/>
        </w:rPr>
        <w:t>2020. Moreover, the magnitude of benefit assumed in this submission (OS HR = 0.69) was substantially more optimistic than that assumed in the July 2020 olaparib submission (OS HR = 0.95).</w:t>
      </w:r>
    </w:p>
    <w:p w14:paraId="39F07DF7" w14:textId="77777777" w:rsidR="00843998" w:rsidRPr="006F283B" w:rsidRDefault="00843998" w:rsidP="00AF4B69">
      <w:pPr>
        <w:pStyle w:val="ListParagraph"/>
        <w:spacing w:before="0" w:after="120"/>
        <w:rPr>
          <w:color w:val="auto"/>
        </w:rPr>
      </w:pPr>
      <w:bookmarkStart w:id="133" w:name="_Ref121208485"/>
      <w:r w:rsidRPr="006F283B">
        <w:rPr>
          <w:color w:val="auto"/>
        </w:rPr>
        <w:t>There were significant issues with the submission’s approach to estimating the OS HR in the economic model:</w:t>
      </w:r>
      <w:bookmarkEnd w:id="133"/>
    </w:p>
    <w:p w14:paraId="5A1D49DD" w14:textId="15F799F8" w:rsidR="00843998" w:rsidRPr="006F283B" w:rsidRDefault="00B65862" w:rsidP="00AF4B69">
      <w:pPr>
        <w:pStyle w:val="ListParagraph"/>
        <w:numPr>
          <w:ilvl w:val="0"/>
          <w:numId w:val="26"/>
        </w:numPr>
        <w:spacing w:before="0" w:after="120"/>
        <w:ind w:left="1418" w:hanging="578"/>
      </w:pPr>
      <w:r w:rsidRPr="006F283B">
        <w:t xml:space="preserve">The submission did not provide an explanation of </w:t>
      </w:r>
      <w:r w:rsidR="00843998" w:rsidRPr="006F283B">
        <w:t xml:space="preserve">clinical plausibility for the approach of using the ratio of the PFS and OS HR as an effective surrogate for OS </w:t>
      </w:r>
      <w:proofErr w:type="gramStart"/>
      <w:r w:rsidR="00843998" w:rsidRPr="006F283B">
        <w:t>HR;</w:t>
      </w:r>
      <w:proofErr w:type="gramEnd"/>
    </w:p>
    <w:p w14:paraId="30A79B06" w14:textId="302493CB" w:rsidR="00843998" w:rsidRPr="006F283B" w:rsidRDefault="00843998" w:rsidP="00AF4B69">
      <w:pPr>
        <w:pStyle w:val="ListParagraph"/>
        <w:numPr>
          <w:ilvl w:val="0"/>
          <w:numId w:val="26"/>
        </w:numPr>
        <w:spacing w:before="0" w:after="120"/>
        <w:ind w:left="1418" w:hanging="578"/>
      </w:pPr>
      <w:r w:rsidRPr="006F283B">
        <w:t xml:space="preserve">The estimated OS HR was applied on the extrapolated SMM OS data from PRIMA, and it was unclear why the same approach should not be also taken for the niraparib arm. Any uncertainty from the use of immature data from PRIMA would have already been carried over from the use of extrapolated SMM OS data, so it was unclear that there was any benefit to the submission’s approach for estimating OS </w:t>
      </w:r>
      <w:proofErr w:type="gramStart"/>
      <w:r w:rsidRPr="006F283B">
        <w:t>HR;</w:t>
      </w:r>
      <w:proofErr w:type="gramEnd"/>
      <w:r w:rsidR="008E34C5">
        <w:t xml:space="preserve"> </w:t>
      </w:r>
    </w:p>
    <w:p w14:paraId="28F2F2B3" w14:textId="091D828F" w:rsidR="00843998" w:rsidRPr="006F283B" w:rsidRDefault="00843998" w:rsidP="00AF4B69">
      <w:pPr>
        <w:pStyle w:val="ListParagraph"/>
        <w:numPr>
          <w:ilvl w:val="0"/>
          <w:numId w:val="26"/>
        </w:numPr>
        <w:spacing w:before="0" w:after="120"/>
        <w:ind w:left="1418" w:hanging="578"/>
      </w:pPr>
      <w:r w:rsidRPr="006F283B">
        <w:t xml:space="preserve">The </w:t>
      </w:r>
      <w:r w:rsidR="00D625AE" w:rsidRPr="006F283B">
        <w:t xml:space="preserve">SOLO-1 </w:t>
      </w:r>
      <w:r w:rsidRPr="006F283B">
        <w:t>stud</w:t>
      </w:r>
      <w:r w:rsidR="00D625AE" w:rsidRPr="006F283B">
        <w:t>y</w:t>
      </w:r>
      <w:r w:rsidRPr="006F283B">
        <w:t xml:space="preserve"> enrolled only </w:t>
      </w:r>
      <w:r w:rsidR="001152C0" w:rsidRPr="001152C0">
        <w:rPr>
          <w:i/>
          <w:iCs/>
        </w:rPr>
        <w:t>BRCAm</w:t>
      </w:r>
      <w:r w:rsidRPr="006F283B">
        <w:t xml:space="preserve"> patients</w:t>
      </w:r>
      <w:r w:rsidR="00C22F5F" w:rsidRPr="006F283B">
        <w:t xml:space="preserve"> and t</w:t>
      </w:r>
      <w:r w:rsidRPr="006F283B">
        <w:t xml:space="preserve">he treatment considered (olaparib) was different. As such, </w:t>
      </w:r>
      <w:r w:rsidR="00AB77C0" w:rsidRPr="006F283B">
        <w:rPr>
          <w:iCs/>
        </w:rPr>
        <w:t>there was no a priori reason to assume these</w:t>
      </w:r>
      <w:r w:rsidRPr="006F283B">
        <w:rPr>
          <w:iCs/>
        </w:rPr>
        <w:t xml:space="preserve"> </w:t>
      </w:r>
      <w:r w:rsidRPr="006F283B">
        <w:t xml:space="preserve">ratios would be applicable to niraparib for the treatment in HRD positive </w:t>
      </w:r>
      <w:r w:rsidR="001152C0" w:rsidRPr="001152C0">
        <w:rPr>
          <w:i/>
          <w:iCs/>
        </w:rPr>
        <w:t>BRCAwt</w:t>
      </w:r>
      <w:r w:rsidRPr="006F283B">
        <w:t xml:space="preserve"> and HRD negative </w:t>
      </w:r>
      <w:proofErr w:type="gramStart"/>
      <w:r w:rsidRPr="006F283B">
        <w:t>patients;</w:t>
      </w:r>
      <w:proofErr w:type="gramEnd"/>
    </w:p>
    <w:p w14:paraId="5976CD17" w14:textId="582341D9" w:rsidR="00D625AE" w:rsidRPr="006F283B" w:rsidRDefault="00D625AE" w:rsidP="00AF4B69">
      <w:pPr>
        <w:pStyle w:val="ListParagraph"/>
        <w:numPr>
          <w:ilvl w:val="0"/>
          <w:numId w:val="26"/>
        </w:numPr>
        <w:spacing w:before="0" w:after="120"/>
        <w:ind w:left="1418" w:hanging="578"/>
      </w:pPr>
      <w:r w:rsidRPr="006F283B">
        <w:t>The use of</w:t>
      </w:r>
      <w:r w:rsidR="00EF17D7" w:rsidRPr="006F283B">
        <w:t xml:space="preserve"> single</w:t>
      </w:r>
      <w:r w:rsidRPr="006F283B">
        <w:t xml:space="preserve"> estimates did not account for any uncertainty associated with any of the estimates. </w:t>
      </w:r>
    </w:p>
    <w:p w14:paraId="0B557561" w14:textId="5BA20CD4" w:rsidR="00843998" w:rsidRPr="006F283B" w:rsidRDefault="00843998" w:rsidP="00AF4B69">
      <w:pPr>
        <w:pStyle w:val="ListParagraph"/>
        <w:numPr>
          <w:ilvl w:val="0"/>
          <w:numId w:val="26"/>
        </w:numPr>
        <w:spacing w:before="0" w:after="120"/>
        <w:ind w:left="1418" w:hanging="578"/>
      </w:pPr>
      <w:r w:rsidRPr="006F283B">
        <w:t>The PB</w:t>
      </w:r>
      <w:r w:rsidR="00CA4440" w:rsidRPr="006F283B">
        <w:t>AC</w:t>
      </w:r>
      <w:r w:rsidRPr="006F283B">
        <w:t xml:space="preserve"> has previously questioned whether the PFS improvement in the HRD negative population in PRIMA was clinically relevant. If the PFS improvement was not clinically relevant it was unlikely to be reasonable to be modelling an OS benefit based on an assumption of PFS benefit in HRD negative patients; and</w:t>
      </w:r>
    </w:p>
    <w:p w14:paraId="12E6DC79" w14:textId="76DBD2C6" w:rsidR="00D625AE" w:rsidRPr="006F283B" w:rsidRDefault="00843998" w:rsidP="00AF4B69">
      <w:pPr>
        <w:pStyle w:val="ListParagraph"/>
        <w:numPr>
          <w:ilvl w:val="0"/>
          <w:numId w:val="0"/>
        </w:numPr>
        <w:spacing w:before="0" w:after="120"/>
        <w:ind w:left="709"/>
        <w:rPr>
          <w:color w:val="auto"/>
        </w:rPr>
      </w:pPr>
      <w:r w:rsidRPr="006F283B">
        <w:t xml:space="preserve">Overall, the methodology used to derive OS estimates for niraparib in HRD positive </w:t>
      </w:r>
      <w:r w:rsidR="001152C0" w:rsidRPr="001152C0">
        <w:rPr>
          <w:i/>
          <w:iCs/>
        </w:rPr>
        <w:t>BRCAwt</w:t>
      </w:r>
      <w:r w:rsidRPr="006F283B">
        <w:t xml:space="preserve"> and HRD negative NDA HGEOC was unsubstantiated and lacking in external validity. Consequently, the results </w:t>
      </w:r>
      <w:r w:rsidR="005336AA" w:rsidRPr="006F283B">
        <w:t>we</w:t>
      </w:r>
      <w:r w:rsidRPr="006F283B">
        <w:t xml:space="preserve">re associated with a high degree of uncertainty. </w:t>
      </w:r>
      <w:r w:rsidR="00CA1729" w:rsidRPr="006F283B">
        <w:rPr>
          <w:iCs/>
        </w:rPr>
        <w:t xml:space="preserve">The ESCs </w:t>
      </w:r>
      <w:r w:rsidR="00954654" w:rsidRPr="006F283B">
        <w:rPr>
          <w:iCs/>
        </w:rPr>
        <w:t xml:space="preserve">considered this was a non-standard methodological approach and </w:t>
      </w:r>
      <w:r w:rsidR="00954654" w:rsidRPr="006F283B">
        <w:rPr>
          <w:bCs/>
          <w:iCs/>
          <w:color w:val="auto"/>
        </w:rPr>
        <w:t>consider</w:t>
      </w:r>
      <w:r w:rsidR="00954654" w:rsidRPr="006F283B">
        <w:rPr>
          <w:bCs/>
          <w:color w:val="auto"/>
        </w:rPr>
        <w:t>ed this method was</w:t>
      </w:r>
      <w:r w:rsidR="00954654" w:rsidRPr="006F283B">
        <w:rPr>
          <w:b/>
          <w:color w:val="auto"/>
        </w:rPr>
        <w:t xml:space="preserve"> </w:t>
      </w:r>
      <w:r w:rsidR="00954654" w:rsidRPr="006F283B">
        <w:rPr>
          <w:color w:val="auto"/>
        </w:rPr>
        <w:t xml:space="preserve">likely unreliable since it assumes that the ratio of </w:t>
      </w:r>
      <w:r w:rsidR="00EF17D7" w:rsidRPr="006F283B">
        <w:rPr>
          <w:color w:val="auto"/>
        </w:rPr>
        <w:t>single</w:t>
      </w:r>
      <w:r w:rsidR="00954654" w:rsidRPr="006F283B">
        <w:rPr>
          <w:color w:val="auto"/>
        </w:rPr>
        <w:t xml:space="preserve"> estimates of PFS and OS from a different trial of a different drug in a different biomarker population would apply to niraparib.</w:t>
      </w:r>
      <w:r w:rsidR="00D625AE" w:rsidRPr="006F283B">
        <w:rPr>
          <w:color w:val="auto"/>
        </w:rPr>
        <w:t xml:space="preserve"> </w:t>
      </w:r>
    </w:p>
    <w:p w14:paraId="4519020D" w14:textId="1A3DA235" w:rsidR="00843998" w:rsidRPr="006F283B" w:rsidRDefault="00D625AE" w:rsidP="00AF4B69">
      <w:pPr>
        <w:pStyle w:val="ListParagraph"/>
        <w:spacing w:before="0" w:after="120"/>
        <w:rPr>
          <w:iCs/>
          <w:color w:val="auto"/>
        </w:rPr>
      </w:pPr>
      <w:r w:rsidRPr="006F283B">
        <w:rPr>
          <w:iCs/>
          <w:color w:val="auto"/>
        </w:rPr>
        <w:t xml:space="preserve">The ESC noted that the PSCR did not provide any further justification for the approach to modelling OS for </w:t>
      </w:r>
      <w:proofErr w:type="gramStart"/>
      <w:r w:rsidRPr="006F283B">
        <w:rPr>
          <w:iCs/>
          <w:color w:val="auto"/>
        </w:rPr>
        <w:t>niraparib, but</w:t>
      </w:r>
      <w:proofErr w:type="gramEnd"/>
      <w:r w:rsidRPr="006F283B">
        <w:rPr>
          <w:iCs/>
          <w:color w:val="auto"/>
        </w:rPr>
        <w:t xml:space="preserve"> argued that the survival benefit modelled was likely to be conservative compared with that accepted for the olaparib + bevacizumab submission in HRD positive </w:t>
      </w:r>
      <w:r w:rsidR="001152C0" w:rsidRPr="001152C0">
        <w:rPr>
          <w:i/>
          <w:iCs/>
          <w:color w:val="auto"/>
        </w:rPr>
        <w:t>BRCAwt</w:t>
      </w:r>
      <w:r w:rsidRPr="006F283B">
        <w:rPr>
          <w:iCs/>
          <w:color w:val="auto"/>
        </w:rPr>
        <w:t xml:space="preserve"> HGEOC</w:t>
      </w:r>
      <w:r w:rsidR="00F12DFE" w:rsidRPr="006F283B">
        <w:rPr>
          <w:iCs/>
          <w:color w:val="auto"/>
        </w:rPr>
        <w:t xml:space="preserve"> at the November 2022 PBAC meeting.</w:t>
      </w:r>
    </w:p>
    <w:p w14:paraId="58CFBDFF" w14:textId="77777777" w:rsidR="00843998" w:rsidRPr="006F283B" w:rsidRDefault="00843998" w:rsidP="00AF4B69">
      <w:pPr>
        <w:pStyle w:val="ListParagraph"/>
        <w:spacing w:before="0" w:after="120"/>
        <w:rPr>
          <w:color w:val="auto"/>
        </w:rPr>
      </w:pPr>
      <w:r w:rsidRPr="006F283B">
        <w:rPr>
          <w:color w:val="auto"/>
        </w:rPr>
        <w:lastRenderedPageBreak/>
        <w:t xml:space="preserve">Inappropriately, no consideration of treatment with bevacizumab (before initiation of niraparib or as subsequent therapy, or as part of SMM) was included. This likely led to an overestimate of the incremental benefit of niraparib. The cost effectiveness of niraparib in patients with Stage III R0 post PDS and ECOG status ≥2 (who are eligible for treatment under the proposed restriction but were excluded from PRIMA) was also unknown. </w:t>
      </w:r>
    </w:p>
    <w:p w14:paraId="34B8D55A" w14:textId="2F86E5F9" w:rsidR="00843998" w:rsidRPr="006F283B" w:rsidRDefault="00843998" w:rsidP="00AF4B69">
      <w:pPr>
        <w:pStyle w:val="ListParagraph"/>
        <w:spacing w:before="0" w:after="120"/>
        <w:rPr>
          <w:color w:val="auto"/>
        </w:rPr>
      </w:pPr>
      <w:r w:rsidRPr="006F283B">
        <w:rPr>
          <w:color w:val="auto"/>
        </w:rPr>
        <w:t>In the model, patient outcomes (PFS, OS and TTD) were extrapolated separately for ‘cured’ and ‘not cured’ patients, with the base case assuming 5% of patients were ‘cured’ prior to initiating 1L maintenance treatment. In modelling outcomes for ‘cured’ patients, it was reasonably assumed patient mortality risks were equivalent to those of the general population, matched for age and sex and that they are not at risk of disease progression or treatment discontinuation for other reasons.</w:t>
      </w:r>
    </w:p>
    <w:p w14:paraId="26E4798D" w14:textId="05738D46" w:rsidR="00E3346B" w:rsidRPr="006F283B" w:rsidRDefault="00843998" w:rsidP="00AF4B69">
      <w:pPr>
        <w:pStyle w:val="ListParagraph"/>
        <w:spacing w:before="0" w:after="120"/>
        <w:rPr>
          <w:color w:val="auto"/>
        </w:rPr>
      </w:pPr>
      <w:r w:rsidRPr="006F283B">
        <w:rPr>
          <w:color w:val="auto"/>
        </w:rPr>
        <w:t xml:space="preserve">Outcomes (PFS, OS and TTD) for ‘not cured’ patients were informed by KM estimates from the HRD positive </w:t>
      </w:r>
      <w:r w:rsidR="001152C0" w:rsidRPr="001152C0">
        <w:rPr>
          <w:i/>
          <w:iCs/>
          <w:color w:val="auto"/>
        </w:rPr>
        <w:t>BRCAwt</w:t>
      </w:r>
      <w:r w:rsidRPr="006F283B">
        <w:rPr>
          <w:color w:val="auto"/>
        </w:rPr>
        <w:t xml:space="preserve"> and HRD negative cohorts of PRIMA up to the median follow up</w:t>
      </w:r>
      <w:r w:rsidR="00A55496" w:rsidRPr="006F283B">
        <w:rPr>
          <w:color w:val="auto"/>
        </w:rPr>
        <w:t xml:space="preserve"> (HRD positive </w:t>
      </w:r>
      <w:r w:rsidR="001152C0" w:rsidRPr="001152C0">
        <w:rPr>
          <w:i/>
          <w:iCs/>
          <w:color w:val="auto"/>
        </w:rPr>
        <w:t>BRCAwt</w:t>
      </w:r>
      <w:r w:rsidR="00A55496" w:rsidRPr="006F283B">
        <w:rPr>
          <w:color w:val="auto"/>
        </w:rPr>
        <w:t xml:space="preserve"> 13.6 months for PFS and 15.7 months for OS, HRD negative 13.9 months for PFS and 14.8 months for OS)</w:t>
      </w:r>
      <w:r w:rsidRPr="006F283B">
        <w:rPr>
          <w:color w:val="auto"/>
        </w:rPr>
        <w:t xml:space="preserve">, then informed by </w:t>
      </w:r>
      <w:r w:rsidR="004D0798" w:rsidRPr="006F283B">
        <w:rPr>
          <w:color w:val="auto"/>
        </w:rPr>
        <w:t xml:space="preserve">parametric </w:t>
      </w:r>
      <w:r w:rsidRPr="006F283B">
        <w:rPr>
          <w:color w:val="auto"/>
        </w:rPr>
        <w:t>extrapolations over the rest of the modelled time horizon. The LogNormal function was applied for the extrapolation of PFS in the model base case</w:t>
      </w:r>
      <w:r w:rsidR="004D0798" w:rsidRPr="006F283B">
        <w:rPr>
          <w:color w:val="auto"/>
        </w:rPr>
        <w:t>.</w:t>
      </w:r>
    </w:p>
    <w:p w14:paraId="7BBCC690" w14:textId="5CCAF109" w:rsidR="00843998" w:rsidRPr="006F283B" w:rsidRDefault="00CB2BDC" w:rsidP="0063757D">
      <w:pPr>
        <w:pStyle w:val="Caption"/>
        <w:ind w:left="851" w:hanging="851"/>
      </w:pPr>
      <w:r w:rsidRPr="006F283B">
        <w:t xml:space="preserve">Figure </w:t>
      </w:r>
      <w:r w:rsidR="00091054">
        <w:fldChar w:fldCharType="begin" w:fldLock="1"/>
      </w:r>
      <w:r w:rsidR="00091054">
        <w:instrText xml:space="preserve"> SEQ Figure_PBAC. \* ARABIC </w:instrText>
      </w:r>
      <w:r w:rsidR="00091054">
        <w:fldChar w:fldCharType="separate"/>
      </w:r>
      <w:r w:rsidR="00305654">
        <w:rPr>
          <w:noProof/>
        </w:rPr>
        <w:t>9</w:t>
      </w:r>
      <w:r w:rsidR="00091054">
        <w:rPr>
          <w:noProof/>
        </w:rPr>
        <w:fldChar w:fldCharType="end"/>
      </w:r>
      <w:r w:rsidR="00C07F3A">
        <w:t xml:space="preserve">: </w:t>
      </w:r>
      <w:r w:rsidR="00843998" w:rsidRPr="006F283B">
        <w:t xml:space="preserve">Niraparib PFS Kaplan-Meier estimates and fitted independent parametric models (HRD positive </w:t>
      </w:r>
      <w:r w:rsidR="001152C0" w:rsidRPr="001152C0">
        <w:rPr>
          <w:i/>
        </w:rPr>
        <w:t>BRCAwt</w:t>
      </w:r>
      <w:r w:rsidR="00843998" w:rsidRPr="006F283B">
        <w:t xml:space="preserve"> cohort)</w:t>
      </w:r>
    </w:p>
    <w:p w14:paraId="141A7C26" w14:textId="77777777" w:rsidR="00843998" w:rsidRPr="006F283B" w:rsidRDefault="00843998" w:rsidP="00CE79DC">
      <w:pPr>
        <w:pStyle w:val="TableFooter"/>
        <w:jc w:val="left"/>
      </w:pPr>
      <w:r w:rsidRPr="006F283B">
        <w:rPr>
          <w:noProof/>
        </w:rPr>
        <w:drawing>
          <wp:inline distT="0" distB="0" distL="0" distR="0" wp14:anchorId="0D8E2DE9" wp14:editId="4E4FC70C">
            <wp:extent cx="4811920" cy="2665562"/>
            <wp:effectExtent l="0" t="0" r="8255" b="1905"/>
            <wp:docPr id="1959018443" name="Picture 1959018443" descr="Figure 9: Niraparib PFS Kaplan-Meier estimates and fitted independent parametric models (HRD positive BRCAwt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43" name="Picture 1959018443" descr="Figure 9: Niraparib PFS Kaplan-Meier estimates and fitted independent parametric models (HRD positive BRCAwt cohort)"/>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821522" cy="2670881"/>
                    </a:xfrm>
                    <a:prstGeom prst="rect">
                      <a:avLst/>
                    </a:prstGeom>
                    <a:noFill/>
                  </pic:spPr>
                </pic:pic>
              </a:graphicData>
            </a:graphic>
          </wp:inline>
        </w:drawing>
      </w:r>
    </w:p>
    <w:p w14:paraId="758AD09E" w14:textId="77777777" w:rsidR="00CB2BDC" w:rsidRPr="006F283B" w:rsidRDefault="00CB2BDC" w:rsidP="00CB2BDC">
      <w:pPr>
        <w:pStyle w:val="TableFooter"/>
      </w:pPr>
      <w:r w:rsidRPr="006F283B">
        <w:t>Source: Figure 59, p204 of the submission</w:t>
      </w:r>
    </w:p>
    <w:p w14:paraId="57197EC4" w14:textId="3F40A4AC" w:rsidR="00843998" w:rsidRPr="006F283B" w:rsidRDefault="001152C0" w:rsidP="00C07F3A">
      <w:pPr>
        <w:pStyle w:val="TableFooter"/>
        <w:spacing w:after="120"/>
      </w:pPr>
      <w:r w:rsidRPr="001152C0">
        <w:rPr>
          <w:i/>
          <w:iCs/>
        </w:rPr>
        <w:t>BRCAwt</w:t>
      </w:r>
      <w:r w:rsidR="00843998" w:rsidRPr="006F283B">
        <w:t xml:space="preserve"> = breast cancer gene wild type; HRD = homologous recombination deficient. </w:t>
      </w:r>
    </w:p>
    <w:p w14:paraId="7A2D1680" w14:textId="75FAAC1B" w:rsidR="00843998" w:rsidRPr="006F283B" w:rsidRDefault="00CB2BDC" w:rsidP="0063757D">
      <w:pPr>
        <w:pStyle w:val="Caption"/>
        <w:ind w:left="851" w:hanging="851"/>
      </w:pPr>
      <w:r w:rsidRPr="006F283B">
        <w:lastRenderedPageBreak/>
        <w:t xml:space="preserve">Figure </w:t>
      </w:r>
      <w:r w:rsidR="00091054">
        <w:fldChar w:fldCharType="begin" w:fldLock="1"/>
      </w:r>
      <w:r w:rsidR="00091054">
        <w:instrText xml:space="preserve"> SEQ Figure_PB</w:instrText>
      </w:r>
      <w:r w:rsidR="00091054">
        <w:instrText xml:space="preserve">AC. \* ARABIC </w:instrText>
      </w:r>
      <w:r w:rsidR="00091054">
        <w:fldChar w:fldCharType="separate"/>
      </w:r>
      <w:r w:rsidR="00305654">
        <w:rPr>
          <w:noProof/>
        </w:rPr>
        <w:t>10</w:t>
      </w:r>
      <w:r w:rsidR="00091054">
        <w:rPr>
          <w:noProof/>
        </w:rPr>
        <w:fldChar w:fldCharType="end"/>
      </w:r>
      <w:r w:rsidR="00C07F3A">
        <w:t xml:space="preserve">: </w:t>
      </w:r>
      <w:r w:rsidR="00843998" w:rsidRPr="006F283B">
        <w:t xml:space="preserve">SMM PFS Kaplan-Meier estimates and fitted independent parametric models (HRD positive </w:t>
      </w:r>
      <w:r w:rsidR="001152C0" w:rsidRPr="001152C0">
        <w:rPr>
          <w:i/>
        </w:rPr>
        <w:t>BRCAwt</w:t>
      </w:r>
      <w:r w:rsidR="00843998" w:rsidRPr="006F283B">
        <w:t xml:space="preserve"> cohort)</w:t>
      </w:r>
    </w:p>
    <w:p w14:paraId="2EC530E6" w14:textId="73BAD68D" w:rsidR="00843998" w:rsidRPr="006F283B" w:rsidRDefault="00843998" w:rsidP="00C07F3A">
      <w:pPr>
        <w:keepNext/>
        <w:keepLines/>
        <w:spacing w:before="0" w:after="0"/>
        <w:jc w:val="left"/>
      </w:pPr>
      <w:r w:rsidRPr="006F283B">
        <w:rPr>
          <w:noProof/>
        </w:rPr>
        <w:drawing>
          <wp:inline distT="0" distB="0" distL="0" distR="0" wp14:anchorId="3BBA914A" wp14:editId="2CD36A7A">
            <wp:extent cx="4689417" cy="2674189"/>
            <wp:effectExtent l="0" t="0" r="0" b="0"/>
            <wp:docPr id="1959018444" name="Picture 1959018444" descr="Figure 10: SMM PFS Kaplan-Meier estimates and fitted independent parametric models (HRD positive BRCAwt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44" name="Picture 1959018444" descr="Figure 10: SMM PFS Kaplan-Meier estimates and fitted independent parametric models (HRD positive BRCAwt cohort)"/>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728416" cy="2696428"/>
                    </a:xfrm>
                    <a:prstGeom prst="rect">
                      <a:avLst/>
                    </a:prstGeom>
                    <a:noFill/>
                  </pic:spPr>
                </pic:pic>
              </a:graphicData>
            </a:graphic>
          </wp:inline>
        </w:drawing>
      </w:r>
    </w:p>
    <w:p w14:paraId="0289500F" w14:textId="77777777" w:rsidR="00CB2BDC" w:rsidRPr="006F283B" w:rsidRDefault="00CB2BDC" w:rsidP="00CB2BDC">
      <w:pPr>
        <w:pStyle w:val="TableNotes"/>
        <w:keepNext/>
        <w:keepLines/>
        <w:spacing w:after="0"/>
        <w:rPr>
          <w:sz w:val="18"/>
          <w:szCs w:val="24"/>
        </w:rPr>
      </w:pPr>
      <w:r w:rsidRPr="006F283B">
        <w:rPr>
          <w:sz w:val="18"/>
          <w:szCs w:val="24"/>
        </w:rPr>
        <w:t>Source: Figure 60, p204 of the submission</w:t>
      </w:r>
    </w:p>
    <w:p w14:paraId="3EACE311" w14:textId="75832D70" w:rsidR="005815D0" w:rsidRPr="006F283B" w:rsidRDefault="001152C0" w:rsidP="00C07F3A">
      <w:pPr>
        <w:pStyle w:val="TableNotes"/>
        <w:keepNext/>
        <w:keepLines/>
        <w:spacing w:after="120"/>
        <w:rPr>
          <w:sz w:val="18"/>
          <w:szCs w:val="24"/>
        </w:rPr>
      </w:pPr>
      <w:r w:rsidRPr="001152C0">
        <w:rPr>
          <w:i/>
          <w:iCs/>
          <w:sz w:val="18"/>
          <w:szCs w:val="24"/>
        </w:rPr>
        <w:t>BRCAwt</w:t>
      </w:r>
      <w:r w:rsidR="005815D0" w:rsidRPr="006F283B">
        <w:rPr>
          <w:sz w:val="18"/>
          <w:szCs w:val="24"/>
        </w:rPr>
        <w:t xml:space="preserve"> = breast cancer gene wild type; HRD = homologous recombination deficient; SMM = standard medical management. </w:t>
      </w:r>
    </w:p>
    <w:p w14:paraId="1421226C" w14:textId="78CA7455" w:rsidR="00843998" w:rsidRPr="006F283B" w:rsidRDefault="00843998" w:rsidP="00C07F3A">
      <w:pPr>
        <w:pStyle w:val="ListParagraph"/>
        <w:spacing w:before="0" w:after="120"/>
        <w:rPr>
          <w:color w:val="auto"/>
        </w:rPr>
      </w:pPr>
      <w:r w:rsidRPr="006F283B">
        <w:rPr>
          <w:color w:val="auto"/>
        </w:rPr>
        <w:t>As shown in the figures below, the extrapolations of the different functions varied substantially over time</w:t>
      </w:r>
      <w:r w:rsidR="00E3346B" w:rsidRPr="006F283B">
        <w:rPr>
          <w:color w:val="auto"/>
        </w:rPr>
        <w:t xml:space="preserve"> for OS</w:t>
      </w:r>
      <w:r w:rsidRPr="006F283B">
        <w:rPr>
          <w:color w:val="auto"/>
        </w:rPr>
        <w:t xml:space="preserve"> and therefore the choice of function was likely to have a sizeable impact on the results. </w:t>
      </w:r>
      <w:r w:rsidR="005815D0" w:rsidRPr="006F283B">
        <w:rPr>
          <w:color w:val="auto"/>
        </w:rPr>
        <w:t xml:space="preserve">The immaturity of OS data in PRIMA was a large contributor to the high </w:t>
      </w:r>
      <w:r w:rsidRPr="006F283B">
        <w:rPr>
          <w:color w:val="auto"/>
        </w:rPr>
        <w:t xml:space="preserve">variation and subsequent uncertainty in the OS estimates </w:t>
      </w:r>
      <w:r w:rsidR="005815D0" w:rsidRPr="006F283B">
        <w:rPr>
          <w:color w:val="auto"/>
        </w:rPr>
        <w:t>in the model</w:t>
      </w:r>
      <w:r w:rsidRPr="006F283B">
        <w:rPr>
          <w:color w:val="auto"/>
        </w:rPr>
        <w:t>. Further, because the submission subsequently applies a HR to the SMM OS curve to derive the niraparib OS, changes to the SMM OS curve also led to changes in the niraparib OS curve and the correlation between SMM OS and ICER was complex.</w:t>
      </w:r>
    </w:p>
    <w:p w14:paraId="56323AC3" w14:textId="51D28D41" w:rsidR="00843998" w:rsidRPr="006F283B" w:rsidRDefault="00CB2BDC" w:rsidP="00593A64">
      <w:pPr>
        <w:pStyle w:val="Caption"/>
      </w:pPr>
      <w:bookmarkStart w:id="134" w:name="_Ref121208677"/>
      <w:r w:rsidRPr="006F283B">
        <w:t xml:space="preserve">Figure </w:t>
      </w:r>
      <w:r w:rsidR="00091054">
        <w:fldChar w:fldCharType="begin" w:fldLock="1"/>
      </w:r>
      <w:r w:rsidR="00091054">
        <w:instrText xml:space="preserve"> SEQ Figure_PBAC. \* ARABIC </w:instrText>
      </w:r>
      <w:r w:rsidR="00091054">
        <w:fldChar w:fldCharType="separate"/>
      </w:r>
      <w:r w:rsidR="00305654">
        <w:rPr>
          <w:noProof/>
        </w:rPr>
        <w:t>11</w:t>
      </w:r>
      <w:r w:rsidR="00091054">
        <w:rPr>
          <w:noProof/>
        </w:rPr>
        <w:fldChar w:fldCharType="end"/>
      </w:r>
      <w:bookmarkEnd w:id="134"/>
      <w:r w:rsidR="00C07F3A">
        <w:t xml:space="preserve">: </w:t>
      </w:r>
      <w:r w:rsidR="00843998" w:rsidRPr="006F283B">
        <w:t xml:space="preserve">OS Kaplan-Meier estimates and fitted independent parametric models, SMM (HRD positive </w:t>
      </w:r>
      <w:r w:rsidR="001152C0" w:rsidRPr="001152C0">
        <w:rPr>
          <w:i/>
        </w:rPr>
        <w:t>BRCAwt</w:t>
      </w:r>
      <w:r w:rsidR="00843998" w:rsidRPr="006F283B">
        <w:t>)</w:t>
      </w:r>
    </w:p>
    <w:p w14:paraId="60052726" w14:textId="77777777" w:rsidR="00843998" w:rsidRPr="006F283B" w:rsidRDefault="00843998" w:rsidP="00950E2F">
      <w:pPr>
        <w:pStyle w:val="TableFooter"/>
        <w:keepNext/>
        <w:keepLines/>
      </w:pPr>
      <w:r w:rsidRPr="006F283B">
        <w:rPr>
          <w:noProof/>
        </w:rPr>
        <w:drawing>
          <wp:inline distT="0" distB="0" distL="0" distR="0" wp14:anchorId="580542B5" wp14:editId="4930E323">
            <wp:extent cx="4580626" cy="2604303"/>
            <wp:effectExtent l="0" t="0" r="0" b="5715"/>
            <wp:docPr id="1959018451" name="Picture 1959018451" descr="Figure 11: OS Kaplan-Meier estimates and fitted independent parametric models, SMM (HRD positive BRCA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51" name="Picture 1959018451" descr="Figure 11: OS Kaplan-Meier estimates and fitted independent parametric models, SMM (HRD positive BRCAwt)"/>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619599" cy="2626461"/>
                    </a:xfrm>
                    <a:prstGeom prst="rect">
                      <a:avLst/>
                    </a:prstGeom>
                    <a:noFill/>
                  </pic:spPr>
                </pic:pic>
              </a:graphicData>
            </a:graphic>
          </wp:inline>
        </w:drawing>
      </w:r>
    </w:p>
    <w:p w14:paraId="3228BF05" w14:textId="77777777" w:rsidR="00CB2BDC" w:rsidRPr="006F283B" w:rsidRDefault="00CB2BDC" w:rsidP="00CB2BDC">
      <w:pPr>
        <w:pStyle w:val="TableFooter"/>
        <w:keepNext/>
        <w:keepLines/>
      </w:pPr>
      <w:r w:rsidRPr="006F283B">
        <w:t>Source: Figure 71, p212 of the submission</w:t>
      </w:r>
    </w:p>
    <w:p w14:paraId="40BBD49E" w14:textId="7B455E87" w:rsidR="00843998" w:rsidRPr="006F283B" w:rsidRDefault="001152C0" w:rsidP="00C07F3A">
      <w:pPr>
        <w:pStyle w:val="TableFooter"/>
        <w:keepNext/>
        <w:keepLines/>
        <w:spacing w:after="120"/>
      </w:pPr>
      <w:r w:rsidRPr="001152C0">
        <w:rPr>
          <w:i/>
          <w:iCs/>
        </w:rPr>
        <w:t>BRCAwt</w:t>
      </w:r>
      <w:r w:rsidR="00843998" w:rsidRPr="006F283B">
        <w:t xml:space="preserve"> = breast cancer gene wild type; HRD = homologous recombination deficient; SMM = standard medical management.</w:t>
      </w:r>
    </w:p>
    <w:p w14:paraId="0B2F39B2" w14:textId="77777777" w:rsidR="00843998" w:rsidRPr="006F283B" w:rsidRDefault="00843998" w:rsidP="00843998">
      <w:pPr>
        <w:pStyle w:val="TableFooter"/>
      </w:pPr>
    </w:p>
    <w:p w14:paraId="2DC505EF" w14:textId="7405FE16" w:rsidR="00843998" w:rsidRPr="006F283B" w:rsidRDefault="00CB2BDC" w:rsidP="00593A64">
      <w:pPr>
        <w:pStyle w:val="Caption"/>
      </w:pPr>
      <w:r w:rsidRPr="006F283B">
        <w:lastRenderedPageBreak/>
        <w:t xml:space="preserve">Figure </w:t>
      </w:r>
      <w:r w:rsidR="00091054">
        <w:fldChar w:fldCharType="begin" w:fldLock="1"/>
      </w:r>
      <w:r w:rsidR="00091054">
        <w:instrText xml:space="preserve"> SEQ Figure_PBAC. \* ARABIC </w:instrText>
      </w:r>
      <w:r w:rsidR="00091054">
        <w:fldChar w:fldCharType="separate"/>
      </w:r>
      <w:r w:rsidR="00305654">
        <w:rPr>
          <w:noProof/>
        </w:rPr>
        <w:t>12</w:t>
      </w:r>
      <w:r w:rsidR="00091054">
        <w:rPr>
          <w:noProof/>
        </w:rPr>
        <w:fldChar w:fldCharType="end"/>
      </w:r>
      <w:r w:rsidR="00C07F3A">
        <w:t xml:space="preserve">: </w:t>
      </w:r>
      <w:r w:rsidR="00843998" w:rsidRPr="006F283B">
        <w:t>OS Kaplan-Meier estimates and fitted independent parametric models, SMM (HRD negative)</w:t>
      </w:r>
    </w:p>
    <w:p w14:paraId="7A815D80" w14:textId="77777777" w:rsidR="00843998" w:rsidRPr="006F283B" w:rsidRDefault="00843998" w:rsidP="00C07F3A">
      <w:pPr>
        <w:keepNext/>
        <w:keepLines/>
        <w:spacing w:before="0" w:after="0"/>
        <w:jc w:val="left"/>
      </w:pPr>
      <w:r w:rsidRPr="006F283B">
        <w:rPr>
          <w:noProof/>
        </w:rPr>
        <w:drawing>
          <wp:inline distT="0" distB="0" distL="0" distR="0" wp14:anchorId="273FB470" wp14:editId="66EF3547">
            <wp:extent cx="4618982" cy="2622431"/>
            <wp:effectExtent l="0" t="0" r="0" b="6985"/>
            <wp:docPr id="1959018452" name="Picture 1959018452" descr="Figure 12: OS Kaplan-Meier estimates and fitted independent parametric models, SMM (HRD 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52" name="Picture 1959018452" descr="Figure 12: OS Kaplan-Meier estimates and fitted independent parametric models, SMM (HRD negative)"/>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658970" cy="2645134"/>
                    </a:xfrm>
                    <a:prstGeom prst="rect">
                      <a:avLst/>
                    </a:prstGeom>
                    <a:noFill/>
                  </pic:spPr>
                </pic:pic>
              </a:graphicData>
            </a:graphic>
          </wp:inline>
        </w:drawing>
      </w:r>
    </w:p>
    <w:p w14:paraId="64AD4819" w14:textId="77777777" w:rsidR="00CB2BDC" w:rsidRPr="006F283B" w:rsidRDefault="00CB2BDC" w:rsidP="00CB2BDC">
      <w:pPr>
        <w:pStyle w:val="TableNotes"/>
        <w:keepNext/>
        <w:keepLines/>
        <w:spacing w:after="0"/>
        <w:rPr>
          <w:sz w:val="18"/>
          <w:szCs w:val="24"/>
        </w:rPr>
      </w:pPr>
      <w:r w:rsidRPr="006F283B">
        <w:rPr>
          <w:sz w:val="18"/>
          <w:szCs w:val="24"/>
        </w:rPr>
        <w:t>Source: Figure 73, p213 of the submission</w:t>
      </w:r>
    </w:p>
    <w:p w14:paraId="58F4CC3E" w14:textId="105FC4F5" w:rsidR="00843998" w:rsidRPr="006F283B" w:rsidRDefault="00843998" w:rsidP="00C07F3A">
      <w:pPr>
        <w:pStyle w:val="TableNotes"/>
        <w:keepNext/>
        <w:keepLines/>
        <w:spacing w:after="120"/>
      </w:pPr>
      <w:r w:rsidRPr="006F283B">
        <w:rPr>
          <w:sz w:val="18"/>
          <w:szCs w:val="24"/>
        </w:rPr>
        <w:t>HRD = homologous recombination deficient; SMM = standard medical management</w:t>
      </w:r>
    </w:p>
    <w:p w14:paraId="5FD589A0" w14:textId="46FF431F" w:rsidR="00843998" w:rsidRPr="006F283B" w:rsidRDefault="00843998" w:rsidP="00C07F3A">
      <w:pPr>
        <w:pStyle w:val="ListParagraph"/>
        <w:spacing w:before="0" w:after="120"/>
        <w:rPr>
          <w:color w:val="auto"/>
        </w:rPr>
      </w:pPr>
      <w:r w:rsidRPr="006F283B">
        <w:rPr>
          <w:color w:val="auto"/>
        </w:rPr>
        <w:t xml:space="preserve">Curve convergence was incorporated to ensure niraparib OS was equal to SMM OS at the modelled 20-year time point, with convergence beginning at 80 months in the base case. </w:t>
      </w:r>
      <w:r w:rsidR="000E794A" w:rsidRPr="006F283B">
        <w:rPr>
          <w:color w:val="auto"/>
        </w:rPr>
        <w:t>The modelled curves applied in the economic model are shown in the figure below.</w:t>
      </w:r>
    </w:p>
    <w:p w14:paraId="0AF21041" w14:textId="5E1686A9" w:rsidR="005772E8" w:rsidRPr="006F283B" w:rsidRDefault="00CB2BDC" w:rsidP="00593A64">
      <w:pPr>
        <w:pStyle w:val="Caption"/>
      </w:pPr>
      <w:bookmarkStart w:id="135" w:name="_Ref121215873"/>
      <w:r w:rsidRPr="006F283B">
        <w:lastRenderedPageBreak/>
        <w:t xml:space="preserve">Figure </w:t>
      </w:r>
      <w:r w:rsidR="00091054">
        <w:fldChar w:fldCharType="begin" w:fldLock="1"/>
      </w:r>
      <w:r w:rsidR="00091054">
        <w:instrText xml:space="preserve"> SEQ Figure_PBAC. \* ARABIC </w:instrText>
      </w:r>
      <w:r w:rsidR="00091054">
        <w:fldChar w:fldCharType="separate"/>
      </w:r>
      <w:r w:rsidR="00305654">
        <w:rPr>
          <w:noProof/>
        </w:rPr>
        <w:t>13</w:t>
      </w:r>
      <w:r w:rsidR="00091054">
        <w:rPr>
          <w:noProof/>
        </w:rPr>
        <w:fldChar w:fldCharType="end"/>
      </w:r>
      <w:bookmarkEnd w:id="135"/>
      <w:r w:rsidR="00C07F3A">
        <w:t xml:space="preserve">: </w:t>
      </w:r>
      <w:r w:rsidR="005772E8" w:rsidRPr="006F283B">
        <w:t xml:space="preserve">Modelled curves applied in economic </w:t>
      </w:r>
      <w:proofErr w:type="gramStart"/>
      <w:r w:rsidR="005772E8" w:rsidRPr="006F283B">
        <w:t>model</w:t>
      </w:r>
      <w:proofErr w:type="gramEnd"/>
    </w:p>
    <w:p w14:paraId="03663E52" w14:textId="77777777" w:rsidR="005772E8" w:rsidRPr="006F283B" w:rsidRDefault="005772E8" w:rsidP="00C07F3A">
      <w:pPr>
        <w:keepNext/>
        <w:keepLines/>
        <w:spacing w:before="0" w:after="0"/>
      </w:pPr>
      <w:r w:rsidRPr="006F283B">
        <w:rPr>
          <w:rFonts w:ascii="Arial Narrow" w:hAnsi="Arial Narrow"/>
          <w:noProof/>
          <w:sz w:val="20"/>
          <w:szCs w:val="20"/>
        </w:rPr>
        <w:drawing>
          <wp:inline distT="0" distB="0" distL="0" distR="0" wp14:anchorId="122754FB" wp14:editId="576B3166">
            <wp:extent cx="4167931" cy="2735885"/>
            <wp:effectExtent l="0" t="0" r="4445" b="7620"/>
            <wp:docPr id="1959018486" name="Picture 1959018486" descr="Figure 13: Modelled curves applied in economic model - HRD positive BRCA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86" name="Picture 1959018486" descr="Figure 13: Modelled curves applied in economic model - HRD positive BRCAwt"/>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202847" cy="2758805"/>
                    </a:xfrm>
                    <a:prstGeom prst="rect">
                      <a:avLst/>
                    </a:prstGeom>
                    <a:noFill/>
                  </pic:spPr>
                </pic:pic>
              </a:graphicData>
            </a:graphic>
          </wp:inline>
        </w:drawing>
      </w:r>
      <w:r w:rsidRPr="006F283B">
        <w:rPr>
          <w:rFonts w:ascii="Arial Narrow" w:hAnsi="Arial Narrow"/>
          <w:noProof/>
          <w:sz w:val="20"/>
          <w:szCs w:val="20"/>
        </w:rPr>
        <w:drawing>
          <wp:inline distT="0" distB="0" distL="0" distR="0" wp14:anchorId="6C2092D2" wp14:editId="4653004E">
            <wp:extent cx="4101071" cy="2691994"/>
            <wp:effectExtent l="0" t="0" r="0" b="0"/>
            <wp:docPr id="1959018484" name="Picture 1959018484" descr="Figure 13: Modelled curves applied in economic model - HRD 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84" name="Picture 1959018484" descr="Figure 13: Modelled curves applied in economic model - HRD negative"/>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128282" cy="2709856"/>
                    </a:xfrm>
                    <a:prstGeom prst="rect">
                      <a:avLst/>
                    </a:prstGeom>
                    <a:noFill/>
                  </pic:spPr>
                </pic:pic>
              </a:graphicData>
            </a:graphic>
          </wp:inline>
        </w:drawing>
      </w:r>
    </w:p>
    <w:p w14:paraId="7BBEA3E6" w14:textId="4A8E1831" w:rsidR="00CB2BDC" w:rsidRPr="006F283B" w:rsidRDefault="00CB2BDC" w:rsidP="00CB2BDC">
      <w:pPr>
        <w:pStyle w:val="TableFooter"/>
      </w:pPr>
      <w:r w:rsidRPr="006F283B">
        <w:rPr>
          <w:szCs w:val="18"/>
        </w:rPr>
        <w:t>Source: Zejula (niraparib) 1L HRD_non</w:t>
      </w:r>
      <w:r w:rsidR="001152C0" w:rsidRPr="001152C0">
        <w:rPr>
          <w:i/>
          <w:iCs/>
          <w:szCs w:val="18"/>
        </w:rPr>
        <w:t>BRCAm</w:t>
      </w:r>
      <w:r w:rsidRPr="006F283B">
        <w:rPr>
          <w:szCs w:val="18"/>
        </w:rPr>
        <w:t xml:space="preserve"> CUA.xls, ‘Survival Traces -non</w:t>
      </w:r>
      <w:r w:rsidR="001152C0" w:rsidRPr="001152C0">
        <w:rPr>
          <w:i/>
          <w:iCs/>
          <w:szCs w:val="18"/>
        </w:rPr>
        <w:t xml:space="preserve">BRCA </w:t>
      </w:r>
      <w:r w:rsidRPr="006F283B">
        <w:rPr>
          <w:szCs w:val="18"/>
        </w:rPr>
        <w:t>HRD’ spreadsheet and ‘Survival Traces -HRp’ spreadsheet.</w:t>
      </w:r>
    </w:p>
    <w:p w14:paraId="5AAB8B0D" w14:textId="4842DB07" w:rsidR="00D229CD" w:rsidRPr="006F283B" w:rsidRDefault="001152C0" w:rsidP="00C07F3A">
      <w:pPr>
        <w:pStyle w:val="TableFooter"/>
        <w:spacing w:after="120"/>
      </w:pPr>
      <w:r w:rsidRPr="001152C0">
        <w:rPr>
          <w:i/>
          <w:iCs/>
          <w:lang w:eastAsia="ja-JP"/>
        </w:rPr>
        <w:t>BRCAwt</w:t>
      </w:r>
      <w:r w:rsidR="00D229CD" w:rsidRPr="006F283B">
        <w:rPr>
          <w:lang w:eastAsia="ja-JP"/>
        </w:rPr>
        <w:t xml:space="preserve"> = breast cancer gene wild type; </w:t>
      </w:r>
      <w:r w:rsidR="00D229CD" w:rsidRPr="006F283B">
        <w:t>NIR = niraparib; HRD = homologous recombination deficient; OS = overall survival; PFS = progression free survival; SC = standard care/standard medical management; TTD = time to discontinuation</w:t>
      </w:r>
    </w:p>
    <w:p w14:paraId="0CFF52E5" w14:textId="64F1FCB5" w:rsidR="00843998" w:rsidRPr="006F283B" w:rsidRDefault="00F3453F" w:rsidP="00C07F3A">
      <w:pPr>
        <w:pStyle w:val="ListParagraph"/>
        <w:spacing w:before="0" w:after="120"/>
        <w:rPr>
          <w:color w:val="auto"/>
        </w:rPr>
      </w:pPr>
      <w:r w:rsidRPr="006F283B">
        <w:rPr>
          <w:color w:val="auto"/>
        </w:rPr>
        <w:t xml:space="preserve">The </w:t>
      </w:r>
      <w:r w:rsidR="00843998" w:rsidRPr="006F283B">
        <w:t>5 level EuroQol 5-dimension Questionnaire (EQ-5D-5L)</w:t>
      </w:r>
      <w:r w:rsidRPr="006F283B">
        <w:t xml:space="preserve"> </w:t>
      </w:r>
      <w:r w:rsidR="00843998" w:rsidRPr="006F283B">
        <w:t>data from PRIMA was translated to utility values (progression-free = 0.777; progressed disease = 0.689) via the mapping algorithm presented in Norman 2013</w:t>
      </w:r>
      <w:r w:rsidR="000E794A" w:rsidRPr="006F283B">
        <w:t>,</w:t>
      </w:r>
      <w:r w:rsidR="00843998" w:rsidRPr="006F283B">
        <w:rPr>
          <w:color w:val="auto"/>
        </w:rPr>
        <w:t xml:space="preserve"> as in the previous niraparib submissions (March 2022 and July 2021). The PBAC previously </w:t>
      </w:r>
      <w:r w:rsidRPr="006F283B">
        <w:rPr>
          <w:color w:val="auto"/>
        </w:rPr>
        <w:t xml:space="preserve">considered </w:t>
      </w:r>
      <w:r w:rsidR="00843998" w:rsidRPr="006F283B">
        <w:rPr>
          <w:color w:val="auto"/>
        </w:rPr>
        <w:t>that this may not be reasonable since the data were not specific to the non-</w:t>
      </w:r>
      <w:r w:rsidR="001152C0" w:rsidRPr="001152C0">
        <w:rPr>
          <w:i/>
          <w:iCs/>
          <w:color w:val="auto"/>
        </w:rPr>
        <w:t>BRCAm</w:t>
      </w:r>
      <w:r w:rsidR="00843998" w:rsidRPr="006F283B">
        <w:rPr>
          <w:color w:val="auto"/>
        </w:rPr>
        <w:t xml:space="preserve"> cohort (</w:t>
      </w:r>
      <w:r w:rsidRPr="006F283B">
        <w:rPr>
          <w:color w:val="auto"/>
        </w:rPr>
        <w:t>Table 12</w:t>
      </w:r>
      <w:r w:rsidR="00843998" w:rsidRPr="006F283B">
        <w:rPr>
          <w:color w:val="auto"/>
        </w:rPr>
        <w:t>, niraparib</w:t>
      </w:r>
      <w:r w:rsidRPr="006F283B">
        <w:rPr>
          <w:color w:val="auto"/>
        </w:rPr>
        <w:t xml:space="preserve"> PSD, March 2022 PBAC meeting</w:t>
      </w:r>
      <w:r w:rsidR="00843998" w:rsidRPr="006F283B">
        <w:rPr>
          <w:color w:val="auto"/>
        </w:rPr>
        <w:t xml:space="preserve">). Similarly, the utilities used in the current submission may not be appropriate because the data were not specific to the HRD positive </w:t>
      </w:r>
      <w:r w:rsidR="001152C0" w:rsidRPr="001152C0">
        <w:rPr>
          <w:i/>
          <w:iCs/>
          <w:color w:val="auto"/>
        </w:rPr>
        <w:t>BRCAwt</w:t>
      </w:r>
      <w:r w:rsidR="00843998" w:rsidRPr="006F283B">
        <w:rPr>
          <w:color w:val="auto"/>
        </w:rPr>
        <w:t xml:space="preserve"> cohort.</w:t>
      </w:r>
    </w:p>
    <w:p w14:paraId="3A1BCD65" w14:textId="4B647DAF" w:rsidR="00843998" w:rsidRPr="006F283B" w:rsidRDefault="00843998" w:rsidP="00C07F3A">
      <w:pPr>
        <w:pStyle w:val="ListParagraph"/>
        <w:spacing w:before="0" w:after="120"/>
        <w:rPr>
          <w:color w:val="auto"/>
        </w:rPr>
      </w:pPr>
      <w:r w:rsidRPr="006F283B">
        <w:rPr>
          <w:color w:val="auto"/>
        </w:rPr>
        <w:t xml:space="preserve">A treatment related QALY loss of 0.008 was applied as a once off in the first cycle to niraparib patients, as used in the PSCR for the March 2022 niraparib economic model. </w:t>
      </w:r>
      <w:r w:rsidR="00F3453F" w:rsidRPr="006F283B">
        <w:rPr>
          <w:iCs/>
          <w:lang w:bidi="en-US"/>
        </w:rPr>
        <w:lastRenderedPageBreak/>
        <w:t>The ESC previously considered that this may have been a reasonable approach, however it was unclear whether there may be treatment-related disutility outside the immediate AE period</w:t>
      </w:r>
      <w:r w:rsidRPr="006F283B">
        <w:rPr>
          <w:iCs/>
          <w:color w:val="auto"/>
        </w:rPr>
        <w:t xml:space="preserve"> </w:t>
      </w:r>
      <w:r w:rsidRPr="006F283B">
        <w:rPr>
          <w:color w:val="auto"/>
        </w:rPr>
        <w:t>(paragraph 6.</w:t>
      </w:r>
      <w:r w:rsidR="00F3453F" w:rsidRPr="006F283B">
        <w:rPr>
          <w:color w:val="auto"/>
        </w:rPr>
        <w:t>53</w:t>
      </w:r>
      <w:r w:rsidRPr="006F283B">
        <w:rPr>
          <w:color w:val="auto"/>
        </w:rPr>
        <w:t>, niraparib</w:t>
      </w:r>
      <w:r w:rsidR="00F3453F" w:rsidRPr="006F283B">
        <w:rPr>
          <w:color w:val="auto"/>
        </w:rPr>
        <w:t xml:space="preserve"> PSD</w:t>
      </w:r>
      <w:r w:rsidRPr="006F283B">
        <w:rPr>
          <w:color w:val="auto"/>
        </w:rPr>
        <w:t>, March 2022 PBAC meeting).</w:t>
      </w:r>
    </w:p>
    <w:p w14:paraId="332607FF" w14:textId="435FCE77" w:rsidR="00843998" w:rsidRPr="006F283B" w:rsidRDefault="00843998" w:rsidP="00C07F3A">
      <w:pPr>
        <w:pStyle w:val="ListParagraph"/>
        <w:spacing w:before="0" w:after="120"/>
        <w:rPr>
          <w:color w:val="auto"/>
        </w:rPr>
      </w:pPr>
      <w:r w:rsidRPr="006F283B">
        <w:rPr>
          <w:color w:val="auto"/>
        </w:rPr>
        <w:t xml:space="preserve">The submission claimed that due to its short-term follow-up, PRIMA data was expected to underestimate the total number of patients receiving subsequent therapy (with or without associated maintenance therapy) and the average number of subsequent therapies. Consequently, the model assumed all patients experiencing disease progression </w:t>
      </w:r>
      <w:r w:rsidR="00CE7A98" w:rsidRPr="006F283B">
        <w:rPr>
          <w:color w:val="auto"/>
        </w:rPr>
        <w:t xml:space="preserve">for </w:t>
      </w:r>
      <w:r w:rsidRPr="006F283B">
        <w:rPr>
          <w:color w:val="auto"/>
        </w:rPr>
        <w:t xml:space="preserve">NDA HGEOC received a single line of subsequent anti-cancer treatment and applied subsequent treatment costs to all patients transitioning from the PF health state. The submission acknowledged that this may overestimate the proportion of patients going on to subsequent therapy, as a minority of patients will transition directly from PF to death and noted that this approach was conservative. </w:t>
      </w:r>
    </w:p>
    <w:p w14:paraId="550D897E" w14:textId="292E9E2B" w:rsidR="00843998" w:rsidRPr="006F283B" w:rsidRDefault="00843998" w:rsidP="00C07F3A">
      <w:pPr>
        <w:pStyle w:val="ListParagraph"/>
        <w:spacing w:before="0" w:after="120"/>
        <w:rPr>
          <w:color w:val="auto"/>
        </w:rPr>
      </w:pPr>
      <w:r w:rsidRPr="006F283B">
        <w:rPr>
          <w:color w:val="auto"/>
        </w:rPr>
        <w:t>The model applied a safety cost of $440.68 for niraparib patients only, to account for A</w:t>
      </w:r>
      <w:r w:rsidR="006352BB" w:rsidRPr="006F283B">
        <w:rPr>
          <w:color w:val="auto"/>
        </w:rPr>
        <w:t>E</w:t>
      </w:r>
      <w:r w:rsidRPr="006F283B">
        <w:rPr>
          <w:color w:val="auto"/>
        </w:rPr>
        <w:t>s due to thrombocytopenia and anaemia based on the results of the PRIMA ISD cohort. This was consistent with the claim of inferior safety.</w:t>
      </w:r>
      <w:r w:rsidRPr="006F283B">
        <w:rPr>
          <w:iCs/>
          <w:color w:val="auto"/>
        </w:rPr>
        <w:t xml:space="preserve"> </w:t>
      </w:r>
    </w:p>
    <w:p w14:paraId="03608809" w14:textId="140C4264" w:rsidR="00843998" w:rsidRPr="006F283B" w:rsidRDefault="00843998" w:rsidP="00C07F3A">
      <w:pPr>
        <w:pStyle w:val="ListParagraph"/>
        <w:spacing w:before="0" w:after="120"/>
      </w:pPr>
      <w:r w:rsidRPr="006F283B">
        <w:t xml:space="preserve">A summary of the key drivers of the model </w:t>
      </w:r>
      <w:r w:rsidR="00D62731" w:rsidRPr="006F283B">
        <w:t xml:space="preserve">is </w:t>
      </w:r>
      <w:r w:rsidRPr="006F283B">
        <w:t>provided in the table below. As expected from the use of short follow-up data to inform a 20-year model, many of the drivers relate to the extrapolation functions applied.</w:t>
      </w:r>
    </w:p>
    <w:p w14:paraId="294F6BE8" w14:textId="4CF5C9DB" w:rsidR="00843998" w:rsidRPr="006F283B" w:rsidRDefault="00CB2BDC" w:rsidP="00D016AD">
      <w:pPr>
        <w:pStyle w:val="Caption"/>
        <w:pageBreakBefore/>
      </w:pPr>
      <w:r w:rsidRPr="006F283B">
        <w:lastRenderedPageBreak/>
        <w:t xml:space="preserve">Table </w:t>
      </w:r>
      <w:r w:rsidR="00091054">
        <w:fldChar w:fldCharType="begin" w:fldLock="1"/>
      </w:r>
      <w:r w:rsidR="00091054">
        <w:instrText xml:space="preserve"> SEQ Table \* A</w:instrText>
      </w:r>
      <w:r w:rsidR="00091054">
        <w:instrText xml:space="preserve">RABIC </w:instrText>
      </w:r>
      <w:r w:rsidR="00091054">
        <w:fldChar w:fldCharType="separate"/>
      </w:r>
      <w:r w:rsidR="00305654">
        <w:rPr>
          <w:noProof/>
        </w:rPr>
        <w:t>16</w:t>
      </w:r>
      <w:r w:rsidR="00091054">
        <w:rPr>
          <w:noProof/>
        </w:rPr>
        <w:fldChar w:fldCharType="end"/>
      </w:r>
      <w:r w:rsidR="00C07F3A">
        <w:t xml:space="preserve">: </w:t>
      </w:r>
      <w:r w:rsidR="00843998" w:rsidRPr="006F283B">
        <w:t xml:space="preserve">Key drivers of the model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7"/>
        <w:gridCol w:w="3120"/>
        <w:gridCol w:w="4059"/>
      </w:tblGrid>
      <w:tr w:rsidR="00843998" w:rsidRPr="006F283B" w14:paraId="6F5C369C" w14:textId="77777777" w:rsidTr="004E1FEC">
        <w:trPr>
          <w:tblHeader/>
        </w:trPr>
        <w:tc>
          <w:tcPr>
            <w:tcW w:w="1019" w:type="pct"/>
            <w:shd w:val="clear" w:color="auto" w:fill="auto"/>
            <w:vAlign w:val="center"/>
          </w:tcPr>
          <w:p w14:paraId="66EB6451" w14:textId="77777777" w:rsidR="00843998" w:rsidRPr="006F283B" w:rsidRDefault="00843998" w:rsidP="002907CC">
            <w:pPr>
              <w:pStyle w:val="In-tableHeading"/>
              <w:keepLines/>
              <w:rPr>
                <w:lang w:val="en-AU"/>
              </w:rPr>
            </w:pPr>
            <w:r w:rsidRPr="006F283B">
              <w:rPr>
                <w:lang w:val="en-AU"/>
              </w:rPr>
              <w:t>Description</w:t>
            </w:r>
          </w:p>
        </w:tc>
        <w:tc>
          <w:tcPr>
            <w:tcW w:w="1730" w:type="pct"/>
            <w:shd w:val="clear" w:color="auto" w:fill="auto"/>
            <w:vAlign w:val="center"/>
          </w:tcPr>
          <w:p w14:paraId="6F746ABD" w14:textId="77777777" w:rsidR="00843998" w:rsidRPr="006F283B" w:rsidRDefault="00843998" w:rsidP="002907CC">
            <w:pPr>
              <w:pStyle w:val="In-tableHeading"/>
              <w:keepLines/>
              <w:rPr>
                <w:lang w:val="en-AU"/>
              </w:rPr>
            </w:pPr>
            <w:r w:rsidRPr="006F283B">
              <w:rPr>
                <w:lang w:val="en-AU"/>
              </w:rPr>
              <w:t>Method/Value</w:t>
            </w:r>
          </w:p>
        </w:tc>
        <w:tc>
          <w:tcPr>
            <w:tcW w:w="2251" w:type="pct"/>
            <w:shd w:val="clear" w:color="auto" w:fill="auto"/>
            <w:vAlign w:val="center"/>
          </w:tcPr>
          <w:p w14:paraId="602FC367" w14:textId="77777777" w:rsidR="00843998" w:rsidRPr="006F283B" w:rsidRDefault="00843998" w:rsidP="002907CC">
            <w:pPr>
              <w:pStyle w:val="In-tableHeading"/>
              <w:keepLines/>
              <w:jc w:val="center"/>
              <w:rPr>
                <w:lang w:val="en-AU"/>
              </w:rPr>
            </w:pPr>
            <w:r w:rsidRPr="006F283B">
              <w:rPr>
                <w:lang w:val="en-AU"/>
              </w:rPr>
              <w:t>Impact</w:t>
            </w:r>
          </w:p>
          <w:p w14:paraId="2368323E" w14:textId="5D036AA6" w:rsidR="00843998" w:rsidRPr="006F283B" w:rsidRDefault="00843998" w:rsidP="002907CC">
            <w:pPr>
              <w:pStyle w:val="TableText"/>
              <w:keepNext/>
              <w:keepLines/>
              <w:widowControl/>
              <w:jc w:val="center"/>
            </w:pPr>
            <w:r w:rsidRPr="006F283B">
              <w:rPr>
                <w:rFonts w:cs="Arial"/>
                <w:szCs w:val="20"/>
              </w:rPr>
              <w:t>Base case: $</w:t>
            </w:r>
            <w:r w:rsidR="00093050" w:rsidRPr="00093050">
              <w:rPr>
                <w:rFonts w:cs="Arial"/>
                <w:color w:val="000000"/>
                <w:szCs w:val="20"/>
                <w:shd w:val="solid" w:color="000000" w:fill="000000"/>
                <w14:textFill>
                  <w14:solidFill>
                    <w14:srgbClr w14:val="000000">
                      <w14:alpha w14:val="100000"/>
                    </w14:srgbClr>
                  </w14:solidFill>
                </w14:textFill>
              </w:rPr>
              <w:t>|</w:t>
            </w:r>
            <w:r w:rsidR="002907CC">
              <w:rPr>
                <w:rFonts w:cs="Arial"/>
                <w:szCs w:val="20"/>
                <w:vertAlign w:val="superscript"/>
              </w:rPr>
              <w:t>1</w:t>
            </w:r>
            <w:r w:rsidRPr="006F283B">
              <w:rPr>
                <w:rFonts w:cs="Arial"/>
                <w:szCs w:val="20"/>
              </w:rPr>
              <w:t>/QALY gained</w:t>
            </w:r>
          </w:p>
        </w:tc>
      </w:tr>
      <w:tr w:rsidR="00843998" w:rsidRPr="006F283B" w14:paraId="7C3E4409" w14:textId="77777777" w:rsidTr="004E1FEC">
        <w:trPr>
          <w:tblHeader/>
        </w:trPr>
        <w:tc>
          <w:tcPr>
            <w:tcW w:w="1019" w:type="pct"/>
            <w:shd w:val="clear" w:color="auto" w:fill="auto"/>
            <w:vAlign w:val="center"/>
          </w:tcPr>
          <w:p w14:paraId="3FA7E074" w14:textId="77777777" w:rsidR="00843998" w:rsidRPr="006F283B" w:rsidRDefault="00843998" w:rsidP="002907CC">
            <w:pPr>
              <w:pStyle w:val="In-tableHeading"/>
              <w:keepLines/>
              <w:rPr>
                <w:b w:val="0"/>
                <w:bCs/>
                <w:lang w:val="en-AU"/>
              </w:rPr>
            </w:pPr>
            <w:r w:rsidRPr="006F283B">
              <w:rPr>
                <w:b w:val="0"/>
                <w:bCs/>
                <w:lang w:val="en-AU"/>
              </w:rPr>
              <w:t>Extrapolation function applied to OS for the SMM arm</w:t>
            </w:r>
          </w:p>
        </w:tc>
        <w:tc>
          <w:tcPr>
            <w:tcW w:w="1730" w:type="pct"/>
            <w:shd w:val="clear" w:color="auto" w:fill="auto"/>
            <w:vAlign w:val="center"/>
          </w:tcPr>
          <w:p w14:paraId="265A9DA1" w14:textId="77777777" w:rsidR="00843998" w:rsidRPr="006F283B" w:rsidRDefault="00843998" w:rsidP="002907CC">
            <w:pPr>
              <w:pStyle w:val="In-tableHeading"/>
              <w:keepLines/>
              <w:rPr>
                <w:b w:val="0"/>
                <w:bCs/>
                <w:lang w:val="en-AU"/>
              </w:rPr>
            </w:pPr>
            <w:r w:rsidRPr="006F283B">
              <w:rPr>
                <w:b w:val="0"/>
                <w:bCs/>
                <w:lang w:val="en-AU"/>
              </w:rPr>
              <w:t>Base case Lognormal.</w:t>
            </w:r>
          </w:p>
          <w:p w14:paraId="7D5DFB02" w14:textId="77777777" w:rsidR="00843998" w:rsidRPr="006F283B" w:rsidRDefault="00843998" w:rsidP="002907CC">
            <w:pPr>
              <w:pStyle w:val="In-tableHeading"/>
              <w:keepLines/>
              <w:rPr>
                <w:b w:val="0"/>
                <w:bCs/>
                <w:lang w:val="en-AU"/>
              </w:rPr>
            </w:pPr>
            <w:r w:rsidRPr="006F283B">
              <w:rPr>
                <w:b w:val="0"/>
                <w:bCs/>
                <w:lang w:val="en-AU"/>
              </w:rPr>
              <w:t xml:space="preserve">Submission claimed that similar goodness of fit statistics </w:t>
            </w:r>
            <w:proofErr w:type="gramStart"/>
            <w:r w:rsidRPr="006F283B">
              <w:rPr>
                <w:b w:val="0"/>
                <w:bCs/>
                <w:lang w:val="en-AU"/>
              </w:rPr>
              <w:t>were</w:t>
            </w:r>
            <w:proofErr w:type="gramEnd"/>
            <w:r w:rsidRPr="006F283B">
              <w:rPr>
                <w:b w:val="0"/>
                <w:bCs/>
                <w:lang w:val="en-AU"/>
              </w:rPr>
              <w:t xml:space="preserve"> observed across the models not excluded using visual inspection (Weibull, LogLogistic, LogNormal, Gamma) but that validation against PAOLA-1 indicated the LogNormal was most appropriate.</w:t>
            </w:r>
          </w:p>
        </w:tc>
        <w:tc>
          <w:tcPr>
            <w:tcW w:w="2251" w:type="pct"/>
            <w:shd w:val="clear" w:color="auto" w:fill="auto"/>
            <w:vAlign w:val="center"/>
          </w:tcPr>
          <w:p w14:paraId="19736D8C" w14:textId="77777777" w:rsidR="00843998" w:rsidRPr="006F283B" w:rsidRDefault="00843998" w:rsidP="002907CC">
            <w:pPr>
              <w:pStyle w:val="TableText"/>
              <w:keepNext/>
              <w:keepLines/>
              <w:widowControl/>
              <w:spacing w:line="256" w:lineRule="auto"/>
              <w:rPr>
                <w:bCs/>
              </w:rPr>
            </w:pPr>
            <w:r w:rsidRPr="006F283B">
              <w:rPr>
                <w:bCs/>
              </w:rPr>
              <w:t xml:space="preserve">High, favours niraparib. Using the Weibull function </w:t>
            </w:r>
            <w:proofErr w:type="gramStart"/>
            <w:r w:rsidRPr="006F283B">
              <w:rPr>
                <w:bCs/>
              </w:rPr>
              <w:t>lead</w:t>
            </w:r>
            <w:proofErr w:type="gramEnd"/>
            <w:r w:rsidRPr="006F283B">
              <w:rPr>
                <w:bCs/>
              </w:rPr>
              <w:t xml:space="preserve"> to a +34.68% change in ICER and using the Gompertz function lead to a +131.87% change in ICER.</w:t>
            </w:r>
          </w:p>
        </w:tc>
      </w:tr>
      <w:tr w:rsidR="00843998" w:rsidRPr="006F283B" w14:paraId="6888D7DD" w14:textId="77777777" w:rsidTr="004E1FEC">
        <w:trPr>
          <w:tblHeader/>
        </w:trPr>
        <w:tc>
          <w:tcPr>
            <w:tcW w:w="1019" w:type="pct"/>
            <w:shd w:val="clear" w:color="auto" w:fill="auto"/>
            <w:vAlign w:val="center"/>
          </w:tcPr>
          <w:p w14:paraId="7BC5059A" w14:textId="57DD2508" w:rsidR="00843998" w:rsidRPr="006F283B" w:rsidRDefault="00843998" w:rsidP="002907CC">
            <w:pPr>
              <w:pStyle w:val="In-tableHeading"/>
              <w:keepLines/>
              <w:rPr>
                <w:b w:val="0"/>
                <w:bCs/>
                <w:lang w:val="en-AU"/>
              </w:rPr>
            </w:pPr>
            <w:r w:rsidRPr="006F283B">
              <w:rPr>
                <w:b w:val="0"/>
                <w:bCs/>
                <w:lang w:val="en-AU"/>
              </w:rPr>
              <w:t xml:space="preserve">OS HR in HRD positive </w:t>
            </w:r>
            <w:r w:rsidR="001152C0" w:rsidRPr="001152C0">
              <w:rPr>
                <w:b w:val="0"/>
                <w:bCs/>
                <w:i/>
                <w:iCs/>
                <w:lang w:val="en-AU"/>
              </w:rPr>
              <w:t>BRCAwt</w:t>
            </w:r>
            <w:r w:rsidRPr="006F283B">
              <w:rPr>
                <w:b w:val="0"/>
                <w:bCs/>
                <w:lang w:val="en-AU"/>
              </w:rPr>
              <w:t xml:space="preserve"> niraparib patients</w:t>
            </w:r>
          </w:p>
        </w:tc>
        <w:tc>
          <w:tcPr>
            <w:tcW w:w="1730" w:type="pct"/>
            <w:shd w:val="clear" w:color="auto" w:fill="auto"/>
            <w:vAlign w:val="center"/>
          </w:tcPr>
          <w:p w14:paraId="5074DA5B" w14:textId="77777777" w:rsidR="00843998" w:rsidRPr="006F283B" w:rsidRDefault="00843998" w:rsidP="002907CC">
            <w:pPr>
              <w:pStyle w:val="In-tableHeading"/>
              <w:keepLines/>
              <w:rPr>
                <w:b w:val="0"/>
                <w:bCs/>
                <w:lang w:val="en-AU"/>
              </w:rPr>
            </w:pPr>
            <w:r w:rsidRPr="006F283B">
              <w:rPr>
                <w:b w:val="0"/>
                <w:bCs/>
                <w:lang w:val="en-AU"/>
              </w:rPr>
              <w:t>Base case = 0.69 with convergence started at 80 months</w:t>
            </w:r>
          </w:p>
          <w:p w14:paraId="2DE9C72D" w14:textId="77777777" w:rsidR="00843998" w:rsidRPr="006F283B" w:rsidRDefault="00843998" w:rsidP="002907CC">
            <w:pPr>
              <w:pStyle w:val="In-tableHeading"/>
              <w:keepLines/>
              <w:rPr>
                <w:b w:val="0"/>
                <w:bCs/>
                <w:lang w:val="en-AU"/>
              </w:rPr>
            </w:pPr>
            <w:r w:rsidRPr="006F283B">
              <w:rPr>
                <w:b w:val="0"/>
                <w:bCs/>
                <w:lang w:val="en-AU"/>
              </w:rPr>
              <w:t>HR derived from SOLO-1 PFS and OS data.</w:t>
            </w:r>
          </w:p>
        </w:tc>
        <w:tc>
          <w:tcPr>
            <w:tcW w:w="2251" w:type="pct"/>
            <w:shd w:val="clear" w:color="auto" w:fill="auto"/>
            <w:vAlign w:val="center"/>
          </w:tcPr>
          <w:p w14:paraId="7C8AD552" w14:textId="77777777" w:rsidR="00843998" w:rsidRPr="006F283B" w:rsidRDefault="00843998" w:rsidP="002907CC">
            <w:pPr>
              <w:pStyle w:val="TableText"/>
              <w:keepNext/>
              <w:keepLines/>
              <w:widowControl/>
              <w:spacing w:line="256" w:lineRule="auto"/>
            </w:pPr>
            <w:r w:rsidRPr="006F283B">
              <w:t>High, favours niraparib.</w:t>
            </w:r>
          </w:p>
          <w:p w14:paraId="7526B208" w14:textId="77777777" w:rsidR="00843998" w:rsidRPr="006F283B" w:rsidRDefault="00843998" w:rsidP="002907CC">
            <w:pPr>
              <w:pStyle w:val="TableText"/>
              <w:keepNext/>
              <w:keepLines/>
              <w:widowControl/>
              <w:spacing w:line="256" w:lineRule="auto"/>
            </w:pPr>
            <w:r w:rsidRPr="006F283B">
              <w:t>Changing the HR to 0.8 (convergences starts at 70 months) and 0.95 (start convergence at 70 months) resulted in changes in the ICER of +42.85% and +152.69%, respectively.</w:t>
            </w:r>
          </w:p>
        </w:tc>
      </w:tr>
      <w:tr w:rsidR="00843998" w:rsidRPr="006F283B" w14:paraId="28316C3E" w14:textId="77777777" w:rsidTr="004E1FEC">
        <w:trPr>
          <w:tblHeader/>
        </w:trPr>
        <w:tc>
          <w:tcPr>
            <w:tcW w:w="1019" w:type="pct"/>
            <w:shd w:val="clear" w:color="auto" w:fill="auto"/>
            <w:vAlign w:val="center"/>
          </w:tcPr>
          <w:p w14:paraId="64CE15F8" w14:textId="77777777" w:rsidR="00843998" w:rsidRPr="006F283B" w:rsidRDefault="00843998" w:rsidP="002907CC">
            <w:pPr>
              <w:pStyle w:val="In-tableHeading"/>
              <w:keepLines/>
              <w:rPr>
                <w:b w:val="0"/>
                <w:bCs/>
                <w:lang w:val="en-AU"/>
              </w:rPr>
            </w:pPr>
            <w:r w:rsidRPr="006F283B">
              <w:rPr>
                <w:b w:val="0"/>
                <w:bCs/>
                <w:lang w:val="en-AU"/>
              </w:rPr>
              <w:t>Duration of applying the HR for the OS extrapolation, niraparib arm.</w:t>
            </w:r>
          </w:p>
        </w:tc>
        <w:tc>
          <w:tcPr>
            <w:tcW w:w="1730" w:type="pct"/>
            <w:shd w:val="clear" w:color="auto" w:fill="auto"/>
            <w:vAlign w:val="center"/>
          </w:tcPr>
          <w:p w14:paraId="512DBF62" w14:textId="77777777" w:rsidR="00843998" w:rsidRPr="006F283B" w:rsidRDefault="00843998" w:rsidP="002907CC">
            <w:pPr>
              <w:pStyle w:val="In-tableHeading"/>
              <w:keepLines/>
              <w:rPr>
                <w:b w:val="0"/>
                <w:bCs/>
                <w:lang w:val="en-AU"/>
              </w:rPr>
            </w:pPr>
            <w:r w:rsidRPr="006F283B">
              <w:rPr>
                <w:b w:val="0"/>
                <w:bCs/>
                <w:lang w:val="en-AU"/>
              </w:rPr>
              <w:t>Base case: convergence from 80 months to 240 months</w:t>
            </w:r>
          </w:p>
          <w:p w14:paraId="6313E8D8" w14:textId="77777777" w:rsidR="00843998" w:rsidRPr="006F283B" w:rsidRDefault="00843998" w:rsidP="002907CC">
            <w:pPr>
              <w:pStyle w:val="In-tableHeading"/>
              <w:keepLines/>
              <w:rPr>
                <w:b w:val="0"/>
                <w:bCs/>
                <w:lang w:val="en-AU"/>
              </w:rPr>
            </w:pPr>
            <w:r w:rsidRPr="006F283B">
              <w:rPr>
                <w:b w:val="0"/>
                <w:bCs/>
                <w:lang w:val="en-AU"/>
              </w:rPr>
              <w:t>OS HRs applied until estimated median OS (based on niraparib survival derived from the applied HRs).</w:t>
            </w:r>
          </w:p>
        </w:tc>
        <w:tc>
          <w:tcPr>
            <w:tcW w:w="2251" w:type="pct"/>
            <w:shd w:val="clear" w:color="auto" w:fill="auto"/>
            <w:vAlign w:val="center"/>
          </w:tcPr>
          <w:p w14:paraId="0DD882EF" w14:textId="77777777" w:rsidR="00843998" w:rsidRPr="006F283B" w:rsidRDefault="00843998" w:rsidP="002907CC">
            <w:pPr>
              <w:pStyle w:val="TableText"/>
              <w:keepNext/>
              <w:keepLines/>
              <w:widowControl/>
              <w:spacing w:line="256" w:lineRule="auto"/>
            </w:pPr>
            <w:r w:rsidRPr="006F283B">
              <w:t>Moderate, uncertain which treatment is favoured.</w:t>
            </w:r>
          </w:p>
          <w:p w14:paraId="4623C3D8" w14:textId="77777777" w:rsidR="00843998" w:rsidRPr="006F283B" w:rsidRDefault="00843998" w:rsidP="002907CC">
            <w:pPr>
              <w:pStyle w:val="TableText"/>
              <w:keepNext/>
              <w:keepLines/>
              <w:widowControl/>
              <w:spacing w:line="256" w:lineRule="auto"/>
            </w:pPr>
            <w:r w:rsidRPr="006F283B">
              <w:t xml:space="preserve">If convergence is applied from 36 months to 240 </w:t>
            </w:r>
            <w:proofErr w:type="gramStart"/>
            <w:r w:rsidRPr="006F283B">
              <w:t>months</w:t>
            </w:r>
            <w:proofErr w:type="gramEnd"/>
            <w:r w:rsidRPr="006F283B">
              <w:t xml:space="preserve"> the ICER changed by +25.51%.</w:t>
            </w:r>
          </w:p>
          <w:p w14:paraId="651D1813" w14:textId="77777777" w:rsidR="00843998" w:rsidRPr="006F283B" w:rsidRDefault="00843998" w:rsidP="002907CC">
            <w:pPr>
              <w:pStyle w:val="TableText"/>
              <w:keepNext/>
              <w:keepLines/>
              <w:widowControl/>
              <w:spacing w:line="256" w:lineRule="auto"/>
            </w:pPr>
            <w:r w:rsidRPr="006F283B">
              <w:t>If no convergence is applied, ICER changes by -26.93%</w:t>
            </w:r>
          </w:p>
        </w:tc>
      </w:tr>
      <w:tr w:rsidR="00843998" w:rsidRPr="006F283B" w14:paraId="50A08908" w14:textId="77777777" w:rsidTr="004E1FEC">
        <w:trPr>
          <w:tblHeader/>
        </w:trPr>
        <w:tc>
          <w:tcPr>
            <w:tcW w:w="1019" w:type="pct"/>
            <w:shd w:val="clear" w:color="auto" w:fill="auto"/>
            <w:vAlign w:val="center"/>
          </w:tcPr>
          <w:p w14:paraId="0B124A1D" w14:textId="77777777" w:rsidR="00843998" w:rsidRPr="006F283B" w:rsidRDefault="00843998" w:rsidP="002907CC">
            <w:pPr>
              <w:pStyle w:val="In-tableHeading"/>
              <w:keepLines/>
              <w:rPr>
                <w:b w:val="0"/>
                <w:bCs/>
                <w:lang w:val="en-AU"/>
              </w:rPr>
            </w:pPr>
            <w:r w:rsidRPr="006F283B">
              <w:rPr>
                <w:b w:val="0"/>
                <w:bCs/>
                <w:lang w:val="en-AU"/>
              </w:rPr>
              <w:t>Time horizon</w:t>
            </w:r>
          </w:p>
        </w:tc>
        <w:tc>
          <w:tcPr>
            <w:tcW w:w="1730" w:type="pct"/>
            <w:shd w:val="clear" w:color="auto" w:fill="auto"/>
            <w:vAlign w:val="center"/>
          </w:tcPr>
          <w:p w14:paraId="57B1E7DE" w14:textId="77777777" w:rsidR="00843998" w:rsidRPr="006F283B" w:rsidRDefault="00843998" w:rsidP="002907CC">
            <w:pPr>
              <w:pStyle w:val="In-tableHeading"/>
              <w:keepLines/>
              <w:rPr>
                <w:b w:val="0"/>
                <w:bCs/>
                <w:lang w:val="en-AU"/>
              </w:rPr>
            </w:pPr>
            <w:r w:rsidRPr="006F283B">
              <w:rPr>
                <w:b w:val="0"/>
                <w:bCs/>
                <w:lang w:val="en-AU"/>
              </w:rPr>
              <w:t>Base case: 20 years</w:t>
            </w:r>
          </w:p>
        </w:tc>
        <w:tc>
          <w:tcPr>
            <w:tcW w:w="2251" w:type="pct"/>
            <w:shd w:val="clear" w:color="auto" w:fill="auto"/>
            <w:vAlign w:val="center"/>
          </w:tcPr>
          <w:p w14:paraId="5F19055D" w14:textId="77777777" w:rsidR="00843998" w:rsidRPr="006F283B" w:rsidRDefault="00843998" w:rsidP="002907CC">
            <w:pPr>
              <w:pStyle w:val="TableText"/>
              <w:keepNext/>
              <w:keepLines/>
              <w:widowControl/>
              <w:spacing w:line="256" w:lineRule="auto"/>
            </w:pPr>
            <w:r w:rsidRPr="006F283B">
              <w:t>Moderate, favours niraparib.</w:t>
            </w:r>
          </w:p>
          <w:p w14:paraId="5DEFB932" w14:textId="77777777" w:rsidR="00843998" w:rsidRPr="006F283B" w:rsidRDefault="00843998" w:rsidP="002907CC">
            <w:pPr>
              <w:pStyle w:val="TableText"/>
              <w:keepNext/>
              <w:keepLines/>
              <w:widowControl/>
              <w:spacing w:line="256" w:lineRule="auto"/>
            </w:pPr>
            <w:r w:rsidRPr="006F283B">
              <w:t>Decreasing the time horizon to 15 and 10 years lead to changes in the ICER of +14.86% and +42.43%, respectively.</w:t>
            </w:r>
          </w:p>
        </w:tc>
      </w:tr>
      <w:tr w:rsidR="00843998" w:rsidRPr="006F283B" w14:paraId="105094E7" w14:textId="77777777" w:rsidTr="004E1FEC">
        <w:trPr>
          <w:tblHeader/>
        </w:trPr>
        <w:tc>
          <w:tcPr>
            <w:tcW w:w="1019" w:type="pct"/>
            <w:shd w:val="clear" w:color="auto" w:fill="auto"/>
            <w:vAlign w:val="center"/>
          </w:tcPr>
          <w:p w14:paraId="39B5D7E4" w14:textId="77777777" w:rsidR="00843998" w:rsidRPr="006F283B" w:rsidRDefault="00843998" w:rsidP="002907CC">
            <w:pPr>
              <w:pStyle w:val="In-tableHeading"/>
              <w:keepLines/>
              <w:rPr>
                <w:b w:val="0"/>
                <w:bCs/>
                <w:lang w:val="en-AU"/>
              </w:rPr>
            </w:pPr>
            <w:r w:rsidRPr="006F283B">
              <w:rPr>
                <w:b w:val="0"/>
                <w:bCs/>
                <w:lang w:val="en-AU"/>
              </w:rPr>
              <w:t>Extrapolation function used for the TTD curve for niraparib arm.</w:t>
            </w:r>
          </w:p>
        </w:tc>
        <w:tc>
          <w:tcPr>
            <w:tcW w:w="1730" w:type="pct"/>
            <w:shd w:val="clear" w:color="auto" w:fill="auto"/>
            <w:vAlign w:val="center"/>
          </w:tcPr>
          <w:p w14:paraId="10281375" w14:textId="77777777" w:rsidR="00843998" w:rsidRPr="006F283B" w:rsidRDefault="00843998" w:rsidP="002907CC">
            <w:pPr>
              <w:pStyle w:val="In-tableHeading"/>
              <w:keepLines/>
              <w:rPr>
                <w:b w:val="0"/>
                <w:bCs/>
                <w:lang w:val="en-AU"/>
              </w:rPr>
            </w:pPr>
            <w:r w:rsidRPr="006F283B">
              <w:rPr>
                <w:b w:val="0"/>
                <w:bCs/>
                <w:lang w:val="en-AU"/>
              </w:rPr>
              <w:t>Base case: Exponential</w:t>
            </w:r>
          </w:p>
          <w:p w14:paraId="6C7F29DF" w14:textId="77777777" w:rsidR="00843998" w:rsidRPr="006F283B" w:rsidRDefault="00843998" w:rsidP="002907CC">
            <w:pPr>
              <w:pStyle w:val="In-tableHeading"/>
              <w:keepLines/>
              <w:rPr>
                <w:b w:val="0"/>
                <w:bCs/>
                <w:lang w:val="en-AU"/>
              </w:rPr>
            </w:pPr>
            <w:r w:rsidRPr="006F283B">
              <w:rPr>
                <w:b w:val="0"/>
                <w:bCs/>
                <w:lang w:val="en-AU"/>
              </w:rPr>
              <w:t>Found to have the best goodness of fit based on BIC, although Loglogistic was best based on AIC.</w:t>
            </w:r>
          </w:p>
        </w:tc>
        <w:tc>
          <w:tcPr>
            <w:tcW w:w="2251" w:type="pct"/>
            <w:shd w:val="clear" w:color="auto" w:fill="auto"/>
            <w:vAlign w:val="center"/>
          </w:tcPr>
          <w:p w14:paraId="65763CF5" w14:textId="77777777" w:rsidR="00843998" w:rsidRPr="006F283B" w:rsidRDefault="00843998" w:rsidP="002907CC">
            <w:pPr>
              <w:pStyle w:val="TableText"/>
              <w:keepNext/>
              <w:keepLines/>
              <w:widowControl/>
              <w:spacing w:line="256" w:lineRule="auto"/>
            </w:pPr>
            <w:r w:rsidRPr="006F283B">
              <w:t>Moderate, favours niraparib.</w:t>
            </w:r>
          </w:p>
          <w:p w14:paraId="040D610B" w14:textId="77777777" w:rsidR="00843998" w:rsidRPr="006F283B" w:rsidRDefault="00843998" w:rsidP="002907CC">
            <w:pPr>
              <w:pStyle w:val="TableText"/>
              <w:keepNext/>
              <w:keepLines/>
              <w:widowControl/>
              <w:spacing w:line="256" w:lineRule="auto"/>
              <w:rPr>
                <w:bCs/>
              </w:rPr>
            </w:pPr>
            <w:r w:rsidRPr="006F283B">
              <w:t>Changing to Lognormal and Loglogistic lead to changes in the ICER of +32.19% and +31.21%, respectively.</w:t>
            </w:r>
          </w:p>
        </w:tc>
      </w:tr>
    </w:tbl>
    <w:p w14:paraId="336EF5C3" w14:textId="6323E15B" w:rsidR="00CB2BDC" w:rsidRPr="006F283B" w:rsidRDefault="00CB2BDC" w:rsidP="002907CC">
      <w:pPr>
        <w:pStyle w:val="TableFigureFooter"/>
        <w:keepNext/>
        <w:keepLines/>
      </w:pPr>
      <w:r w:rsidRPr="006F283B">
        <w:t>Source: Constructed during evaluation using Zejula (niraparib) 1L HRD_non</w:t>
      </w:r>
      <w:r w:rsidR="001152C0" w:rsidRPr="001152C0">
        <w:rPr>
          <w:i/>
          <w:iCs/>
        </w:rPr>
        <w:t>BRCAm</w:t>
      </w:r>
      <w:r w:rsidRPr="006F283B">
        <w:t xml:space="preserve"> CUA.xls.</w:t>
      </w:r>
    </w:p>
    <w:p w14:paraId="09C71FB5" w14:textId="21F7CAE2" w:rsidR="00843998" w:rsidRDefault="00843998" w:rsidP="002907CC">
      <w:pPr>
        <w:pStyle w:val="TableFigureFooter"/>
        <w:keepNext/>
        <w:keepLines/>
      </w:pPr>
      <w:r w:rsidRPr="006F283B">
        <w:t>AIC = Akaike information criterion; BIC = Bayesian information criterion; ICER = incremental cost effectiveness; QALY – quality adjusted life year; OS = overall survival; PFS = progression free survival; TTD = time to discontinuation</w:t>
      </w:r>
    </w:p>
    <w:p w14:paraId="732C7585" w14:textId="77777777" w:rsidR="002907CC" w:rsidRPr="009A6D58" w:rsidRDefault="002907CC" w:rsidP="002907CC">
      <w:pPr>
        <w:keepNext/>
        <w:keepLines/>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lang w:eastAsia="en-AU"/>
        </w:rPr>
        <w:t xml:space="preserve">The redacted values correspond to the following ranges: </w:t>
      </w:r>
    </w:p>
    <w:p w14:paraId="3A2F0230" w14:textId="62B45778" w:rsidR="002907CC" w:rsidRPr="006F283B" w:rsidRDefault="002907CC" w:rsidP="002907CC">
      <w:pPr>
        <w:keepNext/>
        <w:keepLines/>
        <w:spacing w:before="0" w:after="120"/>
      </w:pPr>
      <w:r w:rsidRPr="009A6D58">
        <w:rPr>
          <w:rFonts w:ascii="Arial Narrow" w:eastAsia="Times New Roman" w:hAnsi="Arial Narrow" w:cs="Arial"/>
          <w:i/>
          <w:sz w:val="18"/>
          <w:szCs w:val="18"/>
          <w:vertAlign w:val="superscript"/>
          <w:lang w:eastAsia="en-AU"/>
        </w:rPr>
        <w:t>1</w:t>
      </w:r>
      <w:r>
        <w:rPr>
          <w:rFonts w:ascii="Arial Narrow" w:eastAsia="Times New Roman" w:hAnsi="Arial Narrow" w:cs="Arial"/>
          <w:i/>
          <w:sz w:val="18"/>
          <w:szCs w:val="18"/>
          <w:lang w:eastAsia="en-AU"/>
        </w:rPr>
        <w:t xml:space="preserve"> </w:t>
      </w:r>
      <w:r w:rsidRPr="002907CC">
        <w:rPr>
          <w:rFonts w:ascii="Arial Narrow" w:eastAsia="Times New Roman" w:hAnsi="Arial Narrow" w:cs="Arial"/>
          <w:i/>
          <w:sz w:val="18"/>
          <w:szCs w:val="18"/>
          <w:lang w:eastAsia="en-AU"/>
        </w:rPr>
        <w:t>$55,000 to &lt; $75,000</w:t>
      </w:r>
    </w:p>
    <w:p w14:paraId="37182BBC" w14:textId="5F14A1C2" w:rsidR="00843998" w:rsidRPr="006F283B" w:rsidRDefault="00843998" w:rsidP="00C07F3A">
      <w:pPr>
        <w:pStyle w:val="ListParagraph"/>
        <w:spacing w:before="0" w:after="120"/>
      </w:pPr>
      <w:r w:rsidRPr="006F283B">
        <w:t xml:space="preserve">The cost of the </w:t>
      </w:r>
      <w:r w:rsidR="001152C0" w:rsidRPr="001152C0">
        <w:rPr>
          <w:i/>
        </w:rPr>
        <w:t xml:space="preserve">BRCA </w:t>
      </w:r>
      <w:r w:rsidRPr="006F283B">
        <w:t xml:space="preserve">test used in the submission was $1,200 (MBS item 73301). While the current fee for MBS item 73301 is $1,200, MSAC previously advised that the fee for MBS items to test for pathogenic variants in only the </w:t>
      </w:r>
      <w:r w:rsidR="001152C0" w:rsidRPr="001152C0">
        <w:rPr>
          <w:i/>
        </w:rPr>
        <w:t>BRCA1</w:t>
      </w:r>
      <w:r w:rsidRPr="006F283B">
        <w:t xml:space="preserve"> and </w:t>
      </w:r>
      <w:r w:rsidR="001152C0" w:rsidRPr="001152C0">
        <w:rPr>
          <w:i/>
        </w:rPr>
        <w:t>BRCA2</w:t>
      </w:r>
      <w:r w:rsidRPr="006F283B">
        <w:t xml:space="preserve"> genes should be reduced from $1,200 to $1,000 (p1, Application No. 1618 MSAC PSD, MSAC meeting November 2021) as reflected in the new MBS item 73304 for prostate cancer.</w:t>
      </w:r>
    </w:p>
    <w:p w14:paraId="3E1D46D2" w14:textId="0335DA3B" w:rsidR="00843998" w:rsidRPr="006F283B" w:rsidRDefault="00843998" w:rsidP="00C07F3A">
      <w:pPr>
        <w:pStyle w:val="ListParagraph"/>
        <w:spacing w:before="0" w:after="120"/>
      </w:pPr>
      <w:r w:rsidRPr="006F283B">
        <w:t xml:space="preserve">The </w:t>
      </w:r>
      <w:r w:rsidR="00FF6077" w:rsidRPr="006F283B">
        <w:t xml:space="preserve">corrected </w:t>
      </w:r>
      <w:r w:rsidRPr="006F283B">
        <w:t xml:space="preserve">base case ICER was </w:t>
      </w:r>
      <w:r w:rsidR="002907CC" w:rsidRPr="002907CC">
        <w:t>$55,000 to &lt; $75,000</w:t>
      </w:r>
      <w:r w:rsidRPr="006F283B">
        <w:t>/QALY</w:t>
      </w:r>
      <w:r w:rsidR="00AF4732" w:rsidRPr="006F283B">
        <w:t xml:space="preserve"> (</w:t>
      </w:r>
      <w:r w:rsidR="00FF6077" w:rsidRPr="006F283B">
        <w:t xml:space="preserve">with application of half-cycle correction and testing and drug costs </w:t>
      </w:r>
      <w:r w:rsidR="00BF658A" w:rsidRPr="006F283B">
        <w:t>corrected during the evaluation</w:t>
      </w:r>
      <w:r w:rsidR="00AF4732" w:rsidRPr="006F283B">
        <w:t>)</w:t>
      </w:r>
      <w:r w:rsidRPr="006F283B">
        <w:t>, which was an increase of 4.95% compared to the base case ICER presented in the submission (</w:t>
      </w:r>
      <w:r w:rsidR="002907CC" w:rsidRPr="002907CC">
        <w:t>$55,000 to &lt; $75,000</w:t>
      </w:r>
      <w:r w:rsidRPr="006F283B">
        <w:t>/QALY).</w:t>
      </w:r>
      <w:r w:rsidR="00FF6077" w:rsidRPr="006F283B">
        <w:t xml:space="preserve"> The corrected base case ICERs for the trial-based analysis and the modelled analysis are presented below.</w:t>
      </w:r>
    </w:p>
    <w:p w14:paraId="0432ACF3" w14:textId="2517F106" w:rsidR="00843998" w:rsidRPr="006F283B" w:rsidRDefault="00CB2BDC" w:rsidP="00593A64">
      <w:pPr>
        <w:pStyle w:val="Caption"/>
      </w:pPr>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17</w:t>
      </w:r>
      <w:r w:rsidR="00091054">
        <w:rPr>
          <w:noProof/>
        </w:rPr>
        <w:fldChar w:fldCharType="end"/>
      </w:r>
      <w:r w:rsidR="00C07F3A">
        <w:t xml:space="preserve">: </w:t>
      </w:r>
      <w:r w:rsidR="00843998" w:rsidRPr="006F283B">
        <w:t>Presentation of the stepped derivation of the base case economic evaluation from clinical study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4"/>
        <w:gridCol w:w="2362"/>
        <w:gridCol w:w="2362"/>
        <w:gridCol w:w="2038"/>
      </w:tblGrid>
      <w:tr w:rsidR="00843998" w:rsidRPr="006F283B" w14:paraId="594773ED" w14:textId="77777777" w:rsidTr="004E1FEC">
        <w:tc>
          <w:tcPr>
            <w:tcW w:w="1250" w:type="pct"/>
            <w:tcBorders>
              <w:top w:val="single" w:sz="4" w:space="0" w:color="auto"/>
              <w:left w:val="single" w:sz="4" w:space="0" w:color="auto"/>
              <w:bottom w:val="single" w:sz="4" w:space="0" w:color="auto"/>
              <w:right w:val="single" w:sz="4" w:space="0" w:color="auto"/>
            </w:tcBorders>
            <w:vAlign w:val="center"/>
            <w:hideMark/>
          </w:tcPr>
          <w:p w14:paraId="2721A4C5" w14:textId="77777777" w:rsidR="00843998" w:rsidRPr="006F283B" w:rsidRDefault="00843998" w:rsidP="004E1FEC">
            <w:pPr>
              <w:pStyle w:val="TableText"/>
              <w:keepNext/>
              <w:keepLines/>
              <w:widowControl/>
              <w:jc w:val="center"/>
              <w:rPr>
                <w:b/>
              </w:rPr>
            </w:pPr>
            <w:r w:rsidRPr="006F283B">
              <w:rPr>
                <w:b/>
              </w:rPr>
              <w:t>Component</w:t>
            </w:r>
          </w:p>
        </w:tc>
        <w:tc>
          <w:tcPr>
            <w:tcW w:w="1310" w:type="pct"/>
            <w:tcBorders>
              <w:top w:val="single" w:sz="4" w:space="0" w:color="auto"/>
              <w:left w:val="single" w:sz="4" w:space="0" w:color="auto"/>
              <w:bottom w:val="single" w:sz="4" w:space="0" w:color="auto"/>
              <w:right w:val="single" w:sz="4" w:space="0" w:color="auto"/>
            </w:tcBorders>
            <w:vAlign w:val="center"/>
            <w:hideMark/>
          </w:tcPr>
          <w:p w14:paraId="50BADFC6" w14:textId="77777777" w:rsidR="00843998" w:rsidRPr="006F283B" w:rsidRDefault="00843998" w:rsidP="004E1FEC">
            <w:pPr>
              <w:pStyle w:val="TableText"/>
              <w:keepNext/>
              <w:keepLines/>
              <w:widowControl/>
              <w:jc w:val="center"/>
              <w:rPr>
                <w:b/>
              </w:rPr>
            </w:pPr>
            <w:r w:rsidRPr="006F283B">
              <w:rPr>
                <w:b/>
                <w:bCs/>
                <w:color w:val="000000"/>
                <w:szCs w:val="20"/>
              </w:rPr>
              <w:t>Niraparib (proposed scenario)</w:t>
            </w:r>
          </w:p>
        </w:tc>
        <w:tc>
          <w:tcPr>
            <w:tcW w:w="1310" w:type="pct"/>
            <w:tcBorders>
              <w:top w:val="single" w:sz="4" w:space="0" w:color="auto"/>
              <w:left w:val="single" w:sz="4" w:space="0" w:color="auto"/>
              <w:bottom w:val="single" w:sz="4" w:space="0" w:color="auto"/>
              <w:right w:val="single" w:sz="4" w:space="0" w:color="auto"/>
            </w:tcBorders>
            <w:vAlign w:val="center"/>
            <w:hideMark/>
          </w:tcPr>
          <w:p w14:paraId="2C279057" w14:textId="77777777" w:rsidR="00843998" w:rsidRPr="006F283B" w:rsidRDefault="00843998" w:rsidP="004E1FEC">
            <w:pPr>
              <w:pStyle w:val="TableText"/>
              <w:keepNext/>
              <w:keepLines/>
              <w:widowControl/>
              <w:jc w:val="center"/>
              <w:rPr>
                <w:b/>
                <w:bCs/>
                <w:color w:val="000000"/>
                <w:szCs w:val="20"/>
              </w:rPr>
            </w:pPr>
            <w:r w:rsidRPr="006F283B">
              <w:rPr>
                <w:b/>
                <w:bCs/>
                <w:color w:val="000000"/>
                <w:szCs w:val="20"/>
              </w:rPr>
              <w:t>SMM</w:t>
            </w:r>
          </w:p>
          <w:p w14:paraId="04D9122E" w14:textId="77777777" w:rsidR="00843998" w:rsidRPr="006F283B" w:rsidRDefault="00843998" w:rsidP="004E1FEC">
            <w:pPr>
              <w:pStyle w:val="TableText"/>
              <w:keepNext/>
              <w:keepLines/>
              <w:widowControl/>
              <w:jc w:val="center"/>
              <w:rPr>
                <w:b/>
              </w:rPr>
            </w:pPr>
            <w:r w:rsidRPr="006F283B">
              <w:rPr>
                <w:b/>
                <w:bCs/>
                <w:color w:val="000000"/>
                <w:szCs w:val="20"/>
              </w:rPr>
              <w:t>(</w:t>
            </w:r>
            <w:proofErr w:type="gramStart"/>
            <w:r w:rsidRPr="006F283B">
              <w:rPr>
                <w:b/>
                <w:bCs/>
                <w:color w:val="000000"/>
                <w:szCs w:val="20"/>
              </w:rPr>
              <w:t>current</w:t>
            </w:r>
            <w:proofErr w:type="gramEnd"/>
            <w:r w:rsidRPr="006F283B">
              <w:rPr>
                <w:b/>
                <w:bCs/>
                <w:color w:val="000000"/>
                <w:szCs w:val="20"/>
              </w:rPr>
              <w:t xml:space="preserve"> scenario)</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69B2782" w14:textId="77777777" w:rsidR="00843998" w:rsidRPr="006F283B" w:rsidRDefault="00843998" w:rsidP="004E1FEC">
            <w:pPr>
              <w:pStyle w:val="TableText"/>
              <w:keepNext/>
              <w:keepLines/>
              <w:widowControl/>
              <w:jc w:val="center"/>
              <w:rPr>
                <w:b/>
              </w:rPr>
            </w:pPr>
            <w:r w:rsidRPr="006F283B">
              <w:rPr>
                <w:b/>
              </w:rPr>
              <w:t>Increment</w:t>
            </w:r>
          </w:p>
        </w:tc>
      </w:tr>
      <w:tr w:rsidR="00843998" w:rsidRPr="006F283B" w14:paraId="51A4A4EF" w14:textId="77777777" w:rsidTr="004E1FEC">
        <w:tc>
          <w:tcPr>
            <w:tcW w:w="5000" w:type="pct"/>
            <w:gridSpan w:val="4"/>
            <w:tcBorders>
              <w:top w:val="single" w:sz="4" w:space="0" w:color="auto"/>
              <w:left w:val="single" w:sz="4" w:space="0" w:color="auto"/>
              <w:bottom w:val="single" w:sz="4" w:space="0" w:color="auto"/>
              <w:right w:val="single" w:sz="4" w:space="0" w:color="auto"/>
            </w:tcBorders>
            <w:hideMark/>
          </w:tcPr>
          <w:p w14:paraId="253732CD" w14:textId="77777777" w:rsidR="00843998" w:rsidRPr="006F283B" w:rsidRDefault="00843998" w:rsidP="004E1FEC">
            <w:pPr>
              <w:pStyle w:val="TableNumber"/>
              <w:keepNext/>
              <w:keepLines/>
              <w:widowControl/>
              <w:tabs>
                <w:tab w:val="decimal" w:pos="0"/>
              </w:tabs>
              <w:jc w:val="left"/>
              <w:rPr>
                <w:b/>
              </w:rPr>
            </w:pPr>
            <w:r w:rsidRPr="006F283B">
              <w:rPr>
                <w:b/>
              </w:rPr>
              <w:t>Trial-based ICER (24 months), with diagnostic testing</w:t>
            </w:r>
          </w:p>
        </w:tc>
      </w:tr>
      <w:tr w:rsidR="00843998" w:rsidRPr="006F283B" w14:paraId="7EE78041" w14:textId="77777777" w:rsidTr="004E1FEC">
        <w:tc>
          <w:tcPr>
            <w:tcW w:w="1250" w:type="pct"/>
            <w:tcBorders>
              <w:top w:val="single" w:sz="4" w:space="0" w:color="auto"/>
              <w:left w:val="single" w:sz="4" w:space="0" w:color="auto"/>
              <w:bottom w:val="single" w:sz="4" w:space="0" w:color="auto"/>
              <w:right w:val="single" w:sz="4" w:space="0" w:color="auto"/>
            </w:tcBorders>
            <w:vAlign w:val="bottom"/>
            <w:hideMark/>
          </w:tcPr>
          <w:p w14:paraId="34584316" w14:textId="77777777" w:rsidR="00843998" w:rsidRPr="006F283B" w:rsidRDefault="00843998" w:rsidP="004E1FEC">
            <w:pPr>
              <w:pStyle w:val="TableText"/>
              <w:keepNext/>
              <w:keepLines/>
              <w:widowControl/>
            </w:pPr>
            <w:r w:rsidRPr="006F283B">
              <w:rPr>
                <w:color w:val="000000"/>
                <w:szCs w:val="20"/>
              </w:rPr>
              <w:t>Discounted cost</w:t>
            </w:r>
          </w:p>
        </w:tc>
        <w:tc>
          <w:tcPr>
            <w:tcW w:w="1310" w:type="pct"/>
            <w:tcBorders>
              <w:top w:val="single" w:sz="4" w:space="0" w:color="auto"/>
              <w:left w:val="single" w:sz="4" w:space="0" w:color="auto"/>
              <w:bottom w:val="single" w:sz="4" w:space="0" w:color="auto"/>
              <w:right w:val="single" w:sz="4" w:space="0" w:color="auto"/>
            </w:tcBorders>
            <w:vAlign w:val="center"/>
          </w:tcPr>
          <w:p w14:paraId="391269CD" w14:textId="32F48B30" w:rsidR="00843998" w:rsidRPr="006F283B" w:rsidRDefault="00843998" w:rsidP="004E1FEC">
            <w:pPr>
              <w:pStyle w:val="TableNumber"/>
              <w:keepNext/>
              <w:keepLines/>
              <w:widowControl/>
              <w:rPr>
                <w:rFonts w:eastAsiaTheme="majorEastAsia"/>
              </w:rPr>
            </w:pPr>
            <w:r w:rsidRPr="006F283B">
              <w:rPr>
                <w:rFonts w:eastAsiaTheme="majorEastAsia"/>
              </w:rPr>
              <w:t>$</w:t>
            </w:r>
            <w:r w:rsidR="00093050" w:rsidRPr="00093050">
              <w:rPr>
                <w:rFonts w:eastAsiaTheme="majorEastAsia"/>
                <w:color w:val="000000"/>
                <w:shd w:val="solid" w:color="000000" w:fill="000000"/>
                <w14:textFill>
                  <w14:solidFill>
                    <w14:srgbClr w14:val="000000">
                      <w14:alpha w14:val="100000"/>
                    </w14:srgbClr>
                  </w14:solidFill>
                </w14:textFill>
              </w:rPr>
              <w:t>|</w:t>
            </w:r>
          </w:p>
        </w:tc>
        <w:tc>
          <w:tcPr>
            <w:tcW w:w="1310" w:type="pct"/>
            <w:tcBorders>
              <w:top w:val="single" w:sz="4" w:space="0" w:color="auto"/>
              <w:left w:val="single" w:sz="4" w:space="0" w:color="auto"/>
              <w:bottom w:val="single" w:sz="4" w:space="0" w:color="auto"/>
              <w:right w:val="single" w:sz="4" w:space="0" w:color="auto"/>
            </w:tcBorders>
            <w:vAlign w:val="center"/>
          </w:tcPr>
          <w:p w14:paraId="1271A9E7" w14:textId="77777777" w:rsidR="00843998" w:rsidRPr="006F283B" w:rsidRDefault="00843998" w:rsidP="004E1FEC">
            <w:pPr>
              <w:pStyle w:val="TableNumber"/>
              <w:keepNext/>
              <w:keepLines/>
              <w:widowControl/>
              <w:rPr>
                <w:rFonts w:eastAsiaTheme="majorEastAsia"/>
              </w:rPr>
            </w:pPr>
            <w:r w:rsidRPr="006F283B">
              <w:rPr>
                <w:rFonts w:eastAsiaTheme="majorEastAsia"/>
              </w:rPr>
              <w:t>$5,751</w:t>
            </w:r>
          </w:p>
        </w:tc>
        <w:tc>
          <w:tcPr>
            <w:tcW w:w="1130" w:type="pct"/>
            <w:tcBorders>
              <w:top w:val="single" w:sz="4" w:space="0" w:color="auto"/>
              <w:left w:val="single" w:sz="4" w:space="0" w:color="auto"/>
              <w:bottom w:val="single" w:sz="4" w:space="0" w:color="auto"/>
              <w:right w:val="single" w:sz="4" w:space="0" w:color="auto"/>
            </w:tcBorders>
            <w:vAlign w:val="center"/>
          </w:tcPr>
          <w:p w14:paraId="2D8FC0E3" w14:textId="146125FC" w:rsidR="00843998" w:rsidRPr="006F283B" w:rsidRDefault="00843998" w:rsidP="004E1FEC">
            <w:pPr>
              <w:pStyle w:val="TableNumber"/>
              <w:keepNext/>
              <w:keepLines/>
              <w:widowControl/>
              <w:rPr>
                <w:bCs/>
              </w:rPr>
            </w:pPr>
            <w:r w:rsidRPr="006F283B">
              <w:rPr>
                <w:bCs/>
              </w:rPr>
              <w:t>$</w:t>
            </w:r>
            <w:r w:rsidR="00093050" w:rsidRPr="00093050">
              <w:rPr>
                <w:bCs/>
                <w:color w:val="000000"/>
                <w:shd w:val="solid" w:color="000000" w:fill="000000"/>
                <w14:textFill>
                  <w14:solidFill>
                    <w14:srgbClr w14:val="000000">
                      <w14:alpha w14:val="100000"/>
                    </w14:srgbClr>
                  </w14:solidFill>
                </w14:textFill>
              </w:rPr>
              <w:t>|</w:t>
            </w:r>
          </w:p>
        </w:tc>
      </w:tr>
      <w:tr w:rsidR="00843998" w:rsidRPr="006F283B" w14:paraId="742C4DEF" w14:textId="77777777" w:rsidTr="004E1FEC">
        <w:tc>
          <w:tcPr>
            <w:tcW w:w="1250" w:type="pct"/>
            <w:tcBorders>
              <w:top w:val="single" w:sz="4" w:space="0" w:color="auto"/>
              <w:left w:val="single" w:sz="4" w:space="0" w:color="auto"/>
              <w:bottom w:val="single" w:sz="4" w:space="0" w:color="auto"/>
              <w:right w:val="single" w:sz="4" w:space="0" w:color="auto"/>
            </w:tcBorders>
            <w:vAlign w:val="bottom"/>
            <w:hideMark/>
          </w:tcPr>
          <w:p w14:paraId="12303BDF" w14:textId="77777777" w:rsidR="00843998" w:rsidRPr="006F283B" w:rsidRDefault="00843998" w:rsidP="004E1FEC">
            <w:pPr>
              <w:pStyle w:val="TableText"/>
              <w:keepNext/>
              <w:keepLines/>
              <w:widowControl/>
            </w:pPr>
            <w:r w:rsidRPr="006F283B">
              <w:rPr>
                <w:color w:val="000000"/>
                <w:szCs w:val="20"/>
              </w:rPr>
              <w:t>Progression-free years gained</w:t>
            </w:r>
          </w:p>
        </w:tc>
        <w:tc>
          <w:tcPr>
            <w:tcW w:w="1310" w:type="pct"/>
            <w:tcBorders>
              <w:top w:val="single" w:sz="4" w:space="0" w:color="auto"/>
              <w:left w:val="single" w:sz="4" w:space="0" w:color="auto"/>
              <w:bottom w:val="single" w:sz="4" w:space="0" w:color="auto"/>
              <w:right w:val="single" w:sz="4" w:space="0" w:color="auto"/>
            </w:tcBorders>
            <w:vAlign w:val="center"/>
          </w:tcPr>
          <w:p w14:paraId="5F759009" w14:textId="77777777" w:rsidR="00843998" w:rsidRPr="006F283B" w:rsidRDefault="00843998" w:rsidP="004E1FEC">
            <w:pPr>
              <w:pStyle w:val="TableNumber"/>
              <w:keepNext/>
              <w:keepLines/>
              <w:widowControl/>
              <w:tabs>
                <w:tab w:val="decimal" w:pos="0"/>
              </w:tabs>
            </w:pPr>
            <w:r w:rsidRPr="006F283B">
              <w:t>1.8656</w:t>
            </w:r>
          </w:p>
        </w:tc>
        <w:tc>
          <w:tcPr>
            <w:tcW w:w="1310" w:type="pct"/>
            <w:tcBorders>
              <w:top w:val="single" w:sz="4" w:space="0" w:color="auto"/>
              <w:left w:val="single" w:sz="4" w:space="0" w:color="auto"/>
              <w:bottom w:val="single" w:sz="4" w:space="0" w:color="auto"/>
              <w:right w:val="single" w:sz="4" w:space="0" w:color="auto"/>
            </w:tcBorders>
            <w:vAlign w:val="center"/>
          </w:tcPr>
          <w:p w14:paraId="3C2381AF" w14:textId="77777777" w:rsidR="00843998" w:rsidRPr="006F283B" w:rsidRDefault="00843998" w:rsidP="004E1FEC">
            <w:pPr>
              <w:pStyle w:val="TableNumber"/>
              <w:keepNext/>
              <w:keepLines/>
              <w:widowControl/>
              <w:tabs>
                <w:tab w:val="decimal" w:pos="0"/>
              </w:tabs>
            </w:pPr>
            <w:r w:rsidRPr="006F283B">
              <w:t>1.0131</w:t>
            </w:r>
          </w:p>
        </w:tc>
        <w:tc>
          <w:tcPr>
            <w:tcW w:w="1130" w:type="pct"/>
            <w:tcBorders>
              <w:top w:val="single" w:sz="4" w:space="0" w:color="auto"/>
              <w:left w:val="single" w:sz="4" w:space="0" w:color="auto"/>
              <w:bottom w:val="single" w:sz="4" w:space="0" w:color="auto"/>
              <w:right w:val="single" w:sz="4" w:space="0" w:color="auto"/>
            </w:tcBorders>
            <w:vAlign w:val="center"/>
          </w:tcPr>
          <w:p w14:paraId="3932FD4D" w14:textId="77777777" w:rsidR="00843998" w:rsidRPr="006F283B" w:rsidRDefault="00843998" w:rsidP="004E1FEC">
            <w:pPr>
              <w:pStyle w:val="TableNumber"/>
              <w:keepNext/>
              <w:keepLines/>
              <w:widowControl/>
              <w:tabs>
                <w:tab w:val="decimal" w:pos="118"/>
              </w:tabs>
              <w:rPr>
                <w:bCs/>
              </w:rPr>
            </w:pPr>
            <w:r w:rsidRPr="006F283B">
              <w:rPr>
                <w:bCs/>
              </w:rPr>
              <w:t>0.3282</w:t>
            </w:r>
          </w:p>
        </w:tc>
      </w:tr>
      <w:tr w:rsidR="00843998" w:rsidRPr="006F283B" w14:paraId="39720D71" w14:textId="77777777" w:rsidTr="004E1FEC">
        <w:tc>
          <w:tcPr>
            <w:tcW w:w="1250" w:type="pct"/>
            <w:tcBorders>
              <w:top w:val="single" w:sz="4" w:space="0" w:color="auto"/>
              <w:left w:val="single" w:sz="4" w:space="0" w:color="auto"/>
              <w:bottom w:val="single" w:sz="4" w:space="0" w:color="auto"/>
              <w:right w:val="single" w:sz="4" w:space="0" w:color="auto"/>
            </w:tcBorders>
            <w:vAlign w:val="bottom"/>
          </w:tcPr>
          <w:p w14:paraId="62B6B74B" w14:textId="77777777" w:rsidR="00843998" w:rsidRPr="006F283B" w:rsidRDefault="00843998" w:rsidP="004E1FEC">
            <w:pPr>
              <w:pStyle w:val="TableText"/>
              <w:keepNext/>
              <w:keepLines/>
              <w:widowControl/>
              <w:rPr>
                <w:color w:val="000000"/>
                <w:szCs w:val="20"/>
              </w:rPr>
            </w:pPr>
            <w:r w:rsidRPr="006F283B">
              <w:rPr>
                <w:color w:val="000000"/>
                <w:szCs w:val="20"/>
              </w:rPr>
              <w:t>QALYs</w:t>
            </w:r>
          </w:p>
        </w:tc>
        <w:tc>
          <w:tcPr>
            <w:tcW w:w="1310" w:type="pct"/>
            <w:tcBorders>
              <w:top w:val="single" w:sz="4" w:space="0" w:color="auto"/>
              <w:left w:val="single" w:sz="4" w:space="0" w:color="auto"/>
              <w:bottom w:val="single" w:sz="4" w:space="0" w:color="auto"/>
              <w:right w:val="single" w:sz="4" w:space="0" w:color="auto"/>
            </w:tcBorders>
            <w:vAlign w:val="center"/>
          </w:tcPr>
          <w:p w14:paraId="16A2A0A0" w14:textId="77777777" w:rsidR="00843998" w:rsidRPr="006F283B" w:rsidRDefault="00843998" w:rsidP="004E1FEC">
            <w:pPr>
              <w:pStyle w:val="TableNumber"/>
              <w:keepNext/>
              <w:keepLines/>
              <w:widowControl/>
              <w:tabs>
                <w:tab w:val="decimal" w:pos="0"/>
              </w:tabs>
            </w:pPr>
            <w:r w:rsidRPr="006F283B">
              <w:t>1.3934</w:t>
            </w:r>
          </w:p>
        </w:tc>
        <w:tc>
          <w:tcPr>
            <w:tcW w:w="1310" w:type="pct"/>
            <w:tcBorders>
              <w:top w:val="single" w:sz="4" w:space="0" w:color="auto"/>
              <w:left w:val="single" w:sz="4" w:space="0" w:color="auto"/>
              <w:bottom w:val="single" w:sz="4" w:space="0" w:color="auto"/>
              <w:right w:val="single" w:sz="4" w:space="0" w:color="auto"/>
            </w:tcBorders>
            <w:vAlign w:val="center"/>
          </w:tcPr>
          <w:p w14:paraId="77F8CE92" w14:textId="77777777" w:rsidR="00843998" w:rsidRPr="006F283B" w:rsidRDefault="00843998" w:rsidP="004E1FEC">
            <w:pPr>
              <w:pStyle w:val="TableNumber"/>
              <w:keepNext/>
              <w:keepLines/>
              <w:widowControl/>
              <w:tabs>
                <w:tab w:val="decimal" w:pos="0"/>
              </w:tabs>
            </w:pPr>
            <w:r w:rsidRPr="006F283B">
              <w:t>1.3362</w:t>
            </w:r>
          </w:p>
        </w:tc>
        <w:tc>
          <w:tcPr>
            <w:tcW w:w="1130" w:type="pct"/>
            <w:tcBorders>
              <w:top w:val="single" w:sz="4" w:space="0" w:color="auto"/>
              <w:left w:val="single" w:sz="4" w:space="0" w:color="auto"/>
              <w:bottom w:val="single" w:sz="4" w:space="0" w:color="auto"/>
              <w:right w:val="single" w:sz="4" w:space="0" w:color="auto"/>
            </w:tcBorders>
            <w:vAlign w:val="center"/>
          </w:tcPr>
          <w:p w14:paraId="1F19BCF0" w14:textId="77777777" w:rsidR="00843998" w:rsidRPr="006F283B" w:rsidRDefault="00843998" w:rsidP="004E1FEC">
            <w:pPr>
              <w:pStyle w:val="TableNumber"/>
              <w:keepNext/>
              <w:keepLines/>
              <w:widowControl/>
              <w:tabs>
                <w:tab w:val="decimal" w:pos="118"/>
              </w:tabs>
              <w:rPr>
                <w:bCs/>
              </w:rPr>
            </w:pPr>
            <w:r w:rsidRPr="006F283B">
              <w:rPr>
                <w:bCs/>
              </w:rPr>
              <w:t>0.0572</w:t>
            </w:r>
          </w:p>
        </w:tc>
      </w:tr>
      <w:tr w:rsidR="00843998" w:rsidRPr="006F283B" w14:paraId="2ED91A90" w14:textId="77777777" w:rsidTr="004E1FEC">
        <w:tc>
          <w:tcPr>
            <w:tcW w:w="3870" w:type="pct"/>
            <w:gridSpan w:val="3"/>
            <w:tcBorders>
              <w:top w:val="single" w:sz="4" w:space="0" w:color="auto"/>
              <w:left w:val="single" w:sz="4" w:space="0" w:color="auto"/>
              <w:bottom w:val="single" w:sz="4" w:space="0" w:color="auto"/>
              <w:right w:val="single" w:sz="4" w:space="0" w:color="auto"/>
            </w:tcBorders>
          </w:tcPr>
          <w:p w14:paraId="677A821D" w14:textId="77777777" w:rsidR="00843998" w:rsidRPr="006F283B" w:rsidRDefault="00843998" w:rsidP="004E1FEC">
            <w:pPr>
              <w:pStyle w:val="TableNumber"/>
              <w:keepNext/>
              <w:keepLines/>
              <w:widowControl/>
              <w:tabs>
                <w:tab w:val="decimal" w:pos="0"/>
              </w:tabs>
              <w:jc w:val="right"/>
            </w:pPr>
            <w:r w:rsidRPr="006F283B">
              <w:t>Incremental cost per progression-free year gained</w:t>
            </w:r>
          </w:p>
        </w:tc>
        <w:tc>
          <w:tcPr>
            <w:tcW w:w="1130" w:type="pct"/>
            <w:tcBorders>
              <w:top w:val="single" w:sz="4" w:space="0" w:color="auto"/>
              <w:left w:val="single" w:sz="4" w:space="0" w:color="auto"/>
              <w:bottom w:val="single" w:sz="4" w:space="0" w:color="auto"/>
              <w:right w:val="single" w:sz="4" w:space="0" w:color="auto"/>
            </w:tcBorders>
          </w:tcPr>
          <w:p w14:paraId="61DE791C" w14:textId="0E0071FD" w:rsidR="00843998" w:rsidRPr="002907CC" w:rsidRDefault="00843998" w:rsidP="004E1FEC">
            <w:pPr>
              <w:pStyle w:val="TableNumber"/>
              <w:keepNext/>
              <w:keepLines/>
              <w:widowControl/>
              <w:tabs>
                <w:tab w:val="decimal" w:pos="118"/>
              </w:tabs>
              <w:rPr>
                <w:bCs/>
                <w:vertAlign w:val="superscript"/>
              </w:rPr>
            </w:pPr>
            <w:r w:rsidRPr="006F283B">
              <w:rPr>
                <w:rFonts w:cs="Calibri"/>
                <w:bCs/>
                <w:color w:val="000000"/>
                <w:szCs w:val="20"/>
              </w:rPr>
              <w:t>$</w:t>
            </w:r>
            <w:r w:rsidR="00093050" w:rsidRPr="00093050">
              <w:rPr>
                <w:rFonts w:cs="Calibri"/>
                <w:bCs/>
                <w:color w:val="000000"/>
                <w:szCs w:val="20"/>
                <w:shd w:val="solid" w:color="000000" w:fill="000000"/>
                <w14:textFill>
                  <w14:solidFill>
                    <w14:srgbClr w14:val="000000">
                      <w14:alpha w14:val="100000"/>
                    </w14:srgbClr>
                  </w14:solidFill>
                </w14:textFill>
              </w:rPr>
              <w:t>|</w:t>
            </w:r>
            <w:r w:rsidR="002907CC">
              <w:rPr>
                <w:rFonts w:cs="Calibri"/>
                <w:bCs/>
                <w:color w:val="000000"/>
                <w:szCs w:val="20"/>
                <w:vertAlign w:val="superscript"/>
              </w:rPr>
              <w:t>1</w:t>
            </w:r>
          </w:p>
        </w:tc>
      </w:tr>
      <w:tr w:rsidR="00843998" w:rsidRPr="006F283B" w14:paraId="27546DCE" w14:textId="77777777" w:rsidTr="004E1FEC">
        <w:tc>
          <w:tcPr>
            <w:tcW w:w="3870" w:type="pct"/>
            <w:gridSpan w:val="3"/>
            <w:tcBorders>
              <w:top w:val="single" w:sz="4" w:space="0" w:color="auto"/>
              <w:left w:val="single" w:sz="4" w:space="0" w:color="auto"/>
              <w:bottom w:val="single" w:sz="4" w:space="0" w:color="auto"/>
              <w:right w:val="single" w:sz="4" w:space="0" w:color="auto"/>
            </w:tcBorders>
          </w:tcPr>
          <w:p w14:paraId="59DCD5A9" w14:textId="77777777" w:rsidR="00843998" w:rsidRPr="006F283B" w:rsidRDefault="00843998" w:rsidP="004E1FEC">
            <w:pPr>
              <w:pStyle w:val="TableNumber"/>
              <w:keepNext/>
              <w:keepLines/>
              <w:widowControl/>
              <w:jc w:val="right"/>
            </w:pPr>
            <w:r w:rsidRPr="006F283B">
              <w:rPr>
                <w:b/>
                <w:bCs/>
              </w:rPr>
              <w:t>Incremental cost per QALY gained</w:t>
            </w:r>
          </w:p>
        </w:tc>
        <w:tc>
          <w:tcPr>
            <w:tcW w:w="1130" w:type="pct"/>
            <w:tcBorders>
              <w:top w:val="single" w:sz="4" w:space="0" w:color="auto"/>
              <w:left w:val="single" w:sz="4" w:space="0" w:color="auto"/>
              <w:bottom w:val="single" w:sz="4" w:space="0" w:color="auto"/>
              <w:right w:val="single" w:sz="4" w:space="0" w:color="auto"/>
            </w:tcBorders>
          </w:tcPr>
          <w:p w14:paraId="07FD9BF3" w14:textId="15F5C377" w:rsidR="00843998" w:rsidRPr="002907CC" w:rsidRDefault="00843998" w:rsidP="004E1FEC">
            <w:pPr>
              <w:pStyle w:val="TableNumber"/>
              <w:keepNext/>
              <w:keepLines/>
              <w:widowControl/>
              <w:rPr>
                <w:rFonts w:cs="Calibri"/>
                <w:bCs/>
                <w:color w:val="000000"/>
                <w:szCs w:val="20"/>
                <w:vertAlign w:val="superscript"/>
              </w:rPr>
            </w:pPr>
            <w:r w:rsidRPr="006F283B">
              <w:rPr>
                <w:b/>
                <w:bCs/>
              </w:rPr>
              <w:t>$</w:t>
            </w:r>
            <w:r w:rsidR="00093050" w:rsidRPr="00093050">
              <w:rPr>
                <w:b/>
                <w:bCs/>
                <w:color w:val="000000"/>
                <w:shd w:val="solid" w:color="000000" w:fill="000000"/>
                <w14:textFill>
                  <w14:solidFill>
                    <w14:srgbClr w14:val="000000">
                      <w14:alpha w14:val="100000"/>
                    </w14:srgbClr>
                  </w14:solidFill>
                </w14:textFill>
              </w:rPr>
              <w:t>|</w:t>
            </w:r>
            <w:r w:rsidR="002907CC">
              <w:rPr>
                <w:b/>
                <w:bCs/>
                <w:vertAlign w:val="superscript"/>
              </w:rPr>
              <w:t>2</w:t>
            </w:r>
          </w:p>
        </w:tc>
      </w:tr>
      <w:tr w:rsidR="00843998" w:rsidRPr="006F283B" w14:paraId="7C4137E0" w14:textId="77777777" w:rsidTr="004E1FEC">
        <w:tc>
          <w:tcPr>
            <w:tcW w:w="5000" w:type="pct"/>
            <w:gridSpan w:val="4"/>
            <w:tcBorders>
              <w:top w:val="single" w:sz="4" w:space="0" w:color="auto"/>
              <w:left w:val="single" w:sz="4" w:space="0" w:color="auto"/>
              <w:bottom w:val="single" w:sz="4" w:space="0" w:color="auto"/>
              <w:right w:val="single" w:sz="4" w:space="0" w:color="auto"/>
            </w:tcBorders>
            <w:hideMark/>
          </w:tcPr>
          <w:p w14:paraId="6D0537F9" w14:textId="77777777" w:rsidR="00843998" w:rsidRPr="006F283B" w:rsidRDefault="00843998" w:rsidP="004E1FEC">
            <w:pPr>
              <w:pStyle w:val="TableBodyText-H54"/>
              <w:spacing w:before="0" w:after="0" w:line="240" w:lineRule="auto"/>
              <w:rPr>
                <w:b/>
                <w:bCs/>
                <w:lang w:val="en-AU"/>
              </w:rPr>
            </w:pPr>
            <w:r w:rsidRPr="006F283B">
              <w:rPr>
                <w:b/>
                <w:bCs/>
                <w:lang w:val="en-AU"/>
              </w:rPr>
              <w:t xml:space="preserve">Modelled cost per QALY versus SMM (20 years), </w:t>
            </w:r>
            <w:r w:rsidRPr="006F283B">
              <w:rPr>
                <w:b/>
                <w:lang w:val="en-AU"/>
              </w:rPr>
              <w:t>with diagnostic testing</w:t>
            </w:r>
          </w:p>
        </w:tc>
      </w:tr>
      <w:tr w:rsidR="00843998" w:rsidRPr="006F283B" w14:paraId="7DFBAE9F" w14:textId="77777777" w:rsidTr="004E1FEC">
        <w:tc>
          <w:tcPr>
            <w:tcW w:w="1250" w:type="pct"/>
            <w:tcBorders>
              <w:top w:val="single" w:sz="4" w:space="0" w:color="auto"/>
              <w:left w:val="single" w:sz="4" w:space="0" w:color="auto"/>
              <w:bottom w:val="single" w:sz="4" w:space="0" w:color="auto"/>
              <w:right w:val="single" w:sz="4" w:space="0" w:color="auto"/>
            </w:tcBorders>
            <w:vAlign w:val="bottom"/>
            <w:hideMark/>
          </w:tcPr>
          <w:p w14:paraId="6D098648" w14:textId="77777777" w:rsidR="00843998" w:rsidRPr="006F283B" w:rsidRDefault="00843998" w:rsidP="004E1FEC">
            <w:pPr>
              <w:pStyle w:val="TableText"/>
              <w:keepNext/>
              <w:keepLines/>
              <w:widowControl/>
            </w:pPr>
            <w:r w:rsidRPr="006F283B">
              <w:rPr>
                <w:szCs w:val="20"/>
              </w:rPr>
              <w:t>Discounted costs</w:t>
            </w:r>
          </w:p>
        </w:tc>
        <w:tc>
          <w:tcPr>
            <w:tcW w:w="1310" w:type="pct"/>
            <w:tcBorders>
              <w:top w:val="single" w:sz="4" w:space="0" w:color="auto"/>
              <w:left w:val="single" w:sz="4" w:space="0" w:color="auto"/>
              <w:bottom w:val="single" w:sz="4" w:space="0" w:color="auto"/>
              <w:right w:val="single" w:sz="4" w:space="0" w:color="auto"/>
            </w:tcBorders>
            <w:vAlign w:val="bottom"/>
          </w:tcPr>
          <w:p w14:paraId="21716661" w14:textId="14F4A3AE" w:rsidR="00843998" w:rsidRPr="006F283B" w:rsidRDefault="00843998" w:rsidP="004E1FEC">
            <w:pPr>
              <w:pStyle w:val="TableNumber"/>
              <w:keepNext/>
              <w:keepLines/>
              <w:widowControl/>
              <w:tabs>
                <w:tab w:val="decimal" w:pos="0"/>
              </w:tabs>
            </w:pPr>
            <w:r w:rsidRPr="006F283B">
              <w:t>$</w:t>
            </w:r>
            <w:r w:rsidR="00093050" w:rsidRPr="00093050">
              <w:rPr>
                <w:color w:val="000000"/>
                <w:shd w:val="solid" w:color="000000" w:fill="000000"/>
                <w14:textFill>
                  <w14:solidFill>
                    <w14:srgbClr w14:val="000000">
                      <w14:alpha w14:val="100000"/>
                    </w14:srgbClr>
                  </w14:solidFill>
                </w14:textFill>
              </w:rPr>
              <w:t>|</w:t>
            </w:r>
          </w:p>
        </w:tc>
        <w:tc>
          <w:tcPr>
            <w:tcW w:w="1310" w:type="pct"/>
            <w:tcBorders>
              <w:top w:val="single" w:sz="4" w:space="0" w:color="auto"/>
              <w:left w:val="single" w:sz="4" w:space="0" w:color="auto"/>
              <w:bottom w:val="single" w:sz="4" w:space="0" w:color="auto"/>
              <w:right w:val="single" w:sz="4" w:space="0" w:color="auto"/>
            </w:tcBorders>
            <w:vAlign w:val="bottom"/>
          </w:tcPr>
          <w:p w14:paraId="16715236" w14:textId="77777777" w:rsidR="00843998" w:rsidRPr="006F283B" w:rsidRDefault="00843998" w:rsidP="004E1FEC">
            <w:pPr>
              <w:pStyle w:val="TableNumber"/>
              <w:keepNext/>
              <w:keepLines/>
              <w:widowControl/>
              <w:tabs>
                <w:tab w:val="decimal" w:pos="0"/>
              </w:tabs>
            </w:pPr>
            <w:r w:rsidRPr="006F283B">
              <w:t>$44,154</w:t>
            </w:r>
          </w:p>
        </w:tc>
        <w:tc>
          <w:tcPr>
            <w:tcW w:w="1130" w:type="pct"/>
            <w:tcBorders>
              <w:top w:val="single" w:sz="4" w:space="0" w:color="auto"/>
              <w:left w:val="single" w:sz="4" w:space="0" w:color="auto"/>
              <w:bottom w:val="single" w:sz="4" w:space="0" w:color="auto"/>
              <w:right w:val="single" w:sz="4" w:space="0" w:color="auto"/>
            </w:tcBorders>
            <w:vAlign w:val="bottom"/>
          </w:tcPr>
          <w:p w14:paraId="146B9339" w14:textId="71C09BC0" w:rsidR="00843998" w:rsidRPr="006F283B" w:rsidRDefault="00843998" w:rsidP="004E1FEC">
            <w:pPr>
              <w:pStyle w:val="TableNumber"/>
              <w:keepNext/>
              <w:keepLines/>
              <w:widowControl/>
              <w:tabs>
                <w:tab w:val="decimal" w:pos="0"/>
              </w:tabs>
              <w:rPr>
                <w:bCs/>
              </w:rPr>
            </w:pPr>
            <w:r w:rsidRPr="006F283B">
              <w:rPr>
                <w:bCs/>
              </w:rPr>
              <w:t>$</w:t>
            </w:r>
            <w:r w:rsidR="00093050" w:rsidRPr="00093050">
              <w:rPr>
                <w:bCs/>
                <w:color w:val="000000"/>
                <w:shd w:val="solid" w:color="000000" w:fill="000000"/>
                <w14:textFill>
                  <w14:solidFill>
                    <w14:srgbClr w14:val="000000">
                      <w14:alpha w14:val="100000"/>
                    </w14:srgbClr>
                  </w14:solidFill>
                </w14:textFill>
              </w:rPr>
              <w:t>|</w:t>
            </w:r>
          </w:p>
        </w:tc>
      </w:tr>
      <w:tr w:rsidR="00843998" w:rsidRPr="006F283B" w14:paraId="23EF1379" w14:textId="77777777" w:rsidTr="004E1FEC">
        <w:tc>
          <w:tcPr>
            <w:tcW w:w="1250" w:type="pct"/>
            <w:tcBorders>
              <w:top w:val="single" w:sz="4" w:space="0" w:color="auto"/>
              <w:left w:val="single" w:sz="4" w:space="0" w:color="auto"/>
              <w:bottom w:val="single" w:sz="4" w:space="0" w:color="auto"/>
              <w:right w:val="single" w:sz="4" w:space="0" w:color="auto"/>
            </w:tcBorders>
            <w:vAlign w:val="bottom"/>
            <w:hideMark/>
          </w:tcPr>
          <w:p w14:paraId="3B66FD74" w14:textId="77777777" w:rsidR="00843998" w:rsidRPr="006F283B" w:rsidRDefault="00843998" w:rsidP="004E1FEC">
            <w:pPr>
              <w:pStyle w:val="TableText"/>
              <w:keepNext/>
              <w:keepLines/>
              <w:widowControl/>
              <w:rPr>
                <w:szCs w:val="20"/>
              </w:rPr>
            </w:pPr>
            <w:r w:rsidRPr="006F283B">
              <w:rPr>
                <w:szCs w:val="20"/>
              </w:rPr>
              <w:t>Discounted LYG</w:t>
            </w:r>
          </w:p>
        </w:tc>
        <w:tc>
          <w:tcPr>
            <w:tcW w:w="1310" w:type="pct"/>
            <w:tcBorders>
              <w:top w:val="single" w:sz="4" w:space="0" w:color="auto"/>
              <w:left w:val="single" w:sz="4" w:space="0" w:color="auto"/>
              <w:bottom w:val="single" w:sz="4" w:space="0" w:color="auto"/>
              <w:right w:val="single" w:sz="4" w:space="0" w:color="auto"/>
            </w:tcBorders>
            <w:vAlign w:val="bottom"/>
          </w:tcPr>
          <w:p w14:paraId="79160FFF" w14:textId="77777777" w:rsidR="00843998" w:rsidRPr="006F283B" w:rsidRDefault="00843998" w:rsidP="004E1FEC">
            <w:pPr>
              <w:pStyle w:val="TableNumber"/>
              <w:keepNext/>
              <w:keepLines/>
              <w:widowControl/>
              <w:tabs>
                <w:tab w:val="decimal" w:pos="0"/>
              </w:tabs>
            </w:pPr>
            <w:r w:rsidRPr="006F283B">
              <w:t>6.2065</w:t>
            </w:r>
          </w:p>
        </w:tc>
        <w:tc>
          <w:tcPr>
            <w:tcW w:w="1310" w:type="pct"/>
            <w:tcBorders>
              <w:top w:val="single" w:sz="4" w:space="0" w:color="auto"/>
              <w:left w:val="single" w:sz="4" w:space="0" w:color="auto"/>
              <w:bottom w:val="single" w:sz="4" w:space="0" w:color="auto"/>
              <w:right w:val="single" w:sz="4" w:space="0" w:color="auto"/>
            </w:tcBorders>
            <w:vAlign w:val="bottom"/>
          </w:tcPr>
          <w:p w14:paraId="5E70A711" w14:textId="77777777" w:rsidR="00843998" w:rsidRPr="006F283B" w:rsidRDefault="00843998" w:rsidP="004E1FEC">
            <w:pPr>
              <w:pStyle w:val="TableNumber"/>
              <w:keepNext/>
              <w:keepLines/>
              <w:widowControl/>
              <w:tabs>
                <w:tab w:val="decimal" w:pos="0"/>
              </w:tabs>
            </w:pPr>
            <w:r w:rsidRPr="006F283B">
              <w:t>5.3203</w:t>
            </w:r>
          </w:p>
        </w:tc>
        <w:tc>
          <w:tcPr>
            <w:tcW w:w="1130" w:type="pct"/>
            <w:tcBorders>
              <w:top w:val="single" w:sz="4" w:space="0" w:color="auto"/>
              <w:left w:val="single" w:sz="4" w:space="0" w:color="auto"/>
              <w:bottom w:val="single" w:sz="4" w:space="0" w:color="auto"/>
              <w:right w:val="single" w:sz="4" w:space="0" w:color="auto"/>
            </w:tcBorders>
            <w:vAlign w:val="bottom"/>
          </w:tcPr>
          <w:p w14:paraId="22C613B7" w14:textId="77777777" w:rsidR="00843998" w:rsidRPr="006F283B" w:rsidRDefault="00843998" w:rsidP="004E1FEC">
            <w:pPr>
              <w:pStyle w:val="TableNumber"/>
              <w:keepNext/>
              <w:keepLines/>
              <w:widowControl/>
              <w:tabs>
                <w:tab w:val="decimal" w:pos="0"/>
              </w:tabs>
              <w:rPr>
                <w:rFonts w:eastAsia="Times New Roman" w:cs="Calibri"/>
                <w:szCs w:val="20"/>
                <w:lang w:eastAsia="en-AU"/>
              </w:rPr>
            </w:pPr>
            <w:r w:rsidRPr="006F283B">
              <w:rPr>
                <w:rFonts w:eastAsia="Times New Roman" w:cs="Calibri"/>
                <w:szCs w:val="20"/>
                <w:lang w:eastAsia="en-AU"/>
              </w:rPr>
              <w:t>0.8863</w:t>
            </w:r>
          </w:p>
        </w:tc>
      </w:tr>
      <w:tr w:rsidR="00843998" w:rsidRPr="006F283B" w14:paraId="54FFD711" w14:textId="77777777" w:rsidTr="004E1FEC">
        <w:tc>
          <w:tcPr>
            <w:tcW w:w="1250" w:type="pct"/>
            <w:tcBorders>
              <w:top w:val="single" w:sz="4" w:space="0" w:color="auto"/>
              <w:left w:val="single" w:sz="4" w:space="0" w:color="auto"/>
              <w:bottom w:val="single" w:sz="4" w:space="0" w:color="auto"/>
              <w:right w:val="single" w:sz="4" w:space="0" w:color="auto"/>
            </w:tcBorders>
            <w:vAlign w:val="bottom"/>
            <w:hideMark/>
          </w:tcPr>
          <w:p w14:paraId="25CAC115" w14:textId="77777777" w:rsidR="00843998" w:rsidRPr="006F283B" w:rsidRDefault="00843998" w:rsidP="004E1FEC">
            <w:pPr>
              <w:pStyle w:val="TableText"/>
              <w:keepNext/>
              <w:keepLines/>
              <w:widowControl/>
            </w:pPr>
            <w:r w:rsidRPr="006F283B">
              <w:rPr>
                <w:szCs w:val="20"/>
              </w:rPr>
              <w:t>Discounted QALYs</w:t>
            </w:r>
          </w:p>
        </w:tc>
        <w:tc>
          <w:tcPr>
            <w:tcW w:w="1310" w:type="pct"/>
            <w:tcBorders>
              <w:top w:val="single" w:sz="4" w:space="0" w:color="auto"/>
              <w:left w:val="single" w:sz="4" w:space="0" w:color="auto"/>
              <w:bottom w:val="single" w:sz="4" w:space="0" w:color="auto"/>
              <w:right w:val="single" w:sz="4" w:space="0" w:color="auto"/>
            </w:tcBorders>
            <w:vAlign w:val="bottom"/>
          </w:tcPr>
          <w:p w14:paraId="6E5DF7FA" w14:textId="77777777" w:rsidR="00843998" w:rsidRPr="006F283B" w:rsidRDefault="00843998" w:rsidP="004E1FEC">
            <w:pPr>
              <w:pStyle w:val="TableNumber"/>
              <w:keepNext/>
              <w:keepLines/>
              <w:widowControl/>
              <w:tabs>
                <w:tab w:val="decimal" w:pos="0"/>
              </w:tabs>
            </w:pPr>
            <w:r w:rsidRPr="006F283B">
              <w:t>4.5369</w:t>
            </w:r>
          </w:p>
        </w:tc>
        <w:tc>
          <w:tcPr>
            <w:tcW w:w="1310" w:type="pct"/>
            <w:tcBorders>
              <w:top w:val="single" w:sz="4" w:space="0" w:color="auto"/>
              <w:left w:val="single" w:sz="4" w:space="0" w:color="auto"/>
              <w:bottom w:val="single" w:sz="4" w:space="0" w:color="auto"/>
              <w:right w:val="single" w:sz="4" w:space="0" w:color="auto"/>
            </w:tcBorders>
            <w:vAlign w:val="bottom"/>
          </w:tcPr>
          <w:p w14:paraId="25FF1840" w14:textId="77777777" w:rsidR="00843998" w:rsidRPr="006F283B" w:rsidRDefault="00843998" w:rsidP="004E1FEC">
            <w:pPr>
              <w:pStyle w:val="TableNumber"/>
              <w:keepNext/>
              <w:keepLines/>
              <w:widowControl/>
              <w:tabs>
                <w:tab w:val="decimal" w:pos="0"/>
              </w:tabs>
            </w:pPr>
            <w:r w:rsidRPr="006F283B">
              <w:t>3.8075</w:t>
            </w:r>
          </w:p>
        </w:tc>
        <w:tc>
          <w:tcPr>
            <w:tcW w:w="1130" w:type="pct"/>
            <w:tcBorders>
              <w:top w:val="single" w:sz="4" w:space="0" w:color="auto"/>
              <w:left w:val="single" w:sz="4" w:space="0" w:color="auto"/>
              <w:bottom w:val="single" w:sz="4" w:space="0" w:color="auto"/>
              <w:right w:val="single" w:sz="4" w:space="0" w:color="auto"/>
            </w:tcBorders>
            <w:vAlign w:val="bottom"/>
          </w:tcPr>
          <w:p w14:paraId="46520E6A" w14:textId="77777777" w:rsidR="00843998" w:rsidRPr="006F283B" w:rsidRDefault="00843998" w:rsidP="004E1FEC">
            <w:pPr>
              <w:pStyle w:val="TableNumber"/>
              <w:keepNext/>
              <w:keepLines/>
              <w:widowControl/>
              <w:tabs>
                <w:tab w:val="decimal" w:pos="0"/>
              </w:tabs>
              <w:rPr>
                <w:rFonts w:cs="Calibri"/>
                <w:bCs/>
                <w:szCs w:val="20"/>
              </w:rPr>
            </w:pPr>
            <w:r w:rsidRPr="006F283B">
              <w:rPr>
                <w:rFonts w:cs="Calibri"/>
                <w:bCs/>
                <w:szCs w:val="20"/>
              </w:rPr>
              <w:t>0.7294</w:t>
            </w:r>
          </w:p>
        </w:tc>
      </w:tr>
      <w:tr w:rsidR="00843998" w:rsidRPr="006F283B" w14:paraId="36A49C1D" w14:textId="77777777" w:rsidTr="004E1FEC">
        <w:tc>
          <w:tcPr>
            <w:tcW w:w="3870" w:type="pct"/>
            <w:gridSpan w:val="3"/>
            <w:tcBorders>
              <w:top w:val="single" w:sz="4" w:space="0" w:color="auto"/>
              <w:left w:val="single" w:sz="4" w:space="0" w:color="auto"/>
              <w:bottom w:val="single" w:sz="4" w:space="0" w:color="auto"/>
              <w:right w:val="single" w:sz="4" w:space="0" w:color="auto"/>
            </w:tcBorders>
            <w:hideMark/>
          </w:tcPr>
          <w:p w14:paraId="75EA89DA" w14:textId="77777777" w:rsidR="00843998" w:rsidRPr="006F283B" w:rsidRDefault="00843998" w:rsidP="004E1FEC">
            <w:pPr>
              <w:pStyle w:val="TableText"/>
              <w:keepNext/>
              <w:keepLines/>
              <w:widowControl/>
              <w:jc w:val="right"/>
            </w:pPr>
            <w:r w:rsidRPr="006F283B">
              <w:t>Incremental cost per LY gained</w:t>
            </w:r>
          </w:p>
        </w:tc>
        <w:tc>
          <w:tcPr>
            <w:tcW w:w="1130" w:type="pct"/>
            <w:tcBorders>
              <w:top w:val="single" w:sz="4" w:space="0" w:color="auto"/>
              <w:left w:val="single" w:sz="4" w:space="0" w:color="auto"/>
              <w:bottom w:val="single" w:sz="4" w:space="0" w:color="auto"/>
              <w:right w:val="single" w:sz="4" w:space="0" w:color="auto"/>
            </w:tcBorders>
          </w:tcPr>
          <w:p w14:paraId="41B778DD" w14:textId="216205F6" w:rsidR="00843998" w:rsidRPr="002907CC" w:rsidRDefault="00843998" w:rsidP="004E1FEC">
            <w:pPr>
              <w:pStyle w:val="TableNumber"/>
              <w:keepNext/>
              <w:keepLines/>
              <w:widowControl/>
              <w:rPr>
                <w:vertAlign w:val="superscript"/>
              </w:rPr>
            </w:pPr>
            <w:r w:rsidRPr="006F283B">
              <w:t>$</w:t>
            </w:r>
            <w:r w:rsidR="00093050" w:rsidRPr="00093050">
              <w:rPr>
                <w:color w:val="000000"/>
                <w:shd w:val="solid" w:color="000000" w:fill="000000"/>
                <w14:textFill>
                  <w14:solidFill>
                    <w14:srgbClr w14:val="000000">
                      <w14:alpha w14:val="100000"/>
                    </w14:srgbClr>
                  </w14:solidFill>
                </w14:textFill>
              </w:rPr>
              <w:t>|</w:t>
            </w:r>
            <w:r w:rsidR="002907CC">
              <w:rPr>
                <w:vertAlign w:val="superscript"/>
              </w:rPr>
              <w:t>3</w:t>
            </w:r>
          </w:p>
        </w:tc>
      </w:tr>
      <w:tr w:rsidR="00843998" w:rsidRPr="006F283B" w14:paraId="520F2CAB" w14:textId="77777777" w:rsidTr="004E1FEC">
        <w:tc>
          <w:tcPr>
            <w:tcW w:w="3870" w:type="pct"/>
            <w:gridSpan w:val="3"/>
            <w:tcBorders>
              <w:top w:val="single" w:sz="4" w:space="0" w:color="auto"/>
              <w:left w:val="single" w:sz="4" w:space="0" w:color="auto"/>
              <w:bottom w:val="single" w:sz="4" w:space="0" w:color="auto"/>
              <w:right w:val="single" w:sz="4" w:space="0" w:color="auto"/>
            </w:tcBorders>
            <w:hideMark/>
          </w:tcPr>
          <w:p w14:paraId="6405D89A" w14:textId="77777777" w:rsidR="00843998" w:rsidRPr="006F283B" w:rsidRDefault="00843998" w:rsidP="004E1FEC">
            <w:pPr>
              <w:pStyle w:val="TableText"/>
              <w:keepNext/>
              <w:keepLines/>
              <w:widowControl/>
              <w:jc w:val="right"/>
              <w:rPr>
                <w:b/>
                <w:bCs/>
              </w:rPr>
            </w:pPr>
            <w:r w:rsidRPr="006F283B">
              <w:rPr>
                <w:b/>
                <w:bCs/>
              </w:rPr>
              <w:t>Incremental cost per QALY gained</w:t>
            </w:r>
          </w:p>
        </w:tc>
        <w:tc>
          <w:tcPr>
            <w:tcW w:w="1130" w:type="pct"/>
            <w:tcBorders>
              <w:top w:val="single" w:sz="4" w:space="0" w:color="auto"/>
              <w:left w:val="single" w:sz="4" w:space="0" w:color="auto"/>
              <w:bottom w:val="single" w:sz="4" w:space="0" w:color="auto"/>
              <w:right w:val="single" w:sz="4" w:space="0" w:color="auto"/>
            </w:tcBorders>
          </w:tcPr>
          <w:p w14:paraId="4F538481" w14:textId="3A9C09B6" w:rsidR="00843998" w:rsidRPr="002907CC" w:rsidRDefault="00843998" w:rsidP="004E1FEC">
            <w:pPr>
              <w:pStyle w:val="TableNumber"/>
              <w:keepNext/>
              <w:keepLines/>
              <w:widowControl/>
              <w:rPr>
                <w:b/>
                <w:bCs/>
                <w:vertAlign w:val="superscript"/>
              </w:rPr>
            </w:pPr>
            <w:r w:rsidRPr="006F283B">
              <w:rPr>
                <w:b/>
                <w:bCs/>
              </w:rPr>
              <w:t>$</w:t>
            </w:r>
            <w:r w:rsidR="00093050" w:rsidRPr="00093050">
              <w:rPr>
                <w:b/>
                <w:bCs/>
                <w:color w:val="000000"/>
                <w:shd w:val="solid" w:color="000000" w:fill="000000"/>
                <w14:textFill>
                  <w14:solidFill>
                    <w14:srgbClr w14:val="000000">
                      <w14:alpha w14:val="100000"/>
                    </w14:srgbClr>
                  </w14:solidFill>
                </w14:textFill>
              </w:rPr>
              <w:t>|</w:t>
            </w:r>
            <w:r w:rsidR="002907CC">
              <w:rPr>
                <w:b/>
                <w:bCs/>
                <w:vertAlign w:val="superscript"/>
              </w:rPr>
              <w:t>3</w:t>
            </w:r>
          </w:p>
        </w:tc>
      </w:tr>
    </w:tbl>
    <w:p w14:paraId="31CF752B" w14:textId="18D0C398" w:rsidR="000633BD" w:rsidRPr="006F283B" w:rsidRDefault="000633BD" w:rsidP="000633BD">
      <w:pPr>
        <w:pStyle w:val="TableFooter"/>
      </w:pPr>
      <w:r w:rsidRPr="006F283B">
        <w:t>Source: Table 146, p267 of the submission and Zejula (niraparib) 1L HRD_non</w:t>
      </w:r>
      <w:r w:rsidR="001152C0" w:rsidRPr="001152C0">
        <w:rPr>
          <w:i/>
          <w:iCs/>
        </w:rPr>
        <w:t>BRCAm</w:t>
      </w:r>
      <w:r w:rsidRPr="006F283B">
        <w:t xml:space="preserve"> CUA.xls.</w:t>
      </w:r>
    </w:p>
    <w:p w14:paraId="37B5F3BA" w14:textId="75B063BB" w:rsidR="00843998" w:rsidRDefault="00843998" w:rsidP="002907CC">
      <w:pPr>
        <w:pStyle w:val="TableFooter"/>
      </w:pPr>
      <w:r w:rsidRPr="006F283B">
        <w:t>ICER = incremental cost effectiveness ratio; ISD = PFLY = progression-free life year; QALY = quality adjusted life year; SMM = standard medical management.</w:t>
      </w:r>
    </w:p>
    <w:p w14:paraId="35927D1F" w14:textId="77777777" w:rsidR="002907CC" w:rsidRPr="009A6D58" w:rsidRDefault="002907CC" w:rsidP="002907CC">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lang w:eastAsia="en-AU"/>
        </w:rPr>
        <w:t xml:space="preserve">The redacted values correspond to the following ranges: </w:t>
      </w:r>
    </w:p>
    <w:p w14:paraId="4FD6D2F8" w14:textId="142D3411" w:rsidR="002907CC" w:rsidRPr="009A6D58" w:rsidRDefault="002907CC" w:rsidP="002907CC">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1</w:t>
      </w:r>
      <w:r>
        <w:rPr>
          <w:rFonts w:ascii="Arial Narrow" w:eastAsia="Times New Roman" w:hAnsi="Arial Narrow" w:cs="Arial"/>
          <w:i/>
          <w:sz w:val="18"/>
          <w:szCs w:val="18"/>
          <w:lang w:eastAsia="en-AU"/>
        </w:rPr>
        <w:t xml:space="preserve"> </w:t>
      </w:r>
      <w:r w:rsidRPr="002907CC">
        <w:rPr>
          <w:rFonts w:ascii="Arial Narrow" w:eastAsia="Times New Roman" w:hAnsi="Arial Narrow" w:cs="Arial"/>
          <w:i/>
          <w:sz w:val="18"/>
          <w:szCs w:val="18"/>
          <w:lang w:eastAsia="en-AU"/>
        </w:rPr>
        <w:t>$135,000 to &lt; $155,000</w:t>
      </w:r>
    </w:p>
    <w:p w14:paraId="7F686395" w14:textId="57E7D017" w:rsidR="002907CC" w:rsidRPr="009A6D58" w:rsidRDefault="002907CC" w:rsidP="002907CC">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w:t>
      </w:r>
      <w:r w:rsidRPr="002907CC">
        <w:rPr>
          <w:rFonts w:ascii="Arial Narrow" w:eastAsia="Times New Roman" w:hAnsi="Arial Narrow" w:cs="Arial"/>
          <w:i/>
          <w:sz w:val="18"/>
          <w:szCs w:val="18"/>
          <w:lang w:eastAsia="en-AU"/>
        </w:rPr>
        <w:t>$755,000 to &lt; $855,000</w:t>
      </w:r>
    </w:p>
    <w:p w14:paraId="0AEEED54" w14:textId="4363958A" w:rsidR="002907CC" w:rsidRPr="002907CC" w:rsidRDefault="002907CC" w:rsidP="002907CC">
      <w:pPr>
        <w:spacing w:before="0" w:after="12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3</w:t>
      </w:r>
      <w:r>
        <w:rPr>
          <w:rFonts w:ascii="Arial Narrow" w:eastAsia="Times New Roman" w:hAnsi="Arial Narrow" w:cs="Arial"/>
          <w:i/>
          <w:sz w:val="18"/>
          <w:szCs w:val="18"/>
          <w:lang w:eastAsia="en-AU"/>
        </w:rPr>
        <w:t xml:space="preserve"> </w:t>
      </w:r>
      <w:r w:rsidRPr="002907CC">
        <w:rPr>
          <w:rFonts w:ascii="Arial Narrow" w:eastAsia="Times New Roman" w:hAnsi="Arial Narrow" w:cs="Arial"/>
          <w:i/>
          <w:sz w:val="18"/>
          <w:szCs w:val="18"/>
          <w:lang w:eastAsia="en-AU"/>
        </w:rPr>
        <w:t>$55,000 to &lt; $75,000</w:t>
      </w:r>
    </w:p>
    <w:p w14:paraId="6E0868F1" w14:textId="00518BB4" w:rsidR="00843998" w:rsidRPr="006F283B" w:rsidRDefault="00843998" w:rsidP="00C07F3A">
      <w:pPr>
        <w:pStyle w:val="ListParagraph"/>
        <w:spacing w:before="0" w:after="120"/>
        <w:rPr>
          <w:color w:val="auto"/>
        </w:rPr>
      </w:pPr>
      <w:r w:rsidRPr="006F283B">
        <w:rPr>
          <w:color w:val="auto"/>
        </w:rPr>
        <w:t xml:space="preserve">Results of the key univariate sensitivity analyses are summarised in </w:t>
      </w:r>
      <w:r w:rsidRPr="006F283B">
        <w:fldChar w:fldCharType="begin" w:fldLock="1"/>
      </w:r>
      <w:r w:rsidRPr="006F283B">
        <w:rPr>
          <w:color w:val="auto"/>
        </w:rPr>
        <w:instrText xml:space="preserve"> REF _Ref121207644 \h </w:instrText>
      </w:r>
      <w:r w:rsidRPr="006F283B">
        <w:fldChar w:fldCharType="separate"/>
      </w:r>
      <w:r w:rsidR="00305654" w:rsidRPr="006F283B">
        <w:t xml:space="preserve">Table </w:t>
      </w:r>
      <w:r w:rsidR="00305654">
        <w:rPr>
          <w:noProof/>
        </w:rPr>
        <w:t>18</w:t>
      </w:r>
      <w:r w:rsidRPr="006F283B">
        <w:fldChar w:fldCharType="end"/>
      </w:r>
      <w:r w:rsidRPr="006F283B">
        <w:rPr>
          <w:color w:val="auto"/>
        </w:rPr>
        <w:t>.</w:t>
      </w:r>
      <w:r w:rsidR="008E34C5">
        <w:rPr>
          <w:iCs/>
          <w:color w:val="auto"/>
        </w:rPr>
        <w:t xml:space="preserve"> </w:t>
      </w:r>
    </w:p>
    <w:p w14:paraId="53AEDABD" w14:textId="30F33E8B" w:rsidR="00843998" w:rsidRPr="006F283B" w:rsidRDefault="00CB2BDC" w:rsidP="003915F9">
      <w:pPr>
        <w:pStyle w:val="Caption"/>
      </w:pPr>
      <w:bookmarkStart w:id="136" w:name="_Ref121207644"/>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18</w:t>
      </w:r>
      <w:r w:rsidR="00091054">
        <w:rPr>
          <w:noProof/>
        </w:rPr>
        <w:fldChar w:fldCharType="end"/>
      </w:r>
      <w:bookmarkEnd w:id="136"/>
      <w:r w:rsidR="00C07F3A">
        <w:t xml:space="preserve">: </w:t>
      </w:r>
      <w:r w:rsidR="00843998" w:rsidRPr="006F283B">
        <w:t xml:space="preserve">Univariate sensitivity analyses conducted by submission and during </w:t>
      </w:r>
      <w:proofErr w:type="gramStart"/>
      <w:r w:rsidR="00843998" w:rsidRPr="006F283B">
        <w:t>evaluation</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169"/>
        <w:gridCol w:w="1169"/>
        <w:gridCol w:w="1169"/>
        <w:gridCol w:w="1170"/>
      </w:tblGrid>
      <w:tr w:rsidR="00843998" w:rsidRPr="006F283B" w14:paraId="758791CA" w14:textId="77777777" w:rsidTr="004E1FEC">
        <w:trPr>
          <w:trHeight w:val="20"/>
        </w:trPr>
        <w:tc>
          <w:tcPr>
            <w:tcW w:w="4390" w:type="dxa"/>
            <w:shd w:val="clear" w:color="auto" w:fill="auto"/>
            <w:vAlign w:val="center"/>
            <w:hideMark/>
          </w:tcPr>
          <w:p w14:paraId="760A61CB" w14:textId="77777777" w:rsidR="00843998" w:rsidRPr="006F283B" w:rsidRDefault="00843998" w:rsidP="003915F9">
            <w:pPr>
              <w:pStyle w:val="TableRowHeader"/>
              <w:keepNext/>
              <w:keepLines/>
              <w:rPr>
                <w:color w:val="000000"/>
                <w:szCs w:val="20"/>
              </w:rPr>
            </w:pPr>
            <w:r w:rsidRPr="006F283B">
              <w:t>Model variable</w:t>
            </w:r>
          </w:p>
        </w:tc>
        <w:tc>
          <w:tcPr>
            <w:tcW w:w="1169" w:type="dxa"/>
            <w:shd w:val="clear" w:color="auto" w:fill="auto"/>
            <w:vAlign w:val="center"/>
            <w:hideMark/>
          </w:tcPr>
          <w:p w14:paraId="0756A07C" w14:textId="77777777" w:rsidR="00843998" w:rsidRPr="006F283B" w:rsidRDefault="00843998" w:rsidP="003915F9">
            <w:pPr>
              <w:pStyle w:val="TableRowHeader"/>
              <w:keepNext/>
              <w:keepLines/>
              <w:rPr>
                <w:color w:val="000000"/>
                <w:szCs w:val="20"/>
              </w:rPr>
            </w:pPr>
            <w:r w:rsidRPr="006F283B">
              <w:t>Incr. cost</w:t>
            </w:r>
          </w:p>
        </w:tc>
        <w:tc>
          <w:tcPr>
            <w:tcW w:w="1169" w:type="dxa"/>
            <w:shd w:val="clear" w:color="auto" w:fill="auto"/>
            <w:vAlign w:val="center"/>
            <w:hideMark/>
          </w:tcPr>
          <w:p w14:paraId="215772B7" w14:textId="77777777" w:rsidR="00843998" w:rsidRPr="006F283B" w:rsidRDefault="00843998" w:rsidP="003915F9">
            <w:pPr>
              <w:pStyle w:val="TableRowHeader"/>
              <w:keepNext/>
              <w:keepLines/>
              <w:rPr>
                <w:color w:val="000000"/>
                <w:szCs w:val="20"/>
              </w:rPr>
            </w:pPr>
            <w:r w:rsidRPr="006F283B">
              <w:t>Incr. QALYs</w:t>
            </w:r>
          </w:p>
        </w:tc>
        <w:tc>
          <w:tcPr>
            <w:tcW w:w="1169" w:type="dxa"/>
            <w:shd w:val="clear" w:color="auto" w:fill="auto"/>
            <w:vAlign w:val="center"/>
            <w:hideMark/>
          </w:tcPr>
          <w:p w14:paraId="32D89CC4" w14:textId="77777777" w:rsidR="00843998" w:rsidRPr="006F283B" w:rsidRDefault="00843998" w:rsidP="003915F9">
            <w:pPr>
              <w:pStyle w:val="TableRowHeader"/>
              <w:keepNext/>
              <w:keepLines/>
              <w:rPr>
                <w:color w:val="000000"/>
                <w:szCs w:val="20"/>
              </w:rPr>
            </w:pPr>
            <w:r w:rsidRPr="006F283B">
              <w:t>IC per QALY</w:t>
            </w:r>
          </w:p>
        </w:tc>
        <w:tc>
          <w:tcPr>
            <w:tcW w:w="1170" w:type="dxa"/>
            <w:shd w:val="clear" w:color="auto" w:fill="auto"/>
            <w:vAlign w:val="center"/>
            <w:hideMark/>
          </w:tcPr>
          <w:p w14:paraId="3B02CD37" w14:textId="77777777" w:rsidR="00843998" w:rsidRPr="006F283B" w:rsidRDefault="00843998" w:rsidP="003915F9">
            <w:pPr>
              <w:pStyle w:val="TableRowHeader"/>
              <w:keepNext/>
              <w:keepLines/>
              <w:rPr>
                <w:color w:val="000000"/>
                <w:szCs w:val="20"/>
              </w:rPr>
            </w:pPr>
            <w:r w:rsidRPr="006F283B">
              <w:t>% difference</w:t>
            </w:r>
          </w:p>
        </w:tc>
      </w:tr>
      <w:tr w:rsidR="00843998" w:rsidRPr="006F283B" w14:paraId="19190019" w14:textId="77777777" w:rsidTr="004E1FEC">
        <w:trPr>
          <w:trHeight w:val="20"/>
        </w:trPr>
        <w:tc>
          <w:tcPr>
            <w:tcW w:w="4390" w:type="dxa"/>
            <w:shd w:val="clear" w:color="auto" w:fill="auto"/>
            <w:vAlign w:val="center"/>
            <w:hideMark/>
          </w:tcPr>
          <w:p w14:paraId="6CF0F847" w14:textId="5337F4A6" w:rsidR="00843998" w:rsidRPr="006F283B" w:rsidRDefault="00843998" w:rsidP="003915F9">
            <w:pPr>
              <w:pStyle w:val="Tabletext0"/>
              <w:keepNext/>
              <w:keepLines/>
              <w:rPr>
                <w:b/>
                <w:bCs/>
                <w:color w:val="000000"/>
                <w:szCs w:val="20"/>
              </w:rPr>
            </w:pPr>
            <w:r w:rsidRPr="006F283B">
              <w:rPr>
                <w:b/>
                <w:bCs/>
              </w:rPr>
              <w:t xml:space="preserve">Base case (respecified: </w:t>
            </w:r>
            <w:r w:rsidR="001152C0" w:rsidRPr="001152C0">
              <w:rPr>
                <w:b/>
                <w:bCs/>
                <w:i/>
                <w:iCs/>
              </w:rPr>
              <w:t>BRCAm</w:t>
            </w:r>
            <w:r w:rsidRPr="006F283B">
              <w:rPr>
                <w:b/>
                <w:bCs/>
              </w:rPr>
              <w:t xml:space="preserve"> test = $1,000; chemotherapy costs updated, no half cycle correction)</w:t>
            </w:r>
          </w:p>
        </w:tc>
        <w:tc>
          <w:tcPr>
            <w:tcW w:w="1169" w:type="dxa"/>
            <w:shd w:val="clear" w:color="auto" w:fill="auto"/>
            <w:vAlign w:val="center"/>
          </w:tcPr>
          <w:p w14:paraId="7371AC68" w14:textId="1FA4B1FB" w:rsidR="00843998" w:rsidRPr="006F283B" w:rsidRDefault="00843998" w:rsidP="003915F9">
            <w:pPr>
              <w:pStyle w:val="Tabletext0"/>
              <w:keepNext/>
              <w:keepLines/>
              <w:jc w:val="center"/>
              <w:rPr>
                <w:b/>
                <w:bCs/>
                <w:color w:val="000000"/>
                <w:szCs w:val="20"/>
              </w:rPr>
            </w:pPr>
            <w:r w:rsidRPr="006F283B">
              <w:rPr>
                <w:rFonts w:eastAsiaTheme="majorEastAsia"/>
                <w:b/>
                <w:bCs/>
              </w:rPr>
              <w:t>$</w:t>
            </w:r>
            <w:r w:rsidR="00093050" w:rsidRPr="0063757D">
              <w:rPr>
                <w:rFonts w:eastAsiaTheme="majorEastAsia"/>
                <w:b/>
                <w:bCs/>
                <w:color w:val="000000"/>
                <w:spacing w:val="47"/>
                <w:shd w:val="solid" w:color="000000" w:fill="000000"/>
                <w:fitText w:val="326" w:id="-1233481463"/>
                <w14:textFill>
                  <w14:solidFill>
                    <w14:srgbClr w14:val="000000">
                      <w14:alpha w14:val="100000"/>
                    </w14:srgbClr>
                  </w14:solidFill>
                </w14:textFill>
              </w:rPr>
              <w:t>|||</w:t>
            </w:r>
            <w:r w:rsidR="00093050" w:rsidRPr="0063757D">
              <w:rPr>
                <w:rFonts w:eastAsiaTheme="majorEastAsia"/>
                <w:b/>
                <w:bCs/>
                <w:color w:val="000000"/>
                <w:spacing w:val="2"/>
                <w:shd w:val="solid" w:color="000000" w:fill="000000"/>
                <w:fitText w:val="326" w:id="-1233481463"/>
                <w14:textFill>
                  <w14:solidFill>
                    <w14:srgbClr w14:val="000000">
                      <w14:alpha w14:val="100000"/>
                    </w14:srgbClr>
                  </w14:solidFill>
                </w14:textFill>
              </w:rPr>
              <w:t>|</w:t>
            </w:r>
          </w:p>
        </w:tc>
        <w:tc>
          <w:tcPr>
            <w:tcW w:w="1169" w:type="dxa"/>
            <w:shd w:val="clear" w:color="auto" w:fill="auto"/>
            <w:vAlign w:val="center"/>
          </w:tcPr>
          <w:p w14:paraId="6AF01248" w14:textId="77777777" w:rsidR="00843998" w:rsidRPr="006F283B" w:rsidRDefault="00843998" w:rsidP="003915F9">
            <w:pPr>
              <w:pStyle w:val="Tabletext0"/>
              <w:keepNext/>
              <w:keepLines/>
              <w:jc w:val="center"/>
              <w:rPr>
                <w:b/>
                <w:bCs/>
                <w:color w:val="000000"/>
                <w:szCs w:val="20"/>
              </w:rPr>
            </w:pPr>
            <w:r w:rsidRPr="006F283B">
              <w:rPr>
                <w:rFonts w:eastAsiaTheme="majorEastAsia"/>
                <w:b/>
                <w:bCs/>
              </w:rPr>
              <w:t>0.7294</w:t>
            </w:r>
          </w:p>
        </w:tc>
        <w:tc>
          <w:tcPr>
            <w:tcW w:w="1169" w:type="dxa"/>
            <w:shd w:val="clear" w:color="auto" w:fill="auto"/>
            <w:vAlign w:val="center"/>
          </w:tcPr>
          <w:p w14:paraId="16FA41C7" w14:textId="4D5D659E" w:rsidR="00843998" w:rsidRPr="00F7245D" w:rsidRDefault="00843998" w:rsidP="003915F9">
            <w:pPr>
              <w:pStyle w:val="Tabletext0"/>
              <w:keepNext/>
              <w:keepLines/>
              <w:jc w:val="center"/>
              <w:rPr>
                <w:b/>
                <w:bCs/>
                <w:color w:val="000000"/>
                <w:szCs w:val="20"/>
                <w:vertAlign w:val="superscript"/>
              </w:rPr>
            </w:pPr>
            <w:r w:rsidRPr="006F283B">
              <w:rPr>
                <w:rFonts w:eastAsiaTheme="majorEastAsia"/>
                <w:b/>
                <w:bCs/>
              </w:rPr>
              <w:t>$</w:t>
            </w:r>
            <w:r w:rsidR="00093050" w:rsidRPr="00093050">
              <w:rPr>
                <w:rFonts w:eastAsiaTheme="majorEastAsia"/>
                <w:b/>
                <w:bCs/>
                <w:color w:val="000000"/>
                <w:spacing w:val="68"/>
                <w:shd w:val="solid" w:color="000000" w:fill="000000"/>
                <w:fitText w:val="388" w:id="-1233481462"/>
                <w14:textFill>
                  <w14:solidFill>
                    <w14:srgbClr w14:val="000000">
                      <w14:alpha w14:val="100000"/>
                    </w14:srgbClr>
                  </w14:solidFill>
                </w14:textFill>
              </w:rPr>
              <w:t>|||</w:t>
            </w:r>
            <w:r w:rsidR="00093050" w:rsidRPr="00093050">
              <w:rPr>
                <w:rFonts w:eastAsiaTheme="majorEastAsia"/>
                <w:b/>
                <w:bCs/>
                <w:color w:val="000000"/>
                <w:spacing w:val="1"/>
                <w:shd w:val="solid" w:color="000000" w:fill="000000"/>
                <w:fitText w:val="388" w:id="-1233481462"/>
                <w14:textFill>
                  <w14:solidFill>
                    <w14:srgbClr w14:val="000000">
                      <w14:alpha w14:val="100000"/>
                    </w14:srgbClr>
                  </w14:solidFill>
                </w14:textFill>
              </w:rPr>
              <w:t>|</w:t>
            </w:r>
            <w:r w:rsidR="00F7245D">
              <w:rPr>
                <w:rFonts w:eastAsiaTheme="majorEastAsia"/>
                <w:b/>
                <w:bCs/>
              </w:rPr>
              <w:t xml:space="preserve"> </w:t>
            </w:r>
            <w:r w:rsidR="00F7245D">
              <w:rPr>
                <w:rFonts w:eastAsiaTheme="majorEastAsia"/>
                <w:b/>
                <w:bCs/>
                <w:vertAlign w:val="superscript"/>
              </w:rPr>
              <w:t>1</w:t>
            </w:r>
          </w:p>
        </w:tc>
        <w:tc>
          <w:tcPr>
            <w:tcW w:w="1170" w:type="dxa"/>
            <w:shd w:val="clear" w:color="auto" w:fill="auto"/>
            <w:vAlign w:val="center"/>
            <w:hideMark/>
          </w:tcPr>
          <w:p w14:paraId="19BA3F3E" w14:textId="77777777" w:rsidR="00843998" w:rsidRPr="006F283B" w:rsidRDefault="00843998" w:rsidP="003915F9">
            <w:pPr>
              <w:pStyle w:val="Tabletext0"/>
              <w:keepNext/>
              <w:keepLines/>
              <w:jc w:val="center"/>
              <w:rPr>
                <w:b/>
                <w:bCs/>
                <w:color w:val="000000"/>
                <w:szCs w:val="20"/>
              </w:rPr>
            </w:pPr>
            <w:r w:rsidRPr="006F283B">
              <w:rPr>
                <w:b/>
                <w:bCs/>
              </w:rPr>
              <w:t>-</w:t>
            </w:r>
          </w:p>
        </w:tc>
      </w:tr>
      <w:tr w:rsidR="00843998" w:rsidRPr="006F283B" w14:paraId="41B4816C" w14:textId="77777777" w:rsidTr="004E1FEC">
        <w:trPr>
          <w:trHeight w:val="20"/>
        </w:trPr>
        <w:tc>
          <w:tcPr>
            <w:tcW w:w="4390" w:type="dxa"/>
            <w:shd w:val="clear" w:color="auto" w:fill="auto"/>
            <w:vAlign w:val="center"/>
          </w:tcPr>
          <w:p w14:paraId="6F257900" w14:textId="77777777" w:rsidR="00843998" w:rsidRPr="006F283B" w:rsidRDefault="00843998" w:rsidP="003915F9">
            <w:pPr>
              <w:pStyle w:val="Tabletext0"/>
              <w:keepNext/>
              <w:keepLines/>
            </w:pPr>
            <w:r w:rsidRPr="006F283B">
              <w:rPr>
                <w:rFonts w:cs="Calibri"/>
                <w:szCs w:val="22"/>
              </w:rPr>
              <w:t>Base case presented in submission</w:t>
            </w:r>
          </w:p>
        </w:tc>
        <w:tc>
          <w:tcPr>
            <w:tcW w:w="1169" w:type="dxa"/>
            <w:shd w:val="clear" w:color="auto" w:fill="auto"/>
            <w:vAlign w:val="center"/>
          </w:tcPr>
          <w:p w14:paraId="0B9FDE81" w14:textId="36905FA4" w:rsidR="00843998" w:rsidRPr="006F283B" w:rsidRDefault="00843998" w:rsidP="003915F9">
            <w:pPr>
              <w:pStyle w:val="Tabletext0"/>
              <w:keepNext/>
              <w:keepLines/>
              <w:jc w:val="center"/>
            </w:pPr>
            <w:r w:rsidRPr="006F283B">
              <w:rPr>
                <w:rFonts w:cs="Calibri"/>
                <w:szCs w:val="22"/>
              </w:rPr>
              <w:t>$</w:t>
            </w:r>
            <w:r w:rsidR="00093050" w:rsidRPr="0063757D">
              <w:rPr>
                <w:rFonts w:cs="Calibri"/>
                <w:color w:val="000000"/>
                <w:spacing w:val="189"/>
                <w:szCs w:val="22"/>
                <w:shd w:val="solid" w:color="000000" w:fill="000000"/>
                <w:fitText w:val="275" w:id="-1233481461"/>
                <w14:textFill>
                  <w14:solidFill>
                    <w14:srgbClr w14:val="000000">
                      <w14:alpha w14:val="100000"/>
                    </w14:srgbClr>
                  </w14:solidFill>
                </w14:textFill>
              </w:rPr>
              <w:t>|</w:t>
            </w:r>
            <w:r w:rsidR="00093050" w:rsidRPr="0063757D">
              <w:rPr>
                <w:rFonts w:cs="Calibri"/>
                <w:color w:val="000000"/>
                <w:szCs w:val="22"/>
                <w:shd w:val="solid" w:color="000000" w:fill="000000"/>
                <w:fitText w:val="275" w:id="-1233481461"/>
                <w14:textFill>
                  <w14:solidFill>
                    <w14:srgbClr w14:val="000000">
                      <w14:alpha w14:val="100000"/>
                    </w14:srgbClr>
                  </w14:solidFill>
                </w14:textFill>
              </w:rPr>
              <w:t>|</w:t>
            </w:r>
          </w:p>
        </w:tc>
        <w:tc>
          <w:tcPr>
            <w:tcW w:w="1169" w:type="dxa"/>
            <w:shd w:val="clear" w:color="auto" w:fill="auto"/>
            <w:vAlign w:val="center"/>
          </w:tcPr>
          <w:p w14:paraId="0F27A4C0" w14:textId="77777777" w:rsidR="00843998" w:rsidRPr="006F283B" w:rsidRDefault="00843998" w:rsidP="003915F9">
            <w:pPr>
              <w:pStyle w:val="Tabletext0"/>
              <w:keepNext/>
              <w:keepLines/>
              <w:jc w:val="center"/>
            </w:pPr>
            <w:r w:rsidRPr="006F283B">
              <w:rPr>
                <w:rFonts w:cs="Calibri"/>
                <w:szCs w:val="22"/>
              </w:rPr>
              <w:t>0.7294</w:t>
            </w:r>
          </w:p>
        </w:tc>
        <w:tc>
          <w:tcPr>
            <w:tcW w:w="1169" w:type="dxa"/>
            <w:shd w:val="clear" w:color="auto" w:fill="auto"/>
            <w:vAlign w:val="center"/>
          </w:tcPr>
          <w:p w14:paraId="7EE821D4" w14:textId="09DC8DF1" w:rsidR="00843998" w:rsidRPr="00F7245D" w:rsidRDefault="00843998" w:rsidP="003915F9">
            <w:pPr>
              <w:pStyle w:val="Tabletext0"/>
              <w:keepNext/>
              <w:keepLines/>
              <w:jc w:val="center"/>
              <w:rPr>
                <w:vertAlign w:val="superscript"/>
              </w:rPr>
            </w:pPr>
            <w:r w:rsidRPr="006F283B">
              <w:rPr>
                <w:rFonts w:cs="Calibri"/>
                <w:szCs w:val="22"/>
              </w:rPr>
              <w:t>$</w:t>
            </w:r>
            <w:r w:rsidR="00093050" w:rsidRPr="00093050">
              <w:rPr>
                <w:rFonts w:cs="Calibri"/>
                <w:color w:val="000000"/>
                <w:spacing w:val="55"/>
                <w:szCs w:val="22"/>
                <w:shd w:val="solid" w:color="000000" w:fill="000000"/>
                <w:fitText w:val="338" w:id="-1233481460"/>
                <w14:textFill>
                  <w14:solidFill>
                    <w14:srgbClr w14:val="000000">
                      <w14:alpha w14:val="100000"/>
                    </w14:srgbClr>
                  </w14:solidFill>
                </w14:textFill>
              </w:rPr>
              <w:t>|||</w:t>
            </w:r>
            <w:r w:rsidR="00093050" w:rsidRPr="00093050">
              <w:rPr>
                <w:rFonts w:cs="Calibri"/>
                <w:color w:val="000000"/>
                <w:spacing w:val="3"/>
                <w:szCs w:val="22"/>
                <w:shd w:val="solid" w:color="000000" w:fill="000000"/>
                <w:fitText w:val="338" w:id="-1233481460"/>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2A66B82E" w14:textId="77777777" w:rsidR="00843998" w:rsidRPr="006F283B" w:rsidRDefault="00843998" w:rsidP="003915F9">
            <w:pPr>
              <w:pStyle w:val="Tabletext0"/>
              <w:keepNext/>
              <w:keepLines/>
              <w:jc w:val="center"/>
            </w:pPr>
            <w:r w:rsidRPr="006F283B">
              <w:rPr>
                <w:rFonts w:cs="Calibri"/>
                <w:szCs w:val="22"/>
              </w:rPr>
              <w:t>-4.95%</w:t>
            </w:r>
          </w:p>
        </w:tc>
      </w:tr>
      <w:tr w:rsidR="00843998" w:rsidRPr="006F283B" w14:paraId="5A67356A" w14:textId="77777777" w:rsidTr="004E1FEC">
        <w:trPr>
          <w:trHeight w:val="20"/>
        </w:trPr>
        <w:tc>
          <w:tcPr>
            <w:tcW w:w="9067" w:type="dxa"/>
            <w:gridSpan w:val="5"/>
            <w:shd w:val="clear" w:color="auto" w:fill="auto"/>
            <w:vAlign w:val="center"/>
            <w:hideMark/>
          </w:tcPr>
          <w:p w14:paraId="44D5D55D" w14:textId="77777777" w:rsidR="00843998" w:rsidRPr="006F283B" w:rsidRDefault="00843998" w:rsidP="003915F9">
            <w:pPr>
              <w:pStyle w:val="Tabletext0"/>
              <w:keepNext/>
              <w:keepLines/>
              <w:rPr>
                <w:b/>
                <w:bCs/>
                <w:color w:val="000000"/>
                <w:szCs w:val="20"/>
              </w:rPr>
            </w:pPr>
            <w:r w:rsidRPr="006F283B">
              <w:rPr>
                <w:b/>
                <w:bCs/>
              </w:rPr>
              <w:t>Time horizon: 20 years</w:t>
            </w:r>
          </w:p>
        </w:tc>
      </w:tr>
      <w:tr w:rsidR="00843998" w:rsidRPr="006F283B" w14:paraId="3354481D" w14:textId="77777777" w:rsidTr="004E1FEC">
        <w:trPr>
          <w:trHeight w:val="20"/>
        </w:trPr>
        <w:tc>
          <w:tcPr>
            <w:tcW w:w="4390" w:type="dxa"/>
            <w:shd w:val="clear" w:color="auto" w:fill="auto"/>
            <w:vAlign w:val="center"/>
            <w:hideMark/>
          </w:tcPr>
          <w:p w14:paraId="4478FB2D" w14:textId="77777777" w:rsidR="00843998" w:rsidRPr="006F283B" w:rsidRDefault="00843998" w:rsidP="003915F9">
            <w:pPr>
              <w:pStyle w:val="Tabletext0"/>
              <w:keepNext/>
              <w:keepLines/>
              <w:rPr>
                <w:color w:val="000000"/>
                <w:szCs w:val="20"/>
              </w:rPr>
            </w:pPr>
            <w:r w:rsidRPr="006F283B">
              <w:t>10 years</w:t>
            </w:r>
          </w:p>
        </w:tc>
        <w:tc>
          <w:tcPr>
            <w:tcW w:w="1169" w:type="dxa"/>
            <w:shd w:val="clear" w:color="auto" w:fill="auto"/>
            <w:vAlign w:val="center"/>
          </w:tcPr>
          <w:p w14:paraId="7048B4C0" w14:textId="7B8B5ADE"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59"/>
                <w14:textFill>
                  <w14:solidFill>
                    <w14:srgbClr w14:val="000000">
                      <w14:alpha w14:val="100000"/>
                    </w14:srgbClr>
                  </w14:solidFill>
                </w14:textFill>
              </w:rPr>
              <w:t>|</w:t>
            </w:r>
            <w:r w:rsidR="00093050" w:rsidRPr="0063757D">
              <w:rPr>
                <w:color w:val="000000"/>
                <w:szCs w:val="20"/>
                <w:shd w:val="solid" w:color="000000" w:fill="000000"/>
                <w:fitText w:val="275" w:id="-1233481459"/>
                <w14:textFill>
                  <w14:solidFill>
                    <w14:srgbClr w14:val="000000">
                      <w14:alpha w14:val="100000"/>
                    </w14:srgbClr>
                  </w14:solidFill>
                </w14:textFill>
              </w:rPr>
              <w:t>|</w:t>
            </w:r>
          </w:p>
        </w:tc>
        <w:tc>
          <w:tcPr>
            <w:tcW w:w="1169" w:type="dxa"/>
            <w:shd w:val="clear" w:color="auto" w:fill="auto"/>
            <w:vAlign w:val="center"/>
            <w:hideMark/>
          </w:tcPr>
          <w:p w14:paraId="304B2DED" w14:textId="77777777" w:rsidR="00843998" w:rsidRPr="006F283B" w:rsidRDefault="00843998" w:rsidP="003915F9">
            <w:pPr>
              <w:pStyle w:val="Tabletext0"/>
              <w:keepNext/>
              <w:keepLines/>
              <w:jc w:val="center"/>
              <w:rPr>
                <w:color w:val="000000"/>
                <w:szCs w:val="20"/>
              </w:rPr>
            </w:pPr>
            <w:r w:rsidRPr="006F283B">
              <w:t>0.5127</w:t>
            </w:r>
          </w:p>
        </w:tc>
        <w:tc>
          <w:tcPr>
            <w:tcW w:w="1169" w:type="dxa"/>
            <w:shd w:val="clear" w:color="auto" w:fill="auto"/>
            <w:vAlign w:val="center"/>
          </w:tcPr>
          <w:p w14:paraId="4F2DA075" w14:textId="6C2B9271" w:rsidR="00843998" w:rsidRPr="00F7245D" w:rsidRDefault="00843998" w:rsidP="003915F9">
            <w:pPr>
              <w:pStyle w:val="Tabletext0"/>
              <w:keepNext/>
              <w:keepLines/>
              <w:jc w:val="center"/>
              <w:rPr>
                <w:color w:val="000000"/>
                <w:szCs w:val="20"/>
                <w:vertAlign w:val="superscript"/>
              </w:rPr>
            </w:pPr>
            <w:r w:rsidRPr="006F283B">
              <w:rPr>
                <w:color w:val="000000"/>
                <w:szCs w:val="20"/>
              </w:rPr>
              <w:t>$</w:t>
            </w:r>
            <w:r w:rsidR="00093050" w:rsidRPr="00093050">
              <w:rPr>
                <w:color w:val="000000"/>
                <w:spacing w:val="55"/>
                <w:szCs w:val="20"/>
                <w:shd w:val="solid" w:color="000000" w:fill="000000"/>
                <w:fitText w:val="338" w:id="-1233481458"/>
                <w14:textFill>
                  <w14:solidFill>
                    <w14:srgbClr w14:val="000000">
                      <w14:alpha w14:val="100000"/>
                    </w14:srgbClr>
                  </w14:solidFill>
                </w14:textFill>
              </w:rPr>
              <w:t>|||</w:t>
            </w:r>
            <w:r w:rsidR="00093050" w:rsidRPr="00093050">
              <w:rPr>
                <w:color w:val="000000"/>
                <w:spacing w:val="3"/>
                <w:szCs w:val="20"/>
                <w:shd w:val="solid" w:color="000000" w:fill="000000"/>
                <w:fitText w:val="338" w:id="-1233481458"/>
                <w14:textFill>
                  <w14:solidFill>
                    <w14:srgbClr w14:val="000000">
                      <w14:alpha w14:val="100000"/>
                    </w14:srgbClr>
                  </w14:solidFill>
                </w14:textFill>
              </w:rPr>
              <w:t>|</w:t>
            </w:r>
            <w:r w:rsidR="00F7245D">
              <w:rPr>
                <w:color w:val="000000"/>
                <w:szCs w:val="20"/>
              </w:rPr>
              <w:t xml:space="preserve"> </w:t>
            </w:r>
            <w:r w:rsidR="00F7245D">
              <w:rPr>
                <w:color w:val="000000"/>
                <w:szCs w:val="20"/>
                <w:vertAlign w:val="superscript"/>
              </w:rPr>
              <w:t>2</w:t>
            </w:r>
          </w:p>
        </w:tc>
        <w:tc>
          <w:tcPr>
            <w:tcW w:w="1170" w:type="dxa"/>
            <w:shd w:val="clear" w:color="auto" w:fill="auto"/>
            <w:vAlign w:val="center"/>
          </w:tcPr>
          <w:p w14:paraId="24718DA9" w14:textId="77777777" w:rsidR="00843998" w:rsidRPr="006F283B" w:rsidRDefault="00843998" w:rsidP="003915F9">
            <w:pPr>
              <w:pStyle w:val="Tabletext0"/>
              <w:keepNext/>
              <w:keepLines/>
              <w:jc w:val="center"/>
              <w:rPr>
                <w:color w:val="000000"/>
                <w:szCs w:val="20"/>
              </w:rPr>
            </w:pPr>
            <w:r w:rsidRPr="006F283B">
              <w:rPr>
                <w:color w:val="000000"/>
                <w:szCs w:val="20"/>
              </w:rPr>
              <w:t>+42.43%</w:t>
            </w:r>
          </w:p>
        </w:tc>
      </w:tr>
      <w:tr w:rsidR="00843998" w:rsidRPr="006F283B" w14:paraId="68B80603" w14:textId="77777777" w:rsidTr="004E1FEC">
        <w:trPr>
          <w:trHeight w:val="20"/>
        </w:trPr>
        <w:tc>
          <w:tcPr>
            <w:tcW w:w="4390" w:type="dxa"/>
            <w:shd w:val="clear" w:color="auto" w:fill="auto"/>
            <w:vAlign w:val="center"/>
            <w:hideMark/>
          </w:tcPr>
          <w:p w14:paraId="435F5175" w14:textId="77777777" w:rsidR="00843998" w:rsidRPr="006F283B" w:rsidRDefault="00843998" w:rsidP="003915F9">
            <w:pPr>
              <w:pStyle w:val="Tabletext0"/>
              <w:keepNext/>
              <w:keepLines/>
              <w:rPr>
                <w:color w:val="000000"/>
                <w:szCs w:val="20"/>
              </w:rPr>
            </w:pPr>
            <w:r w:rsidRPr="006F283B">
              <w:t>15 years</w:t>
            </w:r>
          </w:p>
        </w:tc>
        <w:tc>
          <w:tcPr>
            <w:tcW w:w="1169" w:type="dxa"/>
            <w:shd w:val="clear" w:color="auto" w:fill="auto"/>
            <w:vAlign w:val="center"/>
          </w:tcPr>
          <w:p w14:paraId="3AC4D5F0" w14:textId="3C09C776"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57"/>
                <w14:textFill>
                  <w14:solidFill>
                    <w14:srgbClr w14:val="000000">
                      <w14:alpha w14:val="100000"/>
                    </w14:srgbClr>
                  </w14:solidFill>
                </w14:textFill>
              </w:rPr>
              <w:t>|</w:t>
            </w:r>
            <w:r w:rsidR="00093050" w:rsidRPr="0063757D">
              <w:rPr>
                <w:color w:val="000000"/>
                <w:szCs w:val="20"/>
                <w:shd w:val="solid" w:color="000000" w:fill="000000"/>
                <w:fitText w:val="275" w:id="-1233481457"/>
                <w14:textFill>
                  <w14:solidFill>
                    <w14:srgbClr w14:val="000000">
                      <w14:alpha w14:val="100000"/>
                    </w14:srgbClr>
                  </w14:solidFill>
                </w14:textFill>
              </w:rPr>
              <w:t>|</w:t>
            </w:r>
          </w:p>
        </w:tc>
        <w:tc>
          <w:tcPr>
            <w:tcW w:w="1169" w:type="dxa"/>
            <w:shd w:val="clear" w:color="auto" w:fill="auto"/>
            <w:vAlign w:val="center"/>
            <w:hideMark/>
          </w:tcPr>
          <w:p w14:paraId="2C502943" w14:textId="77777777" w:rsidR="00843998" w:rsidRPr="006F283B" w:rsidRDefault="00843998" w:rsidP="003915F9">
            <w:pPr>
              <w:pStyle w:val="Tabletext0"/>
              <w:keepNext/>
              <w:keepLines/>
              <w:jc w:val="center"/>
              <w:rPr>
                <w:color w:val="000000"/>
                <w:szCs w:val="20"/>
              </w:rPr>
            </w:pPr>
            <w:r w:rsidRPr="006F283B">
              <w:t>0.6361</w:t>
            </w:r>
          </w:p>
        </w:tc>
        <w:tc>
          <w:tcPr>
            <w:tcW w:w="1169" w:type="dxa"/>
            <w:shd w:val="clear" w:color="auto" w:fill="auto"/>
            <w:vAlign w:val="center"/>
          </w:tcPr>
          <w:p w14:paraId="1A4BB759" w14:textId="018C5726" w:rsidR="00843998" w:rsidRPr="00F7245D" w:rsidRDefault="00843998" w:rsidP="003915F9">
            <w:pPr>
              <w:pStyle w:val="Tabletext0"/>
              <w:keepNext/>
              <w:keepLines/>
              <w:jc w:val="center"/>
              <w:rPr>
                <w:color w:val="000000"/>
                <w:szCs w:val="20"/>
                <w:vertAlign w:val="superscript"/>
              </w:rPr>
            </w:pPr>
            <w:r w:rsidRPr="006F283B">
              <w:rPr>
                <w:color w:val="000000"/>
                <w:szCs w:val="20"/>
              </w:rPr>
              <w:t>$</w:t>
            </w:r>
            <w:r w:rsidR="00093050" w:rsidRPr="00093050">
              <w:rPr>
                <w:color w:val="000000"/>
                <w:spacing w:val="55"/>
                <w:szCs w:val="20"/>
                <w:shd w:val="solid" w:color="000000" w:fill="000000"/>
                <w:fitText w:val="338" w:id="-1233481456"/>
                <w14:textFill>
                  <w14:solidFill>
                    <w14:srgbClr w14:val="000000">
                      <w14:alpha w14:val="100000"/>
                    </w14:srgbClr>
                  </w14:solidFill>
                </w14:textFill>
              </w:rPr>
              <w:t>|||</w:t>
            </w:r>
            <w:r w:rsidR="00093050" w:rsidRPr="00093050">
              <w:rPr>
                <w:color w:val="000000"/>
                <w:spacing w:val="3"/>
                <w:szCs w:val="20"/>
                <w:shd w:val="solid" w:color="000000" w:fill="000000"/>
                <w:fitText w:val="338" w:id="-1233481456"/>
                <w14:textFill>
                  <w14:solidFill>
                    <w14:srgbClr w14:val="000000">
                      <w14:alpha w14:val="100000"/>
                    </w14:srgbClr>
                  </w14:solidFill>
                </w14:textFill>
              </w:rPr>
              <w:t>|</w:t>
            </w:r>
            <w:r w:rsidR="00F7245D">
              <w:rPr>
                <w:color w:val="000000"/>
                <w:szCs w:val="20"/>
              </w:rPr>
              <w:t xml:space="preserve"> </w:t>
            </w:r>
            <w:r w:rsidR="00F7245D">
              <w:rPr>
                <w:color w:val="000000"/>
                <w:szCs w:val="20"/>
                <w:vertAlign w:val="superscript"/>
              </w:rPr>
              <w:t>3</w:t>
            </w:r>
          </w:p>
        </w:tc>
        <w:tc>
          <w:tcPr>
            <w:tcW w:w="1170" w:type="dxa"/>
            <w:shd w:val="clear" w:color="auto" w:fill="auto"/>
            <w:vAlign w:val="center"/>
          </w:tcPr>
          <w:p w14:paraId="65C59A29" w14:textId="77777777" w:rsidR="00843998" w:rsidRPr="006F283B" w:rsidRDefault="00843998" w:rsidP="003915F9">
            <w:pPr>
              <w:pStyle w:val="Tabletext0"/>
              <w:keepNext/>
              <w:keepLines/>
              <w:jc w:val="center"/>
              <w:rPr>
                <w:color w:val="000000"/>
                <w:szCs w:val="20"/>
              </w:rPr>
            </w:pPr>
            <w:r w:rsidRPr="006F283B">
              <w:rPr>
                <w:color w:val="000000"/>
                <w:szCs w:val="20"/>
              </w:rPr>
              <w:t>+14.86%</w:t>
            </w:r>
          </w:p>
        </w:tc>
      </w:tr>
      <w:tr w:rsidR="00843998" w:rsidRPr="006F283B" w14:paraId="37A91070" w14:textId="77777777" w:rsidTr="004E1FEC">
        <w:trPr>
          <w:trHeight w:val="20"/>
        </w:trPr>
        <w:tc>
          <w:tcPr>
            <w:tcW w:w="4390" w:type="dxa"/>
            <w:shd w:val="clear" w:color="auto" w:fill="auto"/>
            <w:vAlign w:val="center"/>
            <w:hideMark/>
          </w:tcPr>
          <w:p w14:paraId="76CB893D" w14:textId="77777777" w:rsidR="00843998" w:rsidRPr="006F283B" w:rsidRDefault="00843998" w:rsidP="003915F9">
            <w:pPr>
              <w:pStyle w:val="Tabletext0"/>
              <w:keepNext/>
              <w:keepLines/>
              <w:rPr>
                <w:color w:val="000000"/>
                <w:szCs w:val="20"/>
              </w:rPr>
            </w:pPr>
            <w:r w:rsidRPr="006F283B">
              <w:t>25 years</w:t>
            </w:r>
          </w:p>
        </w:tc>
        <w:tc>
          <w:tcPr>
            <w:tcW w:w="1169" w:type="dxa"/>
            <w:shd w:val="clear" w:color="auto" w:fill="auto"/>
            <w:vAlign w:val="center"/>
          </w:tcPr>
          <w:p w14:paraId="795CD56E" w14:textId="11FEF62B"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72"/>
                <w14:textFill>
                  <w14:solidFill>
                    <w14:srgbClr w14:val="000000">
                      <w14:alpha w14:val="100000"/>
                    </w14:srgbClr>
                  </w14:solidFill>
                </w14:textFill>
              </w:rPr>
              <w:t>|</w:t>
            </w:r>
            <w:r w:rsidR="00093050" w:rsidRPr="0063757D">
              <w:rPr>
                <w:color w:val="000000"/>
                <w:szCs w:val="20"/>
                <w:shd w:val="solid" w:color="000000" w:fill="000000"/>
                <w:fitText w:val="275" w:id="-1233481472"/>
                <w14:textFill>
                  <w14:solidFill>
                    <w14:srgbClr w14:val="000000">
                      <w14:alpha w14:val="100000"/>
                    </w14:srgbClr>
                  </w14:solidFill>
                </w14:textFill>
              </w:rPr>
              <w:t>|</w:t>
            </w:r>
          </w:p>
        </w:tc>
        <w:tc>
          <w:tcPr>
            <w:tcW w:w="1169" w:type="dxa"/>
            <w:shd w:val="clear" w:color="auto" w:fill="auto"/>
            <w:vAlign w:val="center"/>
            <w:hideMark/>
          </w:tcPr>
          <w:p w14:paraId="7974C8EE" w14:textId="77777777" w:rsidR="00843998" w:rsidRPr="006F283B" w:rsidRDefault="00843998" w:rsidP="003915F9">
            <w:pPr>
              <w:pStyle w:val="Tabletext0"/>
              <w:keepNext/>
              <w:keepLines/>
              <w:jc w:val="center"/>
              <w:rPr>
                <w:color w:val="000000"/>
                <w:szCs w:val="20"/>
              </w:rPr>
            </w:pPr>
            <w:r w:rsidRPr="006F283B">
              <w:t>0.7870</w:t>
            </w:r>
          </w:p>
        </w:tc>
        <w:tc>
          <w:tcPr>
            <w:tcW w:w="1169" w:type="dxa"/>
            <w:shd w:val="clear" w:color="auto" w:fill="auto"/>
            <w:vAlign w:val="center"/>
          </w:tcPr>
          <w:p w14:paraId="104D48ED" w14:textId="74D9828C"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71"/>
                <w14:textFill>
                  <w14:solidFill>
                    <w14:srgbClr w14:val="000000">
                      <w14:alpha w14:val="100000"/>
                    </w14:srgbClr>
                  </w14:solidFill>
                </w14:textFill>
              </w:rPr>
              <w:t>|||</w:t>
            </w:r>
            <w:r w:rsidR="00093050" w:rsidRPr="00093050">
              <w:rPr>
                <w:color w:val="000000"/>
                <w:spacing w:val="3"/>
                <w:szCs w:val="20"/>
                <w:shd w:val="solid" w:color="000000" w:fill="000000"/>
                <w:fitText w:val="338" w:id="-1233481471"/>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7FF36650" w14:textId="77777777" w:rsidR="00843998" w:rsidRPr="006F283B" w:rsidRDefault="00843998" w:rsidP="003915F9">
            <w:pPr>
              <w:pStyle w:val="Tabletext0"/>
              <w:keepNext/>
              <w:keepLines/>
              <w:jc w:val="center"/>
              <w:rPr>
                <w:color w:val="000000"/>
                <w:szCs w:val="20"/>
              </w:rPr>
            </w:pPr>
            <w:r w:rsidRPr="006F283B">
              <w:rPr>
                <w:color w:val="000000"/>
                <w:szCs w:val="20"/>
              </w:rPr>
              <w:t>-7.88%</w:t>
            </w:r>
          </w:p>
        </w:tc>
      </w:tr>
      <w:tr w:rsidR="00843998" w:rsidRPr="006F283B" w14:paraId="4B9623B8" w14:textId="77777777" w:rsidTr="004E1FEC">
        <w:trPr>
          <w:trHeight w:val="20"/>
        </w:trPr>
        <w:tc>
          <w:tcPr>
            <w:tcW w:w="9067" w:type="dxa"/>
            <w:gridSpan w:val="5"/>
            <w:shd w:val="clear" w:color="auto" w:fill="auto"/>
            <w:vAlign w:val="center"/>
            <w:hideMark/>
          </w:tcPr>
          <w:p w14:paraId="6BE85873" w14:textId="77777777" w:rsidR="00843998" w:rsidRPr="006F283B" w:rsidRDefault="00843998" w:rsidP="003915F9">
            <w:pPr>
              <w:pStyle w:val="Tabletext0"/>
              <w:keepNext/>
              <w:keepLines/>
              <w:rPr>
                <w:b/>
                <w:bCs/>
              </w:rPr>
            </w:pPr>
            <w:r w:rsidRPr="006F283B">
              <w:rPr>
                <w:b/>
                <w:bCs/>
              </w:rPr>
              <w:t>Discount rate: 5%</w:t>
            </w:r>
          </w:p>
        </w:tc>
      </w:tr>
      <w:tr w:rsidR="00843998" w:rsidRPr="006F283B" w14:paraId="5956B00D" w14:textId="77777777" w:rsidTr="004E1FEC">
        <w:trPr>
          <w:trHeight w:val="20"/>
        </w:trPr>
        <w:tc>
          <w:tcPr>
            <w:tcW w:w="4390" w:type="dxa"/>
            <w:shd w:val="clear" w:color="auto" w:fill="auto"/>
            <w:vAlign w:val="center"/>
            <w:hideMark/>
          </w:tcPr>
          <w:p w14:paraId="59E53211" w14:textId="77777777" w:rsidR="00843998" w:rsidRPr="006F283B" w:rsidRDefault="00843998" w:rsidP="003915F9">
            <w:pPr>
              <w:pStyle w:val="Tabletext0"/>
              <w:keepNext/>
              <w:keepLines/>
              <w:rPr>
                <w:color w:val="000000"/>
                <w:szCs w:val="20"/>
              </w:rPr>
            </w:pPr>
            <w:r w:rsidRPr="006F283B">
              <w:t>0%</w:t>
            </w:r>
          </w:p>
        </w:tc>
        <w:tc>
          <w:tcPr>
            <w:tcW w:w="1169" w:type="dxa"/>
            <w:shd w:val="clear" w:color="auto" w:fill="auto"/>
            <w:vAlign w:val="center"/>
          </w:tcPr>
          <w:p w14:paraId="48BEA96A" w14:textId="796CD539"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70"/>
                <w14:textFill>
                  <w14:solidFill>
                    <w14:srgbClr w14:val="000000">
                      <w14:alpha w14:val="100000"/>
                    </w14:srgbClr>
                  </w14:solidFill>
                </w14:textFill>
              </w:rPr>
              <w:t>|</w:t>
            </w:r>
            <w:r w:rsidR="00093050" w:rsidRPr="0063757D">
              <w:rPr>
                <w:color w:val="000000"/>
                <w:szCs w:val="20"/>
                <w:shd w:val="solid" w:color="000000" w:fill="000000"/>
                <w:fitText w:val="275" w:id="-1233481470"/>
                <w14:textFill>
                  <w14:solidFill>
                    <w14:srgbClr w14:val="000000">
                      <w14:alpha w14:val="100000"/>
                    </w14:srgbClr>
                  </w14:solidFill>
                </w14:textFill>
              </w:rPr>
              <w:t>|</w:t>
            </w:r>
          </w:p>
        </w:tc>
        <w:tc>
          <w:tcPr>
            <w:tcW w:w="1169" w:type="dxa"/>
            <w:shd w:val="clear" w:color="auto" w:fill="auto"/>
            <w:vAlign w:val="center"/>
            <w:hideMark/>
          </w:tcPr>
          <w:p w14:paraId="55762F48" w14:textId="77777777" w:rsidR="00843998" w:rsidRPr="006F283B" w:rsidRDefault="00843998" w:rsidP="003915F9">
            <w:pPr>
              <w:pStyle w:val="Tabletext0"/>
              <w:keepNext/>
              <w:keepLines/>
              <w:jc w:val="center"/>
              <w:rPr>
                <w:color w:val="000000"/>
                <w:szCs w:val="20"/>
              </w:rPr>
            </w:pPr>
            <w:r w:rsidRPr="006F283B">
              <w:t>1.0086</w:t>
            </w:r>
          </w:p>
        </w:tc>
        <w:tc>
          <w:tcPr>
            <w:tcW w:w="1169" w:type="dxa"/>
            <w:shd w:val="clear" w:color="auto" w:fill="auto"/>
            <w:vAlign w:val="center"/>
          </w:tcPr>
          <w:p w14:paraId="3200CCF3" w14:textId="17CE0C3C" w:rsidR="00843998" w:rsidRPr="00F7245D" w:rsidRDefault="00843998" w:rsidP="003915F9">
            <w:pPr>
              <w:pStyle w:val="Tabletext0"/>
              <w:keepNext/>
              <w:keepLines/>
              <w:jc w:val="center"/>
              <w:rPr>
                <w:color w:val="000000"/>
                <w:szCs w:val="20"/>
                <w:vertAlign w:val="superscript"/>
              </w:rPr>
            </w:pPr>
            <w:r w:rsidRPr="006F283B">
              <w:rPr>
                <w:color w:val="000000"/>
                <w:szCs w:val="20"/>
              </w:rPr>
              <w:t>$</w:t>
            </w:r>
            <w:r w:rsidR="00093050" w:rsidRPr="00093050">
              <w:rPr>
                <w:color w:val="000000"/>
                <w:spacing w:val="55"/>
                <w:szCs w:val="20"/>
                <w:shd w:val="solid" w:color="000000" w:fill="000000"/>
                <w:fitText w:val="338" w:id="-1233481469"/>
                <w14:textFill>
                  <w14:solidFill>
                    <w14:srgbClr w14:val="000000">
                      <w14:alpha w14:val="100000"/>
                    </w14:srgbClr>
                  </w14:solidFill>
                </w14:textFill>
              </w:rPr>
              <w:t>|||</w:t>
            </w:r>
            <w:r w:rsidR="00093050" w:rsidRPr="00093050">
              <w:rPr>
                <w:color w:val="000000"/>
                <w:spacing w:val="3"/>
                <w:szCs w:val="20"/>
                <w:shd w:val="solid" w:color="000000" w:fill="000000"/>
                <w:fitText w:val="338" w:id="-1233481469"/>
                <w14:textFill>
                  <w14:solidFill>
                    <w14:srgbClr w14:val="000000">
                      <w14:alpha w14:val="100000"/>
                    </w14:srgbClr>
                  </w14:solidFill>
                </w14:textFill>
              </w:rPr>
              <w:t>|</w:t>
            </w:r>
            <w:r w:rsidR="00F7245D">
              <w:rPr>
                <w:color w:val="000000"/>
                <w:szCs w:val="20"/>
              </w:rPr>
              <w:t xml:space="preserve"> </w:t>
            </w:r>
            <w:r w:rsidR="00F7245D">
              <w:rPr>
                <w:color w:val="000000"/>
                <w:szCs w:val="20"/>
                <w:vertAlign w:val="superscript"/>
              </w:rPr>
              <w:t>4</w:t>
            </w:r>
          </w:p>
        </w:tc>
        <w:tc>
          <w:tcPr>
            <w:tcW w:w="1170" w:type="dxa"/>
            <w:shd w:val="clear" w:color="auto" w:fill="auto"/>
            <w:vAlign w:val="center"/>
          </w:tcPr>
          <w:p w14:paraId="63C3606A" w14:textId="77777777" w:rsidR="00843998" w:rsidRPr="006F283B" w:rsidRDefault="00843998" w:rsidP="003915F9">
            <w:pPr>
              <w:pStyle w:val="Tabletext0"/>
              <w:keepNext/>
              <w:keepLines/>
              <w:jc w:val="center"/>
              <w:rPr>
                <w:color w:val="000000"/>
                <w:szCs w:val="20"/>
              </w:rPr>
            </w:pPr>
            <w:r w:rsidRPr="006F283B">
              <w:rPr>
                <w:color w:val="000000"/>
                <w:szCs w:val="20"/>
              </w:rPr>
              <w:t>-21.96%</w:t>
            </w:r>
          </w:p>
        </w:tc>
      </w:tr>
      <w:tr w:rsidR="00843998" w:rsidRPr="006F283B" w14:paraId="5CDF058F" w14:textId="77777777" w:rsidTr="004E1FEC">
        <w:trPr>
          <w:trHeight w:val="20"/>
        </w:trPr>
        <w:tc>
          <w:tcPr>
            <w:tcW w:w="4390" w:type="dxa"/>
            <w:shd w:val="clear" w:color="auto" w:fill="auto"/>
            <w:vAlign w:val="center"/>
            <w:hideMark/>
          </w:tcPr>
          <w:p w14:paraId="6DACD1FD" w14:textId="77777777" w:rsidR="00843998" w:rsidRPr="006F283B" w:rsidRDefault="00843998" w:rsidP="003915F9">
            <w:pPr>
              <w:pStyle w:val="Tabletext0"/>
              <w:keepNext/>
              <w:keepLines/>
              <w:rPr>
                <w:color w:val="000000"/>
                <w:szCs w:val="20"/>
              </w:rPr>
            </w:pPr>
            <w:r w:rsidRPr="006F283B">
              <w:t>3.5%</w:t>
            </w:r>
          </w:p>
        </w:tc>
        <w:tc>
          <w:tcPr>
            <w:tcW w:w="1169" w:type="dxa"/>
            <w:shd w:val="clear" w:color="auto" w:fill="auto"/>
            <w:vAlign w:val="center"/>
          </w:tcPr>
          <w:p w14:paraId="1A00CD00" w14:textId="70FE294E"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68"/>
                <w14:textFill>
                  <w14:solidFill>
                    <w14:srgbClr w14:val="000000">
                      <w14:alpha w14:val="100000"/>
                    </w14:srgbClr>
                  </w14:solidFill>
                </w14:textFill>
              </w:rPr>
              <w:t>|</w:t>
            </w:r>
            <w:r w:rsidR="00093050" w:rsidRPr="0063757D">
              <w:rPr>
                <w:color w:val="000000"/>
                <w:szCs w:val="20"/>
                <w:shd w:val="solid" w:color="000000" w:fill="000000"/>
                <w:fitText w:val="275" w:id="-1233481468"/>
                <w14:textFill>
                  <w14:solidFill>
                    <w14:srgbClr w14:val="000000">
                      <w14:alpha w14:val="100000"/>
                    </w14:srgbClr>
                  </w14:solidFill>
                </w14:textFill>
              </w:rPr>
              <w:t>|</w:t>
            </w:r>
          </w:p>
        </w:tc>
        <w:tc>
          <w:tcPr>
            <w:tcW w:w="1169" w:type="dxa"/>
            <w:shd w:val="clear" w:color="auto" w:fill="auto"/>
            <w:vAlign w:val="center"/>
            <w:hideMark/>
          </w:tcPr>
          <w:p w14:paraId="2BC536AB" w14:textId="77777777" w:rsidR="00843998" w:rsidRPr="006F283B" w:rsidRDefault="00843998" w:rsidP="003915F9">
            <w:pPr>
              <w:pStyle w:val="Tabletext0"/>
              <w:keepNext/>
              <w:keepLines/>
              <w:jc w:val="center"/>
              <w:rPr>
                <w:color w:val="000000"/>
                <w:szCs w:val="20"/>
              </w:rPr>
            </w:pPr>
            <w:r w:rsidRPr="006F283B">
              <w:t>0.7993</w:t>
            </w:r>
          </w:p>
        </w:tc>
        <w:tc>
          <w:tcPr>
            <w:tcW w:w="1169" w:type="dxa"/>
            <w:shd w:val="clear" w:color="auto" w:fill="auto"/>
            <w:vAlign w:val="center"/>
          </w:tcPr>
          <w:p w14:paraId="47CF0467" w14:textId="090F8CA6"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67"/>
                <w14:textFill>
                  <w14:solidFill>
                    <w14:srgbClr w14:val="000000">
                      <w14:alpha w14:val="100000"/>
                    </w14:srgbClr>
                  </w14:solidFill>
                </w14:textFill>
              </w:rPr>
              <w:t>|||</w:t>
            </w:r>
            <w:r w:rsidR="00093050" w:rsidRPr="00093050">
              <w:rPr>
                <w:color w:val="000000"/>
                <w:spacing w:val="3"/>
                <w:szCs w:val="20"/>
                <w:shd w:val="solid" w:color="000000" w:fill="000000"/>
                <w:fitText w:val="338" w:id="-1233481467"/>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6BE8CBCA" w14:textId="77777777" w:rsidR="00843998" w:rsidRPr="006F283B" w:rsidRDefault="00843998" w:rsidP="003915F9">
            <w:pPr>
              <w:pStyle w:val="Tabletext0"/>
              <w:keepNext/>
              <w:keepLines/>
              <w:jc w:val="center"/>
              <w:rPr>
                <w:color w:val="000000"/>
                <w:szCs w:val="20"/>
              </w:rPr>
            </w:pPr>
            <w:r w:rsidRPr="006F283B">
              <w:rPr>
                <w:color w:val="000000"/>
                <w:szCs w:val="20"/>
              </w:rPr>
              <w:t>-6.91%</w:t>
            </w:r>
          </w:p>
        </w:tc>
      </w:tr>
      <w:tr w:rsidR="00843998" w:rsidRPr="006F283B" w14:paraId="5ACF4539" w14:textId="77777777" w:rsidTr="004E1FEC">
        <w:trPr>
          <w:trHeight w:val="20"/>
        </w:trPr>
        <w:tc>
          <w:tcPr>
            <w:tcW w:w="9067" w:type="dxa"/>
            <w:gridSpan w:val="5"/>
            <w:shd w:val="clear" w:color="auto" w:fill="auto"/>
            <w:vAlign w:val="center"/>
          </w:tcPr>
          <w:p w14:paraId="72E51E7B" w14:textId="77777777" w:rsidR="00843998" w:rsidRPr="006F283B" w:rsidRDefault="00843998" w:rsidP="003915F9">
            <w:pPr>
              <w:pStyle w:val="Tabletext0"/>
              <w:keepNext/>
              <w:keepLines/>
              <w:rPr>
                <w:b/>
                <w:bCs/>
              </w:rPr>
            </w:pPr>
            <w:r w:rsidRPr="006F283B">
              <w:rPr>
                <w:b/>
                <w:bCs/>
              </w:rPr>
              <w:t>Prevalence of HRD positive: 49%</w:t>
            </w:r>
          </w:p>
        </w:tc>
      </w:tr>
      <w:tr w:rsidR="00843998" w:rsidRPr="006F283B" w14:paraId="001BD1D7" w14:textId="77777777" w:rsidTr="004E1FEC">
        <w:trPr>
          <w:trHeight w:val="20"/>
        </w:trPr>
        <w:tc>
          <w:tcPr>
            <w:tcW w:w="4390" w:type="dxa"/>
            <w:shd w:val="clear" w:color="auto" w:fill="auto"/>
            <w:vAlign w:val="center"/>
          </w:tcPr>
          <w:p w14:paraId="5C9F9550" w14:textId="41DD557A" w:rsidR="00843998" w:rsidRPr="006F283B" w:rsidRDefault="00843998" w:rsidP="003915F9">
            <w:pPr>
              <w:pStyle w:val="Tabletext0"/>
              <w:keepNext/>
              <w:keepLines/>
            </w:pPr>
            <w:r w:rsidRPr="006F283B">
              <w:t xml:space="preserve">40%, 25.3% </w:t>
            </w:r>
            <w:r w:rsidR="001152C0" w:rsidRPr="001152C0">
              <w:rPr>
                <w:i/>
                <w:iCs/>
              </w:rPr>
              <w:t>BRCAm</w:t>
            </w:r>
          </w:p>
        </w:tc>
        <w:tc>
          <w:tcPr>
            <w:tcW w:w="1169" w:type="dxa"/>
            <w:shd w:val="clear" w:color="auto" w:fill="auto"/>
            <w:vAlign w:val="center"/>
          </w:tcPr>
          <w:p w14:paraId="713016B2" w14:textId="0648F728" w:rsidR="00843998" w:rsidRPr="006F283B" w:rsidRDefault="00843998" w:rsidP="003915F9">
            <w:pPr>
              <w:pStyle w:val="Tabletext0"/>
              <w:keepNext/>
              <w:keepLines/>
              <w:jc w:val="center"/>
            </w:pPr>
            <w:r w:rsidRPr="006F283B">
              <w:t>$</w:t>
            </w:r>
            <w:r w:rsidR="00093050" w:rsidRPr="0063757D">
              <w:rPr>
                <w:color w:val="000000"/>
                <w:spacing w:val="189"/>
                <w:shd w:val="solid" w:color="000000" w:fill="000000"/>
                <w:fitText w:val="275" w:id="-1233481466"/>
                <w14:textFill>
                  <w14:solidFill>
                    <w14:srgbClr w14:val="000000">
                      <w14:alpha w14:val="100000"/>
                    </w14:srgbClr>
                  </w14:solidFill>
                </w14:textFill>
              </w:rPr>
              <w:t>|</w:t>
            </w:r>
            <w:r w:rsidR="00093050" w:rsidRPr="0063757D">
              <w:rPr>
                <w:color w:val="000000"/>
                <w:shd w:val="solid" w:color="000000" w:fill="000000"/>
                <w:fitText w:val="275" w:id="-1233481466"/>
                <w14:textFill>
                  <w14:solidFill>
                    <w14:srgbClr w14:val="000000">
                      <w14:alpha w14:val="100000"/>
                    </w14:srgbClr>
                  </w14:solidFill>
                </w14:textFill>
              </w:rPr>
              <w:t>|</w:t>
            </w:r>
          </w:p>
        </w:tc>
        <w:tc>
          <w:tcPr>
            <w:tcW w:w="1169" w:type="dxa"/>
            <w:shd w:val="clear" w:color="auto" w:fill="auto"/>
            <w:vAlign w:val="center"/>
          </w:tcPr>
          <w:p w14:paraId="5CE3956F" w14:textId="77777777" w:rsidR="00843998" w:rsidRPr="006F283B" w:rsidRDefault="00843998" w:rsidP="003915F9">
            <w:pPr>
              <w:pStyle w:val="Tabletext0"/>
              <w:keepNext/>
              <w:keepLines/>
              <w:jc w:val="center"/>
            </w:pPr>
            <w:r w:rsidRPr="006F283B">
              <w:t>0.7384</w:t>
            </w:r>
          </w:p>
        </w:tc>
        <w:tc>
          <w:tcPr>
            <w:tcW w:w="1169" w:type="dxa"/>
            <w:shd w:val="clear" w:color="auto" w:fill="auto"/>
            <w:vAlign w:val="center"/>
          </w:tcPr>
          <w:p w14:paraId="21E8BD62" w14:textId="6E88B7B5" w:rsidR="00843998" w:rsidRPr="006F283B" w:rsidRDefault="00843998" w:rsidP="003915F9">
            <w:pPr>
              <w:pStyle w:val="Tabletext0"/>
              <w:keepNext/>
              <w:keepLines/>
              <w:jc w:val="center"/>
            </w:pPr>
            <w:r w:rsidRPr="006F283B">
              <w:t>$</w:t>
            </w:r>
            <w:r w:rsidR="00093050" w:rsidRPr="00093050">
              <w:rPr>
                <w:color w:val="000000"/>
                <w:spacing w:val="55"/>
                <w:shd w:val="solid" w:color="000000" w:fill="000000"/>
                <w:fitText w:val="338" w:id="-1233481465"/>
                <w14:textFill>
                  <w14:solidFill>
                    <w14:srgbClr w14:val="000000">
                      <w14:alpha w14:val="100000"/>
                    </w14:srgbClr>
                  </w14:solidFill>
                </w14:textFill>
              </w:rPr>
              <w:t>|||</w:t>
            </w:r>
            <w:r w:rsidR="00093050" w:rsidRPr="00093050">
              <w:rPr>
                <w:color w:val="000000"/>
                <w:spacing w:val="3"/>
                <w:shd w:val="solid" w:color="000000" w:fill="000000"/>
                <w:fitText w:val="338" w:id="-1233481465"/>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78B62E51" w14:textId="77777777" w:rsidR="00843998" w:rsidRPr="006F283B" w:rsidRDefault="00843998" w:rsidP="003915F9">
            <w:pPr>
              <w:pStyle w:val="Tabletext0"/>
              <w:keepNext/>
              <w:keepLines/>
              <w:jc w:val="center"/>
            </w:pPr>
            <w:r w:rsidRPr="006F283B">
              <w:t>-6.59%</w:t>
            </w:r>
          </w:p>
        </w:tc>
      </w:tr>
      <w:tr w:rsidR="00843998" w:rsidRPr="006F283B" w14:paraId="6D3772BD" w14:textId="77777777" w:rsidTr="004E1FEC">
        <w:trPr>
          <w:trHeight w:val="20"/>
        </w:trPr>
        <w:tc>
          <w:tcPr>
            <w:tcW w:w="4390" w:type="dxa"/>
            <w:shd w:val="clear" w:color="auto" w:fill="auto"/>
            <w:vAlign w:val="center"/>
          </w:tcPr>
          <w:p w14:paraId="464DD4AF" w14:textId="1F5B7D88" w:rsidR="00843998" w:rsidRPr="006F283B" w:rsidRDefault="00843998" w:rsidP="003915F9">
            <w:pPr>
              <w:pStyle w:val="Tabletext0"/>
              <w:keepNext/>
              <w:keepLines/>
            </w:pPr>
            <w:r w:rsidRPr="006F283B">
              <w:t xml:space="preserve">60%, 25.3% </w:t>
            </w:r>
            <w:r w:rsidR="001152C0" w:rsidRPr="001152C0">
              <w:rPr>
                <w:i/>
                <w:iCs/>
              </w:rPr>
              <w:t>BRCAm</w:t>
            </w:r>
          </w:p>
        </w:tc>
        <w:tc>
          <w:tcPr>
            <w:tcW w:w="1169" w:type="dxa"/>
            <w:shd w:val="clear" w:color="auto" w:fill="auto"/>
            <w:vAlign w:val="center"/>
          </w:tcPr>
          <w:p w14:paraId="32E52487" w14:textId="66C5D316" w:rsidR="00843998" w:rsidRPr="006F283B" w:rsidRDefault="00843998" w:rsidP="003915F9">
            <w:pPr>
              <w:pStyle w:val="Tabletext0"/>
              <w:keepNext/>
              <w:keepLines/>
              <w:jc w:val="center"/>
            </w:pPr>
            <w:r w:rsidRPr="006F283B">
              <w:t>$</w:t>
            </w:r>
            <w:r w:rsidR="00093050" w:rsidRPr="0063757D">
              <w:rPr>
                <w:color w:val="000000"/>
                <w:spacing w:val="189"/>
                <w:shd w:val="solid" w:color="000000" w:fill="000000"/>
                <w:fitText w:val="275" w:id="-1233481464"/>
                <w14:textFill>
                  <w14:solidFill>
                    <w14:srgbClr w14:val="000000">
                      <w14:alpha w14:val="100000"/>
                    </w14:srgbClr>
                  </w14:solidFill>
                </w14:textFill>
              </w:rPr>
              <w:t>|</w:t>
            </w:r>
            <w:r w:rsidR="00093050" w:rsidRPr="0063757D">
              <w:rPr>
                <w:color w:val="000000"/>
                <w:shd w:val="solid" w:color="000000" w:fill="000000"/>
                <w:fitText w:val="275" w:id="-1233481464"/>
                <w14:textFill>
                  <w14:solidFill>
                    <w14:srgbClr w14:val="000000">
                      <w14:alpha w14:val="100000"/>
                    </w14:srgbClr>
                  </w14:solidFill>
                </w14:textFill>
              </w:rPr>
              <w:t>|</w:t>
            </w:r>
          </w:p>
        </w:tc>
        <w:tc>
          <w:tcPr>
            <w:tcW w:w="1169" w:type="dxa"/>
            <w:shd w:val="clear" w:color="auto" w:fill="auto"/>
            <w:vAlign w:val="center"/>
          </w:tcPr>
          <w:p w14:paraId="1BB726F0" w14:textId="77777777" w:rsidR="00843998" w:rsidRPr="006F283B" w:rsidRDefault="00843998" w:rsidP="003915F9">
            <w:pPr>
              <w:pStyle w:val="Tabletext0"/>
              <w:keepNext/>
              <w:keepLines/>
              <w:jc w:val="center"/>
            </w:pPr>
            <w:r w:rsidRPr="006F283B">
              <w:t>0.7470</w:t>
            </w:r>
          </w:p>
        </w:tc>
        <w:tc>
          <w:tcPr>
            <w:tcW w:w="1169" w:type="dxa"/>
            <w:shd w:val="clear" w:color="auto" w:fill="auto"/>
            <w:vAlign w:val="center"/>
          </w:tcPr>
          <w:p w14:paraId="5C5D7B22" w14:textId="092B0F82" w:rsidR="00843998" w:rsidRPr="006F283B" w:rsidRDefault="00843998" w:rsidP="003915F9">
            <w:pPr>
              <w:pStyle w:val="Tabletext0"/>
              <w:keepNext/>
              <w:keepLines/>
              <w:jc w:val="center"/>
            </w:pPr>
            <w:r w:rsidRPr="006F283B">
              <w:t>$</w:t>
            </w:r>
            <w:r w:rsidR="00093050" w:rsidRPr="00093050">
              <w:rPr>
                <w:color w:val="000000"/>
                <w:spacing w:val="55"/>
                <w:shd w:val="solid" w:color="000000" w:fill="000000"/>
                <w:fitText w:val="338" w:id="-1233481463"/>
                <w14:textFill>
                  <w14:solidFill>
                    <w14:srgbClr w14:val="000000">
                      <w14:alpha w14:val="100000"/>
                    </w14:srgbClr>
                  </w14:solidFill>
                </w14:textFill>
              </w:rPr>
              <w:t>|||</w:t>
            </w:r>
            <w:r w:rsidR="00093050" w:rsidRPr="00093050">
              <w:rPr>
                <w:color w:val="000000"/>
                <w:spacing w:val="3"/>
                <w:shd w:val="solid" w:color="000000" w:fill="000000"/>
                <w:fitText w:val="338" w:id="-1233481463"/>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0949BF2A" w14:textId="77777777" w:rsidR="00843998" w:rsidRPr="006F283B" w:rsidRDefault="00843998" w:rsidP="003915F9">
            <w:pPr>
              <w:pStyle w:val="Tabletext0"/>
              <w:keepNext/>
              <w:keepLines/>
              <w:jc w:val="center"/>
            </w:pPr>
            <w:r w:rsidRPr="006F283B">
              <w:t>-12.65%</w:t>
            </w:r>
          </w:p>
        </w:tc>
      </w:tr>
      <w:tr w:rsidR="00843998" w:rsidRPr="006F283B" w14:paraId="592BFABD" w14:textId="77777777" w:rsidTr="004E1FEC">
        <w:trPr>
          <w:trHeight w:val="20"/>
        </w:trPr>
        <w:tc>
          <w:tcPr>
            <w:tcW w:w="9067" w:type="dxa"/>
            <w:gridSpan w:val="5"/>
            <w:shd w:val="clear" w:color="auto" w:fill="auto"/>
            <w:vAlign w:val="center"/>
            <w:hideMark/>
          </w:tcPr>
          <w:p w14:paraId="0339BD9E" w14:textId="77777777" w:rsidR="00843998" w:rsidRPr="006F283B" w:rsidRDefault="00843998" w:rsidP="003915F9">
            <w:pPr>
              <w:pStyle w:val="Tabletext0"/>
              <w:keepNext/>
              <w:keepLines/>
              <w:rPr>
                <w:b/>
                <w:bCs/>
              </w:rPr>
            </w:pPr>
            <w:r w:rsidRPr="006F283B">
              <w:rPr>
                <w:b/>
                <w:bCs/>
              </w:rPr>
              <w:t>Utility values: PRIMA ITT cohort (Australian dataset)</w:t>
            </w:r>
          </w:p>
        </w:tc>
      </w:tr>
      <w:tr w:rsidR="00843998" w:rsidRPr="006F283B" w14:paraId="1F08A634" w14:textId="77777777" w:rsidTr="004E1FEC">
        <w:trPr>
          <w:trHeight w:val="20"/>
        </w:trPr>
        <w:tc>
          <w:tcPr>
            <w:tcW w:w="4390" w:type="dxa"/>
            <w:shd w:val="clear" w:color="auto" w:fill="auto"/>
            <w:vAlign w:val="center"/>
            <w:hideMark/>
          </w:tcPr>
          <w:p w14:paraId="073F022D" w14:textId="77777777" w:rsidR="00843998" w:rsidRPr="006F283B" w:rsidRDefault="00843998" w:rsidP="003915F9">
            <w:pPr>
              <w:pStyle w:val="Tabletext0"/>
              <w:keepNext/>
              <w:keepLines/>
              <w:rPr>
                <w:color w:val="000000"/>
                <w:szCs w:val="20"/>
              </w:rPr>
            </w:pPr>
            <w:r w:rsidRPr="006F283B">
              <w:t>Olaparib July 2020 PSD (PF 0.803; PD 0.557)</w:t>
            </w:r>
          </w:p>
        </w:tc>
        <w:tc>
          <w:tcPr>
            <w:tcW w:w="1169" w:type="dxa"/>
            <w:shd w:val="clear" w:color="auto" w:fill="auto"/>
            <w:vAlign w:val="center"/>
          </w:tcPr>
          <w:p w14:paraId="174336D7" w14:textId="4066E42C"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62"/>
                <w14:textFill>
                  <w14:solidFill>
                    <w14:srgbClr w14:val="000000">
                      <w14:alpha w14:val="100000"/>
                    </w14:srgbClr>
                  </w14:solidFill>
                </w14:textFill>
              </w:rPr>
              <w:t>|</w:t>
            </w:r>
            <w:r w:rsidR="00093050" w:rsidRPr="0063757D">
              <w:rPr>
                <w:color w:val="000000"/>
                <w:szCs w:val="20"/>
                <w:shd w:val="solid" w:color="000000" w:fill="000000"/>
                <w:fitText w:val="275" w:id="-1233481462"/>
                <w14:textFill>
                  <w14:solidFill>
                    <w14:srgbClr w14:val="000000">
                      <w14:alpha w14:val="100000"/>
                    </w14:srgbClr>
                  </w14:solidFill>
                </w14:textFill>
              </w:rPr>
              <w:t>|</w:t>
            </w:r>
          </w:p>
        </w:tc>
        <w:tc>
          <w:tcPr>
            <w:tcW w:w="1169" w:type="dxa"/>
            <w:shd w:val="clear" w:color="auto" w:fill="auto"/>
            <w:vAlign w:val="center"/>
          </w:tcPr>
          <w:p w14:paraId="089B9C51" w14:textId="77777777" w:rsidR="00843998" w:rsidRPr="006F283B" w:rsidRDefault="00843998" w:rsidP="003915F9">
            <w:pPr>
              <w:pStyle w:val="Tabletext0"/>
              <w:keepNext/>
              <w:keepLines/>
              <w:jc w:val="center"/>
              <w:rPr>
                <w:color w:val="000000"/>
                <w:szCs w:val="20"/>
              </w:rPr>
            </w:pPr>
            <w:r w:rsidRPr="006F283B">
              <w:rPr>
                <w:color w:val="000000"/>
                <w:szCs w:val="20"/>
              </w:rPr>
              <w:t>0.8178</w:t>
            </w:r>
          </w:p>
        </w:tc>
        <w:tc>
          <w:tcPr>
            <w:tcW w:w="1169" w:type="dxa"/>
            <w:shd w:val="clear" w:color="auto" w:fill="auto"/>
            <w:vAlign w:val="center"/>
          </w:tcPr>
          <w:p w14:paraId="54C88A78" w14:textId="759F4BE7"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61"/>
                <w14:textFill>
                  <w14:solidFill>
                    <w14:srgbClr w14:val="000000">
                      <w14:alpha w14:val="100000"/>
                    </w14:srgbClr>
                  </w14:solidFill>
                </w14:textFill>
              </w:rPr>
              <w:t>|||</w:t>
            </w:r>
            <w:r w:rsidR="00093050" w:rsidRPr="00093050">
              <w:rPr>
                <w:color w:val="000000"/>
                <w:spacing w:val="3"/>
                <w:szCs w:val="20"/>
                <w:shd w:val="solid" w:color="000000" w:fill="000000"/>
                <w:fitText w:val="338" w:id="-1233481461"/>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2C74FC88" w14:textId="77777777" w:rsidR="00843998" w:rsidRPr="006F283B" w:rsidRDefault="00843998" w:rsidP="003915F9">
            <w:pPr>
              <w:pStyle w:val="Tabletext0"/>
              <w:keepNext/>
              <w:keepLines/>
              <w:jc w:val="center"/>
              <w:rPr>
                <w:color w:val="000000"/>
                <w:szCs w:val="20"/>
              </w:rPr>
            </w:pPr>
            <w:r w:rsidRPr="006F283B">
              <w:rPr>
                <w:color w:val="000000"/>
                <w:szCs w:val="20"/>
              </w:rPr>
              <w:t>-10.81%</w:t>
            </w:r>
          </w:p>
        </w:tc>
      </w:tr>
      <w:tr w:rsidR="00843998" w:rsidRPr="006F283B" w14:paraId="068DA94A" w14:textId="77777777" w:rsidTr="004E1FEC">
        <w:trPr>
          <w:trHeight w:val="20"/>
        </w:trPr>
        <w:tc>
          <w:tcPr>
            <w:tcW w:w="4390" w:type="dxa"/>
            <w:shd w:val="clear" w:color="auto" w:fill="auto"/>
            <w:vAlign w:val="center"/>
          </w:tcPr>
          <w:p w14:paraId="29DCE698" w14:textId="77777777" w:rsidR="00843998" w:rsidRPr="006F283B" w:rsidRDefault="00843998" w:rsidP="003915F9">
            <w:pPr>
              <w:pStyle w:val="Tabletext0"/>
              <w:keepNext/>
              <w:keepLines/>
            </w:pPr>
            <w:r w:rsidRPr="006F283B">
              <w:t>Olaparib July 2022 PSD (PF 0.765; PD 0.544)</w:t>
            </w:r>
          </w:p>
        </w:tc>
        <w:tc>
          <w:tcPr>
            <w:tcW w:w="1169" w:type="dxa"/>
            <w:shd w:val="clear" w:color="auto" w:fill="auto"/>
            <w:vAlign w:val="center"/>
          </w:tcPr>
          <w:p w14:paraId="1A87168F" w14:textId="26673DAB" w:rsidR="00843998" w:rsidRPr="006F283B" w:rsidRDefault="00843998" w:rsidP="003915F9">
            <w:pPr>
              <w:pStyle w:val="Tabletext0"/>
              <w:keepNext/>
              <w:keepLines/>
              <w:jc w:val="center"/>
            </w:pPr>
            <w:r w:rsidRPr="006F283B">
              <w:t>$</w:t>
            </w:r>
            <w:r w:rsidR="00093050" w:rsidRPr="0063757D">
              <w:rPr>
                <w:color w:val="000000"/>
                <w:spacing w:val="189"/>
                <w:shd w:val="solid" w:color="000000" w:fill="000000"/>
                <w:fitText w:val="275" w:id="-1233481460"/>
                <w14:textFill>
                  <w14:solidFill>
                    <w14:srgbClr w14:val="000000">
                      <w14:alpha w14:val="100000"/>
                    </w14:srgbClr>
                  </w14:solidFill>
                </w14:textFill>
              </w:rPr>
              <w:t>|</w:t>
            </w:r>
            <w:r w:rsidR="00093050" w:rsidRPr="0063757D">
              <w:rPr>
                <w:color w:val="000000"/>
                <w:shd w:val="solid" w:color="000000" w:fill="000000"/>
                <w:fitText w:val="275" w:id="-1233481460"/>
                <w14:textFill>
                  <w14:solidFill>
                    <w14:srgbClr w14:val="000000">
                      <w14:alpha w14:val="100000"/>
                    </w14:srgbClr>
                  </w14:solidFill>
                </w14:textFill>
              </w:rPr>
              <w:t>|</w:t>
            </w:r>
          </w:p>
        </w:tc>
        <w:tc>
          <w:tcPr>
            <w:tcW w:w="1169" w:type="dxa"/>
            <w:shd w:val="clear" w:color="auto" w:fill="auto"/>
            <w:vAlign w:val="center"/>
          </w:tcPr>
          <w:p w14:paraId="4B792E69" w14:textId="77777777" w:rsidR="00843998" w:rsidRPr="006F283B" w:rsidRDefault="00843998" w:rsidP="003915F9">
            <w:pPr>
              <w:pStyle w:val="Tabletext0"/>
              <w:keepNext/>
              <w:keepLines/>
              <w:jc w:val="center"/>
            </w:pPr>
            <w:r w:rsidRPr="006F283B">
              <w:t>0.7922</w:t>
            </w:r>
          </w:p>
        </w:tc>
        <w:tc>
          <w:tcPr>
            <w:tcW w:w="1169" w:type="dxa"/>
            <w:shd w:val="clear" w:color="auto" w:fill="auto"/>
            <w:vAlign w:val="center"/>
          </w:tcPr>
          <w:p w14:paraId="02F65069" w14:textId="69747800" w:rsidR="00843998" w:rsidRPr="006F283B" w:rsidRDefault="00843998" w:rsidP="003915F9">
            <w:pPr>
              <w:pStyle w:val="Tabletext0"/>
              <w:keepNext/>
              <w:keepLines/>
              <w:jc w:val="center"/>
            </w:pPr>
            <w:r w:rsidRPr="006F283B">
              <w:t>$</w:t>
            </w:r>
            <w:r w:rsidR="00093050" w:rsidRPr="00093050">
              <w:rPr>
                <w:color w:val="000000"/>
                <w:spacing w:val="55"/>
                <w:shd w:val="solid" w:color="000000" w:fill="000000"/>
                <w:fitText w:val="338" w:id="-1233481459"/>
                <w14:textFill>
                  <w14:solidFill>
                    <w14:srgbClr w14:val="000000">
                      <w14:alpha w14:val="100000"/>
                    </w14:srgbClr>
                  </w14:solidFill>
                </w14:textFill>
              </w:rPr>
              <w:t>|||</w:t>
            </w:r>
            <w:r w:rsidR="00093050" w:rsidRPr="00093050">
              <w:rPr>
                <w:color w:val="000000"/>
                <w:spacing w:val="3"/>
                <w:shd w:val="solid" w:color="000000" w:fill="000000"/>
                <w:fitText w:val="338" w:id="-1233481459"/>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3E776C97" w14:textId="77777777" w:rsidR="00843998" w:rsidRPr="006F283B" w:rsidRDefault="00843998" w:rsidP="003915F9">
            <w:pPr>
              <w:pStyle w:val="Tabletext0"/>
              <w:keepNext/>
              <w:keepLines/>
              <w:jc w:val="center"/>
            </w:pPr>
            <w:r w:rsidRPr="006F283B">
              <w:t>-7.93%</w:t>
            </w:r>
          </w:p>
        </w:tc>
      </w:tr>
      <w:tr w:rsidR="00843998" w:rsidRPr="006F283B" w14:paraId="79B46041" w14:textId="77777777" w:rsidTr="004E1FEC">
        <w:trPr>
          <w:trHeight w:val="20"/>
        </w:trPr>
        <w:tc>
          <w:tcPr>
            <w:tcW w:w="4390" w:type="dxa"/>
            <w:shd w:val="clear" w:color="auto" w:fill="auto"/>
            <w:vAlign w:val="center"/>
            <w:hideMark/>
          </w:tcPr>
          <w:p w14:paraId="03A42A7E" w14:textId="77777777" w:rsidR="00843998" w:rsidRPr="006F283B" w:rsidRDefault="00843998" w:rsidP="003915F9">
            <w:pPr>
              <w:pStyle w:val="Tabletext0"/>
              <w:keepNext/>
              <w:keepLines/>
              <w:rPr>
                <w:color w:val="000000"/>
                <w:szCs w:val="20"/>
              </w:rPr>
            </w:pPr>
            <w:r w:rsidRPr="006F283B">
              <w:t>PRIMA, ITT cohort (UK dataset)</w:t>
            </w:r>
          </w:p>
        </w:tc>
        <w:tc>
          <w:tcPr>
            <w:tcW w:w="1169" w:type="dxa"/>
            <w:shd w:val="clear" w:color="auto" w:fill="auto"/>
            <w:vAlign w:val="center"/>
          </w:tcPr>
          <w:p w14:paraId="4BFED680" w14:textId="2707DC07"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58"/>
                <w14:textFill>
                  <w14:solidFill>
                    <w14:srgbClr w14:val="000000">
                      <w14:alpha w14:val="100000"/>
                    </w14:srgbClr>
                  </w14:solidFill>
                </w14:textFill>
              </w:rPr>
              <w:t>|</w:t>
            </w:r>
            <w:r w:rsidR="00093050" w:rsidRPr="0063757D">
              <w:rPr>
                <w:color w:val="000000"/>
                <w:szCs w:val="20"/>
                <w:shd w:val="solid" w:color="000000" w:fill="000000"/>
                <w:fitText w:val="275" w:id="-1233481458"/>
                <w14:textFill>
                  <w14:solidFill>
                    <w14:srgbClr w14:val="000000">
                      <w14:alpha w14:val="100000"/>
                    </w14:srgbClr>
                  </w14:solidFill>
                </w14:textFill>
              </w:rPr>
              <w:t>|</w:t>
            </w:r>
          </w:p>
        </w:tc>
        <w:tc>
          <w:tcPr>
            <w:tcW w:w="1169" w:type="dxa"/>
            <w:shd w:val="clear" w:color="auto" w:fill="auto"/>
            <w:vAlign w:val="center"/>
            <w:hideMark/>
          </w:tcPr>
          <w:p w14:paraId="0A77C538" w14:textId="77777777" w:rsidR="00843998" w:rsidRPr="006F283B" w:rsidRDefault="00843998" w:rsidP="003915F9">
            <w:pPr>
              <w:pStyle w:val="Tabletext0"/>
              <w:keepNext/>
              <w:keepLines/>
              <w:jc w:val="center"/>
              <w:rPr>
                <w:color w:val="000000"/>
                <w:szCs w:val="20"/>
              </w:rPr>
            </w:pPr>
            <w:r w:rsidRPr="006F283B">
              <w:t>0.7343</w:t>
            </w:r>
          </w:p>
        </w:tc>
        <w:tc>
          <w:tcPr>
            <w:tcW w:w="1169" w:type="dxa"/>
            <w:shd w:val="clear" w:color="auto" w:fill="auto"/>
            <w:vAlign w:val="center"/>
          </w:tcPr>
          <w:p w14:paraId="2FD5AB38" w14:textId="0D3EA7C8"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57"/>
                <w14:textFill>
                  <w14:solidFill>
                    <w14:srgbClr w14:val="000000">
                      <w14:alpha w14:val="100000"/>
                    </w14:srgbClr>
                  </w14:solidFill>
                </w14:textFill>
              </w:rPr>
              <w:t>|||</w:t>
            </w:r>
            <w:r w:rsidR="00093050" w:rsidRPr="00093050">
              <w:rPr>
                <w:color w:val="000000"/>
                <w:spacing w:val="3"/>
                <w:szCs w:val="20"/>
                <w:shd w:val="solid" w:color="000000" w:fill="000000"/>
                <w:fitText w:val="338" w:id="-1233481457"/>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33164DD3" w14:textId="77777777" w:rsidR="00843998" w:rsidRPr="006F283B" w:rsidRDefault="00843998" w:rsidP="003915F9">
            <w:pPr>
              <w:pStyle w:val="Tabletext0"/>
              <w:keepNext/>
              <w:keepLines/>
              <w:jc w:val="center"/>
              <w:rPr>
                <w:color w:val="000000"/>
                <w:szCs w:val="20"/>
              </w:rPr>
            </w:pPr>
            <w:r w:rsidRPr="006F283B">
              <w:rPr>
                <w:color w:val="000000"/>
                <w:szCs w:val="20"/>
              </w:rPr>
              <w:t>-0.67%</w:t>
            </w:r>
          </w:p>
        </w:tc>
      </w:tr>
      <w:tr w:rsidR="00843998" w:rsidRPr="006F283B" w14:paraId="2C0A8BF4" w14:textId="77777777" w:rsidTr="004E1FEC">
        <w:trPr>
          <w:trHeight w:val="20"/>
        </w:trPr>
        <w:tc>
          <w:tcPr>
            <w:tcW w:w="9067" w:type="dxa"/>
            <w:gridSpan w:val="5"/>
            <w:shd w:val="clear" w:color="auto" w:fill="auto"/>
            <w:vAlign w:val="center"/>
            <w:hideMark/>
          </w:tcPr>
          <w:p w14:paraId="17DD9E31" w14:textId="77777777" w:rsidR="00843998" w:rsidRPr="006F283B" w:rsidRDefault="00843998" w:rsidP="003915F9">
            <w:pPr>
              <w:pStyle w:val="Tabletext0"/>
              <w:keepNext/>
              <w:keepLines/>
              <w:rPr>
                <w:b/>
                <w:bCs/>
              </w:rPr>
            </w:pPr>
            <w:r w:rsidRPr="006F283B">
              <w:rPr>
                <w:b/>
                <w:bCs/>
              </w:rPr>
              <w:t>Exposure/compliance: PRIMA ISD cohort</w:t>
            </w:r>
          </w:p>
        </w:tc>
      </w:tr>
      <w:tr w:rsidR="00843998" w:rsidRPr="006F283B" w14:paraId="0B9FFF52" w14:textId="77777777" w:rsidTr="004E1FEC">
        <w:trPr>
          <w:trHeight w:val="20"/>
        </w:trPr>
        <w:tc>
          <w:tcPr>
            <w:tcW w:w="4390" w:type="dxa"/>
            <w:shd w:val="clear" w:color="auto" w:fill="auto"/>
            <w:vAlign w:val="center"/>
            <w:hideMark/>
          </w:tcPr>
          <w:p w14:paraId="2BA7D46D" w14:textId="77777777" w:rsidR="00843998" w:rsidRPr="006F283B" w:rsidRDefault="00843998" w:rsidP="003915F9">
            <w:pPr>
              <w:pStyle w:val="Tabletext0"/>
              <w:keepNext/>
              <w:keepLines/>
              <w:rPr>
                <w:color w:val="000000"/>
                <w:szCs w:val="20"/>
              </w:rPr>
            </w:pPr>
            <w:r w:rsidRPr="006F283B">
              <w:t>PRIMA ITT cohort</w:t>
            </w:r>
          </w:p>
        </w:tc>
        <w:tc>
          <w:tcPr>
            <w:tcW w:w="1169" w:type="dxa"/>
            <w:shd w:val="clear" w:color="auto" w:fill="auto"/>
            <w:vAlign w:val="center"/>
          </w:tcPr>
          <w:p w14:paraId="608D29B2" w14:textId="1A1BD1E1"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56"/>
                <w14:textFill>
                  <w14:solidFill>
                    <w14:srgbClr w14:val="000000">
                      <w14:alpha w14:val="100000"/>
                    </w14:srgbClr>
                  </w14:solidFill>
                </w14:textFill>
              </w:rPr>
              <w:t>|</w:t>
            </w:r>
            <w:r w:rsidR="00093050" w:rsidRPr="0063757D">
              <w:rPr>
                <w:color w:val="000000"/>
                <w:szCs w:val="20"/>
                <w:shd w:val="solid" w:color="000000" w:fill="000000"/>
                <w:fitText w:val="275" w:id="-1233481456"/>
                <w14:textFill>
                  <w14:solidFill>
                    <w14:srgbClr w14:val="000000">
                      <w14:alpha w14:val="100000"/>
                    </w14:srgbClr>
                  </w14:solidFill>
                </w14:textFill>
              </w:rPr>
              <w:t>|</w:t>
            </w:r>
          </w:p>
        </w:tc>
        <w:tc>
          <w:tcPr>
            <w:tcW w:w="1169" w:type="dxa"/>
            <w:shd w:val="clear" w:color="auto" w:fill="auto"/>
            <w:vAlign w:val="center"/>
          </w:tcPr>
          <w:p w14:paraId="2285722C" w14:textId="77777777" w:rsidR="00843998" w:rsidRPr="006F283B" w:rsidRDefault="00843998" w:rsidP="003915F9">
            <w:pPr>
              <w:pStyle w:val="Tabletext0"/>
              <w:keepNext/>
              <w:keepLines/>
              <w:jc w:val="center"/>
              <w:rPr>
                <w:color w:val="000000"/>
                <w:szCs w:val="20"/>
              </w:rPr>
            </w:pPr>
            <w:r w:rsidRPr="006F283B">
              <w:t>0.7294</w:t>
            </w:r>
          </w:p>
        </w:tc>
        <w:tc>
          <w:tcPr>
            <w:tcW w:w="1169" w:type="dxa"/>
            <w:shd w:val="clear" w:color="auto" w:fill="auto"/>
            <w:vAlign w:val="center"/>
          </w:tcPr>
          <w:p w14:paraId="7479DA06" w14:textId="58B420A3"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72"/>
                <w14:textFill>
                  <w14:solidFill>
                    <w14:srgbClr w14:val="000000">
                      <w14:alpha w14:val="100000"/>
                    </w14:srgbClr>
                  </w14:solidFill>
                </w14:textFill>
              </w:rPr>
              <w:t>|||</w:t>
            </w:r>
            <w:r w:rsidR="00093050" w:rsidRPr="00093050">
              <w:rPr>
                <w:color w:val="000000"/>
                <w:spacing w:val="3"/>
                <w:szCs w:val="20"/>
                <w:shd w:val="solid" w:color="000000" w:fill="000000"/>
                <w:fitText w:val="338" w:id="-1233481472"/>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01AE026F" w14:textId="77777777" w:rsidR="00843998" w:rsidRPr="006F283B" w:rsidRDefault="00843998" w:rsidP="003915F9">
            <w:pPr>
              <w:pStyle w:val="Tabletext0"/>
              <w:keepNext/>
              <w:keepLines/>
              <w:jc w:val="center"/>
              <w:rPr>
                <w:color w:val="000000"/>
                <w:szCs w:val="20"/>
              </w:rPr>
            </w:pPr>
            <w:r w:rsidRPr="006F283B">
              <w:rPr>
                <w:color w:val="000000"/>
                <w:szCs w:val="20"/>
              </w:rPr>
              <w:t>+5.88%</w:t>
            </w:r>
          </w:p>
        </w:tc>
      </w:tr>
      <w:tr w:rsidR="00843998" w:rsidRPr="006F283B" w14:paraId="289B64E1" w14:textId="77777777" w:rsidTr="004E1FEC">
        <w:trPr>
          <w:trHeight w:val="20"/>
        </w:trPr>
        <w:tc>
          <w:tcPr>
            <w:tcW w:w="9067" w:type="dxa"/>
            <w:gridSpan w:val="5"/>
            <w:shd w:val="clear" w:color="auto" w:fill="auto"/>
            <w:vAlign w:val="center"/>
          </w:tcPr>
          <w:p w14:paraId="1412999A" w14:textId="77777777" w:rsidR="00843998" w:rsidRPr="006F283B" w:rsidRDefault="00843998" w:rsidP="003915F9">
            <w:pPr>
              <w:pStyle w:val="Tabletext0"/>
              <w:keepNext/>
              <w:keepLines/>
              <w:rPr>
                <w:b/>
                <w:bCs/>
              </w:rPr>
            </w:pPr>
            <w:r w:rsidRPr="006F283B">
              <w:rPr>
                <w:b/>
                <w:bCs/>
              </w:rPr>
              <w:t>Niraparib dosage: PRIMA ISD, mean</w:t>
            </w:r>
          </w:p>
        </w:tc>
      </w:tr>
      <w:tr w:rsidR="00843998" w:rsidRPr="006F283B" w14:paraId="64FE08A2" w14:textId="77777777" w:rsidTr="004E1FEC">
        <w:trPr>
          <w:trHeight w:val="20"/>
        </w:trPr>
        <w:tc>
          <w:tcPr>
            <w:tcW w:w="4390" w:type="dxa"/>
            <w:shd w:val="clear" w:color="auto" w:fill="auto"/>
            <w:vAlign w:val="center"/>
          </w:tcPr>
          <w:p w14:paraId="6C79E251" w14:textId="77777777" w:rsidR="00843998" w:rsidRPr="006F283B" w:rsidRDefault="00843998" w:rsidP="003915F9">
            <w:pPr>
              <w:pStyle w:val="Tabletext0"/>
              <w:keepNext/>
              <w:keepLines/>
            </w:pPr>
            <w:r w:rsidRPr="006F283B">
              <w:t>PRIMA ISD, median</w:t>
            </w:r>
          </w:p>
        </w:tc>
        <w:tc>
          <w:tcPr>
            <w:tcW w:w="1169" w:type="dxa"/>
            <w:shd w:val="clear" w:color="auto" w:fill="auto"/>
            <w:vAlign w:val="center"/>
          </w:tcPr>
          <w:p w14:paraId="1AEC2611" w14:textId="57924BA6" w:rsidR="00843998" w:rsidRPr="006F283B" w:rsidRDefault="00843998" w:rsidP="003915F9">
            <w:pPr>
              <w:pStyle w:val="Tabletext0"/>
              <w:keepNext/>
              <w:keepLines/>
              <w:jc w:val="center"/>
            </w:pPr>
            <w:r w:rsidRPr="006F283B">
              <w:t>$</w:t>
            </w:r>
            <w:r w:rsidR="00093050" w:rsidRPr="0063757D">
              <w:rPr>
                <w:color w:val="000000"/>
                <w:spacing w:val="189"/>
                <w:shd w:val="solid" w:color="000000" w:fill="000000"/>
                <w:fitText w:val="275" w:id="-1233481471"/>
                <w14:textFill>
                  <w14:solidFill>
                    <w14:srgbClr w14:val="000000">
                      <w14:alpha w14:val="100000"/>
                    </w14:srgbClr>
                  </w14:solidFill>
                </w14:textFill>
              </w:rPr>
              <w:t>|</w:t>
            </w:r>
            <w:r w:rsidR="00093050" w:rsidRPr="0063757D">
              <w:rPr>
                <w:color w:val="000000"/>
                <w:shd w:val="solid" w:color="000000" w:fill="000000"/>
                <w:fitText w:val="275" w:id="-1233481471"/>
                <w14:textFill>
                  <w14:solidFill>
                    <w14:srgbClr w14:val="000000">
                      <w14:alpha w14:val="100000"/>
                    </w14:srgbClr>
                  </w14:solidFill>
                </w14:textFill>
              </w:rPr>
              <w:t>|</w:t>
            </w:r>
          </w:p>
        </w:tc>
        <w:tc>
          <w:tcPr>
            <w:tcW w:w="1169" w:type="dxa"/>
            <w:shd w:val="clear" w:color="auto" w:fill="auto"/>
            <w:vAlign w:val="center"/>
          </w:tcPr>
          <w:p w14:paraId="707D13F1" w14:textId="77777777" w:rsidR="00843998" w:rsidRPr="006F283B" w:rsidRDefault="00843998" w:rsidP="003915F9">
            <w:pPr>
              <w:pStyle w:val="Tabletext0"/>
              <w:keepNext/>
              <w:keepLines/>
              <w:jc w:val="center"/>
            </w:pPr>
            <w:r w:rsidRPr="006F283B">
              <w:t>0.7294</w:t>
            </w:r>
          </w:p>
        </w:tc>
        <w:tc>
          <w:tcPr>
            <w:tcW w:w="1169" w:type="dxa"/>
            <w:shd w:val="clear" w:color="auto" w:fill="auto"/>
            <w:vAlign w:val="center"/>
          </w:tcPr>
          <w:p w14:paraId="0973067B" w14:textId="02EBD0CF" w:rsidR="00843998" w:rsidRPr="006F283B" w:rsidRDefault="00843998" w:rsidP="003915F9">
            <w:pPr>
              <w:pStyle w:val="Tabletext0"/>
              <w:keepNext/>
              <w:keepLines/>
              <w:jc w:val="center"/>
            </w:pPr>
            <w:r w:rsidRPr="006F283B">
              <w:t>$</w:t>
            </w:r>
            <w:r w:rsidR="00093050" w:rsidRPr="00093050">
              <w:rPr>
                <w:color w:val="000000"/>
                <w:spacing w:val="55"/>
                <w:shd w:val="solid" w:color="000000" w:fill="000000"/>
                <w:fitText w:val="338" w:id="-1233481470"/>
                <w14:textFill>
                  <w14:solidFill>
                    <w14:srgbClr w14:val="000000">
                      <w14:alpha w14:val="100000"/>
                    </w14:srgbClr>
                  </w14:solidFill>
                </w14:textFill>
              </w:rPr>
              <w:t>|||</w:t>
            </w:r>
            <w:r w:rsidR="00093050" w:rsidRPr="00093050">
              <w:rPr>
                <w:color w:val="000000"/>
                <w:spacing w:val="3"/>
                <w:shd w:val="solid" w:color="000000" w:fill="000000"/>
                <w:fitText w:val="338" w:id="-1233481470"/>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1CCC4EF7" w14:textId="77777777" w:rsidR="00843998" w:rsidRPr="006F283B" w:rsidRDefault="00843998" w:rsidP="003915F9">
            <w:pPr>
              <w:pStyle w:val="Tabletext0"/>
              <w:keepNext/>
              <w:keepLines/>
              <w:jc w:val="center"/>
            </w:pPr>
            <w:r w:rsidRPr="006F283B">
              <w:t>+2.88%</w:t>
            </w:r>
          </w:p>
        </w:tc>
      </w:tr>
      <w:tr w:rsidR="00843998" w:rsidRPr="006F283B" w14:paraId="4DD0D128" w14:textId="77777777" w:rsidTr="004E1FEC">
        <w:trPr>
          <w:trHeight w:val="20"/>
        </w:trPr>
        <w:tc>
          <w:tcPr>
            <w:tcW w:w="9067" w:type="dxa"/>
            <w:gridSpan w:val="5"/>
            <w:shd w:val="clear" w:color="auto" w:fill="auto"/>
            <w:vAlign w:val="center"/>
            <w:hideMark/>
          </w:tcPr>
          <w:p w14:paraId="009E23D2" w14:textId="77777777" w:rsidR="00843998" w:rsidRPr="006F283B" w:rsidRDefault="00843998" w:rsidP="003915F9">
            <w:pPr>
              <w:pStyle w:val="Tabletext0"/>
              <w:keepNext/>
              <w:keepLines/>
              <w:rPr>
                <w:b/>
                <w:bCs/>
              </w:rPr>
            </w:pPr>
            <w:r w:rsidRPr="006F283B">
              <w:rPr>
                <w:b/>
                <w:bCs/>
              </w:rPr>
              <w:t>Proportion of cured patients: 5%</w:t>
            </w:r>
          </w:p>
        </w:tc>
      </w:tr>
      <w:tr w:rsidR="00843998" w:rsidRPr="006F283B" w14:paraId="53ED9453" w14:textId="77777777" w:rsidTr="004E1FEC">
        <w:trPr>
          <w:trHeight w:val="20"/>
        </w:trPr>
        <w:tc>
          <w:tcPr>
            <w:tcW w:w="4390" w:type="dxa"/>
            <w:shd w:val="clear" w:color="auto" w:fill="auto"/>
            <w:vAlign w:val="center"/>
            <w:hideMark/>
          </w:tcPr>
          <w:p w14:paraId="5EF4C944" w14:textId="77777777" w:rsidR="00843998" w:rsidRPr="006F283B" w:rsidRDefault="00843998" w:rsidP="003915F9">
            <w:pPr>
              <w:pStyle w:val="Tabletext0"/>
              <w:keepNext/>
              <w:keepLines/>
              <w:rPr>
                <w:color w:val="000000"/>
                <w:szCs w:val="20"/>
              </w:rPr>
            </w:pPr>
            <w:r w:rsidRPr="006F283B">
              <w:rPr>
                <w:color w:val="000000"/>
              </w:rPr>
              <w:t>0%</w:t>
            </w:r>
          </w:p>
        </w:tc>
        <w:tc>
          <w:tcPr>
            <w:tcW w:w="1169" w:type="dxa"/>
            <w:shd w:val="clear" w:color="auto" w:fill="auto"/>
            <w:vAlign w:val="center"/>
          </w:tcPr>
          <w:p w14:paraId="6FDA23EC" w14:textId="361C9DD7"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69"/>
                <w14:textFill>
                  <w14:solidFill>
                    <w14:srgbClr w14:val="000000">
                      <w14:alpha w14:val="100000"/>
                    </w14:srgbClr>
                  </w14:solidFill>
                </w14:textFill>
              </w:rPr>
              <w:t>|</w:t>
            </w:r>
            <w:r w:rsidR="00093050" w:rsidRPr="0063757D">
              <w:rPr>
                <w:color w:val="000000"/>
                <w:szCs w:val="20"/>
                <w:shd w:val="solid" w:color="000000" w:fill="000000"/>
                <w:fitText w:val="275" w:id="-1233481469"/>
                <w14:textFill>
                  <w14:solidFill>
                    <w14:srgbClr w14:val="000000">
                      <w14:alpha w14:val="100000"/>
                    </w14:srgbClr>
                  </w14:solidFill>
                </w14:textFill>
              </w:rPr>
              <w:t>|</w:t>
            </w:r>
          </w:p>
        </w:tc>
        <w:tc>
          <w:tcPr>
            <w:tcW w:w="1169" w:type="dxa"/>
            <w:shd w:val="clear" w:color="auto" w:fill="auto"/>
            <w:vAlign w:val="center"/>
            <w:hideMark/>
          </w:tcPr>
          <w:p w14:paraId="1EA0F5FE" w14:textId="77777777" w:rsidR="00843998" w:rsidRPr="006F283B" w:rsidRDefault="00843998" w:rsidP="003915F9">
            <w:pPr>
              <w:pStyle w:val="Tabletext0"/>
              <w:keepNext/>
              <w:keepLines/>
              <w:jc w:val="center"/>
              <w:rPr>
                <w:color w:val="000000"/>
                <w:szCs w:val="20"/>
              </w:rPr>
            </w:pPr>
            <w:r w:rsidRPr="006F283B">
              <w:rPr>
                <w:color w:val="000000"/>
              </w:rPr>
              <w:t>0.7359</w:t>
            </w:r>
          </w:p>
        </w:tc>
        <w:tc>
          <w:tcPr>
            <w:tcW w:w="1169" w:type="dxa"/>
            <w:shd w:val="clear" w:color="auto" w:fill="auto"/>
            <w:vAlign w:val="center"/>
          </w:tcPr>
          <w:p w14:paraId="2009E26C" w14:textId="16CB9016"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68"/>
                <w14:textFill>
                  <w14:solidFill>
                    <w14:srgbClr w14:val="000000">
                      <w14:alpha w14:val="100000"/>
                    </w14:srgbClr>
                  </w14:solidFill>
                </w14:textFill>
              </w:rPr>
              <w:t>|||</w:t>
            </w:r>
            <w:r w:rsidR="00093050" w:rsidRPr="00093050">
              <w:rPr>
                <w:color w:val="000000"/>
                <w:spacing w:val="3"/>
                <w:szCs w:val="20"/>
                <w:shd w:val="solid" w:color="000000" w:fill="000000"/>
                <w:fitText w:val="338" w:id="-1233481468"/>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36401836" w14:textId="77777777" w:rsidR="00843998" w:rsidRPr="006F283B" w:rsidRDefault="00843998" w:rsidP="003915F9">
            <w:pPr>
              <w:pStyle w:val="Tabletext0"/>
              <w:keepNext/>
              <w:keepLines/>
              <w:jc w:val="center"/>
              <w:rPr>
                <w:color w:val="000000"/>
                <w:szCs w:val="20"/>
              </w:rPr>
            </w:pPr>
            <w:r w:rsidRPr="006F283B">
              <w:rPr>
                <w:color w:val="000000"/>
                <w:szCs w:val="20"/>
              </w:rPr>
              <w:t>-2.26%</w:t>
            </w:r>
          </w:p>
        </w:tc>
      </w:tr>
      <w:tr w:rsidR="00843998" w:rsidRPr="006F283B" w14:paraId="0531CCE6" w14:textId="77777777" w:rsidTr="004E1FEC">
        <w:trPr>
          <w:trHeight w:val="58"/>
        </w:trPr>
        <w:tc>
          <w:tcPr>
            <w:tcW w:w="4390" w:type="dxa"/>
            <w:shd w:val="clear" w:color="auto" w:fill="auto"/>
            <w:vAlign w:val="center"/>
            <w:hideMark/>
          </w:tcPr>
          <w:p w14:paraId="5C6023A5" w14:textId="77777777" w:rsidR="00843998" w:rsidRPr="006F283B" w:rsidRDefault="00843998" w:rsidP="003915F9">
            <w:pPr>
              <w:pStyle w:val="Tabletext0"/>
              <w:keepNext/>
              <w:keepLines/>
              <w:rPr>
                <w:color w:val="000000"/>
                <w:szCs w:val="20"/>
              </w:rPr>
            </w:pPr>
            <w:r w:rsidRPr="006F283B">
              <w:rPr>
                <w:color w:val="000000"/>
              </w:rPr>
              <w:t>2.5%</w:t>
            </w:r>
          </w:p>
        </w:tc>
        <w:tc>
          <w:tcPr>
            <w:tcW w:w="1169" w:type="dxa"/>
            <w:shd w:val="clear" w:color="auto" w:fill="auto"/>
            <w:vAlign w:val="center"/>
          </w:tcPr>
          <w:p w14:paraId="6F445591" w14:textId="66C7BCDA"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67"/>
                <w14:textFill>
                  <w14:solidFill>
                    <w14:srgbClr w14:val="000000">
                      <w14:alpha w14:val="100000"/>
                    </w14:srgbClr>
                  </w14:solidFill>
                </w14:textFill>
              </w:rPr>
              <w:t>|</w:t>
            </w:r>
            <w:r w:rsidR="00093050" w:rsidRPr="0063757D">
              <w:rPr>
                <w:color w:val="000000"/>
                <w:szCs w:val="20"/>
                <w:shd w:val="solid" w:color="000000" w:fill="000000"/>
                <w:fitText w:val="275" w:id="-1233481467"/>
                <w14:textFill>
                  <w14:solidFill>
                    <w14:srgbClr w14:val="000000">
                      <w14:alpha w14:val="100000"/>
                    </w14:srgbClr>
                  </w14:solidFill>
                </w14:textFill>
              </w:rPr>
              <w:t>|</w:t>
            </w:r>
          </w:p>
        </w:tc>
        <w:tc>
          <w:tcPr>
            <w:tcW w:w="1169" w:type="dxa"/>
            <w:shd w:val="clear" w:color="auto" w:fill="auto"/>
            <w:vAlign w:val="center"/>
            <w:hideMark/>
          </w:tcPr>
          <w:p w14:paraId="2B9399B5" w14:textId="77777777" w:rsidR="00843998" w:rsidRPr="006F283B" w:rsidRDefault="00843998" w:rsidP="003915F9">
            <w:pPr>
              <w:pStyle w:val="Tabletext0"/>
              <w:keepNext/>
              <w:keepLines/>
              <w:jc w:val="center"/>
              <w:rPr>
                <w:color w:val="000000"/>
                <w:szCs w:val="20"/>
              </w:rPr>
            </w:pPr>
            <w:r w:rsidRPr="006F283B">
              <w:rPr>
                <w:color w:val="000000"/>
              </w:rPr>
              <w:t>0.7340</w:t>
            </w:r>
          </w:p>
        </w:tc>
        <w:tc>
          <w:tcPr>
            <w:tcW w:w="1169" w:type="dxa"/>
            <w:shd w:val="clear" w:color="auto" w:fill="auto"/>
            <w:vAlign w:val="center"/>
          </w:tcPr>
          <w:p w14:paraId="587C7C4F" w14:textId="4972E449"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66"/>
                <w14:textFill>
                  <w14:solidFill>
                    <w14:srgbClr w14:val="000000">
                      <w14:alpha w14:val="100000"/>
                    </w14:srgbClr>
                  </w14:solidFill>
                </w14:textFill>
              </w:rPr>
              <w:t>|||</w:t>
            </w:r>
            <w:r w:rsidR="00093050" w:rsidRPr="00093050">
              <w:rPr>
                <w:color w:val="000000"/>
                <w:spacing w:val="3"/>
                <w:szCs w:val="20"/>
                <w:shd w:val="solid" w:color="000000" w:fill="000000"/>
                <w:fitText w:val="338" w:id="-1233481466"/>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3AB9CE72" w14:textId="77777777" w:rsidR="00843998" w:rsidRPr="006F283B" w:rsidRDefault="00843998" w:rsidP="003915F9">
            <w:pPr>
              <w:pStyle w:val="Tabletext0"/>
              <w:keepNext/>
              <w:keepLines/>
              <w:jc w:val="center"/>
              <w:rPr>
                <w:color w:val="000000"/>
                <w:szCs w:val="20"/>
              </w:rPr>
            </w:pPr>
            <w:r w:rsidRPr="006F283B">
              <w:rPr>
                <w:color w:val="000000"/>
                <w:szCs w:val="20"/>
              </w:rPr>
              <w:t>-1.29%</w:t>
            </w:r>
          </w:p>
        </w:tc>
      </w:tr>
      <w:tr w:rsidR="00843998" w:rsidRPr="006F283B" w14:paraId="6EFDAB58" w14:textId="77777777" w:rsidTr="004E1FEC">
        <w:trPr>
          <w:trHeight w:val="20"/>
        </w:trPr>
        <w:tc>
          <w:tcPr>
            <w:tcW w:w="4390" w:type="dxa"/>
            <w:shd w:val="clear" w:color="auto" w:fill="auto"/>
            <w:vAlign w:val="center"/>
            <w:hideMark/>
          </w:tcPr>
          <w:p w14:paraId="628E5318" w14:textId="77777777" w:rsidR="00843998" w:rsidRPr="006F283B" w:rsidRDefault="00843998" w:rsidP="003915F9">
            <w:pPr>
              <w:pStyle w:val="Tabletext0"/>
              <w:keepNext/>
              <w:keepLines/>
              <w:rPr>
                <w:color w:val="000000"/>
                <w:szCs w:val="20"/>
              </w:rPr>
            </w:pPr>
            <w:r w:rsidRPr="006F283B">
              <w:rPr>
                <w:color w:val="000000"/>
              </w:rPr>
              <w:t>10%</w:t>
            </w:r>
          </w:p>
        </w:tc>
        <w:tc>
          <w:tcPr>
            <w:tcW w:w="1169" w:type="dxa"/>
            <w:shd w:val="clear" w:color="auto" w:fill="auto"/>
            <w:vAlign w:val="center"/>
          </w:tcPr>
          <w:p w14:paraId="09169AC3" w14:textId="65BEDD09" w:rsidR="00843998" w:rsidRPr="006F283B" w:rsidRDefault="00843998"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65"/>
                <w14:textFill>
                  <w14:solidFill>
                    <w14:srgbClr w14:val="000000">
                      <w14:alpha w14:val="100000"/>
                    </w14:srgbClr>
                  </w14:solidFill>
                </w14:textFill>
              </w:rPr>
              <w:t>|</w:t>
            </w:r>
            <w:r w:rsidR="00093050" w:rsidRPr="0063757D">
              <w:rPr>
                <w:color w:val="000000"/>
                <w:szCs w:val="20"/>
                <w:shd w:val="solid" w:color="000000" w:fill="000000"/>
                <w:fitText w:val="275" w:id="-1233481465"/>
                <w14:textFill>
                  <w14:solidFill>
                    <w14:srgbClr w14:val="000000">
                      <w14:alpha w14:val="100000"/>
                    </w14:srgbClr>
                  </w14:solidFill>
                </w14:textFill>
              </w:rPr>
              <w:t>|</w:t>
            </w:r>
          </w:p>
        </w:tc>
        <w:tc>
          <w:tcPr>
            <w:tcW w:w="1169" w:type="dxa"/>
            <w:shd w:val="clear" w:color="auto" w:fill="auto"/>
            <w:vAlign w:val="center"/>
            <w:hideMark/>
          </w:tcPr>
          <w:p w14:paraId="433BD28D" w14:textId="77777777" w:rsidR="00843998" w:rsidRPr="006F283B" w:rsidRDefault="00843998" w:rsidP="003915F9">
            <w:pPr>
              <w:pStyle w:val="Tabletext0"/>
              <w:keepNext/>
              <w:keepLines/>
              <w:jc w:val="center"/>
              <w:rPr>
                <w:color w:val="000000"/>
                <w:szCs w:val="20"/>
              </w:rPr>
            </w:pPr>
            <w:r w:rsidRPr="006F283B">
              <w:rPr>
                <w:color w:val="000000"/>
              </w:rPr>
              <w:t>0.7176</w:t>
            </w:r>
          </w:p>
        </w:tc>
        <w:tc>
          <w:tcPr>
            <w:tcW w:w="1169" w:type="dxa"/>
            <w:shd w:val="clear" w:color="auto" w:fill="auto"/>
            <w:vAlign w:val="center"/>
          </w:tcPr>
          <w:p w14:paraId="69094F66" w14:textId="776F739A" w:rsidR="00843998" w:rsidRPr="006F283B" w:rsidRDefault="00843998"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64"/>
                <w14:textFill>
                  <w14:solidFill>
                    <w14:srgbClr w14:val="000000">
                      <w14:alpha w14:val="100000"/>
                    </w14:srgbClr>
                  </w14:solidFill>
                </w14:textFill>
              </w:rPr>
              <w:t>|||</w:t>
            </w:r>
            <w:r w:rsidR="00093050" w:rsidRPr="00093050">
              <w:rPr>
                <w:color w:val="000000"/>
                <w:spacing w:val="3"/>
                <w:szCs w:val="20"/>
                <w:shd w:val="solid" w:color="000000" w:fill="000000"/>
                <w:fitText w:val="338" w:id="-1233481464"/>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2537F6A4" w14:textId="77777777" w:rsidR="00843998" w:rsidRPr="006F283B" w:rsidRDefault="00843998" w:rsidP="003915F9">
            <w:pPr>
              <w:pStyle w:val="Tabletext0"/>
              <w:keepNext/>
              <w:keepLines/>
              <w:jc w:val="center"/>
              <w:rPr>
                <w:color w:val="000000"/>
                <w:szCs w:val="20"/>
              </w:rPr>
            </w:pPr>
            <w:r w:rsidRPr="006F283B">
              <w:rPr>
                <w:color w:val="000000"/>
                <w:szCs w:val="20"/>
              </w:rPr>
              <w:t>+2.89%</w:t>
            </w:r>
          </w:p>
        </w:tc>
      </w:tr>
      <w:tr w:rsidR="00F3195C" w:rsidRPr="006F283B" w14:paraId="108F09BE" w14:textId="77777777" w:rsidTr="001F6B4A">
        <w:trPr>
          <w:trHeight w:val="20"/>
        </w:trPr>
        <w:tc>
          <w:tcPr>
            <w:tcW w:w="9067" w:type="dxa"/>
            <w:gridSpan w:val="5"/>
            <w:shd w:val="clear" w:color="auto" w:fill="auto"/>
            <w:vAlign w:val="center"/>
            <w:hideMark/>
          </w:tcPr>
          <w:p w14:paraId="63A37366" w14:textId="77777777" w:rsidR="00F3195C" w:rsidRPr="006F283B" w:rsidRDefault="00F3195C" w:rsidP="003915F9">
            <w:pPr>
              <w:pStyle w:val="Tabletext0"/>
              <w:keepNext/>
              <w:keepLines/>
              <w:rPr>
                <w:b/>
                <w:bCs/>
              </w:rPr>
            </w:pPr>
            <w:r w:rsidRPr="006F283B">
              <w:rPr>
                <w:b/>
                <w:bCs/>
              </w:rPr>
              <w:t>Cost of proposed HRD test: Base case $3,000</w:t>
            </w:r>
          </w:p>
        </w:tc>
      </w:tr>
      <w:tr w:rsidR="00F3195C" w:rsidRPr="006F283B" w14:paraId="3D3DF141" w14:textId="77777777" w:rsidTr="001F6B4A">
        <w:trPr>
          <w:trHeight w:val="20"/>
        </w:trPr>
        <w:tc>
          <w:tcPr>
            <w:tcW w:w="4390" w:type="dxa"/>
            <w:shd w:val="clear" w:color="auto" w:fill="auto"/>
            <w:vAlign w:val="center"/>
          </w:tcPr>
          <w:p w14:paraId="5A7570E6" w14:textId="77777777" w:rsidR="00F3195C" w:rsidRPr="006F283B" w:rsidRDefault="00F3195C" w:rsidP="003915F9">
            <w:pPr>
              <w:pStyle w:val="Tabletext0"/>
              <w:keepNext/>
              <w:keepLines/>
            </w:pPr>
            <w:r w:rsidRPr="006F283B">
              <w:t>$2,500</w:t>
            </w:r>
          </w:p>
        </w:tc>
        <w:tc>
          <w:tcPr>
            <w:tcW w:w="1169" w:type="dxa"/>
            <w:shd w:val="clear" w:color="auto" w:fill="auto"/>
            <w:vAlign w:val="center"/>
          </w:tcPr>
          <w:p w14:paraId="66790E34" w14:textId="05E3B64C" w:rsidR="00F3195C" w:rsidRPr="006F283B" w:rsidRDefault="00F3195C" w:rsidP="003915F9">
            <w:pPr>
              <w:pStyle w:val="Tabletext0"/>
              <w:keepNext/>
              <w:keepLines/>
              <w:jc w:val="center"/>
            </w:pPr>
            <w:r w:rsidRPr="006F283B">
              <w:t>$</w:t>
            </w:r>
            <w:r w:rsidR="00093050" w:rsidRPr="0063757D">
              <w:rPr>
                <w:color w:val="000000"/>
                <w:spacing w:val="189"/>
                <w:shd w:val="solid" w:color="000000" w:fill="000000"/>
                <w:fitText w:val="275" w:id="-1233481463"/>
                <w14:textFill>
                  <w14:solidFill>
                    <w14:srgbClr w14:val="000000">
                      <w14:alpha w14:val="100000"/>
                    </w14:srgbClr>
                  </w14:solidFill>
                </w14:textFill>
              </w:rPr>
              <w:t>|</w:t>
            </w:r>
            <w:r w:rsidR="00093050" w:rsidRPr="0063757D">
              <w:rPr>
                <w:color w:val="000000"/>
                <w:shd w:val="solid" w:color="000000" w:fill="000000"/>
                <w:fitText w:val="275" w:id="-1233481463"/>
                <w14:textFill>
                  <w14:solidFill>
                    <w14:srgbClr w14:val="000000">
                      <w14:alpha w14:val="100000"/>
                    </w14:srgbClr>
                  </w14:solidFill>
                </w14:textFill>
              </w:rPr>
              <w:t>|</w:t>
            </w:r>
          </w:p>
        </w:tc>
        <w:tc>
          <w:tcPr>
            <w:tcW w:w="1169" w:type="dxa"/>
            <w:shd w:val="clear" w:color="auto" w:fill="auto"/>
            <w:vAlign w:val="center"/>
          </w:tcPr>
          <w:p w14:paraId="4D22DB3F" w14:textId="77777777" w:rsidR="00F3195C" w:rsidRPr="006F283B" w:rsidRDefault="00F3195C" w:rsidP="003915F9">
            <w:pPr>
              <w:pStyle w:val="Tabletext0"/>
              <w:keepNext/>
              <w:keepLines/>
              <w:jc w:val="center"/>
            </w:pPr>
            <w:r w:rsidRPr="006F283B">
              <w:t>0.7294</w:t>
            </w:r>
          </w:p>
        </w:tc>
        <w:tc>
          <w:tcPr>
            <w:tcW w:w="1169" w:type="dxa"/>
            <w:shd w:val="clear" w:color="auto" w:fill="auto"/>
            <w:vAlign w:val="center"/>
          </w:tcPr>
          <w:p w14:paraId="4D41F17A" w14:textId="4A9045D6" w:rsidR="00F3195C" w:rsidRPr="006F283B" w:rsidRDefault="00F3195C" w:rsidP="003915F9">
            <w:pPr>
              <w:pStyle w:val="Tabletext0"/>
              <w:keepNext/>
              <w:keepLines/>
              <w:jc w:val="center"/>
            </w:pPr>
            <w:r w:rsidRPr="006F283B">
              <w:t>$</w:t>
            </w:r>
            <w:r w:rsidR="00093050" w:rsidRPr="00093050">
              <w:rPr>
                <w:color w:val="000000"/>
                <w:spacing w:val="55"/>
                <w:shd w:val="solid" w:color="000000" w:fill="000000"/>
                <w:fitText w:val="338" w:id="-1233481462"/>
                <w14:textFill>
                  <w14:solidFill>
                    <w14:srgbClr w14:val="000000">
                      <w14:alpha w14:val="100000"/>
                    </w14:srgbClr>
                  </w14:solidFill>
                </w14:textFill>
              </w:rPr>
              <w:t>|||</w:t>
            </w:r>
            <w:r w:rsidR="00093050" w:rsidRPr="00093050">
              <w:rPr>
                <w:color w:val="000000"/>
                <w:spacing w:val="3"/>
                <w:shd w:val="solid" w:color="000000" w:fill="000000"/>
                <w:fitText w:val="338" w:id="-1233481462"/>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75D9BD3E" w14:textId="77777777" w:rsidR="00F3195C" w:rsidRPr="006F283B" w:rsidRDefault="00F3195C" w:rsidP="003915F9">
            <w:pPr>
              <w:pStyle w:val="Tabletext0"/>
              <w:keepNext/>
              <w:keepLines/>
              <w:jc w:val="center"/>
            </w:pPr>
            <w:r w:rsidRPr="006F283B">
              <w:t>-5.80%</w:t>
            </w:r>
          </w:p>
        </w:tc>
      </w:tr>
      <w:tr w:rsidR="00F3195C" w:rsidRPr="006F283B" w14:paraId="75F1FFF5" w14:textId="77777777" w:rsidTr="001F6B4A">
        <w:trPr>
          <w:trHeight w:val="20"/>
        </w:trPr>
        <w:tc>
          <w:tcPr>
            <w:tcW w:w="4390" w:type="dxa"/>
            <w:shd w:val="clear" w:color="auto" w:fill="auto"/>
            <w:vAlign w:val="center"/>
          </w:tcPr>
          <w:p w14:paraId="0C5D1CAA" w14:textId="77777777" w:rsidR="00F3195C" w:rsidRPr="006F283B" w:rsidRDefault="00F3195C" w:rsidP="003915F9">
            <w:pPr>
              <w:pStyle w:val="Tabletext0"/>
              <w:keepNext/>
              <w:keepLines/>
            </w:pPr>
            <w:r w:rsidRPr="006F283B">
              <w:t>$2,000</w:t>
            </w:r>
          </w:p>
        </w:tc>
        <w:tc>
          <w:tcPr>
            <w:tcW w:w="1169" w:type="dxa"/>
            <w:shd w:val="clear" w:color="auto" w:fill="auto"/>
            <w:vAlign w:val="center"/>
          </w:tcPr>
          <w:p w14:paraId="6B215543" w14:textId="57F4684C" w:rsidR="00F3195C" w:rsidRPr="006F283B" w:rsidRDefault="00F3195C" w:rsidP="003915F9">
            <w:pPr>
              <w:pStyle w:val="Tabletext0"/>
              <w:keepNext/>
              <w:keepLines/>
              <w:jc w:val="center"/>
            </w:pPr>
            <w:r w:rsidRPr="006F283B">
              <w:t>$</w:t>
            </w:r>
            <w:r w:rsidR="00093050" w:rsidRPr="0063757D">
              <w:rPr>
                <w:color w:val="000000"/>
                <w:spacing w:val="189"/>
                <w:shd w:val="solid" w:color="000000" w:fill="000000"/>
                <w:fitText w:val="275" w:id="-1233481461"/>
                <w14:textFill>
                  <w14:solidFill>
                    <w14:srgbClr w14:val="000000">
                      <w14:alpha w14:val="100000"/>
                    </w14:srgbClr>
                  </w14:solidFill>
                </w14:textFill>
              </w:rPr>
              <w:t>|</w:t>
            </w:r>
            <w:r w:rsidR="00093050" w:rsidRPr="0063757D">
              <w:rPr>
                <w:color w:val="000000"/>
                <w:shd w:val="solid" w:color="000000" w:fill="000000"/>
                <w:fitText w:val="275" w:id="-1233481461"/>
                <w14:textFill>
                  <w14:solidFill>
                    <w14:srgbClr w14:val="000000">
                      <w14:alpha w14:val="100000"/>
                    </w14:srgbClr>
                  </w14:solidFill>
                </w14:textFill>
              </w:rPr>
              <w:t>|</w:t>
            </w:r>
          </w:p>
        </w:tc>
        <w:tc>
          <w:tcPr>
            <w:tcW w:w="1169" w:type="dxa"/>
            <w:shd w:val="clear" w:color="auto" w:fill="auto"/>
            <w:vAlign w:val="center"/>
          </w:tcPr>
          <w:p w14:paraId="78D0CB52" w14:textId="77777777" w:rsidR="00F3195C" w:rsidRPr="006F283B" w:rsidRDefault="00F3195C" w:rsidP="003915F9">
            <w:pPr>
              <w:pStyle w:val="Tabletext0"/>
              <w:keepNext/>
              <w:keepLines/>
              <w:jc w:val="center"/>
            </w:pPr>
            <w:r w:rsidRPr="006F283B">
              <w:t>0.7294</w:t>
            </w:r>
          </w:p>
        </w:tc>
        <w:tc>
          <w:tcPr>
            <w:tcW w:w="1169" w:type="dxa"/>
            <w:shd w:val="clear" w:color="auto" w:fill="auto"/>
            <w:vAlign w:val="center"/>
          </w:tcPr>
          <w:p w14:paraId="7D14FCD9" w14:textId="6CD57A2A" w:rsidR="00F3195C" w:rsidRPr="006F283B" w:rsidRDefault="00F3195C" w:rsidP="003915F9">
            <w:pPr>
              <w:pStyle w:val="Tabletext0"/>
              <w:keepNext/>
              <w:keepLines/>
              <w:jc w:val="center"/>
            </w:pPr>
            <w:r w:rsidRPr="006F283B">
              <w:t>$</w:t>
            </w:r>
            <w:r w:rsidR="00093050" w:rsidRPr="00093050">
              <w:rPr>
                <w:color w:val="000000"/>
                <w:spacing w:val="55"/>
                <w:shd w:val="solid" w:color="000000" w:fill="000000"/>
                <w:fitText w:val="338" w:id="-1233481460"/>
                <w14:textFill>
                  <w14:solidFill>
                    <w14:srgbClr w14:val="000000">
                      <w14:alpha w14:val="100000"/>
                    </w14:srgbClr>
                  </w14:solidFill>
                </w14:textFill>
              </w:rPr>
              <w:t>|||</w:t>
            </w:r>
            <w:r w:rsidR="00093050" w:rsidRPr="00093050">
              <w:rPr>
                <w:color w:val="000000"/>
                <w:spacing w:val="3"/>
                <w:shd w:val="solid" w:color="000000" w:fill="000000"/>
                <w:fitText w:val="338" w:id="-1233481460"/>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29351EF9" w14:textId="77777777" w:rsidR="00F3195C" w:rsidRPr="006F283B" w:rsidRDefault="00F3195C" w:rsidP="003915F9">
            <w:pPr>
              <w:pStyle w:val="Tabletext0"/>
              <w:keepNext/>
              <w:keepLines/>
              <w:jc w:val="center"/>
            </w:pPr>
            <w:r w:rsidRPr="006F283B">
              <w:t>-11.59%</w:t>
            </w:r>
          </w:p>
        </w:tc>
      </w:tr>
      <w:tr w:rsidR="005A5087" w:rsidRPr="006F283B" w14:paraId="18D22F07" w14:textId="77777777" w:rsidTr="00372EA1">
        <w:trPr>
          <w:trHeight w:val="20"/>
        </w:trPr>
        <w:tc>
          <w:tcPr>
            <w:tcW w:w="9067" w:type="dxa"/>
            <w:gridSpan w:val="5"/>
            <w:shd w:val="clear" w:color="auto" w:fill="auto"/>
            <w:vAlign w:val="center"/>
            <w:hideMark/>
          </w:tcPr>
          <w:p w14:paraId="5EA270E7" w14:textId="77777777" w:rsidR="005A5087" w:rsidRPr="006F283B" w:rsidRDefault="005A5087" w:rsidP="003915F9">
            <w:pPr>
              <w:pStyle w:val="Tabletext0"/>
              <w:keepNext/>
              <w:keepLines/>
              <w:rPr>
                <w:b/>
                <w:bCs/>
              </w:rPr>
            </w:pPr>
            <w:r w:rsidRPr="006F283B">
              <w:rPr>
                <w:b/>
                <w:bCs/>
              </w:rPr>
              <w:t>OS extrapolation (SMM only): base case Lognormal</w:t>
            </w:r>
          </w:p>
        </w:tc>
      </w:tr>
      <w:tr w:rsidR="005A5087" w:rsidRPr="006F283B" w14:paraId="3B4D5940" w14:textId="77777777" w:rsidTr="00372EA1">
        <w:trPr>
          <w:trHeight w:val="20"/>
        </w:trPr>
        <w:tc>
          <w:tcPr>
            <w:tcW w:w="4390" w:type="dxa"/>
            <w:shd w:val="clear" w:color="auto" w:fill="auto"/>
            <w:vAlign w:val="center"/>
            <w:hideMark/>
          </w:tcPr>
          <w:p w14:paraId="5262E29A" w14:textId="77777777" w:rsidR="005A5087" w:rsidRPr="006F283B" w:rsidRDefault="005A5087" w:rsidP="003915F9">
            <w:pPr>
              <w:pStyle w:val="Tabletext0"/>
              <w:keepNext/>
              <w:keepLines/>
              <w:rPr>
                <w:color w:val="000000"/>
                <w:szCs w:val="20"/>
              </w:rPr>
            </w:pPr>
            <w:r w:rsidRPr="006F283B">
              <w:t>Weibull</w:t>
            </w:r>
          </w:p>
        </w:tc>
        <w:tc>
          <w:tcPr>
            <w:tcW w:w="1169" w:type="dxa"/>
            <w:shd w:val="clear" w:color="auto" w:fill="auto"/>
            <w:vAlign w:val="center"/>
          </w:tcPr>
          <w:p w14:paraId="369C1D97" w14:textId="41CCE9EF" w:rsidR="005A5087" w:rsidRPr="006F283B" w:rsidRDefault="005A5087"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59"/>
                <w14:textFill>
                  <w14:solidFill>
                    <w14:srgbClr w14:val="000000">
                      <w14:alpha w14:val="100000"/>
                    </w14:srgbClr>
                  </w14:solidFill>
                </w14:textFill>
              </w:rPr>
              <w:t>|</w:t>
            </w:r>
            <w:r w:rsidR="00093050" w:rsidRPr="0063757D">
              <w:rPr>
                <w:color w:val="000000"/>
                <w:szCs w:val="20"/>
                <w:shd w:val="solid" w:color="000000" w:fill="000000"/>
                <w:fitText w:val="275" w:id="-1233481459"/>
                <w14:textFill>
                  <w14:solidFill>
                    <w14:srgbClr w14:val="000000">
                      <w14:alpha w14:val="100000"/>
                    </w14:srgbClr>
                  </w14:solidFill>
                </w14:textFill>
              </w:rPr>
              <w:t>|</w:t>
            </w:r>
          </w:p>
        </w:tc>
        <w:tc>
          <w:tcPr>
            <w:tcW w:w="1169" w:type="dxa"/>
            <w:shd w:val="clear" w:color="auto" w:fill="auto"/>
            <w:vAlign w:val="center"/>
            <w:hideMark/>
          </w:tcPr>
          <w:p w14:paraId="1E27F60F" w14:textId="77777777" w:rsidR="005A5087" w:rsidRPr="006F283B" w:rsidRDefault="005A5087" w:rsidP="003915F9">
            <w:pPr>
              <w:pStyle w:val="Tabletext0"/>
              <w:keepNext/>
              <w:keepLines/>
              <w:jc w:val="center"/>
              <w:rPr>
                <w:color w:val="000000"/>
                <w:szCs w:val="20"/>
              </w:rPr>
            </w:pPr>
            <w:r w:rsidRPr="006F283B">
              <w:t>0.5453</w:t>
            </w:r>
          </w:p>
        </w:tc>
        <w:tc>
          <w:tcPr>
            <w:tcW w:w="1169" w:type="dxa"/>
            <w:shd w:val="clear" w:color="auto" w:fill="auto"/>
            <w:vAlign w:val="center"/>
          </w:tcPr>
          <w:p w14:paraId="7E176CDF" w14:textId="348FC724" w:rsidR="005A5087" w:rsidRPr="006F283B" w:rsidRDefault="005A5087"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58"/>
                <w14:textFill>
                  <w14:solidFill>
                    <w14:srgbClr w14:val="000000">
                      <w14:alpha w14:val="100000"/>
                    </w14:srgbClr>
                  </w14:solidFill>
                </w14:textFill>
              </w:rPr>
              <w:t>|||</w:t>
            </w:r>
            <w:r w:rsidR="00093050" w:rsidRPr="00093050">
              <w:rPr>
                <w:color w:val="000000"/>
                <w:spacing w:val="3"/>
                <w:szCs w:val="20"/>
                <w:shd w:val="solid" w:color="000000" w:fill="000000"/>
                <w:fitText w:val="338" w:id="-1233481458"/>
                <w14:textFill>
                  <w14:solidFill>
                    <w14:srgbClr w14:val="000000">
                      <w14:alpha w14:val="100000"/>
                    </w14:srgbClr>
                  </w14:solidFill>
                </w14:textFill>
              </w:rPr>
              <w:t>|</w:t>
            </w:r>
            <w:r w:rsidR="00F7245D">
              <w:rPr>
                <w:color w:val="000000"/>
                <w:szCs w:val="20"/>
              </w:rPr>
              <w:t xml:space="preserve"> </w:t>
            </w:r>
            <w:r w:rsidR="00F7245D">
              <w:rPr>
                <w:color w:val="000000"/>
                <w:szCs w:val="20"/>
                <w:vertAlign w:val="superscript"/>
              </w:rPr>
              <w:t>3</w:t>
            </w:r>
          </w:p>
        </w:tc>
        <w:tc>
          <w:tcPr>
            <w:tcW w:w="1170" w:type="dxa"/>
            <w:shd w:val="clear" w:color="auto" w:fill="auto"/>
            <w:vAlign w:val="center"/>
          </w:tcPr>
          <w:p w14:paraId="63B89587" w14:textId="77777777" w:rsidR="005A5087" w:rsidRPr="006F283B" w:rsidRDefault="005A5087" w:rsidP="003915F9">
            <w:pPr>
              <w:pStyle w:val="Tabletext0"/>
              <w:keepNext/>
              <w:keepLines/>
              <w:jc w:val="center"/>
              <w:rPr>
                <w:color w:val="000000"/>
                <w:szCs w:val="20"/>
              </w:rPr>
            </w:pPr>
            <w:r w:rsidRPr="006F283B">
              <w:rPr>
                <w:color w:val="000000"/>
                <w:szCs w:val="20"/>
              </w:rPr>
              <w:t>+34.68%</w:t>
            </w:r>
          </w:p>
        </w:tc>
      </w:tr>
      <w:tr w:rsidR="00D82219" w:rsidRPr="006F283B" w14:paraId="3E8DF278" w14:textId="77777777" w:rsidTr="00372EA1">
        <w:trPr>
          <w:trHeight w:val="20"/>
        </w:trPr>
        <w:tc>
          <w:tcPr>
            <w:tcW w:w="9067" w:type="dxa"/>
            <w:gridSpan w:val="5"/>
            <w:shd w:val="clear" w:color="auto" w:fill="auto"/>
            <w:vAlign w:val="center"/>
            <w:hideMark/>
          </w:tcPr>
          <w:p w14:paraId="26379CFA" w14:textId="50202C8B" w:rsidR="00D82219" w:rsidRPr="006F283B" w:rsidRDefault="00D82219" w:rsidP="003915F9">
            <w:pPr>
              <w:pStyle w:val="Tabletext0"/>
              <w:keepNext/>
              <w:keepLines/>
              <w:rPr>
                <w:b/>
                <w:bCs/>
              </w:rPr>
            </w:pPr>
            <w:r w:rsidRPr="006F283B">
              <w:rPr>
                <w:b/>
                <w:bCs/>
              </w:rPr>
              <w:t xml:space="preserve">OS HR in HRD positive </w:t>
            </w:r>
            <w:r w:rsidR="001152C0" w:rsidRPr="001152C0">
              <w:rPr>
                <w:b/>
                <w:bCs/>
                <w:i/>
                <w:iCs/>
              </w:rPr>
              <w:t>BRCAwt</w:t>
            </w:r>
            <w:r w:rsidRPr="006F283B">
              <w:rPr>
                <w:b/>
                <w:bCs/>
              </w:rPr>
              <w:t xml:space="preserve"> (niraparib)</w:t>
            </w:r>
          </w:p>
        </w:tc>
      </w:tr>
      <w:tr w:rsidR="00D82219" w:rsidRPr="006F283B" w14:paraId="00877170" w14:textId="77777777" w:rsidTr="00372EA1">
        <w:trPr>
          <w:trHeight w:val="20"/>
        </w:trPr>
        <w:tc>
          <w:tcPr>
            <w:tcW w:w="9067" w:type="dxa"/>
            <w:gridSpan w:val="5"/>
            <w:shd w:val="clear" w:color="auto" w:fill="auto"/>
            <w:vAlign w:val="center"/>
            <w:hideMark/>
          </w:tcPr>
          <w:p w14:paraId="669BC2A7" w14:textId="77777777" w:rsidR="00D82219" w:rsidRPr="006F283B" w:rsidRDefault="00D82219" w:rsidP="003915F9">
            <w:pPr>
              <w:pStyle w:val="Tabletext0"/>
              <w:keepNext/>
              <w:keepLines/>
              <w:rPr>
                <w:b/>
                <w:bCs/>
              </w:rPr>
            </w:pPr>
            <w:r w:rsidRPr="006F283B">
              <w:rPr>
                <w:b/>
                <w:bCs/>
              </w:rPr>
              <w:t>Base case HR = 0.69, start convergence at 80 months</w:t>
            </w:r>
          </w:p>
        </w:tc>
      </w:tr>
      <w:tr w:rsidR="00D82219" w:rsidRPr="006F283B" w14:paraId="67881D3A" w14:textId="77777777" w:rsidTr="00372EA1">
        <w:trPr>
          <w:trHeight w:val="20"/>
        </w:trPr>
        <w:tc>
          <w:tcPr>
            <w:tcW w:w="4390" w:type="dxa"/>
            <w:shd w:val="clear" w:color="auto" w:fill="auto"/>
            <w:vAlign w:val="center"/>
            <w:hideMark/>
          </w:tcPr>
          <w:p w14:paraId="67179753" w14:textId="77777777" w:rsidR="00D82219" w:rsidRPr="006F283B" w:rsidRDefault="00D82219" w:rsidP="003915F9">
            <w:pPr>
              <w:pStyle w:val="Tabletext0"/>
              <w:keepNext/>
              <w:keepLines/>
              <w:rPr>
                <w:color w:val="000000"/>
                <w:szCs w:val="20"/>
              </w:rPr>
            </w:pPr>
            <w:r w:rsidRPr="006F283B">
              <w:t>0.6, start convergence at 90 months</w:t>
            </w:r>
          </w:p>
        </w:tc>
        <w:tc>
          <w:tcPr>
            <w:tcW w:w="1169" w:type="dxa"/>
            <w:shd w:val="clear" w:color="auto" w:fill="auto"/>
            <w:vAlign w:val="center"/>
          </w:tcPr>
          <w:p w14:paraId="0F15297E" w14:textId="2E7B8883" w:rsidR="00D82219" w:rsidRPr="006F283B" w:rsidRDefault="00D82219"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457"/>
                <w14:textFill>
                  <w14:solidFill>
                    <w14:srgbClr w14:val="000000">
                      <w14:alpha w14:val="100000"/>
                    </w14:srgbClr>
                  </w14:solidFill>
                </w14:textFill>
              </w:rPr>
              <w:t>|</w:t>
            </w:r>
            <w:r w:rsidR="00093050" w:rsidRPr="0063757D">
              <w:rPr>
                <w:color w:val="000000"/>
                <w:szCs w:val="20"/>
                <w:shd w:val="solid" w:color="000000" w:fill="000000"/>
                <w:fitText w:val="275" w:id="-1233481457"/>
                <w14:textFill>
                  <w14:solidFill>
                    <w14:srgbClr w14:val="000000">
                      <w14:alpha w14:val="100000"/>
                    </w14:srgbClr>
                  </w14:solidFill>
                </w14:textFill>
              </w:rPr>
              <w:t>|</w:t>
            </w:r>
          </w:p>
        </w:tc>
        <w:tc>
          <w:tcPr>
            <w:tcW w:w="1169" w:type="dxa"/>
            <w:shd w:val="clear" w:color="auto" w:fill="auto"/>
            <w:vAlign w:val="center"/>
            <w:hideMark/>
          </w:tcPr>
          <w:p w14:paraId="39E579A7" w14:textId="77777777" w:rsidR="00D82219" w:rsidRPr="006F283B" w:rsidRDefault="00D82219" w:rsidP="003915F9">
            <w:pPr>
              <w:pStyle w:val="Tabletext0"/>
              <w:keepNext/>
              <w:keepLines/>
              <w:jc w:val="center"/>
              <w:rPr>
                <w:color w:val="000000"/>
                <w:szCs w:val="20"/>
              </w:rPr>
            </w:pPr>
            <w:r w:rsidRPr="006F283B">
              <w:t>0.9472</w:t>
            </w:r>
          </w:p>
        </w:tc>
        <w:tc>
          <w:tcPr>
            <w:tcW w:w="1169" w:type="dxa"/>
            <w:shd w:val="clear" w:color="auto" w:fill="auto"/>
            <w:vAlign w:val="center"/>
          </w:tcPr>
          <w:p w14:paraId="3378BBF5" w14:textId="3C66B9E1" w:rsidR="00D82219" w:rsidRPr="006F283B" w:rsidRDefault="00D82219"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456"/>
                <w14:textFill>
                  <w14:solidFill>
                    <w14:srgbClr w14:val="000000">
                      <w14:alpha w14:val="100000"/>
                    </w14:srgbClr>
                  </w14:solidFill>
                </w14:textFill>
              </w:rPr>
              <w:t>|||</w:t>
            </w:r>
            <w:r w:rsidR="00093050" w:rsidRPr="00093050">
              <w:rPr>
                <w:color w:val="000000"/>
                <w:spacing w:val="3"/>
                <w:szCs w:val="20"/>
                <w:shd w:val="solid" w:color="000000" w:fill="000000"/>
                <w:fitText w:val="338" w:id="-1233481456"/>
                <w14:textFill>
                  <w14:solidFill>
                    <w14:srgbClr w14:val="000000">
                      <w14:alpha w14:val="100000"/>
                    </w14:srgbClr>
                  </w14:solidFill>
                </w14:textFill>
              </w:rPr>
              <w:t>|</w:t>
            </w:r>
            <w:r w:rsidR="00F7245D">
              <w:rPr>
                <w:color w:val="000000"/>
                <w:szCs w:val="20"/>
              </w:rPr>
              <w:t xml:space="preserve"> </w:t>
            </w:r>
            <w:r w:rsidR="00F7245D">
              <w:rPr>
                <w:color w:val="000000"/>
                <w:szCs w:val="20"/>
                <w:vertAlign w:val="superscript"/>
              </w:rPr>
              <w:t>4</w:t>
            </w:r>
          </w:p>
        </w:tc>
        <w:tc>
          <w:tcPr>
            <w:tcW w:w="1170" w:type="dxa"/>
            <w:shd w:val="clear" w:color="auto" w:fill="auto"/>
            <w:vAlign w:val="center"/>
          </w:tcPr>
          <w:p w14:paraId="39CF7A00" w14:textId="77777777" w:rsidR="00D82219" w:rsidRPr="006F283B" w:rsidRDefault="00D82219" w:rsidP="003915F9">
            <w:pPr>
              <w:pStyle w:val="Tabletext0"/>
              <w:keepNext/>
              <w:keepLines/>
              <w:jc w:val="center"/>
              <w:rPr>
                <w:color w:val="000000"/>
                <w:szCs w:val="20"/>
              </w:rPr>
            </w:pPr>
            <w:r w:rsidRPr="006F283B">
              <w:rPr>
                <w:color w:val="000000"/>
                <w:szCs w:val="20"/>
              </w:rPr>
              <w:t>-23.56%</w:t>
            </w:r>
          </w:p>
        </w:tc>
      </w:tr>
      <w:tr w:rsidR="00D82219" w:rsidRPr="006F283B" w14:paraId="4C410258" w14:textId="77777777" w:rsidTr="00372EA1">
        <w:trPr>
          <w:trHeight w:val="20"/>
        </w:trPr>
        <w:tc>
          <w:tcPr>
            <w:tcW w:w="4390" w:type="dxa"/>
            <w:shd w:val="clear" w:color="auto" w:fill="auto"/>
            <w:vAlign w:val="center"/>
            <w:hideMark/>
          </w:tcPr>
          <w:p w14:paraId="6BD621FE" w14:textId="77777777" w:rsidR="00D82219" w:rsidRPr="006F283B" w:rsidRDefault="00D82219" w:rsidP="003915F9">
            <w:pPr>
              <w:pStyle w:val="Tabletext0"/>
              <w:keepNext/>
              <w:keepLines/>
              <w:rPr>
                <w:color w:val="000000"/>
                <w:szCs w:val="20"/>
              </w:rPr>
            </w:pPr>
            <w:r w:rsidRPr="006F283B">
              <w:t>0.8, start convergence at 70 months</w:t>
            </w:r>
          </w:p>
        </w:tc>
        <w:tc>
          <w:tcPr>
            <w:tcW w:w="1169" w:type="dxa"/>
            <w:shd w:val="clear" w:color="auto" w:fill="auto"/>
            <w:vAlign w:val="center"/>
          </w:tcPr>
          <w:p w14:paraId="10E30B02" w14:textId="6A5707D6" w:rsidR="00D82219" w:rsidRPr="006F283B" w:rsidRDefault="00D82219"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216"/>
                <w14:textFill>
                  <w14:solidFill>
                    <w14:srgbClr w14:val="000000">
                      <w14:alpha w14:val="100000"/>
                    </w14:srgbClr>
                  </w14:solidFill>
                </w14:textFill>
              </w:rPr>
              <w:t>|</w:t>
            </w:r>
            <w:r w:rsidR="00093050" w:rsidRPr="0063757D">
              <w:rPr>
                <w:color w:val="000000"/>
                <w:szCs w:val="20"/>
                <w:shd w:val="solid" w:color="000000" w:fill="000000"/>
                <w:fitText w:val="275" w:id="-1233481216"/>
                <w14:textFill>
                  <w14:solidFill>
                    <w14:srgbClr w14:val="000000">
                      <w14:alpha w14:val="100000"/>
                    </w14:srgbClr>
                  </w14:solidFill>
                </w14:textFill>
              </w:rPr>
              <w:t>|</w:t>
            </w:r>
          </w:p>
        </w:tc>
        <w:tc>
          <w:tcPr>
            <w:tcW w:w="1169" w:type="dxa"/>
            <w:shd w:val="clear" w:color="auto" w:fill="auto"/>
            <w:vAlign w:val="center"/>
            <w:hideMark/>
          </w:tcPr>
          <w:p w14:paraId="7129F768" w14:textId="77777777" w:rsidR="00D82219" w:rsidRPr="006F283B" w:rsidRDefault="00D82219" w:rsidP="003915F9">
            <w:pPr>
              <w:pStyle w:val="Tabletext0"/>
              <w:keepNext/>
              <w:keepLines/>
              <w:jc w:val="center"/>
              <w:rPr>
                <w:color w:val="000000"/>
                <w:szCs w:val="20"/>
              </w:rPr>
            </w:pPr>
            <w:r w:rsidRPr="006F283B">
              <w:t>0.5143</w:t>
            </w:r>
          </w:p>
        </w:tc>
        <w:tc>
          <w:tcPr>
            <w:tcW w:w="1169" w:type="dxa"/>
            <w:shd w:val="clear" w:color="auto" w:fill="auto"/>
            <w:vAlign w:val="center"/>
          </w:tcPr>
          <w:p w14:paraId="72054D02" w14:textId="2718911D" w:rsidR="00D82219" w:rsidRPr="006F283B" w:rsidRDefault="00D82219"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215"/>
                <w14:textFill>
                  <w14:solidFill>
                    <w14:srgbClr w14:val="000000">
                      <w14:alpha w14:val="100000"/>
                    </w14:srgbClr>
                  </w14:solidFill>
                </w14:textFill>
              </w:rPr>
              <w:t>|||</w:t>
            </w:r>
            <w:r w:rsidR="00093050" w:rsidRPr="00093050">
              <w:rPr>
                <w:color w:val="000000"/>
                <w:spacing w:val="3"/>
                <w:szCs w:val="20"/>
                <w:shd w:val="solid" w:color="000000" w:fill="000000"/>
                <w:fitText w:val="338" w:id="-1233481215"/>
                <w14:textFill>
                  <w14:solidFill>
                    <w14:srgbClr w14:val="000000">
                      <w14:alpha w14:val="100000"/>
                    </w14:srgbClr>
                  </w14:solidFill>
                </w14:textFill>
              </w:rPr>
              <w:t>|</w:t>
            </w:r>
            <w:r w:rsidR="00F7245D">
              <w:rPr>
                <w:color w:val="000000"/>
                <w:szCs w:val="20"/>
              </w:rPr>
              <w:t xml:space="preserve"> </w:t>
            </w:r>
            <w:r w:rsidR="00F7245D">
              <w:rPr>
                <w:color w:val="000000"/>
                <w:szCs w:val="20"/>
                <w:vertAlign w:val="superscript"/>
              </w:rPr>
              <w:t>2</w:t>
            </w:r>
          </w:p>
        </w:tc>
        <w:tc>
          <w:tcPr>
            <w:tcW w:w="1170" w:type="dxa"/>
            <w:shd w:val="clear" w:color="auto" w:fill="auto"/>
            <w:vAlign w:val="center"/>
          </w:tcPr>
          <w:p w14:paraId="50684C39" w14:textId="77777777" w:rsidR="00D82219" w:rsidRPr="006F283B" w:rsidRDefault="00D82219" w:rsidP="003915F9">
            <w:pPr>
              <w:pStyle w:val="Tabletext0"/>
              <w:keepNext/>
              <w:keepLines/>
              <w:jc w:val="center"/>
              <w:rPr>
                <w:color w:val="000000"/>
                <w:szCs w:val="20"/>
              </w:rPr>
            </w:pPr>
            <w:r w:rsidRPr="006F283B">
              <w:rPr>
                <w:color w:val="000000"/>
                <w:szCs w:val="20"/>
              </w:rPr>
              <w:t>+42.85%</w:t>
            </w:r>
          </w:p>
        </w:tc>
      </w:tr>
      <w:tr w:rsidR="00D82219" w:rsidRPr="006F283B" w14:paraId="549829D4" w14:textId="77777777" w:rsidTr="00372EA1">
        <w:trPr>
          <w:trHeight w:val="20"/>
        </w:trPr>
        <w:tc>
          <w:tcPr>
            <w:tcW w:w="4390" w:type="dxa"/>
            <w:shd w:val="clear" w:color="auto" w:fill="auto"/>
            <w:vAlign w:val="center"/>
          </w:tcPr>
          <w:p w14:paraId="7503C96D" w14:textId="77777777" w:rsidR="00D82219" w:rsidRPr="006F283B" w:rsidRDefault="00D82219" w:rsidP="003915F9">
            <w:pPr>
              <w:pStyle w:val="Tabletext0"/>
              <w:keepNext/>
              <w:keepLines/>
              <w:rPr>
                <w:rFonts w:cs="Calibri"/>
                <w:color w:val="000000"/>
                <w:szCs w:val="20"/>
              </w:rPr>
            </w:pPr>
            <w:r w:rsidRPr="006F283B">
              <w:rPr>
                <w:rFonts w:cs="Calibri"/>
                <w:color w:val="000000"/>
                <w:szCs w:val="20"/>
              </w:rPr>
              <w:t xml:space="preserve">0.95, </w:t>
            </w:r>
            <w:r w:rsidRPr="006F283B">
              <w:t>start convergence at 70 months</w:t>
            </w:r>
          </w:p>
        </w:tc>
        <w:tc>
          <w:tcPr>
            <w:tcW w:w="1169" w:type="dxa"/>
            <w:shd w:val="clear" w:color="auto" w:fill="auto"/>
            <w:vAlign w:val="center"/>
          </w:tcPr>
          <w:p w14:paraId="2D53442C" w14:textId="65F07709" w:rsidR="00D82219" w:rsidRPr="006F283B" w:rsidRDefault="00D82219" w:rsidP="003915F9">
            <w:pPr>
              <w:pStyle w:val="Tabletext0"/>
              <w:keepNext/>
              <w:keepLines/>
              <w:jc w:val="center"/>
              <w:rPr>
                <w:rFonts w:cs="Calibri"/>
                <w:color w:val="000000"/>
                <w:szCs w:val="20"/>
              </w:rPr>
            </w:pPr>
            <w:r w:rsidRPr="006F283B">
              <w:rPr>
                <w:rFonts w:cs="Calibri"/>
                <w:color w:val="000000"/>
                <w:szCs w:val="20"/>
              </w:rPr>
              <w:t>$</w:t>
            </w:r>
            <w:r w:rsidR="00093050" w:rsidRPr="0063757D">
              <w:rPr>
                <w:rFonts w:cs="Calibri"/>
                <w:color w:val="000000"/>
                <w:spacing w:val="189"/>
                <w:szCs w:val="20"/>
                <w:shd w:val="solid" w:color="000000" w:fill="000000"/>
                <w:fitText w:val="275" w:id="-1233481214"/>
                <w14:textFill>
                  <w14:solidFill>
                    <w14:srgbClr w14:val="000000">
                      <w14:alpha w14:val="100000"/>
                    </w14:srgbClr>
                  </w14:solidFill>
                </w14:textFill>
              </w:rPr>
              <w:t>|</w:t>
            </w:r>
            <w:r w:rsidR="00093050" w:rsidRPr="0063757D">
              <w:rPr>
                <w:rFonts w:cs="Calibri"/>
                <w:color w:val="000000"/>
                <w:szCs w:val="20"/>
                <w:shd w:val="solid" w:color="000000" w:fill="000000"/>
                <w:fitText w:val="275" w:id="-1233481214"/>
                <w14:textFill>
                  <w14:solidFill>
                    <w14:srgbClr w14:val="000000">
                      <w14:alpha w14:val="100000"/>
                    </w14:srgbClr>
                  </w14:solidFill>
                </w14:textFill>
              </w:rPr>
              <w:t>|</w:t>
            </w:r>
          </w:p>
        </w:tc>
        <w:tc>
          <w:tcPr>
            <w:tcW w:w="1169" w:type="dxa"/>
            <w:shd w:val="clear" w:color="auto" w:fill="auto"/>
            <w:vAlign w:val="center"/>
          </w:tcPr>
          <w:p w14:paraId="6E6B2346" w14:textId="77777777" w:rsidR="00D82219" w:rsidRPr="006F283B" w:rsidRDefault="00D82219" w:rsidP="003915F9">
            <w:pPr>
              <w:pStyle w:val="Tabletext0"/>
              <w:keepNext/>
              <w:keepLines/>
              <w:jc w:val="center"/>
              <w:rPr>
                <w:rFonts w:cs="Calibri"/>
                <w:color w:val="000000"/>
                <w:szCs w:val="20"/>
              </w:rPr>
            </w:pPr>
            <w:r w:rsidRPr="006F283B">
              <w:rPr>
                <w:rFonts w:cs="Calibri"/>
                <w:color w:val="000000"/>
                <w:szCs w:val="20"/>
              </w:rPr>
              <w:t>0.2929</w:t>
            </w:r>
          </w:p>
        </w:tc>
        <w:tc>
          <w:tcPr>
            <w:tcW w:w="1169" w:type="dxa"/>
            <w:shd w:val="clear" w:color="auto" w:fill="auto"/>
            <w:vAlign w:val="center"/>
          </w:tcPr>
          <w:p w14:paraId="1F3525B9" w14:textId="35480884" w:rsidR="00D82219" w:rsidRPr="00F7245D" w:rsidRDefault="00D82219" w:rsidP="003915F9">
            <w:pPr>
              <w:pStyle w:val="Tabletext0"/>
              <w:keepNext/>
              <w:keepLines/>
              <w:jc w:val="center"/>
              <w:rPr>
                <w:rFonts w:cs="Calibri"/>
                <w:color w:val="000000"/>
                <w:szCs w:val="20"/>
                <w:vertAlign w:val="superscript"/>
              </w:rPr>
            </w:pPr>
            <w:r w:rsidRPr="006F283B">
              <w:rPr>
                <w:rFonts w:cs="Calibri"/>
                <w:color w:val="000000"/>
                <w:szCs w:val="20"/>
              </w:rPr>
              <w:t>$</w:t>
            </w:r>
            <w:r w:rsidR="00093050" w:rsidRPr="00093050">
              <w:rPr>
                <w:rFonts w:cs="Calibri"/>
                <w:color w:val="000000"/>
                <w:spacing w:val="55"/>
                <w:szCs w:val="20"/>
                <w:shd w:val="solid" w:color="000000" w:fill="000000"/>
                <w:fitText w:val="338" w:id="-1233481213"/>
                <w14:textFill>
                  <w14:solidFill>
                    <w14:srgbClr w14:val="000000">
                      <w14:alpha w14:val="100000"/>
                    </w14:srgbClr>
                  </w14:solidFill>
                </w14:textFill>
              </w:rPr>
              <w:t>|||</w:t>
            </w:r>
            <w:r w:rsidR="00093050" w:rsidRPr="00093050">
              <w:rPr>
                <w:rFonts w:cs="Calibri"/>
                <w:color w:val="000000"/>
                <w:spacing w:val="3"/>
                <w:szCs w:val="20"/>
                <w:shd w:val="solid" w:color="000000" w:fill="000000"/>
                <w:fitText w:val="338" w:id="-1233481213"/>
                <w14:textFill>
                  <w14:solidFill>
                    <w14:srgbClr w14:val="000000">
                      <w14:alpha w14:val="100000"/>
                    </w14:srgbClr>
                  </w14:solidFill>
                </w14:textFill>
              </w:rPr>
              <w:t>|</w:t>
            </w:r>
            <w:r w:rsidR="00F7245D">
              <w:rPr>
                <w:rFonts w:cs="Calibri"/>
                <w:color w:val="000000"/>
                <w:szCs w:val="20"/>
              </w:rPr>
              <w:t xml:space="preserve"> </w:t>
            </w:r>
            <w:r w:rsidR="00F7245D">
              <w:rPr>
                <w:rFonts w:cs="Calibri"/>
                <w:color w:val="000000"/>
                <w:szCs w:val="20"/>
                <w:vertAlign w:val="superscript"/>
              </w:rPr>
              <w:t>5</w:t>
            </w:r>
          </w:p>
        </w:tc>
        <w:tc>
          <w:tcPr>
            <w:tcW w:w="1170" w:type="dxa"/>
            <w:shd w:val="clear" w:color="auto" w:fill="auto"/>
            <w:vAlign w:val="center"/>
          </w:tcPr>
          <w:p w14:paraId="54F4F642" w14:textId="77777777" w:rsidR="00D82219" w:rsidRPr="006F283B" w:rsidRDefault="00D82219" w:rsidP="003915F9">
            <w:pPr>
              <w:pStyle w:val="Tabletext0"/>
              <w:keepNext/>
              <w:keepLines/>
              <w:jc w:val="center"/>
              <w:rPr>
                <w:rFonts w:cs="Calibri"/>
                <w:color w:val="000000"/>
                <w:szCs w:val="20"/>
              </w:rPr>
            </w:pPr>
            <w:r w:rsidRPr="006F283B">
              <w:rPr>
                <w:rFonts w:cs="Calibri"/>
                <w:color w:val="000000"/>
                <w:szCs w:val="20"/>
              </w:rPr>
              <w:t>+152.69%</w:t>
            </w:r>
          </w:p>
        </w:tc>
      </w:tr>
      <w:tr w:rsidR="00D82219" w:rsidRPr="006F283B" w14:paraId="54189ADE" w14:textId="77777777" w:rsidTr="00372EA1">
        <w:trPr>
          <w:trHeight w:val="20"/>
        </w:trPr>
        <w:tc>
          <w:tcPr>
            <w:tcW w:w="9067" w:type="dxa"/>
            <w:gridSpan w:val="5"/>
            <w:shd w:val="clear" w:color="auto" w:fill="auto"/>
            <w:vAlign w:val="center"/>
            <w:hideMark/>
          </w:tcPr>
          <w:p w14:paraId="556D1056" w14:textId="77777777" w:rsidR="00D82219" w:rsidRPr="006F283B" w:rsidRDefault="00D82219" w:rsidP="003915F9">
            <w:pPr>
              <w:pStyle w:val="Tabletext0"/>
              <w:keepNext/>
              <w:keepLines/>
              <w:rPr>
                <w:b/>
                <w:bCs/>
              </w:rPr>
            </w:pPr>
            <w:r w:rsidRPr="006F283B">
              <w:rPr>
                <w:b/>
                <w:bCs/>
              </w:rPr>
              <w:t>TTD extrapolation (niraparib): Exponential</w:t>
            </w:r>
          </w:p>
        </w:tc>
      </w:tr>
      <w:tr w:rsidR="00D82219" w:rsidRPr="006F283B" w14:paraId="53ACFBB7" w14:textId="77777777" w:rsidTr="00372EA1">
        <w:trPr>
          <w:trHeight w:val="20"/>
        </w:trPr>
        <w:tc>
          <w:tcPr>
            <w:tcW w:w="4390" w:type="dxa"/>
            <w:shd w:val="clear" w:color="auto" w:fill="auto"/>
            <w:vAlign w:val="center"/>
            <w:hideMark/>
          </w:tcPr>
          <w:p w14:paraId="4EFA1881" w14:textId="77777777" w:rsidR="00D82219" w:rsidRPr="006F283B" w:rsidRDefault="00D82219" w:rsidP="003915F9">
            <w:pPr>
              <w:pStyle w:val="Tabletext0"/>
              <w:keepNext/>
              <w:keepLines/>
              <w:rPr>
                <w:color w:val="000000"/>
                <w:szCs w:val="20"/>
              </w:rPr>
            </w:pPr>
            <w:r w:rsidRPr="006F283B">
              <w:t>Loglogistic</w:t>
            </w:r>
          </w:p>
        </w:tc>
        <w:tc>
          <w:tcPr>
            <w:tcW w:w="1169" w:type="dxa"/>
            <w:shd w:val="clear" w:color="auto" w:fill="auto"/>
            <w:vAlign w:val="center"/>
          </w:tcPr>
          <w:p w14:paraId="6B8AEF3E" w14:textId="4F09A643" w:rsidR="00D82219" w:rsidRPr="006F283B" w:rsidRDefault="00D82219"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212"/>
                <w14:textFill>
                  <w14:solidFill>
                    <w14:srgbClr w14:val="000000">
                      <w14:alpha w14:val="100000"/>
                    </w14:srgbClr>
                  </w14:solidFill>
                </w14:textFill>
              </w:rPr>
              <w:t>|</w:t>
            </w:r>
            <w:r w:rsidR="00093050" w:rsidRPr="0063757D">
              <w:rPr>
                <w:color w:val="000000"/>
                <w:szCs w:val="20"/>
                <w:shd w:val="solid" w:color="000000" w:fill="000000"/>
                <w:fitText w:val="275" w:id="-1233481212"/>
                <w14:textFill>
                  <w14:solidFill>
                    <w14:srgbClr w14:val="000000">
                      <w14:alpha w14:val="100000"/>
                    </w14:srgbClr>
                  </w14:solidFill>
                </w14:textFill>
              </w:rPr>
              <w:t>|</w:t>
            </w:r>
          </w:p>
        </w:tc>
        <w:tc>
          <w:tcPr>
            <w:tcW w:w="1169" w:type="dxa"/>
            <w:shd w:val="clear" w:color="auto" w:fill="auto"/>
            <w:vAlign w:val="center"/>
            <w:hideMark/>
          </w:tcPr>
          <w:p w14:paraId="4C090A52" w14:textId="77777777" w:rsidR="00D82219" w:rsidRPr="006F283B" w:rsidRDefault="00D82219" w:rsidP="003915F9">
            <w:pPr>
              <w:pStyle w:val="Tabletext0"/>
              <w:keepNext/>
              <w:keepLines/>
              <w:jc w:val="center"/>
              <w:rPr>
                <w:color w:val="000000"/>
                <w:szCs w:val="20"/>
              </w:rPr>
            </w:pPr>
            <w:r w:rsidRPr="006F283B">
              <w:t>0.7294</w:t>
            </w:r>
          </w:p>
        </w:tc>
        <w:tc>
          <w:tcPr>
            <w:tcW w:w="1169" w:type="dxa"/>
            <w:shd w:val="clear" w:color="auto" w:fill="auto"/>
            <w:vAlign w:val="center"/>
          </w:tcPr>
          <w:p w14:paraId="11DDBBBE" w14:textId="17DE0E04" w:rsidR="00D82219" w:rsidRPr="006F283B" w:rsidRDefault="00D82219"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211"/>
                <w14:textFill>
                  <w14:solidFill>
                    <w14:srgbClr w14:val="000000">
                      <w14:alpha w14:val="100000"/>
                    </w14:srgbClr>
                  </w14:solidFill>
                </w14:textFill>
              </w:rPr>
              <w:t>|||</w:t>
            </w:r>
            <w:r w:rsidR="00093050" w:rsidRPr="00093050">
              <w:rPr>
                <w:color w:val="000000"/>
                <w:spacing w:val="3"/>
                <w:szCs w:val="20"/>
                <w:shd w:val="solid" w:color="000000" w:fill="000000"/>
                <w:fitText w:val="338" w:id="-1233481211"/>
                <w14:textFill>
                  <w14:solidFill>
                    <w14:srgbClr w14:val="000000">
                      <w14:alpha w14:val="100000"/>
                    </w14:srgbClr>
                  </w14:solidFill>
                </w14:textFill>
              </w:rPr>
              <w:t>|</w:t>
            </w:r>
            <w:r w:rsidR="00F7245D">
              <w:rPr>
                <w:color w:val="000000"/>
                <w:szCs w:val="20"/>
              </w:rPr>
              <w:t xml:space="preserve"> </w:t>
            </w:r>
            <w:r w:rsidR="00F7245D">
              <w:rPr>
                <w:color w:val="000000"/>
                <w:szCs w:val="20"/>
                <w:vertAlign w:val="superscript"/>
              </w:rPr>
              <w:t>3</w:t>
            </w:r>
          </w:p>
        </w:tc>
        <w:tc>
          <w:tcPr>
            <w:tcW w:w="1170" w:type="dxa"/>
            <w:shd w:val="clear" w:color="auto" w:fill="auto"/>
            <w:vAlign w:val="center"/>
          </w:tcPr>
          <w:p w14:paraId="0278143C" w14:textId="77777777" w:rsidR="00D82219" w:rsidRPr="006F283B" w:rsidRDefault="00D82219" w:rsidP="003915F9">
            <w:pPr>
              <w:pStyle w:val="Tabletext0"/>
              <w:keepNext/>
              <w:keepLines/>
              <w:jc w:val="center"/>
              <w:rPr>
                <w:color w:val="000000"/>
                <w:szCs w:val="20"/>
              </w:rPr>
            </w:pPr>
            <w:r w:rsidRPr="006F283B">
              <w:rPr>
                <w:color w:val="000000"/>
                <w:szCs w:val="20"/>
              </w:rPr>
              <w:t>+31.21%</w:t>
            </w:r>
          </w:p>
        </w:tc>
      </w:tr>
      <w:tr w:rsidR="00D82219" w:rsidRPr="006F283B" w14:paraId="6038AFA5" w14:textId="77777777" w:rsidTr="00372EA1">
        <w:trPr>
          <w:trHeight w:val="20"/>
        </w:trPr>
        <w:tc>
          <w:tcPr>
            <w:tcW w:w="4390" w:type="dxa"/>
            <w:shd w:val="clear" w:color="auto" w:fill="auto"/>
            <w:vAlign w:val="center"/>
            <w:hideMark/>
          </w:tcPr>
          <w:p w14:paraId="2E4184FC" w14:textId="77777777" w:rsidR="00D82219" w:rsidRPr="006F283B" w:rsidRDefault="00D82219" w:rsidP="003915F9">
            <w:pPr>
              <w:pStyle w:val="Tabletext0"/>
              <w:keepNext/>
              <w:keepLines/>
              <w:rPr>
                <w:color w:val="000000"/>
                <w:szCs w:val="20"/>
              </w:rPr>
            </w:pPr>
            <w:r w:rsidRPr="006F283B">
              <w:t>Gamma</w:t>
            </w:r>
          </w:p>
        </w:tc>
        <w:tc>
          <w:tcPr>
            <w:tcW w:w="1169" w:type="dxa"/>
            <w:shd w:val="clear" w:color="auto" w:fill="auto"/>
            <w:vAlign w:val="center"/>
          </w:tcPr>
          <w:p w14:paraId="22977870" w14:textId="2FA82FC4" w:rsidR="00D82219" w:rsidRPr="006F283B" w:rsidRDefault="00D82219" w:rsidP="003915F9">
            <w:pPr>
              <w:pStyle w:val="Tabletext0"/>
              <w:keepNext/>
              <w:keepLines/>
              <w:jc w:val="center"/>
              <w:rPr>
                <w:color w:val="000000"/>
                <w:szCs w:val="20"/>
              </w:rPr>
            </w:pPr>
            <w:r w:rsidRPr="006F283B">
              <w:rPr>
                <w:color w:val="000000"/>
                <w:szCs w:val="20"/>
              </w:rPr>
              <w:t>$</w:t>
            </w:r>
            <w:r w:rsidR="00093050" w:rsidRPr="0063757D">
              <w:rPr>
                <w:color w:val="000000"/>
                <w:spacing w:val="189"/>
                <w:szCs w:val="20"/>
                <w:shd w:val="solid" w:color="000000" w:fill="000000"/>
                <w:fitText w:val="275" w:id="-1233481210"/>
                <w14:textFill>
                  <w14:solidFill>
                    <w14:srgbClr w14:val="000000">
                      <w14:alpha w14:val="100000"/>
                    </w14:srgbClr>
                  </w14:solidFill>
                </w14:textFill>
              </w:rPr>
              <w:t>|</w:t>
            </w:r>
            <w:r w:rsidR="00093050" w:rsidRPr="0063757D">
              <w:rPr>
                <w:color w:val="000000"/>
                <w:szCs w:val="20"/>
                <w:shd w:val="solid" w:color="000000" w:fill="000000"/>
                <w:fitText w:val="275" w:id="-1233481210"/>
                <w14:textFill>
                  <w14:solidFill>
                    <w14:srgbClr w14:val="000000">
                      <w14:alpha w14:val="100000"/>
                    </w14:srgbClr>
                  </w14:solidFill>
                </w14:textFill>
              </w:rPr>
              <w:t>|</w:t>
            </w:r>
          </w:p>
        </w:tc>
        <w:tc>
          <w:tcPr>
            <w:tcW w:w="1169" w:type="dxa"/>
            <w:shd w:val="clear" w:color="auto" w:fill="auto"/>
            <w:vAlign w:val="center"/>
            <w:hideMark/>
          </w:tcPr>
          <w:p w14:paraId="27F41FB4" w14:textId="77777777" w:rsidR="00D82219" w:rsidRPr="006F283B" w:rsidRDefault="00D82219" w:rsidP="003915F9">
            <w:pPr>
              <w:pStyle w:val="Tabletext0"/>
              <w:keepNext/>
              <w:keepLines/>
              <w:jc w:val="center"/>
              <w:rPr>
                <w:color w:val="000000"/>
                <w:szCs w:val="20"/>
              </w:rPr>
            </w:pPr>
            <w:r w:rsidRPr="006F283B">
              <w:t>0.7294</w:t>
            </w:r>
          </w:p>
        </w:tc>
        <w:tc>
          <w:tcPr>
            <w:tcW w:w="1169" w:type="dxa"/>
            <w:shd w:val="clear" w:color="auto" w:fill="auto"/>
            <w:vAlign w:val="center"/>
          </w:tcPr>
          <w:p w14:paraId="5B710D03" w14:textId="35C4F5C7" w:rsidR="00D82219" w:rsidRPr="006F283B" w:rsidRDefault="00D82219" w:rsidP="003915F9">
            <w:pPr>
              <w:pStyle w:val="Tabletext0"/>
              <w:keepNext/>
              <w:keepLines/>
              <w:jc w:val="center"/>
              <w:rPr>
                <w:color w:val="000000"/>
                <w:szCs w:val="20"/>
              </w:rPr>
            </w:pPr>
            <w:r w:rsidRPr="006F283B">
              <w:rPr>
                <w:color w:val="000000"/>
                <w:szCs w:val="20"/>
              </w:rPr>
              <w:t>$</w:t>
            </w:r>
            <w:r w:rsidR="00093050" w:rsidRPr="00093050">
              <w:rPr>
                <w:color w:val="000000"/>
                <w:spacing w:val="55"/>
                <w:szCs w:val="20"/>
                <w:shd w:val="solid" w:color="000000" w:fill="000000"/>
                <w:fitText w:val="338" w:id="-1233481209"/>
                <w14:textFill>
                  <w14:solidFill>
                    <w14:srgbClr w14:val="000000">
                      <w14:alpha w14:val="100000"/>
                    </w14:srgbClr>
                  </w14:solidFill>
                </w14:textFill>
              </w:rPr>
              <w:t>|||</w:t>
            </w:r>
            <w:r w:rsidR="00093050" w:rsidRPr="00093050">
              <w:rPr>
                <w:color w:val="000000"/>
                <w:spacing w:val="3"/>
                <w:szCs w:val="20"/>
                <w:shd w:val="solid" w:color="000000" w:fill="000000"/>
                <w:fitText w:val="338" w:id="-1233481209"/>
                <w14:textFill>
                  <w14:solidFill>
                    <w14:srgbClr w14:val="000000">
                      <w14:alpha w14:val="100000"/>
                    </w14:srgbClr>
                  </w14:solidFill>
                </w14:textFill>
              </w:rPr>
              <w:t>|</w:t>
            </w:r>
            <w:r w:rsidR="00F7245D">
              <w:rPr>
                <w:rFonts w:cs="Calibri"/>
                <w:szCs w:val="22"/>
              </w:rPr>
              <w:t xml:space="preserve"> </w:t>
            </w:r>
            <w:r w:rsidR="00F7245D">
              <w:rPr>
                <w:rFonts w:cs="Calibri"/>
                <w:szCs w:val="22"/>
                <w:vertAlign w:val="superscript"/>
              </w:rPr>
              <w:t>1</w:t>
            </w:r>
          </w:p>
        </w:tc>
        <w:tc>
          <w:tcPr>
            <w:tcW w:w="1170" w:type="dxa"/>
            <w:shd w:val="clear" w:color="auto" w:fill="auto"/>
            <w:vAlign w:val="center"/>
          </w:tcPr>
          <w:p w14:paraId="1B0D1704" w14:textId="77777777" w:rsidR="00D82219" w:rsidRPr="006F283B" w:rsidRDefault="00D82219" w:rsidP="003915F9">
            <w:pPr>
              <w:pStyle w:val="Tabletext0"/>
              <w:keepNext/>
              <w:keepLines/>
              <w:jc w:val="center"/>
              <w:rPr>
                <w:color w:val="000000"/>
                <w:szCs w:val="20"/>
              </w:rPr>
            </w:pPr>
            <w:r w:rsidRPr="006F283B">
              <w:rPr>
                <w:color w:val="000000"/>
                <w:szCs w:val="20"/>
              </w:rPr>
              <w:t>+0.60%</w:t>
            </w:r>
          </w:p>
        </w:tc>
      </w:tr>
    </w:tbl>
    <w:p w14:paraId="318F505C" w14:textId="7558665B" w:rsidR="00CB2BDC" w:rsidRPr="006F283B" w:rsidRDefault="00CB2BDC" w:rsidP="003915F9">
      <w:pPr>
        <w:pStyle w:val="TableFooter"/>
        <w:keepNext/>
        <w:keepLines/>
      </w:pPr>
      <w:r w:rsidRPr="006F283B">
        <w:t>Source: Table 154, p275 of the submission and Zejula (niraparib) 1L HRD_non</w:t>
      </w:r>
      <w:r w:rsidR="001152C0" w:rsidRPr="001152C0">
        <w:rPr>
          <w:i/>
          <w:iCs/>
        </w:rPr>
        <w:t>BRCAm</w:t>
      </w:r>
      <w:r w:rsidRPr="006F283B">
        <w:t xml:space="preserve"> CUA.xls.</w:t>
      </w:r>
    </w:p>
    <w:p w14:paraId="57383B58" w14:textId="53A6BC70" w:rsidR="00843998" w:rsidRDefault="00843998" w:rsidP="003915F9">
      <w:pPr>
        <w:pStyle w:val="TableFooter"/>
        <w:keepNext/>
        <w:keepLines/>
      </w:pPr>
      <w:r w:rsidRPr="006F283B">
        <w:t xml:space="preserve">AE = adverse events; </w:t>
      </w:r>
      <w:r w:rsidR="001152C0" w:rsidRPr="001152C0">
        <w:rPr>
          <w:i/>
          <w:iCs/>
        </w:rPr>
        <w:t>BRCAm</w:t>
      </w:r>
      <w:r w:rsidRPr="006F283B">
        <w:t xml:space="preserve"> = breast cancer gene mutation</w:t>
      </w:r>
      <w:r w:rsidR="00EB364F" w:rsidRPr="006F283B">
        <w:t xml:space="preserve">; </w:t>
      </w:r>
      <w:r w:rsidRPr="006F283B">
        <w:t>HR = hazard ratio; HRD = homologous recombination deficient; ISD = individualised starting dose; IC = incremental cost; ITT = intention-to-treat; NPV = negative predictive value; PD = progressive disease; PF = progression free; PPV = positive predictive value; QALY = quality adjusted life year; SMM = standard medical management; TTD = time to treatment discontinuation; tx = treatment</w:t>
      </w:r>
    </w:p>
    <w:p w14:paraId="75736375" w14:textId="77777777" w:rsidR="00F7245D" w:rsidRPr="009A6D58" w:rsidRDefault="00F7245D" w:rsidP="003915F9">
      <w:pPr>
        <w:keepNext/>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lang w:eastAsia="en-AU"/>
        </w:rPr>
        <w:t xml:space="preserve">The redacted values correspond to the following ranges: </w:t>
      </w:r>
    </w:p>
    <w:p w14:paraId="66BB8061" w14:textId="56CD8D26" w:rsidR="00F7245D" w:rsidRPr="009A6D58" w:rsidRDefault="00F7245D" w:rsidP="003915F9">
      <w:pPr>
        <w:keepNext/>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1</w:t>
      </w:r>
      <w:r>
        <w:rPr>
          <w:rFonts w:ascii="Arial Narrow" w:eastAsia="Times New Roman" w:hAnsi="Arial Narrow" w:cs="Arial"/>
          <w:i/>
          <w:sz w:val="18"/>
          <w:szCs w:val="18"/>
          <w:lang w:eastAsia="en-AU"/>
        </w:rPr>
        <w:t xml:space="preserve"> </w:t>
      </w:r>
      <w:bookmarkStart w:id="137" w:name="_Hlk135207923"/>
      <w:r w:rsidRPr="00F7245D">
        <w:rPr>
          <w:rFonts w:ascii="Arial Narrow" w:eastAsia="Times New Roman" w:hAnsi="Arial Narrow" w:cs="Arial"/>
          <w:i/>
          <w:sz w:val="18"/>
          <w:szCs w:val="18"/>
          <w:lang w:eastAsia="en-AU"/>
        </w:rPr>
        <w:t>$55,000 to &lt; $75,000</w:t>
      </w:r>
      <w:bookmarkEnd w:id="137"/>
    </w:p>
    <w:p w14:paraId="4238F343" w14:textId="3A08B92B" w:rsidR="00F7245D" w:rsidRPr="009A6D58" w:rsidRDefault="00F7245D" w:rsidP="003915F9">
      <w:pPr>
        <w:keepNext/>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w:t>
      </w:r>
      <w:r w:rsidRPr="00F7245D">
        <w:rPr>
          <w:rFonts w:ascii="Arial Narrow" w:eastAsia="Times New Roman" w:hAnsi="Arial Narrow" w:cs="Arial"/>
          <w:i/>
          <w:sz w:val="18"/>
          <w:szCs w:val="18"/>
          <w:lang w:eastAsia="en-AU"/>
        </w:rPr>
        <w:t>$95,000 to &lt; $115,000</w:t>
      </w:r>
    </w:p>
    <w:p w14:paraId="1DD92C01" w14:textId="0F818DE5" w:rsidR="00F7245D" w:rsidRDefault="00F7245D" w:rsidP="003915F9">
      <w:pPr>
        <w:keepNext/>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3</w:t>
      </w:r>
      <w:r>
        <w:rPr>
          <w:rFonts w:ascii="Arial Narrow" w:eastAsia="Times New Roman" w:hAnsi="Arial Narrow" w:cs="Arial"/>
          <w:i/>
          <w:sz w:val="18"/>
          <w:szCs w:val="18"/>
          <w:lang w:eastAsia="en-AU"/>
        </w:rPr>
        <w:t xml:space="preserve"> </w:t>
      </w:r>
      <w:r w:rsidRPr="00F7245D">
        <w:rPr>
          <w:rFonts w:ascii="Arial Narrow" w:eastAsia="Times New Roman" w:hAnsi="Arial Narrow" w:cs="Arial"/>
          <w:i/>
          <w:sz w:val="18"/>
          <w:szCs w:val="18"/>
          <w:lang w:eastAsia="en-AU"/>
        </w:rPr>
        <w:t>$75,000 to &lt; $95,000</w:t>
      </w:r>
    </w:p>
    <w:p w14:paraId="2F79F3F6" w14:textId="5232866D" w:rsidR="00F7245D" w:rsidRDefault="00F7245D" w:rsidP="003915F9">
      <w:pPr>
        <w:keepNext/>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4</w:t>
      </w:r>
      <w:r>
        <w:rPr>
          <w:rFonts w:ascii="Arial Narrow" w:eastAsia="Times New Roman" w:hAnsi="Arial Narrow" w:cs="Arial"/>
          <w:i/>
          <w:sz w:val="18"/>
          <w:szCs w:val="18"/>
          <w:lang w:eastAsia="en-AU"/>
        </w:rPr>
        <w:t xml:space="preserve"> </w:t>
      </w:r>
      <w:r w:rsidRPr="00F7245D">
        <w:rPr>
          <w:rFonts w:ascii="Arial Narrow" w:eastAsia="Times New Roman" w:hAnsi="Arial Narrow" w:cs="Arial"/>
          <w:i/>
          <w:sz w:val="18"/>
          <w:szCs w:val="18"/>
          <w:lang w:eastAsia="en-AU"/>
        </w:rPr>
        <w:t>$45,000 to &lt; $55,000</w:t>
      </w:r>
    </w:p>
    <w:p w14:paraId="6E696481" w14:textId="1F3AE8BB" w:rsidR="00F7245D" w:rsidRPr="00F7245D" w:rsidRDefault="00F7245D" w:rsidP="00F7245D">
      <w:pPr>
        <w:spacing w:before="0" w:after="120"/>
      </w:pPr>
      <w:r>
        <w:rPr>
          <w:rFonts w:ascii="Arial Narrow" w:eastAsia="Times New Roman" w:hAnsi="Arial Narrow" w:cs="Arial"/>
          <w:i/>
          <w:sz w:val="18"/>
          <w:szCs w:val="18"/>
          <w:vertAlign w:val="superscript"/>
          <w:lang w:eastAsia="en-AU"/>
        </w:rPr>
        <w:t>5</w:t>
      </w:r>
      <w:r>
        <w:rPr>
          <w:rFonts w:ascii="Arial Narrow" w:eastAsia="Times New Roman" w:hAnsi="Arial Narrow" w:cs="Arial"/>
          <w:i/>
          <w:sz w:val="18"/>
          <w:szCs w:val="18"/>
          <w:lang w:eastAsia="en-AU"/>
        </w:rPr>
        <w:t xml:space="preserve"> </w:t>
      </w:r>
      <w:r w:rsidRPr="00F7245D">
        <w:rPr>
          <w:rFonts w:ascii="Arial Narrow" w:eastAsia="Times New Roman" w:hAnsi="Arial Narrow" w:cs="Arial"/>
          <w:i/>
          <w:sz w:val="18"/>
          <w:szCs w:val="18"/>
          <w:lang w:eastAsia="en-AU"/>
        </w:rPr>
        <w:t>$155,000 to &lt; $255,000</w:t>
      </w:r>
    </w:p>
    <w:p w14:paraId="75D74ADE" w14:textId="65CB4A8E" w:rsidR="00843998" w:rsidRPr="006F283B" w:rsidRDefault="00843998" w:rsidP="00C07F3A">
      <w:pPr>
        <w:pStyle w:val="ListParagraph"/>
        <w:spacing w:before="0" w:after="120"/>
        <w:rPr>
          <w:color w:val="auto"/>
        </w:rPr>
      </w:pPr>
      <w:r w:rsidRPr="006F283B">
        <w:rPr>
          <w:color w:val="auto"/>
        </w:rPr>
        <w:lastRenderedPageBreak/>
        <w:t xml:space="preserve">The model was most sensitive to changes in time horizon, the parametric extrapolation applied to OS for the SMM arm, the HR and duration of applying the HR for the OS extrapolation for the niraparib arm and the extrapolation used for the TTD curve for niraparib arm. </w:t>
      </w:r>
    </w:p>
    <w:p w14:paraId="5F60250D" w14:textId="06150632" w:rsidR="00843998" w:rsidRPr="006F283B" w:rsidRDefault="00843998" w:rsidP="00C07F3A">
      <w:pPr>
        <w:pStyle w:val="ListParagraph"/>
        <w:spacing w:before="0" w:after="120"/>
        <w:rPr>
          <w:color w:val="auto"/>
        </w:rPr>
      </w:pPr>
      <w:r w:rsidRPr="006F283B">
        <w:rPr>
          <w:color w:val="auto"/>
        </w:rPr>
        <w:t xml:space="preserve">The sensitivity of the model to the HR and duration of applying the HR for the OS extrapolation for the niraparib arm was of particular concern. As discussed in paragraph </w:t>
      </w:r>
      <w:r w:rsidRPr="006F283B">
        <w:rPr>
          <w:color w:val="auto"/>
        </w:rPr>
        <w:fldChar w:fldCharType="begin" w:fldLock="1"/>
      </w:r>
      <w:r w:rsidRPr="006F283B">
        <w:rPr>
          <w:color w:val="auto"/>
        </w:rPr>
        <w:instrText xml:space="preserve"> REF _Ref121208485 \r \h </w:instrText>
      </w:r>
      <w:r w:rsidR="00E525FE" w:rsidRPr="006F283B">
        <w:rPr>
          <w:color w:val="auto"/>
        </w:rPr>
        <w:instrText xml:space="preserve"> \* MERGEFORMAT </w:instrText>
      </w:r>
      <w:r w:rsidRPr="006F283B">
        <w:rPr>
          <w:color w:val="auto"/>
        </w:rPr>
      </w:r>
      <w:r w:rsidRPr="006F283B">
        <w:rPr>
          <w:color w:val="auto"/>
        </w:rPr>
        <w:fldChar w:fldCharType="separate"/>
      </w:r>
      <w:r w:rsidR="00305654">
        <w:rPr>
          <w:color w:val="auto"/>
        </w:rPr>
        <w:t>6.66</w:t>
      </w:r>
      <w:r w:rsidRPr="006F283B">
        <w:rPr>
          <w:color w:val="auto"/>
        </w:rPr>
        <w:fldChar w:fldCharType="end"/>
      </w:r>
      <w:r w:rsidRPr="006F283B">
        <w:rPr>
          <w:color w:val="auto"/>
        </w:rPr>
        <w:t xml:space="preserve">, there was considerable uncertainty in the method used to derive the OS HR applied to the niraparib arm. As such, </w:t>
      </w:r>
      <w:r w:rsidR="00CA1729" w:rsidRPr="006F283B">
        <w:rPr>
          <w:color w:val="auto"/>
        </w:rPr>
        <w:t xml:space="preserve">the ESC </w:t>
      </w:r>
      <w:r w:rsidR="0016635A" w:rsidRPr="006F283B">
        <w:rPr>
          <w:iCs/>
          <w:color w:val="auto"/>
        </w:rPr>
        <w:t xml:space="preserve">considered that the </w:t>
      </w:r>
      <w:r w:rsidRPr="006F283B">
        <w:rPr>
          <w:color w:val="auto"/>
        </w:rPr>
        <w:t xml:space="preserve">incremental outcomes </w:t>
      </w:r>
      <w:r w:rsidR="007072AC" w:rsidRPr="006F283B">
        <w:rPr>
          <w:iCs/>
          <w:color w:val="auto"/>
        </w:rPr>
        <w:t>and resulting ICER</w:t>
      </w:r>
      <w:r w:rsidRPr="006F283B">
        <w:rPr>
          <w:iCs/>
          <w:color w:val="auto"/>
        </w:rPr>
        <w:t xml:space="preserve"> </w:t>
      </w:r>
      <w:r w:rsidRPr="006F283B">
        <w:rPr>
          <w:color w:val="auto"/>
        </w:rPr>
        <w:t>from the economic model should be considered highly uncertain.</w:t>
      </w:r>
    </w:p>
    <w:p w14:paraId="1D10F289" w14:textId="58E7E714" w:rsidR="00843998" w:rsidRPr="006F283B" w:rsidRDefault="00843998" w:rsidP="00C07F3A">
      <w:pPr>
        <w:pStyle w:val="ListParagraph"/>
        <w:spacing w:before="0" w:after="120"/>
        <w:rPr>
          <w:color w:val="auto"/>
        </w:rPr>
      </w:pPr>
      <w:r w:rsidRPr="006F283B">
        <w:rPr>
          <w:color w:val="auto"/>
        </w:rPr>
        <w:t xml:space="preserve">During the evaluation, several multivariate sensitivity analyses around the key drivers of the model were conducted. </w:t>
      </w:r>
      <w:r w:rsidR="00A20EB6" w:rsidRPr="006F283B">
        <w:rPr>
          <w:color w:val="auto"/>
        </w:rPr>
        <w:t>For the scenario a</w:t>
      </w:r>
      <w:r w:rsidR="00A20EB6" w:rsidRPr="006F283B">
        <w:t xml:space="preserve">ssuming Weibull extrapolation for OS, OS HR for niraparib = 0.8, convergence from 36 months, </w:t>
      </w:r>
      <w:proofErr w:type="gramStart"/>
      <w:r w:rsidR="00A20EB6" w:rsidRPr="006F283B">
        <w:t>Log</w:t>
      </w:r>
      <w:proofErr w:type="gramEnd"/>
      <w:r w:rsidR="00A20EB6" w:rsidRPr="006F283B">
        <w:t xml:space="preserve"> logistic for niraparib TTD extrapolation the ICER increased to </w:t>
      </w:r>
      <w:bookmarkStart w:id="138" w:name="_Hlk135208168"/>
      <w:r w:rsidR="00F7245D" w:rsidRPr="00F7245D">
        <w:t>$155,000 to &lt; $255,000</w:t>
      </w:r>
      <w:bookmarkEnd w:id="138"/>
      <w:r w:rsidR="00A20EB6" w:rsidRPr="006F283B">
        <w:t xml:space="preserve">. </w:t>
      </w:r>
      <w:r w:rsidRPr="006F283B">
        <w:rPr>
          <w:color w:val="auto"/>
        </w:rPr>
        <w:t>These multivariate analyses further highlight the uncertainty with the economic model presented by the submission.</w:t>
      </w:r>
    </w:p>
    <w:p w14:paraId="3627E258" w14:textId="24444A83" w:rsidR="00781148" w:rsidRPr="006F283B" w:rsidRDefault="00781148" w:rsidP="00C07F3A">
      <w:pPr>
        <w:pStyle w:val="ListParagraph"/>
        <w:spacing w:before="0" w:after="120"/>
        <w:rPr>
          <w:iCs/>
          <w:color w:val="auto"/>
        </w:rPr>
      </w:pPr>
      <w:bookmarkStart w:id="139" w:name="_Ref127282322"/>
      <w:r w:rsidRPr="006F283B">
        <w:rPr>
          <w:iCs/>
          <w:color w:val="auto"/>
        </w:rPr>
        <w:t>The PSCR provided a revised base case</w:t>
      </w:r>
      <w:r w:rsidR="00A52589" w:rsidRPr="006F283B">
        <w:rPr>
          <w:iCs/>
          <w:color w:val="auto"/>
        </w:rPr>
        <w:t xml:space="preserve"> (presented in </w:t>
      </w:r>
      <w:r w:rsidR="00A52589" w:rsidRPr="006F283B">
        <w:rPr>
          <w:iCs/>
          <w:color w:val="auto"/>
        </w:rPr>
        <w:fldChar w:fldCharType="begin" w:fldLock="1"/>
      </w:r>
      <w:r w:rsidR="00A52589" w:rsidRPr="006F283B">
        <w:rPr>
          <w:iCs/>
          <w:color w:val="auto"/>
        </w:rPr>
        <w:instrText xml:space="preserve"> REF _Ref121208771 \h  \* MERGEFORMAT </w:instrText>
      </w:r>
      <w:r w:rsidR="00A52589" w:rsidRPr="006F283B">
        <w:rPr>
          <w:iCs/>
          <w:color w:val="auto"/>
        </w:rPr>
      </w:r>
      <w:r w:rsidR="00A52589" w:rsidRPr="006F283B">
        <w:rPr>
          <w:iCs/>
          <w:color w:val="auto"/>
        </w:rPr>
        <w:fldChar w:fldCharType="separate"/>
      </w:r>
      <w:r w:rsidR="00305654" w:rsidRPr="00305654">
        <w:rPr>
          <w:iCs/>
        </w:rPr>
        <w:t>Table 19</w:t>
      </w:r>
      <w:r w:rsidR="00A52589" w:rsidRPr="006F283B">
        <w:rPr>
          <w:iCs/>
          <w:color w:val="auto"/>
        </w:rPr>
        <w:fldChar w:fldCharType="end"/>
      </w:r>
      <w:r w:rsidR="00A52589" w:rsidRPr="006F283B">
        <w:rPr>
          <w:iCs/>
          <w:color w:val="auto"/>
        </w:rPr>
        <w:t>)</w:t>
      </w:r>
      <w:r w:rsidRPr="006F283B">
        <w:rPr>
          <w:iCs/>
          <w:color w:val="auto"/>
        </w:rPr>
        <w:t xml:space="preserve">, which accepted the revisions in the commentary base case and made additional changes based on the early re-entry criteria for olaparib (paragraph 7.16, olaparib PSD, July 2022 PBAC meeting). </w:t>
      </w:r>
      <w:bookmarkStart w:id="140" w:name="_Ref127280537"/>
      <w:r w:rsidR="008766B6" w:rsidRPr="006F283B">
        <w:rPr>
          <w:iCs/>
        </w:rPr>
        <w:t xml:space="preserve">The amendments in the PSCR </w:t>
      </w:r>
      <w:r w:rsidRPr="006F283B">
        <w:rPr>
          <w:iCs/>
        </w:rPr>
        <w:t>revised model for the co-dependency scenario included the following changes:</w:t>
      </w:r>
      <w:bookmarkEnd w:id="139"/>
      <w:bookmarkEnd w:id="140"/>
    </w:p>
    <w:p w14:paraId="33231EB7" w14:textId="6909283C" w:rsidR="00781148" w:rsidRPr="006F283B" w:rsidRDefault="00781148" w:rsidP="00C07F3A">
      <w:pPr>
        <w:pStyle w:val="ListParagraph"/>
        <w:numPr>
          <w:ilvl w:val="0"/>
          <w:numId w:val="28"/>
        </w:numPr>
        <w:spacing w:before="0" w:after="120"/>
        <w:ind w:hanging="360"/>
        <w:rPr>
          <w:iCs/>
        </w:rPr>
      </w:pPr>
      <w:r w:rsidRPr="006F283B">
        <w:rPr>
          <w:iCs/>
        </w:rPr>
        <w:t>Use of utilities from olaparib + bevacizumab early re-entry resubmission from PAOLA-1</w:t>
      </w:r>
    </w:p>
    <w:p w14:paraId="655E16AA" w14:textId="1987632F" w:rsidR="00781148" w:rsidRPr="006F283B" w:rsidRDefault="00781148" w:rsidP="00C07F3A">
      <w:pPr>
        <w:pStyle w:val="ListParagraph"/>
        <w:numPr>
          <w:ilvl w:val="0"/>
          <w:numId w:val="28"/>
        </w:numPr>
        <w:spacing w:before="0" w:after="120"/>
        <w:ind w:hanging="360"/>
        <w:rPr>
          <w:iCs/>
        </w:rPr>
      </w:pPr>
      <w:r w:rsidRPr="006F283B">
        <w:rPr>
          <w:iCs/>
        </w:rPr>
        <w:t>Removal of niraparib related QALY loss due to adverse events</w:t>
      </w:r>
    </w:p>
    <w:p w14:paraId="65985CD6" w14:textId="06EA4CF2" w:rsidR="00781148" w:rsidRPr="006F283B" w:rsidRDefault="00781148" w:rsidP="00C07F3A">
      <w:pPr>
        <w:pStyle w:val="ListParagraph"/>
        <w:numPr>
          <w:ilvl w:val="0"/>
          <w:numId w:val="28"/>
        </w:numPr>
        <w:spacing w:before="0" w:after="120"/>
        <w:ind w:hanging="360"/>
        <w:rPr>
          <w:iCs/>
        </w:rPr>
      </w:pPr>
      <w:r w:rsidRPr="006F283B">
        <w:rPr>
          <w:iCs/>
        </w:rPr>
        <w:t xml:space="preserve">Reduced cost of proposed HRD test to $2,500 (from $3,000) and </w:t>
      </w:r>
      <w:r w:rsidR="001152C0" w:rsidRPr="001152C0">
        <w:rPr>
          <w:i/>
          <w:iCs/>
        </w:rPr>
        <w:t xml:space="preserve">BRCA </w:t>
      </w:r>
      <w:r w:rsidRPr="006F283B">
        <w:rPr>
          <w:iCs/>
        </w:rPr>
        <w:t>test to $1,000 (from $1,200)</w:t>
      </w:r>
    </w:p>
    <w:p w14:paraId="477EB749" w14:textId="5E1F83CC" w:rsidR="008766B6" w:rsidRPr="006F283B" w:rsidRDefault="00781148" w:rsidP="00C07F3A">
      <w:pPr>
        <w:pStyle w:val="ListParagraph"/>
        <w:numPr>
          <w:ilvl w:val="0"/>
          <w:numId w:val="28"/>
        </w:numPr>
        <w:spacing w:before="0" w:after="120"/>
        <w:ind w:hanging="360"/>
        <w:rPr>
          <w:iCs/>
        </w:rPr>
      </w:pPr>
      <w:r w:rsidRPr="006F283B">
        <w:rPr>
          <w:iCs/>
        </w:rPr>
        <w:t xml:space="preserve">Aligned proportion of HRD positive </w:t>
      </w:r>
      <w:r w:rsidR="001152C0" w:rsidRPr="001152C0">
        <w:rPr>
          <w:i/>
          <w:iCs/>
        </w:rPr>
        <w:t>BRCAwt</w:t>
      </w:r>
      <w:r w:rsidRPr="006F283B">
        <w:rPr>
          <w:iCs/>
        </w:rPr>
        <w:t xml:space="preserve"> with olaparib + bevacizumab early re</w:t>
      </w:r>
      <w:r w:rsidR="00B8380D" w:rsidRPr="006F283B">
        <w:rPr>
          <w:iCs/>
        </w:rPr>
        <w:noBreakHyphen/>
      </w:r>
      <w:r w:rsidRPr="006F283B">
        <w:rPr>
          <w:iCs/>
        </w:rPr>
        <w:t>entry resubmission to 24.7% (from 23.7%)</w:t>
      </w:r>
    </w:p>
    <w:p w14:paraId="3289FA84" w14:textId="39FEF775" w:rsidR="00BC0B5F" w:rsidRPr="006F283B" w:rsidRDefault="008766B6" w:rsidP="00C07F3A">
      <w:pPr>
        <w:pStyle w:val="ListParagraph"/>
        <w:spacing w:before="0" w:after="120"/>
        <w:rPr>
          <w:iCs/>
        </w:rPr>
      </w:pPr>
      <w:bookmarkStart w:id="141" w:name="_Ref127282323"/>
      <w:bookmarkStart w:id="142" w:name="_Ref130504955"/>
      <w:bookmarkStart w:id="143" w:name="_Ref130551594"/>
      <w:r w:rsidRPr="006F283B">
        <w:rPr>
          <w:iCs/>
        </w:rPr>
        <w:t xml:space="preserve">Applying the inputs from paragraph </w:t>
      </w:r>
      <w:r w:rsidRPr="006F283B">
        <w:rPr>
          <w:iCs/>
        </w:rPr>
        <w:fldChar w:fldCharType="begin" w:fldLock="1"/>
      </w:r>
      <w:r w:rsidRPr="006F283B">
        <w:rPr>
          <w:iCs/>
        </w:rPr>
        <w:instrText xml:space="preserve"> REF _Ref127280537 \r \h </w:instrText>
      </w:r>
      <w:r w:rsidR="00D277F8" w:rsidRPr="006F283B">
        <w:rPr>
          <w:iCs/>
        </w:rPr>
        <w:instrText xml:space="preserve"> \* MERGEFORMAT </w:instrText>
      </w:r>
      <w:r w:rsidRPr="006F283B">
        <w:rPr>
          <w:iCs/>
        </w:rPr>
      </w:r>
      <w:r w:rsidRPr="006F283B">
        <w:rPr>
          <w:iCs/>
        </w:rPr>
        <w:fldChar w:fldCharType="separate"/>
      </w:r>
      <w:r w:rsidR="00305654">
        <w:rPr>
          <w:iCs/>
        </w:rPr>
        <w:t>6.84</w:t>
      </w:r>
      <w:r w:rsidRPr="006F283B">
        <w:rPr>
          <w:iCs/>
        </w:rPr>
        <w:fldChar w:fldCharType="end"/>
      </w:r>
      <w:r w:rsidRPr="006F283B">
        <w:rPr>
          <w:iCs/>
        </w:rPr>
        <w:t xml:space="preserve"> to the niraparib model reduced the ICER from </w:t>
      </w:r>
      <w:r w:rsidR="00F7245D" w:rsidRPr="00F7245D">
        <w:rPr>
          <w:iCs/>
        </w:rPr>
        <w:t>$55,000 to &lt; $75,000</w:t>
      </w:r>
      <w:r w:rsidRPr="006F283B">
        <w:rPr>
          <w:iCs/>
        </w:rPr>
        <w:t xml:space="preserve">/QALY to </w:t>
      </w:r>
      <w:r w:rsidR="00F7245D" w:rsidRPr="00F7245D">
        <w:rPr>
          <w:iCs/>
        </w:rPr>
        <w:t>$55,000 to &lt; $75,000</w:t>
      </w:r>
      <w:r w:rsidRPr="006F283B">
        <w:rPr>
          <w:iCs/>
        </w:rPr>
        <w:t xml:space="preserve">/QALY. The PSCR noted that previously the PBAC recommended an ICER of less than $50,000/QALY would be considered appropriately cost-effective in this setting (paragraph 7.16, olaparib PSD, July 2022 PBAC meeting). The PSCR claimed that the same clinical uncertainties are applicable to niraparib, and proposed </w:t>
      </w:r>
      <w:r w:rsidR="00A77086" w:rsidRPr="006F283B">
        <w:rPr>
          <w:iCs/>
        </w:rPr>
        <w:t xml:space="preserve">a </w:t>
      </w:r>
      <w:r w:rsidRPr="006F283B">
        <w:rPr>
          <w:iCs/>
        </w:rPr>
        <w:t>reduction in the niraparib effective price from $</w:t>
      </w:r>
      <w:proofErr w:type="gramStart"/>
      <w:r w:rsidR="00093050" w:rsidRPr="00091054">
        <w:rPr>
          <w:iCs/>
          <w:w w:val="15"/>
          <w:shd w:val="solid" w:color="000000" w:fill="000000"/>
          <w:fitText w:val="-20" w:id="-1233481208"/>
          <w14:textFill>
            <w14:solidFill>
              <w14:schemeClr w14:val="tx1">
                <w14:alpha w14:val="100000"/>
              </w14:schemeClr>
            </w14:solidFill>
          </w14:textFill>
        </w:rPr>
        <w:t xml:space="preserve">|  </w:t>
      </w:r>
      <w:r w:rsidR="00093050" w:rsidRPr="00091054">
        <w:rPr>
          <w:iCs/>
          <w:spacing w:val="-69"/>
          <w:w w:val="15"/>
          <w:shd w:val="solid" w:color="000000" w:fill="000000"/>
          <w:fitText w:val="-20" w:id="-1233481208"/>
          <w14:textFill>
            <w14:solidFill>
              <w14:schemeClr w14:val="tx1">
                <w14:alpha w14:val="100000"/>
              </w14:schemeClr>
            </w14:solidFill>
          </w14:textFill>
        </w:rPr>
        <w:t>|</w:t>
      </w:r>
      <w:proofErr w:type="gramEnd"/>
      <w:r w:rsidRPr="006F283B">
        <w:rPr>
          <w:iCs/>
        </w:rPr>
        <w:t xml:space="preserve"> to $</w:t>
      </w:r>
      <w:r w:rsidR="00093050" w:rsidRPr="00091054">
        <w:rPr>
          <w:iCs/>
          <w:w w:val="15"/>
          <w:shd w:val="solid" w:color="000000" w:fill="000000"/>
          <w:fitText w:val="-20" w:id="-1233481207"/>
          <w14:textFill>
            <w14:solidFill>
              <w14:schemeClr w14:val="tx1">
                <w14:alpha w14:val="100000"/>
              </w14:schemeClr>
            </w14:solidFill>
          </w14:textFill>
        </w:rPr>
        <w:t xml:space="preserve">|  </w:t>
      </w:r>
      <w:r w:rsidR="00093050" w:rsidRPr="00091054">
        <w:rPr>
          <w:iCs/>
          <w:spacing w:val="-69"/>
          <w:w w:val="15"/>
          <w:shd w:val="solid" w:color="000000" w:fill="000000"/>
          <w:fitText w:val="-20" w:id="-1233481207"/>
          <w14:textFill>
            <w14:solidFill>
              <w14:schemeClr w14:val="tx1">
                <w14:alpha w14:val="100000"/>
              </w14:schemeClr>
            </w14:solidFill>
          </w14:textFill>
        </w:rPr>
        <w:t>|</w:t>
      </w:r>
      <w:r w:rsidRPr="009B157F">
        <w:rPr>
          <w:iCs/>
        </w:rPr>
        <w:t xml:space="preserve"> </w:t>
      </w:r>
      <w:r w:rsidRPr="006F283B">
        <w:rPr>
          <w:iCs/>
        </w:rPr>
        <w:t>per 56</w:t>
      </w:r>
      <w:r w:rsidR="00D277F8" w:rsidRPr="006F283B">
        <w:rPr>
          <w:iCs/>
        </w:rPr>
        <w:t> </w:t>
      </w:r>
      <w:r w:rsidRPr="006F283B">
        <w:rPr>
          <w:iCs/>
        </w:rPr>
        <w:t xml:space="preserve">capsules for the HRD positive </w:t>
      </w:r>
      <w:r w:rsidR="001152C0" w:rsidRPr="001152C0">
        <w:rPr>
          <w:i/>
          <w:iCs/>
        </w:rPr>
        <w:t>BRCAwt</w:t>
      </w:r>
      <w:r w:rsidRPr="006F283B">
        <w:rPr>
          <w:iCs/>
        </w:rPr>
        <w:t xml:space="preserve"> cohort to reflect an ICER of $50,000/QALY.</w:t>
      </w:r>
      <w:r w:rsidR="008E34C5">
        <w:rPr>
          <w:iCs/>
        </w:rPr>
        <w:t xml:space="preserve"> </w:t>
      </w:r>
      <w:r w:rsidRPr="006F283B">
        <w:rPr>
          <w:iCs/>
        </w:rPr>
        <w:t>The PSCR requested a weighted effective price of $</w:t>
      </w:r>
      <w:proofErr w:type="gramStart"/>
      <w:r w:rsidR="00093050" w:rsidRPr="00091054">
        <w:rPr>
          <w:iCs/>
          <w:w w:val="15"/>
          <w:shd w:val="solid" w:color="000000" w:fill="000000"/>
          <w:fitText w:val="-20" w:id="-1233481206"/>
          <w14:textFill>
            <w14:solidFill>
              <w14:schemeClr w14:val="tx1">
                <w14:alpha w14:val="100000"/>
              </w14:schemeClr>
            </w14:solidFill>
          </w14:textFill>
        </w:rPr>
        <w:t xml:space="preserve">|  </w:t>
      </w:r>
      <w:r w:rsidR="00093050" w:rsidRPr="00091054">
        <w:rPr>
          <w:iCs/>
          <w:spacing w:val="-69"/>
          <w:w w:val="15"/>
          <w:shd w:val="solid" w:color="000000" w:fill="000000"/>
          <w:fitText w:val="-20" w:id="-1233481206"/>
          <w14:textFill>
            <w14:solidFill>
              <w14:schemeClr w14:val="tx1">
                <w14:alpha w14:val="100000"/>
              </w14:schemeClr>
            </w14:solidFill>
          </w14:textFill>
        </w:rPr>
        <w:t>|</w:t>
      </w:r>
      <w:proofErr w:type="gramEnd"/>
      <w:r w:rsidRPr="006F283B">
        <w:rPr>
          <w:iCs/>
        </w:rPr>
        <w:t xml:space="preserve">/56 capsules for the PBS listing (which assumed the effective prices applicable to the </w:t>
      </w:r>
      <w:r w:rsidR="001152C0" w:rsidRPr="001152C0">
        <w:rPr>
          <w:i/>
          <w:iCs/>
        </w:rPr>
        <w:t>BRCAm</w:t>
      </w:r>
      <w:r w:rsidRPr="006F283B">
        <w:rPr>
          <w:iCs/>
        </w:rPr>
        <w:t xml:space="preserve"> ($</w:t>
      </w:r>
      <w:r w:rsidR="00093050" w:rsidRPr="00091054">
        <w:rPr>
          <w:iCs/>
          <w:w w:val="15"/>
          <w:shd w:val="solid" w:color="000000" w:fill="000000"/>
          <w:fitText w:val="-20" w:id="-1233481205"/>
          <w14:textFill>
            <w14:solidFill>
              <w14:schemeClr w14:val="tx1">
                <w14:alpha w14:val="100000"/>
              </w14:schemeClr>
            </w14:solidFill>
          </w14:textFill>
        </w:rPr>
        <w:t xml:space="preserve">|  </w:t>
      </w:r>
      <w:r w:rsidR="00093050" w:rsidRPr="00091054">
        <w:rPr>
          <w:iCs/>
          <w:spacing w:val="-69"/>
          <w:w w:val="15"/>
          <w:shd w:val="solid" w:color="000000" w:fill="000000"/>
          <w:fitText w:val="-20" w:id="-1233481205"/>
          <w14:textFill>
            <w14:solidFill>
              <w14:schemeClr w14:val="tx1">
                <w14:alpha w14:val="100000"/>
              </w14:schemeClr>
            </w14:solidFill>
          </w14:textFill>
        </w:rPr>
        <w:t>|</w:t>
      </w:r>
      <w:r w:rsidRPr="006F283B">
        <w:rPr>
          <w:iCs/>
        </w:rPr>
        <w:t xml:space="preserve">) and HRD positive </w:t>
      </w:r>
      <w:r w:rsidR="001152C0" w:rsidRPr="001152C0">
        <w:rPr>
          <w:i/>
          <w:iCs/>
        </w:rPr>
        <w:t>BRCAwt</w:t>
      </w:r>
      <w:r w:rsidRPr="006F283B">
        <w:rPr>
          <w:iCs/>
        </w:rPr>
        <w:t xml:space="preserve"> populations ($</w:t>
      </w:r>
      <w:r w:rsidR="00093050" w:rsidRPr="00091054">
        <w:rPr>
          <w:iCs/>
          <w:w w:val="15"/>
          <w:shd w:val="solid" w:color="000000" w:fill="000000"/>
          <w:fitText w:val="-20" w:id="-1233481204"/>
          <w14:textFill>
            <w14:solidFill>
              <w14:schemeClr w14:val="tx1">
                <w14:alpha w14:val="100000"/>
              </w14:schemeClr>
            </w14:solidFill>
          </w14:textFill>
        </w:rPr>
        <w:t xml:space="preserve">|  </w:t>
      </w:r>
      <w:r w:rsidR="00093050" w:rsidRPr="00091054">
        <w:rPr>
          <w:iCs/>
          <w:spacing w:val="-69"/>
          <w:w w:val="15"/>
          <w:shd w:val="solid" w:color="000000" w:fill="000000"/>
          <w:fitText w:val="-20" w:id="-1233481204"/>
          <w14:textFill>
            <w14:solidFill>
              <w14:schemeClr w14:val="tx1">
                <w14:alpha w14:val="100000"/>
              </w14:schemeClr>
            </w14:solidFill>
          </w14:textFill>
        </w:rPr>
        <w:t>|</w:t>
      </w:r>
      <w:r w:rsidRPr="006F283B">
        <w:rPr>
          <w:iCs/>
        </w:rPr>
        <w:t xml:space="preserve">), and proportions of </w:t>
      </w:r>
      <w:r w:rsidR="001152C0" w:rsidRPr="001152C0">
        <w:rPr>
          <w:i/>
          <w:iCs/>
        </w:rPr>
        <w:t>BRCAm</w:t>
      </w:r>
      <w:r w:rsidRPr="006F283B">
        <w:rPr>
          <w:iCs/>
        </w:rPr>
        <w:t xml:space="preserve">/HRD positive </w:t>
      </w:r>
      <w:r w:rsidR="001152C0" w:rsidRPr="001152C0">
        <w:rPr>
          <w:i/>
          <w:iCs/>
        </w:rPr>
        <w:t>BRCAwt</w:t>
      </w:r>
      <w:r w:rsidRPr="006F283B">
        <w:rPr>
          <w:iCs/>
        </w:rPr>
        <w:t xml:space="preserve"> cohorts (55.2%/44.8%).</w:t>
      </w:r>
      <w:bookmarkEnd w:id="141"/>
      <w:r w:rsidR="00070735" w:rsidRPr="006F283B">
        <w:rPr>
          <w:iCs/>
        </w:rPr>
        <w:t xml:space="preserve"> The pre-PBAC response requested a </w:t>
      </w:r>
      <w:r w:rsidR="00C752AA" w:rsidRPr="006F283B">
        <w:rPr>
          <w:iCs/>
        </w:rPr>
        <w:t xml:space="preserve">reduced </w:t>
      </w:r>
      <w:r w:rsidR="00070735" w:rsidRPr="006F283B">
        <w:rPr>
          <w:iCs/>
        </w:rPr>
        <w:t>weighted effective price of $</w:t>
      </w:r>
      <w:proofErr w:type="gramStart"/>
      <w:r w:rsidR="00093050" w:rsidRPr="00091054">
        <w:rPr>
          <w:iCs/>
          <w:w w:val="15"/>
          <w:shd w:val="solid" w:color="000000" w:fill="000000"/>
          <w:fitText w:val="-20" w:id="-1233481203"/>
          <w14:textFill>
            <w14:solidFill>
              <w14:schemeClr w14:val="tx1">
                <w14:alpha w14:val="100000"/>
              </w14:schemeClr>
            </w14:solidFill>
          </w14:textFill>
        </w:rPr>
        <w:t xml:space="preserve">|  </w:t>
      </w:r>
      <w:r w:rsidR="00093050" w:rsidRPr="00091054">
        <w:rPr>
          <w:iCs/>
          <w:spacing w:val="-69"/>
          <w:w w:val="15"/>
          <w:shd w:val="solid" w:color="000000" w:fill="000000"/>
          <w:fitText w:val="-20" w:id="-1233481203"/>
          <w14:textFill>
            <w14:solidFill>
              <w14:schemeClr w14:val="tx1">
                <w14:alpha w14:val="100000"/>
              </w14:schemeClr>
            </w14:solidFill>
          </w14:textFill>
        </w:rPr>
        <w:t>|</w:t>
      </w:r>
      <w:proofErr w:type="gramEnd"/>
      <w:r w:rsidR="00070735" w:rsidRPr="006F283B">
        <w:rPr>
          <w:iCs/>
        </w:rPr>
        <w:t xml:space="preserve">/56 capsules </w:t>
      </w:r>
      <w:r w:rsidR="00C752AA" w:rsidRPr="006F283B">
        <w:rPr>
          <w:iCs/>
        </w:rPr>
        <w:t>compared with the PSCR ($</w:t>
      </w:r>
      <w:r w:rsidR="00093050" w:rsidRPr="00091054">
        <w:rPr>
          <w:iCs/>
          <w:w w:val="15"/>
          <w:shd w:val="solid" w:color="000000" w:fill="000000"/>
          <w:fitText w:val="-20" w:id="-1233481202"/>
          <w14:textFill>
            <w14:solidFill>
              <w14:schemeClr w14:val="tx1">
                <w14:alpha w14:val="100000"/>
              </w14:schemeClr>
            </w14:solidFill>
          </w14:textFill>
        </w:rPr>
        <w:t xml:space="preserve">|  </w:t>
      </w:r>
      <w:r w:rsidR="00093050" w:rsidRPr="00091054">
        <w:rPr>
          <w:iCs/>
          <w:spacing w:val="-69"/>
          <w:w w:val="15"/>
          <w:shd w:val="solid" w:color="000000" w:fill="000000"/>
          <w:fitText w:val="-20" w:id="-1233481202"/>
          <w14:textFill>
            <w14:solidFill>
              <w14:schemeClr w14:val="tx1">
                <w14:alpha w14:val="100000"/>
              </w14:schemeClr>
            </w14:solidFill>
          </w14:textFill>
        </w:rPr>
        <w:t>|</w:t>
      </w:r>
      <w:r w:rsidR="00C752AA" w:rsidRPr="006F283B">
        <w:rPr>
          <w:iCs/>
        </w:rPr>
        <w:t xml:space="preserve">). The pre-PBAC </w:t>
      </w:r>
      <w:r w:rsidR="00C752AA" w:rsidRPr="006F283B">
        <w:rPr>
          <w:iCs/>
        </w:rPr>
        <w:lastRenderedPageBreak/>
        <w:t xml:space="preserve">response assumed the </w:t>
      </w:r>
      <w:r w:rsidR="00070735" w:rsidRPr="006F283B">
        <w:rPr>
          <w:iCs/>
        </w:rPr>
        <w:t>same effective prices as the PSCR</w:t>
      </w:r>
      <w:r w:rsidR="00BC0B5F" w:rsidRPr="006F283B">
        <w:rPr>
          <w:iCs/>
        </w:rPr>
        <w:t xml:space="preserve"> for </w:t>
      </w:r>
      <w:r w:rsidR="001152C0" w:rsidRPr="001152C0">
        <w:rPr>
          <w:i/>
          <w:iCs/>
        </w:rPr>
        <w:t>BRCAm</w:t>
      </w:r>
      <w:r w:rsidR="00BC0B5F" w:rsidRPr="006F283B">
        <w:rPr>
          <w:iCs/>
        </w:rPr>
        <w:t xml:space="preserve"> (</w:t>
      </w:r>
      <w:r w:rsidR="00070735" w:rsidRPr="006F283B">
        <w:rPr>
          <w:iCs/>
        </w:rPr>
        <w:t>$</w:t>
      </w:r>
      <w:r w:rsidR="00093050" w:rsidRPr="00091054">
        <w:rPr>
          <w:iCs/>
          <w:w w:val="15"/>
          <w:shd w:val="solid" w:color="000000" w:fill="000000"/>
          <w:fitText w:val="-20" w:id="-1233481201"/>
          <w14:textFill>
            <w14:solidFill>
              <w14:schemeClr w14:val="tx1">
                <w14:alpha w14:val="100000"/>
              </w14:schemeClr>
            </w14:solidFill>
          </w14:textFill>
        </w:rPr>
        <w:t xml:space="preserve">|  </w:t>
      </w:r>
      <w:r w:rsidR="00093050" w:rsidRPr="00091054">
        <w:rPr>
          <w:iCs/>
          <w:spacing w:val="-69"/>
          <w:w w:val="15"/>
          <w:shd w:val="solid" w:color="000000" w:fill="000000"/>
          <w:fitText w:val="-20" w:id="-1233481201"/>
          <w14:textFill>
            <w14:solidFill>
              <w14:schemeClr w14:val="tx1">
                <w14:alpha w14:val="100000"/>
              </w14:schemeClr>
            </w14:solidFill>
          </w14:textFill>
        </w:rPr>
        <w:t>|</w:t>
      </w:r>
      <w:r w:rsidR="00BC0B5F" w:rsidRPr="006F283B">
        <w:rPr>
          <w:iCs/>
        </w:rPr>
        <w:t>) a</w:t>
      </w:r>
      <w:r w:rsidR="00070735" w:rsidRPr="006F283B">
        <w:rPr>
          <w:iCs/>
        </w:rPr>
        <w:t xml:space="preserve">nd HRD positive </w:t>
      </w:r>
      <w:r w:rsidR="001152C0" w:rsidRPr="001152C0">
        <w:rPr>
          <w:i/>
          <w:iCs/>
        </w:rPr>
        <w:t>BRCAwt</w:t>
      </w:r>
      <w:r w:rsidR="00BC0B5F" w:rsidRPr="006F283B">
        <w:rPr>
          <w:iCs/>
        </w:rPr>
        <w:t xml:space="preserve"> cohorts (</w:t>
      </w:r>
      <w:r w:rsidR="00070735" w:rsidRPr="006F283B">
        <w:rPr>
          <w:iCs/>
        </w:rPr>
        <w:t>$</w:t>
      </w:r>
      <w:r w:rsidR="00093050" w:rsidRPr="00091054">
        <w:rPr>
          <w:iCs/>
          <w:w w:val="15"/>
          <w:shd w:val="solid" w:color="000000" w:fill="000000"/>
          <w:fitText w:val="-20" w:id="-1233481200"/>
          <w14:textFill>
            <w14:solidFill>
              <w14:schemeClr w14:val="tx1">
                <w14:alpha w14:val="100000"/>
              </w14:schemeClr>
            </w14:solidFill>
          </w14:textFill>
        </w:rPr>
        <w:t xml:space="preserve">|  </w:t>
      </w:r>
      <w:r w:rsidR="00093050" w:rsidRPr="00091054">
        <w:rPr>
          <w:iCs/>
          <w:spacing w:val="-69"/>
          <w:w w:val="15"/>
          <w:shd w:val="solid" w:color="000000" w:fill="000000"/>
          <w:fitText w:val="-20" w:id="-1233481200"/>
          <w14:textFill>
            <w14:solidFill>
              <w14:schemeClr w14:val="tx1">
                <w14:alpha w14:val="100000"/>
              </w14:schemeClr>
            </w14:solidFill>
          </w14:textFill>
        </w:rPr>
        <w:t>|</w:t>
      </w:r>
      <w:r w:rsidR="00BC0B5F" w:rsidRPr="006F283B">
        <w:rPr>
          <w:iCs/>
        </w:rPr>
        <w:t>)</w:t>
      </w:r>
      <w:r w:rsidR="00070735" w:rsidRPr="006F283B">
        <w:rPr>
          <w:iCs/>
        </w:rPr>
        <w:t xml:space="preserve">, </w:t>
      </w:r>
      <w:r w:rsidR="00C752AA" w:rsidRPr="006F283B">
        <w:rPr>
          <w:iCs/>
        </w:rPr>
        <w:t xml:space="preserve">but </w:t>
      </w:r>
      <w:r w:rsidR="00BC0B5F" w:rsidRPr="006F283B">
        <w:rPr>
          <w:iCs/>
        </w:rPr>
        <w:t xml:space="preserve">slightly different proportions of </w:t>
      </w:r>
      <w:r w:rsidR="001152C0" w:rsidRPr="001152C0">
        <w:rPr>
          <w:i/>
          <w:iCs/>
        </w:rPr>
        <w:t>BRCAm</w:t>
      </w:r>
      <w:r w:rsidR="00BC0B5F" w:rsidRPr="006F283B">
        <w:rPr>
          <w:iCs/>
        </w:rPr>
        <w:t xml:space="preserve">/HRD positive </w:t>
      </w:r>
      <w:r w:rsidR="001152C0" w:rsidRPr="001152C0">
        <w:rPr>
          <w:i/>
          <w:iCs/>
        </w:rPr>
        <w:t>BRCAwt</w:t>
      </w:r>
      <w:r w:rsidR="00BC0B5F" w:rsidRPr="006F283B">
        <w:rPr>
          <w:iCs/>
        </w:rPr>
        <w:t xml:space="preserve"> cohorts (48.0%/52.0%%) resulting from updates to the financial impact estimates provided in the pre-PBAC response</w:t>
      </w:r>
      <w:bookmarkEnd w:id="142"/>
      <w:r w:rsidR="00727978" w:rsidRPr="006F283B">
        <w:rPr>
          <w:iCs/>
        </w:rPr>
        <w:t xml:space="preserve"> (see paragraph </w:t>
      </w:r>
      <w:r w:rsidR="00727978" w:rsidRPr="006F283B">
        <w:rPr>
          <w:iCs/>
        </w:rPr>
        <w:fldChar w:fldCharType="begin" w:fldLock="1"/>
      </w:r>
      <w:r w:rsidR="00727978" w:rsidRPr="006F283B">
        <w:rPr>
          <w:iCs/>
        </w:rPr>
        <w:instrText xml:space="preserve"> REF _Ref130550585 \r \h </w:instrText>
      </w:r>
      <w:r w:rsidR="00727978" w:rsidRPr="006F283B">
        <w:rPr>
          <w:iCs/>
        </w:rPr>
      </w:r>
      <w:r w:rsidR="00727978" w:rsidRPr="006F283B">
        <w:rPr>
          <w:iCs/>
        </w:rPr>
        <w:fldChar w:fldCharType="separate"/>
      </w:r>
      <w:r w:rsidR="00305654">
        <w:rPr>
          <w:iCs/>
        </w:rPr>
        <w:t>6.101</w:t>
      </w:r>
      <w:r w:rsidR="00727978" w:rsidRPr="006F283B">
        <w:rPr>
          <w:iCs/>
        </w:rPr>
        <w:fldChar w:fldCharType="end"/>
      </w:r>
      <w:r w:rsidR="00727978" w:rsidRPr="006F283B">
        <w:rPr>
          <w:iCs/>
        </w:rPr>
        <w:t>).</w:t>
      </w:r>
      <w:bookmarkEnd w:id="143"/>
    </w:p>
    <w:p w14:paraId="0C58F483" w14:textId="66A61021" w:rsidR="008766B6" w:rsidRPr="006F283B" w:rsidRDefault="008766B6" w:rsidP="00C07F3A">
      <w:pPr>
        <w:pStyle w:val="ListParagraph"/>
        <w:spacing w:before="0" w:after="120"/>
        <w:rPr>
          <w:iCs/>
        </w:rPr>
      </w:pPr>
      <w:bookmarkStart w:id="144" w:name="_Ref130505111"/>
      <w:r w:rsidRPr="006F283B">
        <w:rPr>
          <w:iCs/>
        </w:rPr>
        <w:t xml:space="preserve">The ESCs noted that the use of olaparib + bevacizumab utilities favoured niraparib </w:t>
      </w:r>
      <w:r w:rsidR="00A20EB6" w:rsidRPr="006F283B">
        <w:rPr>
          <w:iCs/>
        </w:rPr>
        <w:t xml:space="preserve">and considered </w:t>
      </w:r>
      <w:r w:rsidRPr="006F283B">
        <w:rPr>
          <w:iCs/>
        </w:rPr>
        <w:t xml:space="preserve">the utilities from PRIMA in the HRD positive </w:t>
      </w:r>
      <w:r w:rsidR="001152C0" w:rsidRPr="001152C0">
        <w:rPr>
          <w:i/>
          <w:iCs/>
        </w:rPr>
        <w:t>BRCAwt</w:t>
      </w:r>
      <w:r w:rsidRPr="006F283B">
        <w:rPr>
          <w:iCs/>
        </w:rPr>
        <w:t xml:space="preserve"> cohort </w:t>
      </w:r>
      <w:r w:rsidR="00A20EB6" w:rsidRPr="006F283B">
        <w:rPr>
          <w:iCs/>
        </w:rPr>
        <w:t>were</w:t>
      </w:r>
      <w:r w:rsidRPr="006F283B">
        <w:rPr>
          <w:iCs/>
        </w:rPr>
        <w:t xml:space="preserve"> most appropriate. The omission of disutility for AE from the respecified base case was also unjustified as niraparib had an inferior safety profile compared to placebo, and the utilities from PAOLA-1 would not have captured the same adverse events as those reported in PRIMA. </w:t>
      </w:r>
      <w:r w:rsidR="00CA1729" w:rsidRPr="006F283B">
        <w:rPr>
          <w:iCs/>
        </w:rPr>
        <w:t xml:space="preserve">The ESC </w:t>
      </w:r>
      <w:r w:rsidRPr="006F283B">
        <w:rPr>
          <w:iCs/>
        </w:rPr>
        <w:t xml:space="preserve">noted that all other issues relating to </w:t>
      </w:r>
      <w:r w:rsidR="001F68AF" w:rsidRPr="006F283B">
        <w:rPr>
          <w:iCs/>
        </w:rPr>
        <w:t xml:space="preserve">the </w:t>
      </w:r>
      <w:r w:rsidRPr="006F283B">
        <w:rPr>
          <w:iCs/>
        </w:rPr>
        <w:t xml:space="preserve">economic evaluation (including but not limited </w:t>
      </w:r>
      <w:proofErr w:type="gramStart"/>
      <w:r w:rsidRPr="006F283B">
        <w:rPr>
          <w:iCs/>
        </w:rPr>
        <w:t>to:</w:t>
      </w:r>
      <w:proofErr w:type="gramEnd"/>
      <w:r w:rsidRPr="006F283B">
        <w:rPr>
          <w:iCs/>
        </w:rPr>
        <w:t xml:space="preserve"> derivation of OS HR, time horizon, assumption of benefit in HRD negative patients) remain</w:t>
      </w:r>
      <w:r w:rsidR="00A20EB6" w:rsidRPr="006F283B">
        <w:rPr>
          <w:iCs/>
        </w:rPr>
        <w:t>ed</w:t>
      </w:r>
      <w:r w:rsidRPr="006F283B">
        <w:rPr>
          <w:iCs/>
        </w:rPr>
        <w:t xml:space="preserve"> unresolved.</w:t>
      </w:r>
      <w:bookmarkEnd w:id="144"/>
    </w:p>
    <w:p w14:paraId="40018BA8" w14:textId="607DACE0" w:rsidR="008632F4" w:rsidRPr="006F283B" w:rsidRDefault="008632F4" w:rsidP="00C07F3A">
      <w:pPr>
        <w:pStyle w:val="ListParagraph"/>
        <w:spacing w:before="0" w:after="120"/>
        <w:rPr>
          <w:iCs/>
        </w:rPr>
      </w:pPr>
      <w:bookmarkStart w:id="145" w:name="_Ref127284110"/>
      <w:r w:rsidRPr="006F283B">
        <w:rPr>
          <w:iCs/>
        </w:rPr>
        <w:t xml:space="preserve">The PSCR also provided a new CUA base case </w:t>
      </w:r>
      <w:r w:rsidR="006B35F8" w:rsidRPr="006F283B">
        <w:rPr>
          <w:iCs/>
          <w:color w:val="auto"/>
        </w:rPr>
        <w:t xml:space="preserve">corresponding to the </w:t>
      </w:r>
      <w:r w:rsidR="006B35F8" w:rsidRPr="006F283B">
        <w:rPr>
          <w:iCs/>
        </w:rPr>
        <w:t xml:space="preserve">ITT (no test) proposal for the </w:t>
      </w:r>
      <w:r w:rsidR="001152C0" w:rsidRPr="001152C0">
        <w:rPr>
          <w:i/>
          <w:iCs/>
        </w:rPr>
        <w:t>BRCAwt</w:t>
      </w:r>
      <w:r w:rsidR="006B35F8" w:rsidRPr="006F283B">
        <w:rPr>
          <w:iCs/>
        </w:rPr>
        <w:t xml:space="preserve"> cohort </w:t>
      </w:r>
      <w:r w:rsidRPr="006F283B">
        <w:rPr>
          <w:iCs/>
        </w:rPr>
        <w:t xml:space="preserve">(presented in </w:t>
      </w:r>
      <w:r w:rsidRPr="006F283B">
        <w:rPr>
          <w:iCs/>
        </w:rPr>
        <w:fldChar w:fldCharType="begin" w:fldLock="1"/>
      </w:r>
      <w:r w:rsidRPr="006F283B">
        <w:rPr>
          <w:iCs/>
        </w:rPr>
        <w:instrText xml:space="preserve"> REF _Ref121208771 \h  \* MERGEFORMAT </w:instrText>
      </w:r>
      <w:r w:rsidRPr="006F283B">
        <w:rPr>
          <w:iCs/>
        </w:rPr>
      </w:r>
      <w:r w:rsidRPr="006F283B">
        <w:rPr>
          <w:iCs/>
        </w:rPr>
        <w:fldChar w:fldCharType="separate"/>
      </w:r>
      <w:r w:rsidR="00305654" w:rsidRPr="00305654">
        <w:rPr>
          <w:iCs/>
        </w:rPr>
        <w:t>Table 19</w:t>
      </w:r>
      <w:r w:rsidRPr="006F283B">
        <w:rPr>
          <w:iCs/>
        </w:rPr>
        <w:fldChar w:fldCharType="end"/>
      </w:r>
      <w:r w:rsidR="00291723" w:rsidRPr="006F283B">
        <w:rPr>
          <w:iCs/>
        </w:rPr>
        <w:t>) for a scenario where HRD testing is not available</w:t>
      </w:r>
      <w:r w:rsidRPr="006F283B">
        <w:rPr>
          <w:iCs/>
        </w:rPr>
        <w:t xml:space="preserve">. </w:t>
      </w:r>
      <w:r w:rsidR="006B35F8" w:rsidRPr="006F283B">
        <w:rPr>
          <w:iCs/>
        </w:rPr>
        <w:t>T</w:t>
      </w:r>
      <w:r w:rsidRPr="006F283B">
        <w:rPr>
          <w:iCs/>
        </w:rPr>
        <w:t>he PSCR proposed a reduced effective price ($</w:t>
      </w:r>
      <w:proofErr w:type="gramStart"/>
      <w:r w:rsidR="00093050" w:rsidRPr="00091054">
        <w:rPr>
          <w:iCs/>
          <w:w w:val="15"/>
          <w:shd w:val="solid" w:color="000000" w:fill="000000"/>
          <w:fitText w:val="-20" w:id="-1233481216"/>
          <w14:textFill>
            <w14:solidFill>
              <w14:schemeClr w14:val="tx1">
                <w14:alpha w14:val="100000"/>
              </w14:schemeClr>
            </w14:solidFill>
          </w14:textFill>
        </w:rPr>
        <w:t xml:space="preserve">|  </w:t>
      </w:r>
      <w:r w:rsidR="00093050" w:rsidRPr="00091054">
        <w:rPr>
          <w:iCs/>
          <w:spacing w:val="-69"/>
          <w:w w:val="15"/>
          <w:shd w:val="solid" w:color="000000" w:fill="000000"/>
          <w:fitText w:val="-20" w:id="-1233481216"/>
          <w14:textFill>
            <w14:solidFill>
              <w14:schemeClr w14:val="tx1">
                <w14:alpha w14:val="100000"/>
              </w14:schemeClr>
            </w14:solidFill>
          </w14:textFill>
        </w:rPr>
        <w:t>|</w:t>
      </w:r>
      <w:proofErr w:type="gramEnd"/>
      <w:r w:rsidRPr="006F283B">
        <w:rPr>
          <w:iCs/>
        </w:rPr>
        <w:t>/</w:t>
      </w:r>
      <w:r w:rsidR="00F7245D">
        <w:rPr>
          <w:iCs/>
        </w:rPr>
        <w:t xml:space="preserve"> </w:t>
      </w:r>
      <w:r w:rsidR="00F7245D" w:rsidRPr="006F283B">
        <w:rPr>
          <w:iCs/>
        </w:rPr>
        <w:t>56</w:t>
      </w:r>
      <w:r w:rsidR="00F7245D">
        <w:rPr>
          <w:iCs/>
        </w:rPr>
        <w:t> </w:t>
      </w:r>
      <w:r w:rsidRPr="006F283B">
        <w:rPr>
          <w:iCs/>
        </w:rPr>
        <w:t xml:space="preserve">capsules) for the </w:t>
      </w:r>
      <w:r w:rsidR="001152C0" w:rsidRPr="001152C0">
        <w:rPr>
          <w:i/>
          <w:iCs/>
        </w:rPr>
        <w:t>BRCAwt</w:t>
      </w:r>
      <w:r w:rsidRPr="006F283B">
        <w:rPr>
          <w:iCs/>
        </w:rPr>
        <w:t xml:space="preserve"> cohort based on a </w:t>
      </w:r>
      <w:r w:rsidR="006B35F8" w:rsidRPr="006F283B">
        <w:rPr>
          <w:iCs/>
        </w:rPr>
        <w:t xml:space="preserve">&lt;$50,000/QALY </w:t>
      </w:r>
      <w:r w:rsidRPr="006F283B">
        <w:rPr>
          <w:iCs/>
        </w:rPr>
        <w:t>ICER threshold</w:t>
      </w:r>
      <w:r w:rsidR="00B8380D" w:rsidRPr="006F283B">
        <w:rPr>
          <w:iCs/>
        </w:rPr>
        <w:t xml:space="preserve"> (compared with the previous proposed price of $</w:t>
      </w:r>
      <w:r w:rsidR="00093050" w:rsidRPr="00091054">
        <w:rPr>
          <w:iCs/>
          <w:w w:val="15"/>
          <w:shd w:val="solid" w:color="000000" w:fill="000000"/>
          <w:fitText w:val="-20" w:id="-1233481215"/>
          <w14:textFill>
            <w14:solidFill>
              <w14:schemeClr w14:val="tx1">
                <w14:alpha w14:val="100000"/>
              </w14:schemeClr>
            </w14:solidFill>
          </w14:textFill>
        </w:rPr>
        <w:t xml:space="preserve">|  </w:t>
      </w:r>
      <w:r w:rsidR="00093050" w:rsidRPr="00091054">
        <w:rPr>
          <w:iCs/>
          <w:spacing w:val="-69"/>
          <w:w w:val="15"/>
          <w:shd w:val="solid" w:color="000000" w:fill="000000"/>
          <w:fitText w:val="-20" w:id="-1233481215"/>
          <w14:textFill>
            <w14:solidFill>
              <w14:schemeClr w14:val="tx1">
                <w14:alpha w14:val="100000"/>
              </w14:schemeClr>
            </w14:solidFill>
          </w14:textFill>
        </w:rPr>
        <w:t>|</w:t>
      </w:r>
      <w:r w:rsidR="00B8380D" w:rsidRPr="006F283B">
        <w:rPr>
          <w:iCs/>
        </w:rPr>
        <w:t xml:space="preserve"> from the March 2022 PSCR)</w:t>
      </w:r>
      <w:r w:rsidRPr="006F283B">
        <w:rPr>
          <w:iCs/>
        </w:rPr>
        <w:t>. This resulted in a revised proposed niraparib weighted AEMP of $</w:t>
      </w:r>
      <w:proofErr w:type="gramStart"/>
      <w:r w:rsidR="00093050" w:rsidRPr="00091054">
        <w:rPr>
          <w:iCs/>
          <w:w w:val="15"/>
          <w:shd w:val="solid" w:color="000000" w:fill="000000"/>
          <w:fitText w:val="-20" w:id="-1233481214"/>
          <w14:textFill>
            <w14:solidFill>
              <w14:schemeClr w14:val="tx1">
                <w14:alpha w14:val="100000"/>
              </w14:schemeClr>
            </w14:solidFill>
          </w14:textFill>
        </w:rPr>
        <w:t xml:space="preserve">|  </w:t>
      </w:r>
      <w:r w:rsidR="00093050" w:rsidRPr="00091054">
        <w:rPr>
          <w:iCs/>
          <w:spacing w:val="-69"/>
          <w:w w:val="15"/>
          <w:shd w:val="solid" w:color="000000" w:fill="000000"/>
          <w:fitText w:val="-20" w:id="-1233481214"/>
          <w14:textFill>
            <w14:solidFill>
              <w14:schemeClr w14:val="tx1">
                <w14:alpha w14:val="100000"/>
              </w14:schemeClr>
            </w14:solidFill>
          </w14:textFill>
        </w:rPr>
        <w:t>|</w:t>
      </w:r>
      <w:proofErr w:type="gramEnd"/>
      <w:r w:rsidRPr="006F283B">
        <w:rPr>
          <w:iCs/>
        </w:rPr>
        <w:t>/</w:t>
      </w:r>
      <w:r w:rsidR="00F7245D">
        <w:rPr>
          <w:iCs/>
        </w:rPr>
        <w:t xml:space="preserve"> </w:t>
      </w:r>
      <w:r w:rsidR="00F7245D" w:rsidRPr="006F283B">
        <w:rPr>
          <w:iCs/>
        </w:rPr>
        <w:t>56</w:t>
      </w:r>
      <w:r w:rsidR="00F7245D">
        <w:rPr>
          <w:iCs/>
        </w:rPr>
        <w:t> </w:t>
      </w:r>
      <w:r w:rsidRPr="006F283B">
        <w:rPr>
          <w:iCs/>
        </w:rPr>
        <w:t>capsules.</w:t>
      </w:r>
      <w:r w:rsidR="008E34C5">
        <w:rPr>
          <w:iCs/>
        </w:rPr>
        <w:t xml:space="preserve"> </w:t>
      </w:r>
      <w:r w:rsidRPr="006F283B">
        <w:rPr>
          <w:iCs/>
        </w:rPr>
        <w:t>As this model was for the ITT population, the patient characteristics such as age, clinical inputs used for PFS, OS and time on treatment, and consequently the parametric functions used throughout the model were different to the base case model used for the co</w:t>
      </w:r>
      <w:r w:rsidRPr="006F283B">
        <w:rPr>
          <w:iCs/>
        </w:rPr>
        <w:noBreakHyphen/>
        <w:t xml:space="preserve">dependency scenario, in addition to </w:t>
      </w:r>
      <w:r w:rsidR="00A20EB6" w:rsidRPr="006F283B">
        <w:rPr>
          <w:iCs/>
        </w:rPr>
        <w:t xml:space="preserve">other </w:t>
      </w:r>
      <w:r w:rsidRPr="006F283B">
        <w:rPr>
          <w:iCs/>
        </w:rPr>
        <w:t xml:space="preserve">key parameters (time horizon of 15 years, OS extrapolation with </w:t>
      </w:r>
      <w:proofErr w:type="gramStart"/>
      <w:r w:rsidRPr="006F283B">
        <w:rPr>
          <w:iCs/>
        </w:rPr>
        <w:t>Independent</w:t>
      </w:r>
      <w:proofErr w:type="gramEnd"/>
      <w:r w:rsidRPr="006F283B">
        <w:rPr>
          <w:iCs/>
        </w:rPr>
        <w:t xml:space="preserve"> log-logistic function, disutilities for AEs). The ITT population scenario did not incorporate any of the changes applied in the PSCR for the codependent scenario (see paragraph </w:t>
      </w:r>
      <w:r w:rsidRPr="006F283B">
        <w:rPr>
          <w:iCs/>
        </w:rPr>
        <w:fldChar w:fldCharType="begin" w:fldLock="1"/>
      </w:r>
      <w:r w:rsidRPr="006F283B">
        <w:rPr>
          <w:iCs/>
        </w:rPr>
        <w:instrText xml:space="preserve"> REF _Ref127282322 \r \h </w:instrText>
      </w:r>
      <w:r w:rsidRPr="006F283B">
        <w:rPr>
          <w:iCs/>
        </w:rPr>
      </w:r>
      <w:r w:rsidRPr="006F283B">
        <w:rPr>
          <w:iCs/>
        </w:rPr>
        <w:fldChar w:fldCharType="separate"/>
      </w:r>
      <w:r w:rsidR="00305654">
        <w:rPr>
          <w:iCs/>
        </w:rPr>
        <w:t>6.84</w:t>
      </w:r>
      <w:r w:rsidRPr="006F283B">
        <w:rPr>
          <w:iCs/>
        </w:rPr>
        <w:fldChar w:fldCharType="end"/>
      </w:r>
      <w:r w:rsidRPr="006F283B">
        <w:rPr>
          <w:iCs/>
        </w:rPr>
        <w:t>) and was more aligned with the assumptions from the original submission.</w:t>
      </w:r>
      <w:bookmarkEnd w:id="145"/>
      <w:r w:rsidRPr="006F283B">
        <w:rPr>
          <w:iCs/>
        </w:rPr>
        <w:t xml:space="preserve"> </w:t>
      </w:r>
    </w:p>
    <w:p w14:paraId="2E3532E2" w14:textId="19EFA31F" w:rsidR="00843998" w:rsidRPr="006F283B" w:rsidRDefault="00CB2BDC" w:rsidP="00D016AD">
      <w:pPr>
        <w:pStyle w:val="Caption"/>
      </w:pPr>
      <w:bookmarkStart w:id="146" w:name="_Ref121208771"/>
      <w:r w:rsidRPr="006F283B">
        <w:t xml:space="preserve">Table </w:t>
      </w:r>
      <w:r w:rsidR="00091054">
        <w:fldChar w:fldCharType="begin" w:fldLock="1"/>
      </w:r>
      <w:r w:rsidR="00091054">
        <w:instrText xml:space="preserve"> SEQ Table \* ARABIC </w:instrText>
      </w:r>
      <w:r w:rsidR="00091054">
        <w:fldChar w:fldCharType="separate"/>
      </w:r>
      <w:r w:rsidR="00305654">
        <w:rPr>
          <w:noProof/>
        </w:rPr>
        <w:t>19</w:t>
      </w:r>
      <w:r w:rsidR="00091054">
        <w:rPr>
          <w:noProof/>
        </w:rPr>
        <w:fldChar w:fldCharType="end"/>
      </w:r>
      <w:bookmarkEnd w:id="146"/>
      <w:r w:rsidR="00C07F3A">
        <w:t xml:space="preserve">: </w:t>
      </w:r>
      <w:r w:rsidR="00866956" w:rsidRPr="006F283B">
        <w:t xml:space="preserve">Revised </w:t>
      </w:r>
      <w:r w:rsidR="00843998" w:rsidRPr="006F283B">
        <w:t xml:space="preserve">sensitivity analyses </w:t>
      </w:r>
      <w:r w:rsidR="00545A5C" w:rsidRPr="006F283B">
        <w:t xml:space="preserve">- </w:t>
      </w:r>
      <w:r w:rsidR="00781148" w:rsidRPr="006F283B">
        <w:t>PSCR</w:t>
      </w:r>
    </w:p>
    <w:tbl>
      <w:tblPr>
        <w:tblStyle w:val="AZTable"/>
        <w:tblW w:w="5000" w:type="pct"/>
        <w:tblLayout w:type="fixed"/>
        <w:tblLook w:val="04A0" w:firstRow="1" w:lastRow="0" w:firstColumn="1" w:lastColumn="0" w:noHBand="0" w:noVBand="1"/>
      </w:tblPr>
      <w:tblGrid>
        <w:gridCol w:w="4531"/>
        <w:gridCol w:w="1277"/>
        <w:gridCol w:w="1417"/>
        <w:gridCol w:w="1791"/>
      </w:tblGrid>
      <w:tr w:rsidR="00545A5C" w:rsidRPr="006F283B" w14:paraId="1E6F9CA8" w14:textId="77777777" w:rsidTr="00362C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pct"/>
          </w:tcPr>
          <w:p w14:paraId="49EDDC05" w14:textId="77777777" w:rsidR="00545A5C" w:rsidRPr="006F283B" w:rsidRDefault="00545A5C" w:rsidP="0002649A">
            <w:pPr>
              <w:pStyle w:val="In-tableHeading"/>
              <w:jc w:val="left"/>
              <w:rPr>
                <w:b/>
                <w:bCs/>
                <w:lang w:val="en-AU"/>
              </w:rPr>
            </w:pPr>
            <w:r w:rsidRPr="006F283B">
              <w:rPr>
                <w:b/>
                <w:bCs/>
                <w:lang w:val="en-AU"/>
              </w:rPr>
              <w:t>Assumptions varied</w:t>
            </w:r>
          </w:p>
        </w:tc>
        <w:tc>
          <w:tcPr>
            <w:tcW w:w="708" w:type="pct"/>
          </w:tcPr>
          <w:p w14:paraId="451E9670" w14:textId="77777777" w:rsidR="00545A5C" w:rsidRPr="006F283B" w:rsidRDefault="00545A5C" w:rsidP="0002649A">
            <w:pPr>
              <w:pStyle w:val="In-tableHeading"/>
              <w:cnfStyle w:val="100000000000" w:firstRow="1" w:lastRow="0" w:firstColumn="0" w:lastColumn="0" w:oddVBand="0" w:evenVBand="0" w:oddHBand="0" w:evenHBand="0" w:firstRowFirstColumn="0" w:firstRowLastColumn="0" w:lastRowFirstColumn="0" w:lastRowLastColumn="0"/>
              <w:rPr>
                <w:b/>
                <w:bCs/>
                <w:lang w:val="en-AU"/>
              </w:rPr>
            </w:pPr>
            <w:r w:rsidRPr="006F283B">
              <w:rPr>
                <w:b/>
                <w:bCs/>
                <w:lang w:val="en-AU"/>
              </w:rPr>
              <w:t>Incremental costs</w:t>
            </w:r>
          </w:p>
        </w:tc>
        <w:tc>
          <w:tcPr>
            <w:tcW w:w="786" w:type="pct"/>
          </w:tcPr>
          <w:p w14:paraId="417E32BC" w14:textId="77777777" w:rsidR="00545A5C" w:rsidRPr="006F283B" w:rsidRDefault="00545A5C" w:rsidP="0002649A">
            <w:pPr>
              <w:pStyle w:val="In-tableHeading"/>
              <w:cnfStyle w:val="100000000000" w:firstRow="1" w:lastRow="0" w:firstColumn="0" w:lastColumn="0" w:oddVBand="0" w:evenVBand="0" w:oddHBand="0" w:evenHBand="0" w:firstRowFirstColumn="0" w:firstRowLastColumn="0" w:lastRowFirstColumn="0" w:lastRowLastColumn="0"/>
              <w:rPr>
                <w:b/>
                <w:bCs/>
                <w:lang w:val="en-AU"/>
              </w:rPr>
            </w:pPr>
            <w:r w:rsidRPr="006F283B">
              <w:rPr>
                <w:b/>
                <w:bCs/>
                <w:lang w:val="en-AU"/>
              </w:rPr>
              <w:t>Incremental QALYs</w:t>
            </w:r>
          </w:p>
        </w:tc>
        <w:tc>
          <w:tcPr>
            <w:tcW w:w="993" w:type="pct"/>
          </w:tcPr>
          <w:p w14:paraId="216D2D4A" w14:textId="77777777" w:rsidR="00545A5C" w:rsidRPr="006F283B" w:rsidRDefault="00545A5C" w:rsidP="0002649A">
            <w:pPr>
              <w:pStyle w:val="In-tableHeading"/>
              <w:cnfStyle w:val="100000000000" w:firstRow="1" w:lastRow="0" w:firstColumn="0" w:lastColumn="0" w:oddVBand="0" w:evenVBand="0" w:oddHBand="0" w:evenHBand="0" w:firstRowFirstColumn="0" w:firstRowLastColumn="0" w:lastRowFirstColumn="0" w:lastRowLastColumn="0"/>
              <w:rPr>
                <w:bCs/>
                <w:lang w:val="en-AU"/>
              </w:rPr>
            </w:pPr>
            <w:r w:rsidRPr="006F283B">
              <w:rPr>
                <w:b/>
                <w:bCs/>
                <w:lang w:val="en-AU"/>
              </w:rPr>
              <w:t>ICER</w:t>
            </w:r>
          </w:p>
          <w:p w14:paraId="746F454C" w14:textId="77777777" w:rsidR="00545A5C" w:rsidRPr="006F283B" w:rsidRDefault="00545A5C" w:rsidP="0002649A">
            <w:pPr>
              <w:pStyle w:val="In-tableHeading"/>
              <w:cnfStyle w:val="100000000000" w:firstRow="1" w:lastRow="0" w:firstColumn="0" w:lastColumn="0" w:oddVBand="0" w:evenVBand="0" w:oddHBand="0" w:evenHBand="0" w:firstRowFirstColumn="0" w:firstRowLastColumn="0" w:lastRowFirstColumn="0" w:lastRowLastColumn="0"/>
              <w:rPr>
                <w:b/>
                <w:bCs/>
                <w:lang w:val="en-AU"/>
              </w:rPr>
            </w:pPr>
            <w:r w:rsidRPr="006F283B">
              <w:rPr>
                <w:b/>
                <w:bCs/>
                <w:lang w:val="en-AU"/>
              </w:rPr>
              <w:t>($/QALY)</w:t>
            </w:r>
          </w:p>
        </w:tc>
      </w:tr>
      <w:tr w:rsidR="00545A5C" w:rsidRPr="006F283B" w14:paraId="3C9F46C3" w14:textId="77777777" w:rsidTr="00362CF9">
        <w:tc>
          <w:tcPr>
            <w:cnfStyle w:val="001000000000" w:firstRow="0" w:lastRow="0" w:firstColumn="1" w:lastColumn="0" w:oddVBand="0" w:evenVBand="0" w:oddHBand="0" w:evenHBand="0" w:firstRowFirstColumn="0" w:firstRowLastColumn="0" w:lastRowFirstColumn="0" w:lastRowLastColumn="0"/>
            <w:tcW w:w="2513" w:type="pct"/>
            <w:vAlign w:val="center"/>
          </w:tcPr>
          <w:p w14:paraId="3AD99832" w14:textId="704A644E" w:rsidR="00545A5C" w:rsidRPr="006F283B" w:rsidRDefault="00545A5C" w:rsidP="0002649A">
            <w:pPr>
              <w:pStyle w:val="TableText"/>
              <w:keepNext/>
            </w:pPr>
            <w:r w:rsidRPr="006F283B">
              <w:rPr>
                <w:b/>
                <w:bCs/>
              </w:rPr>
              <w:t xml:space="preserve">Base case (respecified: </w:t>
            </w:r>
            <w:r w:rsidR="001152C0" w:rsidRPr="001152C0">
              <w:rPr>
                <w:b/>
                <w:bCs/>
                <w:i/>
                <w:iCs/>
              </w:rPr>
              <w:t>BRCAm</w:t>
            </w:r>
            <w:r w:rsidRPr="006F283B">
              <w:rPr>
                <w:b/>
                <w:bCs/>
              </w:rPr>
              <w:t xml:space="preserve"> test = $1,000; chemotherapy costs updated, no half cycle correction)</w:t>
            </w:r>
          </w:p>
        </w:tc>
        <w:tc>
          <w:tcPr>
            <w:tcW w:w="708" w:type="pct"/>
            <w:vAlign w:val="center"/>
          </w:tcPr>
          <w:p w14:paraId="48B094B9" w14:textId="1772409B" w:rsidR="00545A5C" w:rsidRPr="006F283B"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pPr>
            <w:r w:rsidRPr="006F283B">
              <w:rPr>
                <w:rFonts w:eastAsiaTheme="majorEastAsia"/>
                <w:b/>
                <w:bCs/>
              </w:rPr>
              <w:t>$</w:t>
            </w:r>
            <w:r w:rsidR="00093050" w:rsidRPr="00093050">
              <w:rPr>
                <w:rFonts w:eastAsiaTheme="majorEastAsia"/>
                <w:b/>
                <w:bCs/>
                <w:color w:val="000000"/>
                <w:spacing w:val="196"/>
                <w:shd w:val="solid" w:color="000000" w:fill="000000"/>
                <w:fitText w:val="288" w:id="-1233481213"/>
                <w14:textFill>
                  <w14:solidFill>
                    <w14:srgbClr w14:val="000000">
                      <w14:alpha w14:val="100000"/>
                    </w14:srgbClr>
                  </w14:solidFill>
                </w14:textFill>
              </w:rPr>
              <w:t>|</w:t>
            </w:r>
            <w:r w:rsidR="00093050" w:rsidRPr="00093050">
              <w:rPr>
                <w:rFonts w:eastAsiaTheme="majorEastAsia"/>
                <w:b/>
                <w:bCs/>
                <w:color w:val="000000"/>
                <w:spacing w:val="1"/>
                <w:shd w:val="solid" w:color="000000" w:fill="000000"/>
                <w:fitText w:val="288" w:id="-1233481213"/>
                <w14:textFill>
                  <w14:solidFill>
                    <w14:srgbClr w14:val="000000">
                      <w14:alpha w14:val="100000"/>
                    </w14:srgbClr>
                  </w14:solidFill>
                </w14:textFill>
              </w:rPr>
              <w:t>|</w:t>
            </w:r>
          </w:p>
        </w:tc>
        <w:tc>
          <w:tcPr>
            <w:tcW w:w="786" w:type="pct"/>
            <w:vAlign w:val="center"/>
          </w:tcPr>
          <w:p w14:paraId="39465FE3" w14:textId="77777777" w:rsidR="00545A5C" w:rsidRPr="006F283B"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pPr>
            <w:r w:rsidRPr="006F283B">
              <w:rPr>
                <w:rFonts w:eastAsiaTheme="majorEastAsia"/>
                <w:b/>
                <w:bCs/>
              </w:rPr>
              <w:t>0.7294</w:t>
            </w:r>
          </w:p>
        </w:tc>
        <w:tc>
          <w:tcPr>
            <w:tcW w:w="993" w:type="pct"/>
            <w:vAlign w:val="center"/>
          </w:tcPr>
          <w:p w14:paraId="5BD969C5" w14:textId="7DF18AFC" w:rsidR="00545A5C" w:rsidRPr="00FD5F5F"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rPr>
                <w:vertAlign w:val="superscript"/>
              </w:rPr>
            </w:pPr>
            <w:r w:rsidRPr="006F283B">
              <w:rPr>
                <w:rFonts w:eastAsiaTheme="majorEastAsia"/>
                <w:b/>
                <w:bCs/>
              </w:rPr>
              <w:t>$</w:t>
            </w:r>
            <w:r w:rsidR="00093050" w:rsidRPr="00093050">
              <w:rPr>
                <w:rFonts w:eastAsiaTheme="majorEastAsia"/>
                <w:b/>
                <w:bCs/>
                <w:color w:val="000000"/>
                <w:shd w:val="solid" w:color="000000" w:fill="000000"/>
                <w14:textFill>
                  <w14:solidFill>
                    <w14:srgbClr w14:val="000000">
                      <w14:alpha w14:val="100000"/>
                    </w14:srgbClr>
                  </w14:solidFill>
                </w14:textFill>
              </w:rPr>
              <w:t>|</w:t>
            </w:r>
            <w:r w:rsidR="00FD5F5F">
              <w:rPr>
                <w:rFonts w:eastAsiaTheme="majorEastAsia"/>
                <w:b/>
                <w:bCs/>
              </w:rPr>
              <w:t xml:space="preserve"> </w:t>
            </w:r>
            <w:r w:rsidR="00FD5F5F">
              <w:rPr>
                <w:rFonts w:eastAsiaTheme="majorEastAsia"/>
                <w:b/>
                <w:bCs/>
                <w:vertAlign w:val="superscript"/>
              </w:rPr>
              <w:t>1</w:t>
            </w:r>
          </w:p>
        </w:tc>
      </w:tr>
      <w:tr w:rsidR="00545A5C" w:rsidRPr="006F283B" w14:paraId="2E85F5A0" w14:textId="77777777" w:rsidTr="00545A5C">
        <w:tc>
          <w:tcPr>
            <w:cnfStyle w:val="001000000000" w:firstRow="0" w:lastRow="0" w:firstColumn="1" w:lastColumn="0" w:oddVBand="0" w:evenVBand="0" w:oddHBand="0" w:evenHBand="0" w:firstRowFirstColumn="0" w:firstRowLastColumn="0" w:lastRowFirstColumn="0" w:lastRowLastColumn="0"/>
            <w:tcW w:w="5000" w:type="pct"/>
            <w:gridSpan w:val="4"/>
          </w:tcPr>
          <w:p w14:paraId="4DB1869C" w14:textId="4D3CCD7C" w:rsidR="00545A5C" w:rsidRPr="006F283B" w:rsidRDefault="00545A5C" w:rsidP="0002649A">
            <w:pPr>
              <w:pStyle w:val="TableText"/>
              <w:keepNext/>
              <w:rPr>
                <w:iCs/>
              </w:rPr>
            </w:pPr>
            <w:r w:rsidRPr="006F283B">
              <w:rPr>
                <w:b/>
                <w:bCs/>
                <w:iCs/>
              </w:rPr>
              <w:t xml:space="preserve">Revised base case in PSCR (HRD+ </w:t>
            </w:r>
            <w:r w:rsidR="001152C0" w:rsidRPr="001152C0">
              <w:rPr>
                <w:b/>
                <w:bCs/>
                <w:i/>
                <w:iCs/>
              </w:rPr>
              <w:t>BRCAwt</w:t>
            </w:r>
            <w:r w:rsidRPr="006F283B">
              <w:rPr>
                <w:b/>
                <w:bCs/>
                <w:iCs/>
              </w:rPr>
              <w:t xml:space="preserve"> cohort, source: PSCR Table 3)</w:t>
            </w:r>
          </w:p>
        </w:tc>
      </w:tr>
      <w:tr w:rsidR="00545A5C" w:rsidRPr="006F283B" w14:paraId="58EDB70A" w14:textId="77777777" w:rsidTr="00362CF9">
        <w:tc>
          <w:tcPr>
            <w:cnfStyle w:val="001000000000" w:firstRow="0" w:lastRow="0" w:firstColumn="1" w:lastColumn="0" w:oddVBand="0" w:evenVBand="0" w:oddHBand="0" w:evenHBand="0" w:firstRowFirstColumn="0" w:firstRowLastColumn="0" w:lastRowFirstColumn="0" w:lastRowLastColumn="0"/>
            <w:tcW w:w="2513" w:type="pct"/>
            <w:vAlign w:val="center"/>
          </w:tcPr>
          <w:p w14:paraId="4CD54F73" w14:textId="7BDC6437" w:rsidR="00545A5C" w:rsidRPr="006F283B" w:rsidRDefault="00545A5C" w:rsidP="0002649A">
            <w:pPr>
              <w:pStyle w:val="TableText"/>
              <w:keepNext/>
              <w:rPr>
                <w:iCs/>
              </w:rPr>
            </w:pPr>
            <w:r w:rsidRPr="006F283B">
              <w:rPr>
                <w:iCs/>
              </w:rPr>
              <w:t xml:space="preserve">Revised as described in paragraphs </w:t>
            </w:r>
            <w:r w:rsidRPr="006F283B">
              <w:rPr>
                <w:iCs/>
              </w:rPr>
              <w:fldChar w:fldCharType="begin" w:fldLock="1"/>
            </w:r>
            <w:r w:rsidRPr="006F283B">
              <w:rPr>
                <w:iCs/>
              </w:rPr>
              <w:instrText xml:space="preserve"> REF _Ref127282322 \r \h  \* MERGEFORMAT </w:instrText>
            </w:r>
            <w:r w:rsidRPr="006F283B">
              <w:rPr>
                <w:iCs/>
              </w:rPr>
            </w:r>
            <w:r w:rsidRPr="006F283B">
              <w:rPr>
                <w:iCs/>
              </w:rPr>
              <w:fldChar w:fldCharType="separate"/>
            </w:r>
            <w:r w:rsidR="00305654">
              <w:rPr>
                <w:iCs/>
              </w:rPr>
              <w:t>6.84</w:t>
            </w:r>
            <w:r w:rsidRPr="006F283B">
              <w:rPr>
                <w:iCs/>
              </w:rPr>
              <w:fldChar w:fldCharType="end"/>
            </w:r>
            <w:r w:rsidRPr="006F283B">
              <w:rPr>
                <w:iCs/>
              </w:rPr>
              <w:t xml:space="preserve"> and </w:t>
            </w:r>
            <w:r w:rsidRPr="006F283B">
              <w:rPr>
                <w:iCs/>
              </w:rPr>
              <w:fldChar w:fldCharType="begin" w:fldLock="1"/>
            </w:r>
            <w:r w:rsidRPr="006F283B">
              <w:rPr>
                <w:iCs/>
              </w:rPr>
              <w:instrText xml:space="preserve"> REF _Ref127282323 \r \h  \* MERGEFORMAT </w:instrText>
            </w:r>
            <w:r w:rsidRPr="006F283B">
              <w:rPr>
                <w:iCs/>
              </w:rPr>
            </w:r>
            <w:r w:rsidRPr="006F283B">
              <w:rPr>
                <w:iCs/>
              </w:rPr>
              <w:fldChar w:fldCharType="separate"/>
            </w:r>
            <w:r w:rsidR="00305654">
              <w:rPr>
                <w:iCs/>
              </w:rPr>
              <w:t>6.85</w:t>
            </w:r>
            <w:r w:rsidRPr="006F283B">
              <w:rPr>
                <w:iCs/>
              </w:rPr>
              <w:fldChar w:fldCharType="end"/>
            </w:r>
            <w:r w:rsidRPr="006F283B">
              <w:rPr>
                <w:iCs/>
              </w:rPr>
              <w:t>,</w:t>
            </w:r>
            <w:r w:rsidR="008E34C5">
              <w:rPr>
                <w:iCs/>
              </w:rPr>
              <w:t xml:space="preserve"> </w:t>
            </w:r>
            <w:r w:rsidRPr="006F283B">
              <w:rPr>
                <w:rFonts w:cs="Arial"/>
                <w:iCs/>
                <w:szCs w:val="20"/>
              </w:rPr>
              <w:t>AEMP: $</w:t>
            </w:r>
            <w:r w:rsidR="00093050" w:rsidRPr="00093050">
              <w:rPr>
                <w:rFonts w:cs="Arial"/>
                <w:iCs/>
                <w:color w:val="000000"/>
                <w:spacing w:val="36"/>
                <w:szCs w:val="20"/>
                <w:shd w:val="solid" w:color="000000" w:fill="000000"/>
                <w:fitText w:val="438" w:id="-1233481212"/>
                <w14:textFill>
                  <w14:solidFill>
                    <w14:srgbClr w14:val="000000">
                      <w14:alpha w14:val="100000"/>
                    </w14:srgbClr>
                  </w14:solidFill>
                </w14:textFill>
              </w:rPr>
              <w:t>|||||</w:t>
            </w:r>
            <w:r w:rsidR="00093050" w:rsidRPr="00093050">
              <w:rPr>
                <w:rFonts w:cs="Arial"/>
                <w:iCs/>
                <w:color w:val="000000"/>
                <w:spacing w:val="3"/>
                <w:szCs w:val="20"/>
                <w:shd w:val="solid" w:color="000000" w:fill="000000"/>
                <w:fitText w:val="438" w:id="-1233481212"/>
                <w14:textFill>
                  <w14:solidFill>
                    <w14:srgbClr w14:val="000000">
                      <w14:alpha w14:val="100000"/>
                    </w14:srgbClr>
                  </w14:solidFill>
                </w14:textFill>
              </w:rPr>
              <w:t>|</w:t>
            </w:r>
            <w:r w:rsidRPr="006F283B">
              <w:rPr>
                <w:rFonts w:cs="Arial"/>
                <w:iCs/>
                <w:szCs w:val="20"/>
              </w:rPr>
              <w:t xml:space="preserve"> </w:t>
            </w:r>
          </w:p>
        </w:tc>
        <w:tc>
          <w:tcPr>
            <w:tcW w:w="708" w:type="pct"/>
            <w:vAlign w:val="center"/>
          </w:tcPr>
          <w:p w14:paraId="2E55DBF3" w14:textId="682750C8" w:rsidR="00545A5C" w:rsidRPr="006F283B"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rPr>
                <w:iCs/>
              </w:rPr>
            </w:pPr>
            <w:r w:rsidRPr="006F283B">
              <w:rPr>
                <w:iCs/>
              </w:rPr>
              <w:t>$</w:t>
            </w:r>
            <w:r w:rsidR="00093050" w:rsidRPr="00093050">
              <w:rPr>
                <w:iCs/>
                <w:color w:val="000000"/>
                <w:spacing w:val="55"/>
                <w:shd w:val="solid" w:color="000000" w:fill="000000"/>
                <w:fitText w:val="238" w:id="-1233481211"/>
                <w14:textFill>
                  <w14:solidFill>
                    <w14:srgbClr w14:val="000000">
                      <w14:alpha w14:val="100000"/>
                    </w14:srgbClr>
                  </w14:solidFill>
                </w14:textFill>
              </w:rPr>
              <w:t>||</w:t>
            </w:r>
            <w:r w:rsidR="00093050" w:rsidRPr="00093050">
              <w:rPr>
                <w:iCs/>
                <w:color w:val="000000"/>
                <w:spacing w:val="1"/>
                <w:shd w:val="solid" w:color="000000" w:fill="000000"/>
                <w:fitText w:val="238" w:id="-1233481211"/>
                <w14:textFill>
                  <w14:solidFill>
                    <w14:srgbClr w14:val="000000">
                      <w14:alpha w14:val="100000"/>
                    </w14:srgbClr>
                  </w14:solidFill>
                </w14:textFill>
              </w:rPr>
              <w:t>|</w:t>
            </w:r>
          </w:p>
        </w:tc>
        <w:tc>
          <w:tcPr>
            <w:tcW w:w="786" w:type="pct"/>
            <w:vAlign w:val="center"/>
          </w:tcPr>
          <w:p w14:paraId="2EE3C5B5" w14:textId="5F5557A0" w:rsidR="00545A5C" w:rsidRPr="006F283B"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rPr>
                <w:iCs/>
              </w:rPr>
            </w:pPr>
            <w:r w:rsidRPr="006F283B">
              <w:rPr>
                <w:iCs/>
              </w:rPr>
              <w:t>0.7945</w:t>
            </w:r>
          </w:p>
        </w:tc>
        <w:tc>
          <w:tcPr>
            <w:tcW w:w="993" w:type="pct"/>
            <w:vAlign w:val="center"/>
          </w:tcPr>
          <w:p w14:paraId="73246EB8" w14:textId="5A19902D" w:rsidR="00545A5C" w:rsidRPr="00FD5F5F"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rPr>
                <w:iCs/>
                <w:vertAlign w:val="superscript"/>
              </w:rPr>
            </w:pPr>
            <w:r w:rsidRPr="006F283B">
              <w:rPr>
                <w:iCs/>
              </w:rPr>
              <w:t>$</w:t>
            </w:r>
            <w:r w:rsidR="00093050" w:rsidRPr="00093050">
              <w:rPr>
                <w:iCs/>
                <w:color w:val="000000"/>
                <w:shd w:val="solid" w:color="000000" w:fill="000000"/>
                <w14:textFill>
                  <w14:solidFill>
                    <w14:srgbClr w14:val="000000">
                      <w14:alpha w14:val="100000"/>
                    </w14:srgbClr>
                  </w14:solidFill>
                </w14:textFill>
              </w:rPr>
              <w:t>|</w:t>
            </w:r>
            <w:r w:rsidR="00FD5F5F">
              <w:rPr>
                <w:iCs/>
              </w:rPr>
              <w:t xml:space="preserve"> </w:t>
            </w:r>
            <w:r w:rsidR="00FD5F5F">
              <w:rPr>
                <w:iCs/>
                <w:vertAlign w:val="superscript"/>
              </w:rPr>
              <w:t>2</w:t>
            </w:r>
          </w:p>
        </w:tc>
      </w:tr>
      <w:tr w:rsidR="00545A5C" w:rsidRPr="006F283B" w14:paraId="651E70E5" w14:textId="77777777" w:rsidTr="00545A5C">
        <w:tc>
          <w:tcPr>
            <w:cnfStyle w:val="001000000000" w:firstRow="0" w:lastRow="0" w:firstColumn="1" w:lastColumn="0" w:oddVBand="0" w:evenVBand="0" w:oddHBand="0" w:evenHBand="0" w:firstRowFirstColumn="0" w:firstRowLastColumn="0" w:lastRowFirstColumn="0" w:lastRowLastColumn="0"/>
            <w:tcW w:w="5000" w:type="pct"/>
            <w:gridSpan w:val="4"/>
          </w:tcPr>
          <w:p w14:paraId="18D95855" w14:textId="1D8D63E9" w:rsidR="00545A5C" w:rsidRPr="006F283B" w:rsidRDefault="00545A5C" w:rsidP="0002649A">
            <w:pPr>
              <w:pStyle w:val="TableText"/>
              <w:keepNext/>
              <w:rPr>
                <w:iCs/>
              </w:rPr>
            </w:pPr>
            <w:r w:rsidRPr="006F283B">
              <w:rPr>
                <w:b/>
                <w:bCs/>
                <w:iCs/>
              </w:rPr>
              <w:t>ITT (no test) proposal: New CUA presented in PSCR (</w:t>
            </w:r>
            <w:r w:rsidR="001152C0" w:rsidRPr="001152C0">
              <w:rPr>
                <w:b/>
                <w:bCs/>
                <w:i/>
                <w:iCs/>
              </w:rPr>
              <w:t>BRCAwt</w:t>
            </w:r>
            <w:r w:rsidRPr="006F283B">
              <w:rPr>
                <w:b/>
                <w:bCs/>
                <w:iCs/>
              </w:rPr>
              <w:t xml:space="preserve"> cohort, source: PSCR Table 8)</w:t>
            </w:r>
          </w:p>
        </w:tc>
      </w:tr>
      <w:tr w:rsidR="00545A5C" w:rsidRPr="006F283B" w14:paraId="4A133F91" w14:textId="77777777" w:rsidTr="00362CF9">
        <w:tc>
          <w:tcPr>
            <w:cnfStyle w:val="001000000000" w:firstRow="0" w:lastRow="0" w:firstColumn="1" w:lastColumn="0" w:oddVBand="0" w:evenVBand="0" w:oddHBand="0" w:evenHBand="0" w:firstRowFirstColumn="0" w:firstRowLastColumn="0" w:lastRowFirstColumn="0" w:lastRowLastColumn="0"/>
            <w:tcW w:w="2513" w:type="pct"/>
            <w:vAlign w:val="center"/>
          </w:tcPr>
          <w:p w14:paraId="6CC58251" w14:textId="293FF972" w:rsidR="00545A5C" w:rsidRPr="006F283B" w:rsidRDefault="00545A5C" w:rsidP="0002649A">
            <w:pPr>
              <w:pStyle w:val="TableText"/>
              <w:keepNext/>
              <w:rPr>
                <w:iCs/>
              </w:rPr>
            </w:pPr>
            <w:r w:rsidRPr="006F283B">
              <w:rPr>
                <w:iCs/>
              </w:rPr>
              <w:t xml:space="preserve">Revised as described in paragraph </w:t>
            </w:r>
            <w:r w:rsidRPr="006F283B">
              <w:rPr>
                <w:iCs/>
              </w:rPr>
              <w:fldChar w:fldCharType="begin" w:fldLock="1"/>
            </w:r>
            <w:r w:rsidRPr="006F283B">
              <w:rPr>
                <w:iCs/>
              </w:rPr>
              <w:instrText xml:space="preserve"> REF _Ref127284110 \r \h </w:instrText>
            </w:r>
            <w:r w:rsidRPr="006F283B">
              <w:rPr>
                <w:iCs/>
              </w:rPr>
            </w:r>
            <w:r w:rsidRPr="006F283B">
              <w:rPr>
                <w:iCs/>
              </w:rPr>
              <w:fldChar w:fldCharType="separate"/>
            </w:r>
            <w:r w:rsidR="00305654">
              <w:rPr>
                <w:iCs/>
              </w:rPr>
              <w:t>6.87</w:t>
            </w:r>
            <w:r w:rsidRPr="006F283B">
              <w:rPr>
                <w:iCs/>
              </w:rPr>
              <w:fldChar w:fldCharType="end"/>
            </w:r>
            <w:r w:rsidRPr="006F283B">
              <w:rPr>
                <w:iCs/>
              </w:rPr>
              <w:t>,</w:t>
            </w:r>
            <w:r w:rsidR="008E34C5">
              <w:rPr>
                <w:iCs/>
              </w:rPr>
              <w:t xml:space="preserve"> </w:t>
            </w:r>
            <w:r w:rsidRPr="006F283B">
              <w:rPr>
                <w:rFonts w:cs="Arial"/>
                <w:iCs/>
                <w:szCs w:val="20"/>
              </w:rPr>
              <w:t>AEMP: $</w:t>
            </w:r>
            <w:r w:rsidR="00093050" w:rsidRPr="00093050">
              <w:rPr>
                <w:rFonts w:cs="Arial"/>
                <w:iCs/>
                <w:color w:val="000000"/>
                <w:spacing w:val="36"/>
                <w:szCs w:val="20"/>
                <w:shd w:val="solid" w:color="000000" w:fill="000000"/>
                <w:fitText w:val="438" w:id="-1233481210"/>
                <w14:textFill>
                  <w14:solidFill>
                    <w14:srgbClr w14:val="000000">
                      <w14:alpha w14:val="100000"/>
                    </w14:srgbClr>
                  </w14:solidFill>
                </w14:textFill>
              </w:rPr>
              <w:t>|||||</w:t>
            </w:r>
            <w:r w:rsidR="00093050" w:rsidRPr="00093050">
              <w:rPr>
                <w:rFonts w:cs="Arial"/>
                <w:iCs/>
                <w:color w:val="000000"/>
                <w:spacing w:val="3"/>
                <w:szCs w:val="20"/>
                <w:shd w:val="solid" w:color="000000" w:fill="000000"/>
                <w:fitText w:val="438" w:id="-1233481210"/>
                <w14:textFill>
                  <w14:solidFill>
                    <w14:srgbClr w14:val="000000">
                      <w14:alpha w14:val="100000"/>
                    </w14:srgbClr>
                  </w14:solidFill>
                </w14:textFill>
              </w:rPr>
              <w:t>|</w:t>
            </w:r>
            <w:r w:rsidRPr="006F283B">
              <w:rPr>
                <w:rFonts w:cs="Arial"/>
                <w:iCs/>
                <w:szCs w:val="20"/>
              </w:rPr>
              <w:t xml:space="preserve"> </w:t>
            </w:r>
          </w:p>
        </w:tc>
        <w:tc>
          <w:tcPr>
            <w:tcW w:w="708" w:type="pct"/>
            <w:vAlign w:val="center"/>
          </w:tcPr>
          <w:p w14:paraId="70253C6F" w14:textId="2325D511" w:rsidR="00545A5C" w:rsidRPr="006F283B"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rPr>
                <w:iCs/>
              </w:rPr>
            </w:pPr>
            <w:r w:rsidRPr="006F283B">
              <w:rPr>
                <w:iCs/>
              </w:rPr>
              <w:t>$</w:t>
            </w:r>
            <w:r w:rsidR="00093050" w:rsidRPr="00093050">
              <w:rPr>
                <w:iCs/>
                <w:color w:val="000000"/>
                <w:spacing w:val="55"/>
                <w:shd w:val="solid" w:color="000000" w:fill="000000"/>
                <w:fitText w:val="238" w:id="-1233481209"/>
                <w14:textFill>
                  <w14:solidFill>
                    <w14:srgbClr w14:val="000000">
                      <w14:alpha w14:val="100000"/>
                    </w14:srgbClr>
                  </w14:solidFill>
                </w14:textFill>
              </w:rPr>
              <w:t>||</w:t>
            </w:r>
            <w:r w:rsidR="00093050" w:rsidRPr="00093050">
              <w:rPr>
                <w:iCs/>
                <w:color w:val="000000"/>
                <w:spacing w:val="1"/>
                <w:shd w:val="solid" w:color="000000" w:fill="000000"/>
                <w:fitText w:val="238" w:id="-1233481209"/>
                <w14:textFill>
                  <w14:solidFill>
                    <w14:srgbClr w14:val="000000">
                      <w14:alpha w14:val="100000"/>
                    </w14:srgbClr>
                  </w14:solidFill>
                </w14:textFill>
              </w:rPr>
              <w:t>|</w:t>
            </w:r>
          </w:p>
        </w:tc>
        <w:tc>
          <w:tcPr>
            <w:tcW w:w="786" w:type="pct"/>
            <w:vAlign w:val="center"/>
          </w:tcPr>
          <w:p w14:paraId="5F8C5473" w14:textId="4965AA01" w:rsidR="00545A5C" w:rsidRPr="006F283B"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rPr>
                <w:iCs/>
              </w:rPr>
            </w:pPr>
            <w:r w:rsidRPr="006F283B">
              <w:rPr>
                <w:iCs/>
              </w:rPr>
              <w:t>0.3274</w:t>
            </w:r>
          </w:p>
        </w:tc>
        <w:tc>
          <w:tcPr>
            <w:tcW w:w="993" w:type="pct"/>
            <w:vAlign w:val="center"/>
          </w:tcPr>
          <w:p w14:paraId="2590AFCC" w14:textId="560A0A1A" w:rsidR="00545A5C" w:rsidRPr="00FD5F5F" w:rsidRDefault="00545A5C" w:rsidP="0002649A">
            <w:pPr>
              <w:pStyle w:val="TableText"/>
              <w:keepNext/>
              <w:jc w:val="center"/>
              <w:cnfStyle w:val="000000000000" w:firstRow="0" w:lastRow="0" w:firstColumn="0" w:lastColumn="0" w:oddVBand="0" w:evenVBand="0" w:oddHBand="0" w:evenHBand="0" w:firstRowFirstColumn="0" w:firstRowLastColumn="0" w:lastRowFirstColumn="0" w:lastRowLastColumn="0"/>
              <w:rPr>
                <w:iCs/>
                <w:vertAlign w:val="superscript"/>
              </w:rPr>
            </w:pPr>
            <w:r w:rsidRPr="006F283B">
              <w:rPr>
                <w:iCs/>
              </w:rPr>
              <w:t>$</w:t>
            </w:r>
            <w:r w:rsidR="00093050" w:rsidRPr="00093050">
              <w:rPr>
                <w:iCs/>
                <w:color w:val="000000"/>
                <w:shd w:val="solid" w:color="000000" w:fill="000000"/>
                <w14:textFill>
                  <w14:solidFill>
                    <w14:srgbClr w14:val="000000">
                      <w14:alpha w14:val="100000"/>
                    </w14:srgbClr>
                  </w14:solidFill>
                </w14:textFill>
              </w:rPr>
              <w:t>|</w:t>
            </w:r>
            <w:r w:rsidR="00FD5F5F">
              <w:rPr>
                <w:iCs/>
              </w:rPr>
              <w:t xml:space="preserve"> </w:t>
            </w:r>
            <w:r w:rsidR="00FD5F5F">
              <w:rPr>
                <w:iCs/>
                <w:vertAlign w:val="superscript"/>
              </w:rPr>
              <w:t>2</w:t>
            </w:r>
          </w:p>
        </w:tc>
      </w:tr>
    </w:tbl>
    <w:p w14:paraId="01FF973D" w14:textId="0401E8DD" w:rsidR="00CB2BDC" w:rsidRPr="006F283B" w:rsidRDefault="00CB2BDC" w:rsidP="00CB2BDC">
      <w:pPr>
        <w:pStyle w:val="TableFooter"/>
        <w:keepNext/>
      </w:pPr>
      <w:r w:rsidRPr="006F283B">
        <w:t>Source: Constructed during the evaluation using Zejula (niraparib) 1L HRD_non</w:t>
      </w:r>
      <w:r w:rsidR="001152C0" w:rsidRPr="001152C0">
        <w:rPr>
          <w:i/>
          <w:iCs/>
        </w:rPr>
        <w:t>BRCAm</w:t>
      </w:r>
      <w:r w:rsidRPr="006F283B">
        <w:t xml:space="preserve"> CUA.xls;</w:t>
      </w:r>
      <w:r w:rsidRPr="006F283B">
        <w:rPr>
          <w:iCs/>
        </w:rPr>
        <w:t xml:space="preserve"> PSCR Table 3 and Table 8</w:t>
      </w:r>
    </w:p>
    <w:p w14:paraId="7FCD1347" w14:textId="0B275DFD" w:rsidR="00843998" w:rsidRDefault="001152C0" w:rsidP="00C07F3A">
      <w:pPr>
        <w:pStyle w:val="TableFooter"/>
        <w:keepNext/>
        <w:spacing w:after="120"/>
      </w:pPr>
      <w:r w:rsidRPr="001152C0">
        <w:rPr>
          <w:i/>
          <w:iCs/>
        </w:rPr>
        <w:t>BRCAm</w:t>
      </w:r>
      <w:r w:rsidR="00843998" w:rsidRPr="006F283B">
        <w:t xml:space="preserve"> = breast cancer gene mutation; HR = hazard ratio; ICER = incremental cost effectiveness ratio; OS = overall survival; PFS = progression free survival; QALY = quality adjusted life year; SMM = standard medical management; TTD = time to treatment discontinuation</w:t>
      </w:r>
    </w:p>
    <w:p w14:paraId="58381E0B" w14:textId="77777777" w:rsidR="00FD5F5F" w:rsidRPr="00FD5F5F" w:rsidRDefault="00FD5F5F" w:rsidP="00FD5F5F">
      <w:pPr>
        <w:pStyle w:val="TableFooter"/>
        <w:keepNext/>
        <w:spacing w:after="120"/>
        <w:rPr>
          <w:i/>
        </w:rPr>
      </w:pPr>
      <w:r w:rsidRPr="00FD5F5F">
        <w:rPr>
          <w:i/>
        </w:rPr>
        <w:t xml:space="preserve">The redacted values correspond to the following ranges: </w:t>
      </w:r>
    </w:p>
    <w:p w14:paraId="7BE567EE" w14:textId="7C1CA9A4" w:rsidR="00FD5F5F" w:rsidRPr="00FD5F5F" w:rsidRDefault="00FD5F5F" w:rsidP="00FD5F5F">
      <w:pPr>
        <w:pStyle w:val="TableFooter"/>
        <w:keepNext/>
        <w:spacing w:after="120"/>
        <w:rPr>
          <w:i/>
        </w:rPr>
      </w:pPr>
      <w:r w:rsidRPr="00FD5F5F">
        <w:rPr>
          <w:i/>
          <w:vertAlign w:val="superscript"/>
        </w:rPr>
        <w:t>1</w:t>
      </w:r>
      <w:r w:rsidRPr="00FD5F5F">
        <w:rPr>
          <w:i/>
        </w:rPr>
        <w:t xml:space="preserve"> $55,000 to &lt; $75,000</w:t>
      </w:r>
    </w:p>
    <w:p w14:paraId="004D5AED" w14:textId="63761F05" w:rsidR="00FD5F5F" w:rsidRPr="00FD5F5F" w:rsidRDefault="00FD5F5F" w:rsidP="00C07F3A">
      <w:pPr>
        <w:pStyle w:val="TableFooter"/>
        <w:keepNext/>
        <w:spacing w:after="120"/>
        <w:rPr>
          <w:i/>
        </w:rPr>
      </w:pPr>
      <w:r w:rsidRPr="00FD5F5F">
        <w:rPr>
          <w:i/>
          <w:vertAlign w:val="superscript"/>
        </w:rPr>
        <w:t>2</w:t>
      </w:r>
      <w:r w:rsidRPr="00FD5F5F">
        <w:rPr>
          <w:i/>
        </w:rPr>
        <w:t xml:space="preserve"> </w:t>
      </w:r>
      <w:bookmarkStart w:id="147" w:name="_Hlk135208192"/>
      <w:r w:rsidRPr="00FD5F5F">
        <w:rPr>
          <w:i/>
        </w:rPr>
        <w:t>$45,000 to &lt; $55,000</w:t>
      </w:r>
      <w:bookmarkEnd w:id="147"/>
    </w:p>
    <w:p w14:paraId="5EC0149C" w14:textId="496C1B36" w:rsidR="00843998" w:rsidRPr="006F283B" w:rsidRDefault="00843998" w:rsidP="00C07F3A">
      <w:pPr>
        <w:pStyle w:val="ListParagraph"/>
        <w:spacing w:before="0" w:after="120"/>
        <w:rPr>
          <w:color w:val="auto"/>
        </w:rPr>
      </w:pPr>
      <w:bookmarkStart w:id="148" w:name="_Ref121224495"/>
      <w:r w:rsidRPr="006F283B">
        <w:rPr>
          <w:color w:val="auto"/>
        </w:rPr>
        <w:t xml:space="preserve">As discussed in paragraph </w:t>
      </w:r>
      <w:r w:rsidRPr="006F283B">
        <w:rPr>
          <w:color w:val="auto"/>
        </w:rPr>
        <w:fldChar w:fldCharType="begin" w:fldLock="1"/>
      </w:r>
      <w:r w:rsidRPr="006F283B">
        <w:rPr>
          <w:color w:val="auto"/>
        </w:rPr>
        <w:instrText xml:space="preserve"> REF _Ref121204206 \r \h </w:instrText>
      </w:r>
      <w:r w:rsidR="00E525FE" w:rsidRPr="006F283B">
        <w:rPr>
          <w:color w:val="auto"/>
        </w:rPr>
        <w:instrText xml:space="preserve"> \* MERGEFORMAT </w:instrText>
      </w:r>
      <w:r w:rsidRPr="006F283B">
        <w:rPr>
          <w:color w:val="auto"/>
        </w:rPr>
      </w:r>
      <w:r w:rsidRPr="006F283B">
        <w:rPr>
          <w:color w:val="auto"/>
        </w:rPr>
        <w:fldChar w:fldCharType="separate"/>
      </w:r>
      <w:r w:rsidR="00305654">
        <w:rPr>
          <w:color w:val="auto"/>
        </w:rPr>
        <w:t>6.24</w:t>
      </w:r>
      <w:r w:rsidRPr="006F283B">
        <w:rPr>
          <w:color w:val="auto"/>
        </w:rPr>
        <w:fldChar w:fldCharType="end"/>
      </w:r>
      <w:r w:rsidRPr="006F283B">
        <w:rPr>
          <w:color w:val="auto"/>
        </w:rPr>
        <w:t xml:space="preserve">, it may not have been appropriate to have modelled any PFS or OS difference in the HRD negative subgroup. </w:t>
      </w:r>
      <w:r w:rsidR="00545A5C" w:rsidRPr="006F283B">
        <w:rPr>
          <w:color w:val="auto"/>
        </w:rPr>
        <w:t>C</w:t>
      </w:r>
      <w:r w:rsidRPr="006F283B">
        <w:rPr>
          <w:color w:val="auto"/>
        </w:rPr>
        <w:t>ompared to the proposed scenario,</w:t>
      </w:r>
      <w:r w:rsidR="00D105AA" w:rsidRPr="006F283B">
        <w:rPr>
          <w:color w:val="auto"/>
        </w:rPr>
        <w:t xml:space="preserve"> the ‘no testing scenario’</w:t>
      </w:r>
      <w:r w:rsidRPr="006F283B">
        <w:rPr>
          <w:color w:val="auto"/>
        </w:rPr>
        <w:t xml:space="preserve"> </w:t>
      </w:r>
      <w:r w:rsidR="00210360" w:rsidRPr="006F283B">
        <w:rPr>
          <w:color w:val="auto"/>
        </w:rPr>
        <w:t>wa</w:t>
      </w:r>
      <w:r w:rsidRPr="006F283B">
        <w:rPr>
          <w:color w:val="auto"/>
        </w:rPr>
        <w:t xml:space="preserve">s more cost effective, </w:t>
      </w:r>
      <w:r w:rsidR="00210360" w:rsidRPr="006F283B">
        <w:rPr>
          <w:color w:val="auto"/>
        </w:rPr>
        <w:t xml:space="preserve">however </w:t>
      </w:r>
      <w:r w:rsidRPr="006F283B">
        <w:rPr>
          <w:color w:val="auto"/>
        </w:rPr>
        <w:t xml:space="preserve">if there is no </w:t>
      </w:r>
      <w:r w:rsidRPr="006F283B">
        <w:rPr>
          <w:color w:val="auto"/>
        </w:rPr>
        <w:lastRenderedPageBreak/>
        <w:t xml:space="preserve">clinical benefit in HRD </w:t>
      </w:r>
      <w:r w:rsidR="00210360" w:rsidRPr="006F283B">
        <w:rPr>
          <w:color w:val="auto"/>
        </w:rPr>
        <w:t xml:space="preserve">negative (HR proficient) </w:t>
      </w:r>
      <w:r w:rsidRPr="006F283B">
        <w:rPr>
          <w:color w:val="auto"/>
        </w:rPr>
        <w:t>patients, then the ICER is slightly underestimated.</w:t>
      </w:r>
      <w:bookmarkEnd w:id="148"/>
      <w:r w:rsidR="007072AC" w:rsidRPr="006F283B">
        <w:rPr>
          <w:color w:val="auto"/>
        </w:rPr>
        <w:t xml:space="preserve"> </w:t>
      </w:r>
      <w:r w:rsidR="00CA1729" w:rsidRPr="006F283B">
        <w:rPr>
          <w:iCs/>
          <w:color w:val="auto"/>
        </w:rPr>
        <w:t xml:space="preserve">The ESC </w:t>
      </w:r>
      <w:r w:rsidR="00B8111A" w:rsidRPr="006F283B">
        <w:rPr>
          <w:iCs/>
          <w:color w:val="auto"/>
        </w:rPr>
        <w:t xml:space="preserve">noted that </w:t>
      </w:r>
      <w:r w:rsidR="007072AC" w:rsidRPr="006F283B">
        <w:rPr>
          <w:iCs/>
          <w:color w:val="auto"/>
        </w:rPr>
        <w:t>if the ‘no testing scenario’ is combined with</w:t>
      </w:r>
      <w:r w:rsidR="00B8111A" w:rsidRPr="006F283B">
        <w:rPr>
          <w:iCs/>
          <w:color w:val="auto"/>
        </w:rPr>
        <w:t xml:space="preserve"> an assumption of</w:t>
      </w:r>
      <w:r w:rsidR="007072AC" w:rsidRPr="006F283B">
        <w:rPr>
          <w:iCs/>
          <w:color w:val="auto"/>
        </w:rPr>
        <w:t xml:space="preserve"> </w:t>
      </w:r>
      <w:r w:rsidR="00C63BB9" w:rsidRPr="006F283B">
        <w:rPr>
          <w:iCs/>
          <w:color w:val="auto"/>
        </w:rPr>
        <w:t>no clinical benefit in the HRD negative patients (</w:t>
      </w:r>
      <w:r w:rsidR="00B8111A" w:rsidRPr="006F283B">
        <w:rPr>
          <w:iCs/>
          <w:color w:val="auto"/>
        </w:rPr>
        <w:t xml:space="preserve">such that niraparib is </w:t>
      </w:r>
      <w:r w:rsidR="00C63BB9" w:rsidRPr="006F283B">
        <w:rPr>
          <w:iCs/>
          <w:color w:val="auto"/>
        </w:rPr>
        <w:t xml:space="preserve">available to all </w:t>
      </w:r>
      <w:r w:rsidR="00B8111A" w:rsidRPr="006F283B">
        <w:rPr>
          <w:iCs/>
          <w:color w:val="auto"/>
        </w:rPr>
        <w:t>patients, which</w:t>
      </w:r>
      <w:r w:rsidR="00C63BB9" w:rsidRPr="006F283B">
        <w:rPr>
          <w:iCs/>
          <w:color w:val="auto"/>
        </w:rPr>
        <w:t xml:space="preserve"> increase</w:t>
      </w:r>
      <w:r w:rsidR="00B8111A" w:rsidRPr="006F283B">
        <w:rPr>
          <w:iCs/>
          <w:color w:val="auto"/>
        </w:rPr>
        <w:t>s</w:t>
      </w:r>
      <w:r w:rsidR="00C63BB9" w:rsidRPr="006F283B">
        <w:rPr>
          <w:iCs/>
          <w:color w:val="auto"/>
        </w:rPr>
        <w:t xml:space="preserve"> drug costs but </w:t>
      </w:r>
      <w:r w:rsidR="00B8111A" w:rsidRPr="006F283B">
        <w:rPr>
          <w:iCs/>
          <w:color w:val="auto"/>
        </w:rPr>
        <w:t xml:space="preserve">provides </w:t>
      </w:r>
      <w:r w:rsidR="00C63BB9" w:rsidRPr="006F283B">
        <w:rPr>
          <w:iCs/>
          <w:color w:val="auto"/>
        </w:rPr>
        <w:t xml:space="preserve">no </w:t>
      </w:r>
      <w:r w:rsidR="00B8111A" w:rsidRPr="006F283B">
        <w:rPr>
          <w:iCs/>
          <w:color w:val="auto"/>
        </w:rPr>
        <w:t xml:space="preserve">additional </w:t>
      </w:r>
      <w:r w:rsidR="00C63BB9" w:rsidRPr="006F283B">
        <w:rPr>
          <w:iCs/>
          <w:color w:val="auto"/>
        </w:rPr>
        <w:t>benefit) the ICER increases to over one hundred thousand dollars</w:t>
      </w:r>
      <w:r w:rsidR="00B8111A" w:rsidRPr="006F283B">
        <w:rPr>
          <w:iCs/>
          <w:color w:val="auto"/>
        </w:rPr>
        <w:t xml:space="preserve"> per QALY</w:t>
      </w:r>
      <w:r w:rsidR="0085001B" w:rsidRPr="006F283B">
        <w:rPr>
          <w:iCs/>
          <w:color w:val="auto"/>
        </w:rPr>
        <w:t xml:space="preserve"> (</w:t>
      </w:r>
      <w:bookmarkStart w:id="149" w:name="_Hlk135208205"/>
      <w:r w:rsidR="00FD5F5F" w:rsidRPr="00FD5F5F">
        <w:rPr>
          <w:iCs/>
          <w:color w:val="auto"/>
        </w:rPr>
        <w:t>$95,000 to &lt; $115,000</w:t>
      </w:r>
      <w:bookmarkEnd w:id="149"/>
      <w:r w:rsidR="0085001B" w:rsidRPr="006F283B">
        <w:rPr>
          <w:iCs/>
          <w:color w:val="auto"/>
        </w:rPr>
        <w:t>/QALY, see table below)</w:t>
      </w:r>
      <w:r w:rsidR="00C63BB9" w:rsidRPr="006F283B">
        <w:rPr>
          <w:iCs/>
          <w:color w:val="auto"/>
        </w:rPr>
        <w:t>.</w:t>
      </w:r>
    </w:p>
    <w:p w14:paraId="09E37F1D" w14:textId="1F9D277E" w:rsidR="00843998" w:rsidRPr="006F283B" w:rsidRDefault="00CB2BDC" w:rsidP="00593A64">
      <w:pPr>
        <w:pStyle w:val="Caption"/>
      </w:pPr>
      <w:bookmarkStart w:id="150" w:name="_Ref121209018"/>
      <w:r w:rsidRPr="006F283B">
        <w:t xml:space="preserve">Table </w:t>
      </w:r>
      <w:r w:rsidR="00091054">
        <w:fldChar w:fldCharType="begin" w:fldLock="1"/>
      </w:r>
      <w:r w:rsidR="00091054">
        <w:instrText xml:space="preserve"> SEQ Table \* ARABIC </w:instrText>
      </w:r>
      <w:r w:rsidR="00091054">
        <w:fldChar w:fldCharType="separate"/>
      </w:r>
      <w:r w:rsidR="00305654">
        <w:rPr>
          <w:noProof/>
        </w:rPr>
        <w:t>20</w:t>
      </w:r>
      <w:r w:rsidR="00091054">
        <w:rPr>
          <w:noProof/>
        </w:rPr>
        <w:fldChar w:fldCharType="end"/>
      </w:r>
      <w:bookmarkEnd w:id="150"/>
      <w:r w:rsidR="00C07F3A">
        <w:t xml:space="preserve">: </w:t>
      </w:r>
      <w:r w:rsidR="00843998" w:rsidRPr="006F283B">
        <w:t>Sensitivity analyses around HRD negative and codependency assumptions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169"/>
        <w:gridCol w:w="1169"/>
        <w:gridCol w:w="1169"/>
        <w:gridCol w:w="1170"/>
      </w:tblGrid>
      <w:tr w:rsidR="00843998" w:rsidRPr="006F283B" w14:paraId="7C8E8A1B" w14:textId="77777777" w:rsidTr="004E1FEC">
        <w:trPr>
          <w:trHeight w:val="20"/>
        </w:trPr>
        <w:tc>
          <w:tcPr>
            <w:tcW w:w="4390" w:type="dxa"/>
            <w:shd w:val="clear" w:color="auto" w:fill="auto"/>
          </w:tcPr>
          <w:p w14:paraId="77903839" w14:textId="77777777" w:rsidR="00843998" w:rsidRPr="006F283B" w:rsidRDefault="00843998" w:rsidP="0066177D">
            <w:pPr>
              <w:pStyle w:val="Tabletext0"/>
              <w:keepNext/>
              <w:keepLines/>
              <w:rPr>
                <w:b/>
                <w:bCs/>
                <w:vertAlign w:val="superscript"/>
              </w:rPr>
            </w:pPr>
            <w:r w:rsidRPr="006F283B">
              <w:rPr>
                <w:b/>
                <w:bCs/>
              </w:rPr>
              <w:t>Assumptions varied</w:t>
            </w:r>
          </w:p>
        </w:tc>
        <w:tc>
          <w:tcPr>
            <w:tcW w:w="1169" w:type="dxa"/>
            <w:shd w:val="clear" w:color="auto" w:fill="auto"/>
            <w:vAlign w:val="center"/>
          </w:tcPr>
          <w:p w14:paraId="72C9E7DA" w14:textId="77777777" w:rsidR="00843998" w:rsidRPr="006F283B" w:rsidRDefault="00843998" w:rsidP="0066177D">
            <w:pPr>
              <w:pStyle w:val="Tabletext0"/>
              <w:keepNext/>
              <w:keepLines/>
              <w:jc w:val="center"/>
              <w:rPr>
                <w:b/>
                <w:bCs/>
              </w:rPr>
            </w:pPr>
            <w:r w:rsidRPr="006F283B">
              <w:rPr>
                <w:b/>
                <w:bCs/>
              </w:rPr>
              <w:t>Incremental costs</w:t>
            </w:r>
          </w:p>
        </w:tc>
        <w:tc>
          <w:tcPr>
            <w:tcW w:w="1169" w:type="dxa"/>
            <w:shd w:val="clear" w:color="auto" w:fill="auto"/>
            <w:vAlign w:val="center"/>
          </w:tcPr>
          <w:p w14:paraId="46D08DDB" w14:textId="77777777" w:rsidR="00843998" w:rsidRPr="006F283B" w:rsidRDefault="00843998" w:rsidP="0066177D">
            <w:pPr>
              <w:pStyle w:val="Tabletext0"/>
              <w:keepNext/>
              <w:keepLines/>
              <w:jc w:val="center"/>
              <w:rPr>
                <w:b/>
                <w:bCs/>
              </w:rPr>
            </w:pPr>
            <w:r w:rsidRPr="006F283B">
              <w:rPr>
                <w:b/>
                <w:bCs/>
              </w:rPr>
              <w:t>Incremental QALYs</w:t>
            </w:r>
          </w:p>
        </w:tc>
        <w:tc>
          <w:tcPr>
            <w:tcW w:w="1169" w:type="dxa"/>
            <w:shd w:val="clear" w:color="auto" w:fill="auto"/>
            <w:vAlign w:val="center"/>
          </w:tcPr>
          <w:p w14:paraId="49DEE78B" w14:textId="77777777" w:rsidR="00843998" w:rsidRPr="006F283B" w:rsidRDefault="00843998" w:rsidP="0066177D">
            <w:pPr>
              <w:pStyle w:val="In-tableHeading"/>
              <w:keepLines/>
              <w:jc w:val="center"/>
              <w:rPr>
                <w:bCs/>
                <w:lang w:val="en-AU"/>
              </w:rPr>
            </w:pPr>
            <w:r w:rsidRPr="006F283B">
              <w:rPr>
                <w:bCs/>
                <w:lang w:val="en-AU"/>
              </w:rPr>
              <w:t>ICER</w:t>
            </w:r>
          </w:p>
          <w:p w14:paraId="0765A94C" w14:textId="77777777" w:rsidR="00843998" w:rsidRPr="006F283B" w:rsidRDefault="00843998" w:rsidP="0066177D">
            <w:pPr>
              <w:pStyle w:val="In-tableHeading"/>
              <w:keepLines/>
              <w:jc w:val="center"/>
              <w:rPr>
                <w:b w:val="0"/>
                <w:bCs/>
                <w:lang w:val="en-AU"/>
              </w:rPr>
            </w:pPr>
            <w:r w:rsidRPr="006F283B">
              <w:rPr>
                <w:bCs/>
                <w:lang w:val="en-AU"/>
              </w:rPr>
              <w:t>($/QALY)</w:t>
            </w:r>
          </w:p>
        </w:tc>
        <w:tc>
          <w:tcPr>
            <w:tcW w:w="1170" w:type="dxa"/>
            <w:shd w:val="clear" w:color="auto" w:fill="auto"/>
            <w:vAlign w:val="center"/>
          </w:tcPr>
          <w:p w14:paraId="621C8E5E" w14:textId="77777777" w:rsidR="00843998" w:rsidRPr="006F283B" w:rsidRDefault="00843998" w:rsidP="0066177D">
            <w:pPr>
              <w:pStyle w:val="Tabletext0"/>
              <w:keepNext/>
              <w:keepLines/>
              <w:jc w:val="center"/>
              <w:rPr>
                <w:b/>
                <w:bCs/>
              </w:rPr>
            </w:pPr>
            <w:r w:rsidRPr="006F283B">
              <w:rPr>
                <w:b/>
                <w:bCs/>
              </w:rPr>
              <w:t>% change from base case</w:t>
            </w:r>
          </w:p>
        </w:tc>
      </w:tr>
      <w:tr w:rsidR="00843998" w:rsidRPr="006F283B" w14:paraId="7FDA344A" w14:textId="77777777" w:rsidTr="004E1FEC">
        <w:trPr>
          <w:trHeight w:val="20"/>
        </w:trPr>
        <w:tc>
          <w:tcPr>
            <w:tcW w:w="4390" w:type="dxa"/>
            <w:shd w:val="clear" w:color="auto" w:fill="auto"/>
            <w:vAlign w:val="center"/>
          </w:tcPr>
          <w:p w14:paraId="03552579" w14:textId="7C47E8B8" w:rsidR="00843998" w:rsidRPr="006F283B" w:rsidRDefault="00843998" w:rsidP="0066177D">
            <w:pPr>
              <w:pStyle w:val="Tabletext0"/>
              <w:keepNext/>
              <w:keepLines/>
              <w:rPr>
                <w:b/>
                <w:bCs/>
              </w:rPr>
            </w:pPr>
            <w:r w:rsidRPr="006F283B">
              <w:rPr>
                <w:b/>
                <w:bCs/>
              </w:rPr>
              <w:t xml:space="preserve">Base case (respecified: </w:t>
            </w:r>
            <w:r w:rsidR="001152C0" w:rsidRPr="001152C0">
              <w:rPr>
                <w:b/>
                <w:bCs/>
                <w:i/>
                <w:iCs/>
              </w:rPr>
              <w:t>BRCAm</w:t>
            </w:r>
            <w:r w:rsidRPr="006F283B">
              <w:rPr>
                <w:b/>
                <w:bCs/>
              </w:rPr>
              <w:t xml:space="preserve"> test = $1,000; chemotherapy costs updated, no half cycle correction)</w:t>
            </w:r>
          </w:p>
        </w:tc>
        <w:tc>
          <w:tcPr>
            <w:tcW w:w="1169" w:type="dxa"/>
            <w:shd w:val="clear" w:color="auto" w:fill="auto"/>
            <w:vAlign w:val="center"/>
          </w:tcPr>
          <w:p w14:paraId="748B4994" w14:textId="6C7EE792" w:rsidR="00843998" w:rsidRPr="006F283B" w:rsidRDefault="00843998" w:rsidP="0066177D">
            <w:pPr>
              <w:pStyle w:val="Tabletext0"/>
              <w:keepNext/>
              <w:keepLines/>
              <w:jc w:val="center"/>
              <w:rPr>
                <w:b/>
                <w:bCs/>
              </w:rPr>
            </w:pPr>
            <w:r w:rsidRPr="006F283B">
              <w:rPr>
                <w:rFonts w:eastAsiaTheme="majorEastAsia"/>
                <w:b/>
                <w:bCs/>
              </w:rPr>
              <w:t>$</w:t>
            </w:r>
            <w:r w:rsidR="00093050" w:rsidRPr="0063757D">
              <w:rPr>
                <w:rFonts w:eastAsiaTheme="majorEastAsia"/>
                <w:b/>
                <w:bCs/>
                <w:color w:val="000000"/>
                <w:spacing w:val="47"/>
                <w:shd w:val="solid" w:color="000000" w:fill="000000"/>
                <w:fitText w:val="326" w:id="-1233481208"/>
                <w14:textFill>
                  <w14:solidFill>
                    <w14:srgbClr w14:val="000000">
                      <w14:alpha w14:val="100000"/>
                    </w14:srgbClr>
                  </w14:solidFill>
                </w14:textFill>
              </w:rPr>
              <w:t>|||</w:t>
            </w:r>
            <w:r w:rsidR="00093050" w:rsidRPr="0063757D">
              <w:rPr>
                <w:rFonts w:eastAsiaTheme="majorEastAsia"/>
                <w:b/>
                <w:bCs/>
                <w:color w:val="000000"/>
                <w:spacing w:val="2"/>
                <w:shd w:val="solid" w:color="000000" w:fill="000000"/>
                <w:fitText w:val="326" w:id="-1233481208"/>
                <w14:textFill>
                  <w14:solidFill>
                    <w14:srgbClr w14:val="000000">
                      <w14:alpha w14:val="100000"/>
                    </w14:srgbClr>
                  </w14:solidFill>
                </w14:textFill>
              </w:rPr>
              <w:t>|</w:t>
            </w:r>
          </w:p>
        </w:tc>
        <w:tc>
          <w:tcPr>
            <w:tcW w:w="1169" w:type="dxa"/>
            <w:shd w:val="clear" w:color="auto" w:fill="auto"/>
            <w:vAlign w:val="center"/>
          </w:tcPr>
          <w:p w14:paraId="1E929C92" w14:textId="77777777" w:rsidR="00843998" w:rsidRPr="006F283B" w:rsidRDefault="00843998" w:rsidP="0066177D">
            <w:pPr>
              <w:pStyle w:val="Tabletext0"/>
              <w:keepNext/>
              <w:keepLines/>
              <w:jc w:val="center"/>
              <w:rPr>
                <w:b/>
                <w:bCs/>
              </w:rPr>
            </w:pPr>
            <w:r w:rsidRPr="006F283B">
              <w:rPr>
                <w:rFonts w:eastAsiaTheme="majorEastAsia"/>
                <w:b/>
                <w:bCs/>
              </w:rPr>
              <w:t>0.7294</w:t>
            </w:r>
          </w:p>
        </w:tc>
        <w:tc>
          <w:tcPr>
            <w:tcW w:w="1169" w:type="dxa"/>
            <w:shd w:val="clear" w:color="auto" w:fill="auto"/>
            <w:vAlign w:val="center"/>
          </w:tcPr>
          <w:p w14:paraId="798D4382" w14:textId="29E5411E" w:rsidR="00843998" w:rsidRPr="00CF3804" w:rsidRDefault="00843998" w:rsidP="0066177D">
            <w:pPr>
              <w:pStyle w:val="Tabletext0"/>
              <w:keepNext/>
              <w:keepLines/>
              <w:jc w:val="center"/>
              <w:rPr>
                <w:b/>
                <w:bCs/>
                <w:vertAlign w:val="superscript"/>
              </w:rPr>
            </w:pPr>
            <w:r w:rsidRPr="006F283B">
              <w:rPr>
                <w:rFonts w:eastAsiaTheme="majorEastAsia"/>
                <w:b/>
                <w:bCs/>
              </w:rPr>
              <w:t>$</w:t>
            </w:r>
            <w:r w:rsidR="00093050" w:rsidRPr="00093050">
              <w:rPr>
                <w:rFonts w:eastAsiaTheme="majorEastAsia"/>
                <w:b/>
                <w:bCs/>
                <w:color w:val="000000"/>
                <w:spacing w:val="68"/>
                <w:shd w:val="solid" w:color="000000" w:fill="000000"/>
                <w:fitText w:val="388" w:id="-1233481207"/>
                <w14:textFill>
                  <w14:solidFill>
                    <w14:srgbClr w14:val="000000">
                      <w14:alpha w14:val="100000"/>
                    </w14:srgbClr>
                  </w14:solidFill>
                </w14:textFill>
              </w:rPr>
              <w:t>|||</w:t>
            </w:r>
            <w:r w:rsidR="00093050" w:rsidRPr="00093050">
              <w:rPr>
                <w:rFonts w:eastAsiaTheme="majorEastAsia"/>
                <w:b/>
                <w:bCs/>
                <w:color w:val="000000"/>
                <w:spacing w:val="1"/>
                <w:shd w:val="solid" w:color="000000" w:fill="000000"/>
                <w:fitText w:val="388" w:id="-1233481207"/>
                <w14:textFill>
                  <w14:solidFill>
                    <w14:srgbClr w14:val="000000">
                      <w14:alpha w14:val="100000"/>
                    </w14:srgbClr>
                  </w14:solidFill>
                </w14:textFill>
              </w:rPr>
              <w:t>|</w:t>
            </w:r>
            <w:r w:rsidR="00CF3804">
              <w:rPr>
                <w:rFonts w:eastAsiaTheme="majorEastAsia"/>
                <w:b/>
                <w:bCs/>
              </w:rPr>
              <w:t xml:space="preserve"> </w:t>
            </w:r>
            <w:r w:rsidR="00CF3804">
              <w:rPr>
                <w:rFonts w:eastAsiaTheme="majorEastAsia"/>
                <w:b/>
                <w:bCs/>
                <w:vertAlign w:val="superscript"/>
              </w:rPr>
              <w:t>1</w:t>
            </w:r>
          </w:p>
        </w:tc>
        <w:tc>
          <w:tcPr>
            <w:tcW w:w="1170" w:type="dxa"/>
            <w:shd w:val="clear" w:color="auto" w:fill="auto"/>
            <w:vAlign w:val="center"/>
          </w:tcPr>
          <w:p w14:paraId="3B63D474" w14:textId="77777777" w:rsidR="00843998" w:rsidRPr="006F283B" w:rsidRDefault="00843998" w:rsidP="0066177D">
            <w:pPr>
              <w:pStyle w:val="Tabletext0"/>
              <w:keepNext/>
              <w:keepLines/>
              <w:jc w:val="center"/>
              <w:rPr>
                <w:b/>
                <w:bCs/>
              </w:rPr>
            </w:pPr>
            <w:r w:rsidRPr="006F283B">
              <w:rPr>
                <w:b/>
                <w:bCs/>
              </w:rPr>
              <w:t>-</w:t>
            </w:r>
          </w:p>
        </w:tc>
      </w:tr>
      <w:tr w:rsidR="00843998" w:rsidRPr="006F283B" w14:paraId="4D6F1E9A" w14:textId="77777777" w:rsidTr="004E1FEC">
        <w:trPr>
          <w:trHeight w:val="20"/>
        </w:trPr>
        <w:tc>
          <w:tcPr>
            <w:tcW w:w="4390" w:type="dxa"/>
            <w:shd w:val="clear" w:color="auto" w:fill="auto"/>
            <w:vAlign w:val="center"/>
          </w:tcPr>
          <w:p w14:paraId="7114E607" w14:textId="77777777" w:rsidR="00843998" w:rsidRPr="006F283B" w:rsidRDefault="00843998" w:rsidP="0066177D">
            <w:pPr>
              <w:pStyle w:val="Tabletext0"/>
              <w:keepNext/>
              <w:keepLines/>
              <w:rPr>
                <w:vertAlign w:val="superscript"/>
              </w:rPr>
            </w:pPr>
            <w:r w:rsidRPr="006F283B">
              <w:t xml:space="preserve">No difference in OS or PFS between the treatment arms for HRD negative patients </w:t>
            </w:r>
            <w:r w:rsidRPr="006F283B">
              <w:rPr>
                <w:vertAlign w:val="superscript"/>
              </w:rPr>
              <w:t>a</w:t>
            </w:r>
          </w:p>
        </w:tc>
        <w:tc>
          <w:tcPr>
            <w:tcW w:w="1169" w:type="dxa"/>
            <w:shd w:val="clear" w:color="auto" w:fill="auto"/>
            <w:vAlign w:val="center"/>
          </w:tcPr>
          <w:p w14:paraId="49C99127" w14:textId="04CAF326" w:rsidR="00843998" w:rsidRPr="006F283B" w:rsidRDefault="00843998" w:rsidP="0066177D">
            <w:pPr>
              <w:pStyle w:val="Tabletext0"/>
              <w:keepNext/>
              <w:keepLines/>
              <w:jc w:val="center"/>
            </w:pPr>
            <w:r w:rsidRPr="006F283B">
              <w:t>$</w:t>
            </w:r>
            <w:r w:rsidR="00093050" w:rsidRPr="0063757D">
              <w:rPr>
                <w:color w:val="000000"/>
                <w:spacing w:val="189"/>
                <w:shd w:val="solid" w:color="000000" w:fill="000000"/>
                <w:fitText w:val="275" w:id="-1233481206"/>
                <w14:textFill>
                  <w14:solidFill>
                    <w14:srgbClr w14:val="000000">
                      <w14:alpha w14:val="100000"/>
                    </w14:srgbClr>
                  </w14:solidFill>
                </w14:textFill>
              </w:rPr>
              <w:t>|</w:t>
            </w:r>
            <w:r w:rsidR="00093050" w:rsidRPr="0063757D">
              <w:rPr>
                <w:color w:val="000000"/>
                <w:shd w:val="solid" w:color="000000" w:fill="000000"/>
                <w:fitText w:val="275" w:id="-1233481206"/>
                <w14:textFill>
                  <w14:solidFill>
                    <w14:srgbClr w14:val="000000">
                      <w14:alpha w14:val="100000"/>
                    </w14:srgbClr>
                  </w14:solidFill>
                </w14:textFill>
              </w:rPr>
              <w:t>|</w:t>
            </w:r>
          </w:p>
        </w:tc>
        <w:tc>
          <w:tcPr>
            <w:tcW w:w="1169" w:type="dxa"/>
            <w:shd w:val="clear" w:color="auto" w:fill="auto"/>
            <w:vAlign w:val="center"/>
          </w:tcPr>
          <w:p w14:paraId="54D273B0" w14:textId="77777777" w:rsidR="00843998" w:rsidRPr="006F283B" w:rsidRDefault="00843998" w:rsidP="0066177D">
            <w:pPr>
              <w:pStyle w:val="Tabletext0"/>
              <w:keepNext/>
              <w:keepLines/>
              <w:jc w:val="center"/>
            </w:pPr>
            <w:r w:rsidRPr="006F283B">
              <w:t>0.7087</w:t>
            </w:r>
          </w:p>
        </w:tc>
        <w:tc>
          <w:tcPr>
            <w:tcW w:w="1169" w:type="dxa"/>
            <w:shd w:val="clear" w:color="auto" w:fill="auto"/>
            <w:vAlign w:val="center"/>
          </w:tcPr>
          <w:p w14:paraId="28ACFDB5" w14:textId="403F2C86" w:rsidR="00843998" w:rsidRPr="00CF3804" w:rsidRDefault="00843998" w:rsidP="0066177D">
            <w:pPr>
              <w:pStyle w:val="Tabletext0"/>
              <w:keepNext/>
              <w:keepLines/>
              <w:jc w:val="center"/>
              <w:rPr>
                <w:vertAlign w:val="superscript"/>
              </w:rPr>
            </w:pPr>
            <w:r w:rsidRPr="006F283B">
              <w:t>$</w:t>
            </w:r>
            <w:r w:rsidR="00093050" w:rsidRPr="00093050">
              <w:rPr>
                <w:color w:val="000000"/>
                <w:spacing w:val="55"/>
                <w:shd w:val="solid" w:color="000000" w:fill="000000"/>
                <w:fitText w:val="338" w:id="-1233481205"/>
                <w14:textFill>
                  <w14:solidFill>
                    <w14:srgbClr w14:val="000000">
                      <w14:alpha w14:val="100000"/>
                    </w14:srgbClr>
                  </w14:solidFill>
                </w14:textFill>
              </w:rPr>
              <w:t>|||</w:t>
            </w:r>
            <w:r w:rsidR="00093050" w:rsidRPr="00093050">
              <w:rPr>
                <w:color w:val="000000"/>
                <w:spacing w:val="3"/>
                <w:shd w:val="solid" w:color="000000" w:fill="000000"/>
                <w:fitText w:val="338" w:id="-1233481205"/>
                <w14:textFill>
                  <w14:solidFill>
                    <w14:srgbClr w14:val="000000">
                      <w14:alpha w14:val="100000"/>
                    </w14:srgbClr>
                  </w14:solidFill>
                </w14:textFill>
              </w:rPr>
              <w:t>|</w:t>
            </w:r>
            <w:r w:rsidR="00CF3804">
              <w:t xml:space="preserve"> </w:t>
            </w:r>
            <w:r w:rsidR="00CF3804">
              <w:rPr>
                <w:vertAlign w:val="superscript"/>
              </w:rPr>
              <w:t>1</w:t>
            </w:r>
          </w:p>
        </w:tc>
        <w:tc>
          <w:tcPr>
            <w:tcW w:w="1170" w:type="dxa"/>
            <w:shd w:val="clear" w:color="auto" w:fill="auto"/>
            <w:vAlign w:val="center"/>
          </w:tcPr>
          <w:p w14:paraId="0F8DC945" w14:textId="77777777" w:rsidR="00843998" w:rsidRPr="006F283B" w:rsidRDefault="00843998" w:rsidP="0066177D">
            <w:pPr>
              <w:pStyle w:val="Tabletext0"/>
              <w:keepNext/>
              <w:keepLines/>
              <w:jc w:val="center"/>
            </w:pPr>
            <w:r w:rsidRPr="006F283B">
              <w:t>+2.66%</w:t>
            </w:r>
          </w:p>
        </w:tc>
      </w:tr>
      <w:tr w:rsidR="00843998" w:rsidRPr="006F283B" w14:paraId="72CE5BF0" w14:textId="77777777" w:rsidTr="004E1FEC">
        <w:trPr>
          <w:trHeight w:val="20"/>
        </w:trPr>
        <w:tc>
          <w:tcPr>
            <w:tcW w:w="4390" w:type="dxa"/>
            <w:shd w:val="clear" w:color="auto" w:fill="auto"/>
            <w:vAlign w:val="center"/>
          </w:tcPr>
          <w:p w14:paraId="3AF5DF2D" w14:textId="77777777" w:rsidR="00843998" w:rsidRPr="006F283B" w:rsidRDefault="00843998" w:rsidP="0066177D">
            <w:pPr>
              <w:pStyle w:val="Tabletext0"/>
              <w:keepNext/>
              <w:keepLines/>
              <w:rPr>
                <w:vertAlign w:val="superscript"/>
              </w:rPr>
            </w:pPr>
            <w:r w:rsidRPr="006F283B">
              <w:t xml:space="preserve">‘No testing’ scenario (HRD test cost = $0 and % treated with niraparib = 100%) </w:t>
            </w:r>
            <w:r w:rsidRPr="006F283B">
              <w:rPr>
                <w:vertAlign w:val="superscript"/>
              </w:rPr>
              <w:t>b</w:t>
            </w:r>
          </w:p>
        </w:tc>
        <w:tc>
          <w:tcPr>
            <w:tcW w:w="1169" w:type="dxa"/>
            <w:shd w:val="clear" w:color="auto" w:fill="auto"/>
            <w:vAlign w:val="center"/>
          </w:tcPr>
          <w:p w14:paraId="057F840A" w14:textId="433D8F2A" w:rsidR="00843998" w:rsidRPr="006F283B" w:rsidRDefault="00843998" w:rsidP="0066177D">
            <w:pPr>
              <w:pStyle w:val="Tabletext0"/>
              <w:keepNext/>
              <w:keepLines/>
              <w:jc w:val="center"/>
            </w:pPr>
            <w:r w:rsidRPr="006F283B">
              <w:t>$</w:t>
            </w:r>
            <w:r w:rsidR="00093050" w:rsidRPr="0063757D">
              <w:rPr>
                <w:color w:val="000000"/>
                <w:spacing w:val="189"/>
                <w:shd w:val="solid" w:color="000000" w:fill="000000"/>
                <w:fitText w:val="275" w:id="-1233481204"/>
                <w14:textFill>
                  <w14:solidFill>
                    <w14:srgbClr w14:val="000000">
                      <w14:alpha w14:val="100000"/>
                    </w14:srgbClr>
                  </w14:solidFill>
                </w14:textFill>
              </w:rPr>
              <w:t>|</w:t>
            </w:r>
            <w:r w:rsidR="00093050" w:rsidRPr="0063757D">
              <w:rPr>
                <w:color w:val="000000"/>
                <w:shd w:val="solid" w:color="000000" w:fill="000000"/>
                <w:fitText w:val="275" w:id="-1233481204"/>
                <w14:textFill>
                  <w14:solidFill>
                    <w14:srgbClr w14:val="000000">
                      <w14:alpha w14:val="100000"/>
                    </w14:srgbClr>
                  </w14:solidFill>
                </w14:textFill>
              </w:rPr>
              <w:t>|</w:t>
            </w:r>
          </w:p>
        </w:tc>
        <w:tc>
          <w:tcPr>
            <w:tcW w:w="1169" w:type="dxa"/>
            <w:shd w:val="clear" w:color="auto" w:fill="auto"/>
            <w:vAlign w:val="center"/>
          </w:tcPr>
          <w:p w14:paraId="07F91A13" w14:textId="77777777" w:rsidR="00843998" w:rsidRPr="006F283B" w:rsidRDefault="00843998" w:rsidP="0066177D">
            <w:pPr>
              <w:pStyle w:val="Tabletext0"/>
              <w:keepNext/>
              <w:keepLines/>
              <w:jc w:val="center"/>
            </w:pPr>
            <w:r w:rsidRPr="006F283B">
              <w:t>0.5088</w:t>
            </w:r>
          </w:p>
        </w:tc>
        <w:tc>
          <w:tcPr>
            <w:tcW w:w="1169" w:type="dxa"/>
            <w:shd w:val="clear" w:color="auto" w:fill="auto"/>
            <w:vAlign w:val="center"/>
          </w:tcPr>
          <w:p w14:paraId="7A6A0558" w14:textId="6D84A026" w:rsidR="00843998" w:rsidRPr="006F283B" w:rsidRDefault="00843998" w:rsidP="0066177D">
            <w:pPr>
              <w:pStyle w:val="Tabletext0"/>
              <w:keepNext/>
              <w:keepLines/>
              <w:jc w:val="center"/>
            </w:pPr>
            <w:r w:rsidRPr="006F283B">
              <w:t>$</w:t>
            </w:r>
            <w:r w:rsidR="00093050" w:rsidRPr="00093050">
              <w:rPr>
                <w:color w:val="000000"/>
                <w:spacing w:val="55"/>
                <w:shd w:val="solid" w:color="000000" w:fill="000000"/>
                <w:fitText w:val="338" w:id="-1233481203"/>
                <w14:textFill>
                  <w14:solidFill>
                    <w14:srgbClr w14:val="000000">
                      <w14:alpha w14:val="100000"/>
                    </w14:srgbClr>
                  </w14:solidFill>
                </w14:textFill>
              </w:rPr>
              <w:t>|||</w:t>
            </w:r>
            <w:r w:rsidR="00093050" w:rsidRPr="00093050">
              <w:rPr>
                <w:color w:val="000000"/>
                <w:spacing w:val="3"/>
                <w:shd w:val="solid" w:color="000000" w:fill="000000"/>
                <w:fitText w:val="338" w:id="-1233481203"/>
                <w14:textFill>
                  <w14:solidFill>
                    <w14:srgbClr w14:val="000000">
                      <w14:alpha w14:val="100000"/>
                    </w14:srgbClr>
                  </w14:solidFill>
                </w14:textFill>
              </w:rPr>
              <w:t>|</w:t>
            </w:r>
            <w:r w:rsidR="00CF3804">
              <w:t xml:space="preserve"> </w:t>
            </w:r>
            <w:r w:rsidR="00CF3804">
              <w:rPr>
                <w:vertAlign w:val="superscript"/>
              </w:rPr>
              <w:t>1</w:t>
            </w:r>
          </w:p>
        </w:tc>
        <w:tc>
          <w:tcPr>
            <w:tcW w:w="1170" w:type="dxa"/>
            <w:shd w:val="clear" w:color="auto" w:fill="auto"/>
            <w:vAlign w:val="center"/>
          </w:tcPr>
          <w:p w14:paraId="505BF4E2" w14:textId="77777777" w:rsidR="00843998" w:rsidRPr="006F283B" w:rsidRDefault="00843998" w:rsidP="0066177D">
            <w:pPr>
              <w:pStyle w:val="Tabletext0"/>
              <w:keepNext/>
              <w:keepLines/>
              <w:jc w:val="center"/>
            </w:pPr>
            <w:r w:rsidRPr="006F283B">
              <w:t>-15.02%</w:t>
            </w:r>
          </w:p>
        </w:tc>
      </w:tr>
      <w:tr w:rsidR="00843998" w:rsidRPr="006F283B" w14:paraId="6D70D1B8" w14:textId="77777777" w:rsidTr="004E1FEC">
        <w:trPr>
          <w:trHeight w:val="20"/>
        </w:trPr>
        <w:tc>
          <w:tcPr>
            <w:tcW w:w="4390" w:type="dxa"/>
            <w:shd w:val="clear" w:color="auto" w:fill="auto"/>
            <w:vAlign w:val="center"/>
          </w:tcPr>
          <w:p w14:paraId="71A9FE38" w14:textId="33548801" w:rsidR="00843998" w:rsidRPr="006F283B" w:rsidRDefault="00843998" w:rsidP="0066177D">
            <w:pPr>
              <w:pStyle w:val="Tabletext0"/>
              <w:keepNext/>
              <w:keepLines/>
              <w:rPr>
                <w:vertAlign w:val="superscript"/>
              </w:rPr>
            </w:pPr>
            <w:r w:rsidRPr="006F283B">
              <w:t>No difference in OS or PFS between the treatment arms for HRD negative patients and ‘no testing’ scenario</w:t>
            </w:r>
          </w:p>
        </w:tc>
        <w:tc>
          <w:tcPr>
            <w:tcW w:w="1169" w:type="dxa"/>
            <w:shd w:val="clear" w:color="auto" w:fill="auto"/>
            <w:vAlign w:val="center"/>
          </w:tcPr>
          <w:p w14:paraId="218AAA40" w14:textId="0B5B7156" w:rsidR="00843998" w:rsidRPr="006F283B" w:rsidRDefault="00843998" w:rsidP="0066177D">
            <w:pPr>
              <w:pStyle w:val="Tabletext0"/>
              <w:keepNext/>
              <w:keepLines/>
              <w:jc w:val="center"/>
            </w:pPr>
            <w:r w:rsidRPr="006F283B">
              <w:t>$</w:t>
            </w:r>
            <w:r w:rsidR="00093050" w:rsidRPr="0063757D">
              <w:rPr>
                <w:color w:val="000000"/>
                <w:spacing w:val="189"/>
                <w:shd w:val="solid" w:color="000000" w:fill="000000"/>
                <w:fitText w:val="275" w:id="-1233481202"/>
                <w14:textFill>
                  <w14:solidFill>
                    <w14:srgbClr w14:val="000000">
                      <w14:alpha w14:val="100000"/>
                    </w14:srgbClr>
                  </w14:solidFill>
                </w14:textFill>
              </w:rPr>
              <w:t>|</w:t>
            </w:r>
            <w:r w:rsidR="00093050" w:rsidRPr="0063757D">
              <w:rPr>
                <w:color w:val="000000"/>
                <w:shd w:val="solid" w:color="000000" w:fill="000000"/>
                <w:fitText w:val="275" w:id="-1233481202"/>
                <w14:textFill>
                  <w14:solidFill>
                    <w14:srgbClr w14:val="000000">
                      <w14:alpha w14:val="100000"/>
                    </w14:srgbClr>
                  </w14:solidFill>
                </w14:textFill>
              </w:rPr>
              <w:t>|</w:t>
            </w:r>
          </w:p>
        </w:tc>
        <w:tc>
          <w:tcPr>
            <w:tcW w:w="1169" w:type="dxa"/>
            <w:shd w:val="clear" w:color="auto" w:fill="auto"/>
            <w:vAlign w:val="center"/>
          </w:tcPr>
          <w:p w14:paraId="5FB20F1F" w14:textId="77777777" w:rsidR="00843998" w:rsidRPr="006F283B" w:rsidRDefault="00843998" w:rsidP="0066177D">
            <w:pPr>
              <w:pStyle w:val="Tabletext0"/>
              <w:keepNext/>
              <w:keepLines/>
              <w:jc w:val="center"/>
            </w:pPr>
            <w:r w:rsidRPr="006F283B">
              <w:t>0.2774</w:t>
            </w:r>
          </w:p>
        </w:tc>
        <w:tc>
          <w:tcPr>
            <w:tcW w:w="1169" w:type="dxa"/>
            <w:shd w:val="clear" w:color="auto" w:fill="auto"/>
            <w:vAlign w:val="center"/>
          </w:tcPr>
          <w:p w14:paraId="4CFB091A" w14:textId="738BF2F9" w:rsidR="00843998" w:rsidRPr="006F283B" w:rsidRDefault="00843998" w:rsidP="0066177D">
            <w:pPr>
              <w:pStyle w:val="Tabletext0"/>
              <w:keepNext/>
              <w:keepLines/>
              <w:jc w:val="center"/>
            </w:pPr>
            <w:r w:rsidRPr="006F283B">
              <w:t>$</w:t>
            </w:r>
            <w:r w:rsidR="00093050" w:rsidRPr="00093050">
              <w:rPr>
                <w:color w:val="000000"/>
                <w:spacing w:val="55"/>
                <w:shd w:val="solid" w:color="000000" w:fill="000000"/>
                <w:fitText w:val="338" w:id="-1233481201"/>
                <w14:textFill>
                  <w14:solidFill>
                    <w14:srgbClr w14:val="000000">
                      <w14:alpha w14:val="100000"/>
                    </w14:srgbClr>
                  </w14:solidFill>
                </w14:textFill>
              </w:rPr>
              <w:t>|||</w:t>
            </w:r>
            <w:r w:rsidR="00093050" w:rsidRPr="00093050">
              <w:rPr>
                <w:color w:val="000000"/>
                <w:spacing w:val="3"/>
                <w:shd w:val="solid" w:color="000000" w:fill="000000"/>
                <w:fitText w:val="338" w:id="-1233481201"/>
                <w14:textFill>
                  <w14:solidFill>
                    <w14:srgbClr w14:val="000000">
                      <w14:alpha w14:val="100000"/>
                    </w14:srgbClr>
                  </w14:solidFill>
                </w14:textFill>
              </w:rPr>
              <w:t>|</w:t>
            </w:r>
            <w:r w:rsidR="00CF3804">
              <w:t xml:space="preserve"> </w:t>
            </w:r>
            <w:r w:rsidR="00CF3804">
              <w:rPr>
                <w:vertAlign w:val="superscript"/>
              </w:rPr>
              <w:t>2</w:t>
            </w:r>
          </w:p>
        </w:tc>
        <w:tc>
          <w:tcPr>
            <w:tcW w:w="1170" w:type="dxa"/>
            <w:shd w:val="clear" w:color="auto" w:fill="auto"/>
            <w:vAlign w:val="center"/>
          </w:tcPr>
          <w:p w14:paraId="5599196A" w14:textId="77777777" w:rsidR="00843998" w:rsidRPr="006F283B" w:rsidRDefault="00843998" w:rsidP="0066177D">
            <w:pPr>
              <w:pStyle w:val="Tabletext0"/>
              <w:keepNext/>
              <w:keepLines/>
              <w:jc w:val="center"/>
            </w:pPr>
            <w:r w:rsidRPr="006F283B">
              <w:t>+48.69%</w:t>
            </w:r>
          </w:p>
        </w:tc>
      </w:tr>
    </w:tbl>
    <w:p w14:paraId="0D8957DE" w14:textId="42274400" w:rsidR="00CB2BDC" w:rsidRPr="006F283B" w:rsidRDefault="00CB2BDC" w:rsidP="00CB2BDC">
      <w:pPr>
        <w:pStyle w:val="TableFooter"/>
        <w:keepNext/>
        <w:keepLines/>
      </w:pPr>
      <w:r w:rsidRPr="006F283B">
        <w:t>Source: Constructed during the evaluation using Zejula (niraparib) 1L HRD_non</w:t>
      </w:r>
      <w:r w:rsidR="001152C0" w:rsidRPr="001152C0">
        <w:rPr>
          <w:i/>
          <w:iCs/>
        </w:rPr>
        <w:t>BRCAm</w:t>
      </w:r>
      <w:r w:rsidRPr="006F283B">
        <w:t xml:space="preserve"> CUA.xls.</w:t>
      </w:r>
    </w:p>
    <w:p w14:paraId="1C2A745C" w14:textId="7F83D4E1" w:rsidR="00843998" w:rsidRPr="006F283B" w:rsidRDefault="00843998" w:rsidP="0066177D">
      <w:pPr>
        <w:keepNext/>
        <w:keepLines/>
        <w:spacing w:before="0" w:after="0"/>
        <w:rPr>
          <w:rFonts w:ascii="Arial Narrow" w:hAnsi="Arial Narrow"/>
          <w:sz w:val="18"/>
          <w:szCs w:val="18"/>
        </w:rPr>
      </w:pPr>
      <w:r w:rsidRPr="006F283B">
        <w:rPr>
          <w:rFonts w:ascii="Arial Narrow" w:hAnsi="Arial Narrow"/>
          <w:sz w:val="18"/>
          <w:szCs w:val="18"/>
          <w:vertAlign w:val="superscript"/>
        </w:rPr>
        <w:t>a</w:t>
      </w:r>
      <w:r w:rsidRPr="006F283B">
        <w:rPr>
          <w:rFonts w:ascii="Arial Narrow" w:hAnsi="Arial Narrow"/>
          <w:sz w:val="18"/>
          <w:szCs w:val="18"/>
        </w:rPr>
        <w:t xml:space="preserve"> ratio of HRD positive </w:t>
      </w:r>
      <w:r w:rsidR="001152C0" w:rsidRPr="001152C0">
        <w:rPr>
          <w:rFonts w:ascii="Arial Narrow" w:hAnsi="Arial Narrow"/>
          <w:i/>
          <w:iCs/>
          <w:sz w:val="18"/>
          <w:szCs w:val="18"/>
        </w:rPr>
        <w:t>BRCAwt</w:t>
      </w:r>
      <w:r w:rsidRPr="006F283B">
        <w:rPr>
          <w:rFonts w:ascii="Arial Narrow" w:hAnsi="Arial Narrow"/>
          <w:sz w:val="18"/>
          <w:szCs w:val="18"/>
        </w:rPr>
        <w:t xml:space="preserve"> (94.43%) to HRD negative (5.57%)</w:t>
      </w:r>
      <w:r w:rsidR="00210360" w:rsidRPr="006F283B">
        <w:rPr>
          <w:rFonts w:ascii="Arial Narrow" w:hAnsi="Arial Narrow"/>
          <w:sz w:val="18"/>
          <w:szCs w:val="18"/>
        </w:rPr>
        <w:t xml:space="preserve"> </w:t>
      </w:r>
      <w:r w:rsidRPr="006F283B">
        <w:rPr>
          <w:rFonts w:ascii="Arial Narrow" w:hAnsi="Arial Narrow"/>
          <w:sz w:val="18"/>
          <w:szCs w:val="18"/>
        </w:rPr>
        <w:t>unchanged from base case</w:t>
      </w:r>
    </w:p>
    <w:p w14:paraId="23BEB248" w14:textId="0A087E84" w:rsidR="00843998" w:rsidRDefault="00843998" w:rsidP="00CF3804">
      <w:pPr>
        <w:keepNext/>
        <w:keepLines/>
        <w:spacing w:before="0" w:after="0"/>
        <w:rPr>
          <w:rFonts w:ascii="Arial Narrow" w:hAnsi="Arial Narrow"/>
          <w:sz w:val="18"/>
          <w:szCs w:val="18"/>
        </w:rPr>
      </w:pPr>
      <w:r w:rsidRPr="006F283B">
        <w:rPr>
          <w:rFonts w:ascii="Arial Narrow" w:hAnsi="Arial Narrow"/>
          <w:sz w:val="18"/>
          <w:szCs w:val="18"/>
          <w:vertAlign w:val="superscript"/>
        </w:rPr>
        <w:t>b</w:t>
      </w:r>
      <w:r w:rsidRPr="006F283B">
        <w:rPr>
          <w:rFonts w:ascii="Arial Narrow" w:hAnsi="Arial Narrow"/>
          <w:sz w:val="18"/>
          <w:szCs w:val="18"/>
        </w:rPr>
        <w:t xml:space="preserve"> ratio of HRD positive </w:t>
      </w:r>
      <w:r w:rsidR="001152C0" w:rsidRPr="001152C0">
        <w:rPr>
          <w:rFonts w:ascii="Arial Narrow" w:hAnsi="Arial Narrow"/>
          <w:i/>
          <w:iCs/>
          <w:sz w:val="18"/>
          <w:szCs w:val="18"/>
        </w:rPr>
        <w:t>BRCAwt</w:t>
      </w:r>
      <w:r w:rsidRPr="006F283B">
        <w:rPr>
          <w:rFonts w:ascii="Arial Narrow" w:hAnsi="Arial Narrow"/>
          <w:sz w:val="18"/>
          <w:szCs w:val="18"/>
        </w:rPr>
        <w:t xml:space="preserve"> (37.59%) to HRD negative (62.41%) reflects prevalence </w:t>
      </w:r>
    </w:p>
    <w:p w14:paraId="2D588A44" w14:textId="77777777" w:rsidR="00CF3804" w:rsidRPr="00CF3804" w:rsidRDefault="00CF3804" w:rsidP="00CF3804">
      <w:pPr>
        <w:spacing w:before="0" w:after="0"/>
        <w:jc w:val="left"/>
        <w:rPr>
          <w:rFonts w:ascii="Arial Narrow" w:eastAsia="Times New Roman" w:hAnsi="Arial Narrow" w:cs="Arial"/>
          <w:i/>
          <w:sz w:val="18"/>
          <w:szCs w:val="18"/>
          <w:lang w:eastAsia="en-AU"/>
        </w:rPr>
      </w:pPr>
      <w:bookmarkStart w:id="151" w:name="_Hlk135208682"/>
      <w:r w:rsidRPr="00CF3804">
        <w:rPr>
          <w:rFonts w:ascii="Arial Narrow" w:eastAsia="Times New Roman" w:hAnsi="Arial Narrow" w:cs="Arial"/>
          <w:i/>
          <w:sz w:val="18"/>
          <w:szCs w:val="18"/>
          <w:lang w:eastAsia="en-AU"/>
        </w:rPr>
        <w:t xml:space="preserve">The redacted values correspond to the following ranges: </w:t>
      </w:r>
    </w:p>
    <w:p w14:paraId="38BD13BE" w14:textId="501D6B7F" w:rsidR="00CF3804" w:rsidRPr="00CF3804" w:rsidRDefault="00CF3804" w:rsidP="00CF3804">
      <w:pPr>
        <w:spacing w:before="0" w:after="0"/>
        <w:jc w:val="left"/>
        <w:rPr>
          <w:rFonts w:ascii="Arial Narrow" w:eastAsia="Times New Roman" w:hAnsi="Arial Narrow" w:cs="Arial"/>
          <w:i/>
          <w:sz w:val="18"/>
          <w:szCs w:val="18"/>
          <w:lang w:eastAsia="en-AU"/>
        </w:rPr>
      </w:pPr>
      <w:r w:rsidRPr="00CF3804">
        <w:rPr>
          <w:rFonts w:ascii="Arial Narrow" w:eastAsia="Times New Roman" w:hAnsi="Arial Narrow" w:cs="Arial"/>
          <w:i/>
          <w:sz w:val="18"/>
          <w:szCs w:val="18"/>
          <w:vertAlign w:val="superscript"/>
          <w:lang w:eastAsia="en-AU"/>
        </w:rPr>
        <w:t>1</w:t>
      </w:r>
      <w:r w:rsidRPr="00CF3804">
        <w:rPr>
          <w:rFonts w:ascii="Arial Narrow" w:eastAsia="Times New Roman" w:hAnsi="Arial Narrow" w:cs="Arial"/>
          <w:i/>
          <w:sz w:val="18"/>
          <w:szCs w:val="18"/>
          <w:lang w:eastAsia="en-AU"/>
        </w:rPr>
        <w:t xml:space="preserve"> $55,000 to &lt; $75,000</w:t>
      </w:r>
    </w:p>
    <w:p w14:paraId="02EA3272" w14:textId="4C1B582D" w:rsidR="00CF3804" w:rsidRPr="00CF3804" w:rsidRDefault="00CF3804" w:rsidP="00CF3804">
      <w:pPr>
        <w:spacing w:before="0" w:after="120"/>
        <w:jc w:val="left"/>
        <w:rPr>
          <w:rFonts w:ascii="Arial Narrow" w:eastAsia="Times New Roman" w:hAnsi="Arial Narrow" w:cs="Arial"/>
          <w:i/>
          <w:sz w:val="18"/>
          <w:szCs w:val="18"/>
          <w:lang w:eastAsia="en-AU"/>
        </w:rPr>
      </w:pPr>
      <w:r w:rsidRPr="00CF3804">
        <w:rPr>
          <w:rFonts w:ascii="Arial Narrow" w:eastAsia="Times New Roman" w:hAnsi="Arial Narrow" w:cs="Arial"/>
          <w:i/>
          <w:sz w:val="18"/>
          <w:szCs w:val="18"/>
          <w:vertAlign w:val="superscript"/>
          <w:lang w:eastAsia="en-AU"/>
        </w:rPr>
        <w:t>2</w:t>
      </w:r>
      <w:r w:rsidRPr="00CF3804">
        <w:rPr>
          <w:rFonts w:ascii="Arial Narrow" w:eastAsia="Times New Roman" w:hAnsi="Arial Narrow" w:cs="Arial"/>
          <w:i/>
          <w:sz w:val="18"/>
          <w:szCs w:val="18"/>
          <w:lang w:eastAsia="en-AU"/>
        </w:rPr>
        <w:t xml:space="preserve"> </w:t>
      </w:r>
      <w:bookmarkEnd w:id="151"/>
      <w:r w:rsidRPr="00CF3804">
        <w:rPr>
          <w:rFonts w:ascii="Arial Narrow" w:eastAsia="Times New Roman" w:hAnsi="Arial Narrow" w:cs="Arial"/>
          <w:i/>
          <w:sz w:val="18"/>
          <w:szCs w:val="18"/>
          <w:lang w:eastAsia="en-AU"/>
        </w:rPr>
        <w:t>$95,000 to &lt; $115,000</w:t>
      </w:r>
    </w:p>
    <w:p w14:paraId="17888F88" w14:textId="17B97EF7" w:rsidR="00026F23" w:rsidRPr="006F283B" w:rsidRDefault="00362A26" w:rsidP="00C07F3A">
      <w:pPr>
        <w:pStyle w:val="ListParagraph"/>
        <w:spacing w:before="0" w:after="120"/>
        <w:rPr>
          <w:iCs/>
          <w:color w:val="auto"/>
        </w:rPr>
      </w:pPr>
      <w:bookmarkStart w:id="152" w:name="_Ref127295295"/>
      <w:r w:rsidRPr="006F283B">
        <w:rPr>
          <w:iCs/>
          <w:color w:val="auto"/>
        </w:rPr>
        <w:t>The ESCs agreed with the evaluation</w:t>
      </w:r>
      <w:r w:rsidR="00026F23" w:rsidRPr="006F283B">
        <w:rPr>
          <w:iCs/>
          <w:color w:val="auto"/>
        </w:rPr>
        <w:t xml:space="preserve"> that there were significant issues with the submission’s approach to estimating the OS HR in the economic model (see paragraph </w:t>
      </w:r>
      <w:r w:rsidR="00026F23" w:rsidRPr="006F283B">
        <w:rPr>
          <w:iCs/>
          <w:color w:val="auto"/>
        </w:rPr>
        <w:fldChar w:fldCharType="begin" w:fldLock="1"/>
      </w:r>
      <w:r w:rsidR="00026F23" w:rsidRPr="006F283B">
        <w:rPr>
          <w:iCs/>
          <w:color w:val="auto"/>
        </w:rPr>
        <w:instrText xml:space="preserve"> REF _Ref121208485 \r \h  \* MERGEFORMAT </w:instrText>
      </w:r>
      <w:r w:rsidR="00026F23" w:rsidRPr="006F283B">
        <w:rPr>
          <w:iCs/>
          <w:color w:val="auto"/>
        </w:rPr>
      </w:r>
      <w:r w:rsidR="00026F23" w:rsidRPr="006F283B">
        <w:rPr>
          <w:iCs/>
          <w:color w:val="auto"/>
        </w:rPr>
        <w:fldChar w:fldCharType="separate"/>
      </w:r>
      <w:r w:rsidR="00305654">
        <w:rPr>
          <w:iCs/>
          <w:color w:val="auto"/>
        </w:rPr>
        <w:t>6.66</w:t>
      </w:r>
      <w:r w:rsidR="00026F23" w:rsidRPr="006F283B">
        <w:rPr>
          <w:iCs/>
          <w:color w:val="auto"/>
        </w:rPr>
        <w:fldChar w:fldCharType="end"/>
      </w:r>
      <w:r w:rsidR="00026F23" w:rsidRPr="006F283B">
        <w:rPr>
          <w:iCs/>
          <w:color w:val="auto"/>
        </w:rPr>
        <w:t>)</w:t>
      </w:r>
      <w:r w:rsidR="00FD3B75" w:rsidRPr="006F283B">
        <w:rPr>
          <w:iCs/>
          <w:color w:val="auto"/>
        </w:rPr>
        <w:t>, which are likely to make it unreliable for decision-making. The ESCs considered</w:t>
      </w:r>
      <w:r w:rsidR="00026F23" w:rsidRPr="006F283B">
        <w:rPr>
          <w:iCs/>
        </w:rPr>
        <w:t xml:space="preserve"> that a revised model </w:t>
      </w:r>
      <w:r w:rsidR="00992244" w:rsidRPr="006F283B">
        <w:rPr>
          <w:iCs/>
        </w:rPr>
        <w:t>should include</w:t>
      </w:r>
      <w:r w:rsidR="0085001B" w:rsidRPr="006F283B">
        <w:rPr>
          <w:iCs/>
        </w:rPr>
        <w:t xml:space="preserve"> </w:t>
      </w:r>
      <w:r w:rsidR="00026F23" w:rsidRPr="006F283B">
        <w:rPr>
          <w:iCs/>
        </w:rPr>
        <w:t>extrapolation of OS trial data</w:t>
      </w:r>
      <w:r w:rsidR="0085001B" w:rsidRPr="006F283B">
        <w:rPr>
          <w:iCs/>
        </w:rPr>
        <w:t>, applying conservative assumptions</w:t>
      </w:r>
      <w:r w:rsidR="00026F23" w:rsidRPr="006F283B">
        <w:rPr>
          <w:iCs/>
        </w:rPr>
        <w:t xml:space="preserve"> rather than ad hoc use of PFS:OS ratio from another drug/trial</w:t>
      </w:r>
      <w:r w:rsidR="0085001B" w:rsidRPr="006F283B">
        <w:rPr>
          <w:iCs/>
        </w:rPr>
        <w:t xml:space="preserve">. </w:t>
      </w:r>
      <w:r w:rsidR="00026F23" w:rsidRPr="006F283B">
        <w:rPr>
          <w:iCs/>
        </w:rPr>
        <w:t xml:space="preserve">In addition, the </w:t>
      </w:r>
      <w:proofErr w:type="gramStart"/>
      <w:r w:rsidR="00026F23" w:rsidRPr="006F283B">
        <w:rPr>
          <w:iCs/>
        </w:rPr>
        <w:t xml:space="preserve">ESCs </w:t>
      </w:r>
      <w:r w:rsidR="00C07F3A">
        <w:rPr>
          <w:iCs/>
        </w:rPr>
        <w:t xml:space="preserve"> </w:t>
      </w:r>
      <w:r w:rsidR="00026F23" w:rsidRPr="006F283B">
        <w:rPr>
          <w:iCs/>
        </w:rPr>
        <w:t>advised</w:t>
      </w:r>
      <w:proofErr w:type="gramEnd"/>
      <w:r w:rsidR="00026F23" w:rsidRPr="006F283B">
        <w:rPr>
          <w:iCs/>
        </w:rPr>
        <w:t xml:space="preserve"> that </w:t>
      </w:r>
      <w:r w:rsidR="00FD3B75" w:rsidRPr="006F283B">
        <w:rPr>
          <w:iCs/>
        </w:rPr>
        <w:t xml:space="preserve">it may be informative for </w:t>
      </w:r>
      <w:r w:rsidR="00026F23" w:rsidRPr="006F283B">
        <w:rPr>
          <w:iCs/>
        </w:rPr>
        <w:t xml:space="preserve">the comparator in the model </w:t>
      </w:r>
      <w:r w:rsidR="00FD3B75" w:rsidRPr="006F283B">
        <w:rPr>
          <w:iCs/>
        </w:rPr>
        <w:t>to</w:t>
      </w:r>
      <w:r w:rsidR="00026F23" w:rsidRPr="006F283B">
        <w:rPr>
          <w:iCs/>
        </w:rPr>
        <w:t xml:space="preserve"> be revised to include </w:t>
      </w:r>
      <w:r w:rsidR="001F68AF" w:rsidRPr="006F283B">
        <w:rPr>
          <w:iCs/>
        </w:rPr>
        <w:t xml:space="preserve">the near-market comparator </w:t>
      </w:r>
      <w:r w:rsidR="00026F23" w:rsidRPr="006F283B">
        <w:rPr>
          <w:iCs/>
        </w:rPr>
        <w:t xml:space="preserve">olaparib + bevacizumab, </w:t>
      </w:r>
      <w:r w:rsidR="00FD3B75" w:rsidRPr="006F283B">
        <w:rPr>
          <w:iCs/>
        </w:rPr>
        <w:t xml:space="preserve">noting that this would capture any differences in outcomes for patients </w:t>
      </w:r>
      <w:r w:rsidR="00992244" w:rsidRPr="006F283B">
        <w:rPr>
          <w:iCs/>
        </w:rPr>
        <w:t>treated with olaparib + bevacizumab compared with niraparib.</w:t>
      </w:r>
      <w:r w:rsidR="0085001B" w:rsidRPr="006F283B">
        <w:rPr>
          <w:iCs/>
        </w:rPr>
        <w:t xml:space="preserve"> However, the ESCs acknowledged that this may also be associated with considerable uncertainty given the limitations of the available data.</w:t>
      </w:r>
      <w:r w:rsidR="00992244" w:rsidRPr="006F283B">
        <w:rPr>
          <w:iCs/>
        </w:rPr>
        <w:t xml:space="preserve"> The ESC considered that </w:t>
      </w:r>
      <w:bookmarkEnd w:id="152"/>
      <w:r w:rsidR="00FD3B75" w:rsidRPr="006F283B">
        <w:rPr>
          <w:iCs/>
        </w:rPr>
        <w:t>revis</w:t>
      </w:r>
      <w:r w:rsidR="00992244" w:rsidRPr="006F283B">
        <w:rPr>
          <w:iCs/>
        </w:rPr>
        <w:t>ions to the</w:t>
      </w:r>
      <w:r w:rsidR="00FD3B75" w:rsidRPr="006F283B">
        <w:rPr>
          <w:iCs/>
        </w:rPr>
        <w:t xml:space="preserve"> model to allow for estimation of cost effectiveness in </w:t>
      </w:r>
      <w:r w:rsidR="001152C0" w:rsidRPr="001152C0">
        <w:rPr>
          <w:i/>
          <w:iCs/>
        </w:rPr>
        <w:t>BRCAm</w:t>
      </w:r>
      <w:r w:rsidR="00FD3B75" w:rsidRPr="006F283B">
        <w:rPr>
          <w:iCs/>
        </w:rPr>
        <w:t xml:space="preserve"> patients </w:t>
      </w:r>
      <w:r w:rsidR="00992244" w:rsidRPr="006F283B">
        <w:rPr>
          <w:iCs/>
        </w:rPr>
        <w:t>may also be informative</w:t>
      </w:r>
      <w:r w:rsidR="00FD3B75" w:rsidRPr="006F283B">
        <w:rPr>
          <w:iCs/>
        </w:rPr>
        <w:t>.</w:t>
      </w:r>
    </w:p>
    <w:p w14:paraId="018A0B44" w14:textId="46D102D2" w:rsidR="0001324C" w:rsidRPr="006F283B" w:rsidRDefault="0001324C" w:rsidP="00C07F3A">
      <w:pPr>
        <w:spacing w:before="0" w:after="120"/>
        <w:rPr>
          <w:b/>
          <w:bCs/>
        </w:rPr>
      </w:pPr>
      <w:r w:rsidRPr="006F283B">
        <w:rPr>
          <w:b/>
          <w:bCs/>
        </w:rPr>
        <w:t>Cost minimisation analysis of niraparib vs olaparib</w:t>
      </w:r>
    </w:p>
    <w:p w14:paraId="75FE2785" w14:textId="6172B970" w:rsidR="00795DF2" w:rsidRPr="006F283B" w:rsidRDefault="00545A5C" w:rsidP="00C07F3A">
      <w:pPr>
        <w:pStyle w:val="ListParagraph"/>
        <w:spacing w:before="0" w:after="120"/>
        <w:rPr>
          <w:b/>
          <w:iCs/>
        </w:rPr>
      </w:pPr>
      <w:r w:rsidRPr="006F283B">
        <w:rPr>
          <w:color w:val="auto"/>
        </w:rPr>
        <w:t xml:space="preserve">In addition to the CUA, a cost minimisation approach (CMA) for niraparib versus the near-market comparator olaparib was presented for the scenario where a positive PBAC recommendation for olaparib was received. </w:t>
      </w:r>
      <w:r w:rsidR="00795DF2" w:rsidRPr="006F283B">
        <w:rPr>
          <w:color w:val="auto"/>
        </w:rPr>
        <w:t>The CMA us</w:t>
      </w:r>
      <w:r w:rsidRPr="006F283B">
        <w:rPr>
          <w:color w:val="auto"/>
        </w:rPr>
        <w:t>ed</w:t>
      </w:r>
      <w:r w:rsidR="00795DF2" w:rsidRPr="006F283B">
        <w:rPr>
          <w:color w:val="auto"/>
        </w:rPr>
        <w:t xml:space="preserve"> the published ex-manufacturer price for olaparib. The details are shown in the table below.</w:t>
      </w:r>
      <w:r w:rsidR="00992244" w:rsidRPr="006F283B">
        <w:rPr>
          <w:color w:val="auto"/>
        </w:rPr>
        <w:t xml:space="preserve"> </w:t>
      </w:r>
    </w:p>
    <w:p w14:paraId="6390B170" w14:textId="2FCB6054" w:rsidR="00795DF2" w:rsidRPr="006F283B" w:rsidRDefault="00CB2BDC" w:rsidP="00593A64">
      <w:pPr>
        <w:pStyle w:val="Caption"/>
      </w:pPr>
      <w:bookmarkStart w:id="153" w:name="_Ref130506185"/>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21</w:t>
      </w:r>
      <w:r w:rsidR="00091054">
        <w:rPr>
          <w:noProof/>
        </w:rPr>
        <w:fldChar w:fldCharType="end"/>
      </w:r>
      <w:bookmarkEnd w:id="153"/>
      <w:r w:rsidR="00C07F3A">
        <w:t xml:space="preserve">: </w:t>
      </w:r>
      <w:r w:rsidR="00795DF2" w:rsidRPr="006F283B">
        <w:t>Cost-minimisation per course of treatment</w:t>
      </w:r>
    </w:p>
    <w:tbl>
      <w:tblPr>
        <w:tblStyle w:val="ASDTable1"/>
        <w:tblW w:w="0" w:type="auto"/>
        <w:tblLook w:val="04A0" w:firstRow="1" w:lastRow="0" w:firstColumn="1" w:lastColumn="0" w:noHBand="0" w:noVBand="1"/>
      </w:tblPr>
      <w:tblGrid>
        <w:gridCol w:w="676"/>
        <w:gridCol w:w="3714"/>
        <w:gridCol w:w="1275"/>
        <w:gridCol w:w="3351"/>
      </w:tblGrid>
      <w:tr w:rsidR="0062279A" w:rsidRPr="006F283B" w14:paraId="70A99823" w14:textId="77777777" w:rsidTr="00285A5B">
        <w:tc>
          <w:tcPr>
            <w:tcW w:w="676" w:type="dxa"/>
            <w:vAlign w:val="center"/>
          </w:tcPr>
          <w:p w14:paraId="40F40A34" w14:textId="77777777" w:rsidR="00795DF2" w:rsidRPr="006F283B" w:rsidRDefault="00795DF2" w:rsidP="00992244">
            <w:pPr>
              <w:pStyle w:val="Tabletext0"/>
              <w:keepNext/>
              <w:keepLines/>
              <w:rPr>
                <w:b/>
                <w:bCs/>
              </w:rPr>
            </w:pPr>
            <w:r w:rsidRPr="006F283B">
              <w:rPr>
                <w:b/>
                <w:bCs/>
              </w:rPr>
              <w:t>Row</w:t>
            </w:r>
          </w:p>
        </w:tc>
        <w:tc>
          <w:tcPr>
            <w:tcW w:w="3714" w:type="dxa"/>
            <w:vAlign w:val="center"/>
          </w:tcPr>
          <w:p w14:paraId="6D3831AC" w14:textId="77777777" w:rsidR="00795DF2" w:rsidRPr="006F283B" w:rsidRDefault="00795DF2" w:rsidP="00992244">
            <w:pPr>
              <w:pStyle w:val="Tabletext0"/>
              <w:keepNext/>
              <w:keepLines/>
              <w:rPr>
                <w:b/>
                <w:bCs/>
              </w:rPr>
            </w:pPr>
            <w:r w:rsidRPr="006F283B">
              <w:rPr>
                <w:b/>
                <w:bCs/>
              </w:rPr>
              <w:t>Parameter</w:t>
            </w:r>
          </w:p>
        </w:tc>
        <w:tc>
          <w:tcPr>
            <w:tcW w:w="1275" w:type="dxa"/>
            <w:vAlign w:val="center"/>
          </w:tcPr>
          <w:p w14:paraId="1FD689F3" w14:textId="77777777" w:rsidR="00795DF2" w:rsidRPr="006F283B" w:rsidRDefault="00795DF2" w:rsidP="00992244">
            <w:pPr>
              <w:pStyle w:val="Tabletext0"/>
              <w:keepNext/>
              <w:keepLines/>
              <w:jc w:val="center"/>
              <w:rPr>
                <w:b/>
                <w:bCs/>
              </w:rPr>
            </w:pPr>
            <w:r w:rsidRPr="006F283B">
              <w:rPr>
                <w:b/>
                <w:bCs/>
              </w:rPr>
              <w:t>Input</w:t>
            </w:r>
          </w:p>
        </w:tc>
        <w:tc>
          <w:tcPr>
            <w:tcW w:w="3351" w:type="dxa"/>
            <w:vAlign w:val="center"/>
          </w:tcPr>
          <w:p w14:paraId="0476E980" w14:textId="77777777" w:rsidR="00795DF2" w:rsidRPr="006F283B" w:rsidRDefault="00795DF2" w:rsidP="00992244">
            <w:pPr>
              <w:pStyle w:val="Tabletext0"/>
              <w:keepNext/>
              <w:keepLines/>
              <w:jc w:val="center"/>
              <w:rPr>
                <w:b/>
                <w:bCs/>
              </w:rPr>
            </w:pPr>
            <w:r w:rsidRPr="006F283B">
              <w:rPr>
                <w:b/>
                <w:bCs/>
              </w:rPr>
              <w:t>Source / calculation</w:t>
            </w:r>
          </w:p>
        </w:tc>
      </w:tr>
      <w:tr w:rsidR="0062279A" w:rsidRPr="006F283B" w14:paraId="3E440A72" w14:textId="77777777" w:rsidTr="00285A5B">
        <w:tc>
          <w:tcPr>
            <w:tcW w:w="676" w:type="dxa"/>
            <w:vAlign w:val="center"/>
          </w:tcPr>
          <w:p w14:paraId="54554D91" w14:textId="77777777" w:rsidR="00795DF2" w:rsidRPr="006F283B" w:rsidRDefault="00795DF2" w:rsidP="00992244">
            <w:pPr>
              <w:pStyle w:val="Tabletext0"/>
              <w:keepNext/>
              <w:keepLines/>
            </w:pPr>
          </w:p>
        </w:tc>
        <w:tc>
          <w:tcPr>
            <w:tcW w:w="3714" w:type="dxa"/>
            <w:vAlign w:val="center"/>
          </w:tcPr>
          <w:p w14:paraId="678DA39E" w14:textId="77777777" w:rsidR="00795DF2" w:rsidRPr="006F283B" w:rsidRDefault="00795DF2" w:rsidP="00992244">
            <w:pPr>
              <w:pStyle w:val="Tabletext0"/>
              <w:keepNext/>
              <w:keepLines/>
              <w:rPr>
                <w:b/>
                <w:bCs/>
              </w:rPr>
            </w:pPr>
            <w:r w:rsidRPr="006F283B">
              <w:rPr>
                <w:b/>
                <w:bCs/>
              </w:rPr>
              <w:t>Olaparib</w:t>
            </w:r>
          </w:p>
        </w:tc>
        <w:tc>
          <w:tcPr>
            <w:tcW w:w="1275" w:type="dxa"/>
            <w:vAlign w:val="center"/>
          </w:tcPr>
          <w:p w14:paraId="3FCACC79" w14:textId="77777777" w:rsidR="00795DF2" w:rsidRPr="006F283B" w:rsidRDefault="00795DF2" w:rsidP="00992244">
            <w:pPr>
              <w:pStyle w:val="Tabletext0"/>
              <w:keepNext/>
              <w:keepLines/>
              <w:jc w:val="center"/>
            </w:pPr>
          </w:p>
        </w:tc>
        <w:tc>
          <w:tcPr>
            <w:tcW w:w="3351" w:type="dxa"/>
            <w:vAlign w:val="center"/>
          </w:tcPr>
          <w:p w14:paraId="62132342" w14:textId="77777777" w:rsidR="00795DF2" w:rsidRPr="006F283B" w:rsidRDefault="00795DF2" w:rsidP="00992244">
            <w:pPr>
              <w:pStyle w:val="Tabletext0"/>
              <w:keepNext/>
              <w:keepLines/>
              <w:jc w:val="center"/>
            </w:pPr>
          </w:p>
        </w:tc>
      </w:tr>
      <w:tr w:rsidR="0062279A" w:rsidRPr="006F283B" w14:paraId="7E996A88" w14:textId="77777777" w:rsidTr="00285A5B">
        <w:tc>
          <w:tcPr>
            <w:tcW w:w="676" w:type="dxa"/>
            <w:vAlign w:val="center"/>
          </w:tcPr>
          <w:p w14:paraId="14AD2152" w14:textId="77777777" w:rsidR="00795DF2" w:rsidRPr="006F283B" w:rsidRDefault="00795DF2" w:rsidP="00992244">
            <w:pPr>
              <w:pStyle w:val="Tabletext0"/>
              <w:keepNext/>
              <w:keepLines/>
            </w:pPr>
            <w:r w:rsidRPr="006F283B">
              <w:t>A</w:t>
            </w:r>
          </w:p>
        </w:tc>
        <w:tc>
          <w:tcPr>
            <w:tcW w:w="3714" w:type="dxa"/>
            <w:vAlign w:val="center"/>
          </w:tcPr>
          <w:p w14:paraId="50E4019B" w14:textId="77777777" w:rsidR="00795DF2" w:rsidRPr="006F283B" w:rsidRDefault="00795DF2" w:rsidP="00992244">
            <w:pPr>
              <w:pStyle w:val="Tabletext0"/>
              <w:keepNext/>
              <w:keepLines/>
            </w:pPr>
            <w:r w:rsidRPr="006F283B">
              <w:t>AEMP per script</w:t>
            </w:r>
          </w:p>
        </w:tc>
        <w:tc>
          <w:tcPr>
            <w:tcW w:w="1275" w:type="dxa"/>
            <w:vAlign w:val="center"/>
          </w:tcPr>
          <w:p w14:paraId="561E87B3" w14:textId="77777777" w:rsidR="00795DF2" w:rsidRPr="006F283B" w:rsidRDefault="00795DF2" w:rsidP="00992244">
            <w:pPr>
              <w:pStyle w:val="Tabletext0"/>
              <w:keepNext/>
              <w:keepLines/>
              <w:jc w:val="center"/>
              <w:rPr>
                <w:iCs/>
              </w:rPr>
            </w:pPr>
            <w:r w:rsidRPr="006F283B">
              <w:rPr>
                <w:iCs/>
              </w:rPr>
              <w:t>$6,469.50</w:t>
            </w:r>
          </w:p>
        </w:tc>
        <w:tc>
          <w:tcPr>
            <w:tcW w:w="3351" w:type="dxa"/>
            <w:vAlign w:val="center"/>
          </w:tcPr>
          <w:p w14:paraId="6C48C98C" w14:textId="77777777" w:rsidR="00795DF2" w:rsidRPr="006F283B" w:rsidRDefault="00795DF2" w:rsidP="00992244">
            <w:pPr>
              <w:pStyle w:val="Tabletext0"/>
              <w:keepNext/>
              <w:keepLines/>
              <w:jc w:val="center"/>
            </w:pPr>
            <w:r w:rsidRPr="006F283B">
              <w:t>PBS list price</w:t>
            </w:r>
          </w:p>
        </w:tc>
      </w:tr>
      <w:tr w:rsidR="0062279A" w:rsidRPr="006F283B" w14:paraId="2C4148F6" w14:textId="77777777" w:rsidTr="00285A5B">
        <w:tc>
          <w:tcPr>
            <w:tcW w:w="676" w:type="dxa"/>
            <w:vAlign w:val="center"/>
          </w:tcPr>
          <w:p w14:paraId="38376E87" w14:textId="77777777" w:rsidR="00795DF2" w:rsidRPr="006F283B" w:rsidRDefault="00795DF2" w:rsidP="00992244">
            <w:pPr>
              <w:pStyle w:val="Tabletext0"/>
              <w:keepNext/>
              <w:keepLines/>
            </w:pPr>
            <w:r w:rsidRPr="006F283B">
              <w:t>B</w:t>
            </w:r>
          </w:p>
        </w:tc>
        <w:tc>
          <w:tcPr>
            <w:tcW w:w="3714" w:type="dxa"/>
            <w:vAlign w:val="center"/>
          </w:tcPr>
          <w:p w14:paraId="4197F288" w14:textId="77777777" w:rsidR="00795DF2" w:rsidRPr="006F283B" w:rsidRDefault="00795DF2" w:rsidP="00992244">
            <w:pPr>
              <w:pStyle w:val="Tabletext0"/>
              <w:keepNext/>
              <w:keepLines/>
            </w:pPr>
            <w:r w:rsidRPr="006F283B">
              <w:t>Packs per script</w:t>
            </w:r>
          </w:p>
        </w:tc>
        <w:tc>
          <w:tcPr>
            <w:tcW w:w="1275" w:type="dxa"/>
            <w:vAlign w:val="center"/>
          </w:tcPr>
          <w:p w14:paraId="7D401BCD" w14:textId="77777777" w:rsidR="00795DF2" w:rsidRPr="006F283B" w:rsidRDefault="00795DF2" w:rsidP="00992244">
            <w:pPr>
              <w:pStyle w:val="Tabletext0"/>
              <w:keepNext/>
              <w:keepLines/>
              <w:jc w:val="center"/>
            </w:pPr>
            <w:r w:rsidRPr="006F283B">
              <w:t>2</w:t>
            </w:r>
          </w:p>
        </w:tc>
        <w:tc>
          <w:tcPr>
            <w:tcW w:w="3351" w:type="dxa"/>
            <w:vMerge w:val="restart"/>
            <w:vAlign w:val="center"/>
          </w:tcPr>
          <w:p w14:paraId="1F7783DB" w14:textId="77777777" w:rsidR="00795DF2" w:rsidRPr="006F283B" w:rsidRDefault="00795DF2" w:rsidP="00992244">
            <w:pPr>
              <w:pStyle w:val="Tabletext0"/>
              <w:keepNext/>
              <w:keepLines/>
              <w:jc w:val="center"/>
            </w:pPr>
            <w:r w:rsidRPr="006F283B">
              <w:t>By definition</w:t>
            </w:r>
          </w:p>
        </w:tc>
      </w:tr>
      <w:tr w:rsidR="0062279A" w:rsidRPr="006F283B" w14:paraId="62947944" w14:textId="77777777" w:rsidTr="00285A5B">
        <w:tc>
          <w:tcPr>
            <w:tcW w:w="676" w:type="dxa"/>
            <w:vAlign w:val="center"/>
          </w:tcPr>
          <w:p w14:paraId="6CE4B448" w14:textId="77777777" w:rsidR="00795DF2" w:rsidRPr="006F283B" w:rsidRDefault="00795DF2" w:rsidP="00992244">
            <w:pPr>
              <w:pStyle w:val="Tabletext0"/>
              <w:keepNext/>
              <w:keepLines/>
            </w:pPr>
            <w:r w:rsidRPr="006F283B">
              <w:t>C</w:t>
            </w:r>
          </w:p>
        </w:tc>
        <w:tc>
          <w:tcPr>
            <w:tcW w:w="3714" w:type="dxa"/>
            <w:vAlign w:val="center"/>
          </w:tcPr>
          <w:p w14:paraId="1CE50FA4" w14:textId="77777777" w:rsidR="00795DF2" w:rsidRPr="006F283B" w:rsidRDefault="00795DF2" w:rsidP="00992244">
            <w:pPr>
              <w:pStyle w:val="Tabletext0"/>
              <w:keepNext/>
              <w:keepLines/>
            </w:pPr>
            <w:r w:rsidRPr="006F283B">
              <w:t>Tablets per pack</w:t>
            </w:r>
          </w:p>
        </w:tc>
        <w:tc>
          <w:tcPr>
            <w:tcW w:w="1275" w:type="dxa"/>
            <w:vAlign w:val="center"/>
          </w:tcPr>
          <w:p w14:paraId="1A95C632" w14:textId="77777777" w:rsidR="00795DF2" w:rsidRPr="006F283B" w:rsidRDefault="00795DF2" w:rsidP="00992244">
            <w:pPr>
              <w:pStyle w:val="Tabletext0"/>
              <w:keepNext/>
              <w:keepLines/>
              <w:jc w:val="center"/>
            </w:pPr>
            <w:r w:rsidRPr="006F283B">
              <w:t>56</w:t>
            </w:r>
          </w:p>
        </w:tc>
        <w:tc>
          <w:tcPr>
            <w:tcW w:w="3351" w:type="dxa"/>
            <w:vMerge/>
            <w:vAlign w:val="center"/>
          </w:tcPr>
          <w:p w14:paraId="7EE127CE" w14:textId="77777777" w:rsidR="00795DF2" w:rsidRPr="006F283B" w:rsidRDefault="00795DF2" w:rsidP="00992244">
            <w:pPr>
              <w:pStyle w:val="Tabletext0"/>
              <w:keepNext/>
              <w:keepLines/>
              <w:jc w:val="center"/>
            </w:pPr>
          </w:p>
        </w:tc>
      </w:tr>
      <w:tr w:rsidR="0062279A" w:rsidRPr="006F283B" w14:paraId="550494D2" w14:textId="77777777" w:rsidTr="00285A5B">
        <w:tc>
          <w:tcPr>
            <w:tcW w:w="676" w:type="dxa"/>
            <w:vAlign w:val="center"/>
          </w:tcPr>
          <w:p w14:paraId="6C498ECB" w14:textId="77777777" w:rsidR="00795DF2" w:rsidRPr="006F283B" w:rsidRDefault="00795DF2" w:rsidP="00992244">
            <w:pPr>
              <w:pStyle w:val="Tabletext0"/>
              <w:keepNext/>
              <w:keepLines/>
            </w:pPr>
            <w:r w:rsidRPr="006F283B">
              <w:t>D</w:t>
            </w:r>
          </w:p>
        </w:tc>
        <w:tc>
          <w:tcPr>
            <w:tcW w:w="3714" w:type="dxa"/>
            <w:vAlign w:val="center"/>
          </w:tcPr>
          <w:p w14:paraId="5CF7FFC6" w14:textId="77777777" w:rsidR="00795DF2" w:rsidRPr="006F283B" w:rsidRDefault="00795DF2" w:rsidP="00992244">
            <w:pPr>
              <w:pStyle w:val="Tabletext0"/>
              <w:keepNext/>
              <w:keepLines/>
            </w:pPr>
            <w:r w:rsidRPr="006F283B">
              <w:t>Tablets per day</w:t>
            </w:r>
          </w:p>
        </w:tc>
        <w:tc>
          <w:tcPr>
            <w:tcW w:w="1275" w:type="dxa"/>
            <w:vAlign w:val="center"/>
          </w:tcPr>
          <w:p w14:paraId="311C3CDA" w14:textId="77777777" w:rsidR="00795DF2" w:rsidRPr="006F283B" w:rsidRDefault="00795DF2" w:rsidP="00992244">
            <w:pPr>
              <w:pStyle w:val="Tabletext0"/>
              <w:keepNext/>
              <w:keepLines/>
              <w:jc w:val="center"/>
            </w:pPr>
            <w:r w:rsidRPr="006F283B">
              <w:t>4</w:t>
            </w:r>
          </w:p>
        </w:tc>
        <w:tc>
          <w:tcPr>
            <w:tcW w:w="3351" w:type="dxa"/>
            <w:vMerge/>
            <w:vAlign w:val="center"/>
          </w:tcPr>
          <w:p w14:paraId="23573C95" w14:textId="77777777" w:rsidR="00795DF2" w:rsidRPr="006F283B" w:rsidRDefault="00795DF2" w:rsidP="00992244">
            <w:pPr>
              <w:pStyle w:val="Tabletext0"/>
              <w:keepNext/>
              <w:keepLines/>
              <w:jc w:val="center"/>
            </w:pPr>
          </w:p>
        </w:tc>
      </w:tr>
      <w:tr w:rsidR="0062279A" w:rsidRPr="006F283B" w14:paraId="336ABF48" w14:textId="77777777" w:rsidTr="00285A5B">
        <w:tc>
          <w:tcPr>
            <w:tcW w:w="676" w:type="dxa"/>
            <w:vAlign w:val="center"/>
          </w:tcPr>
          <w:p w14:paraId="15D6E5CB" w14:textId="77777777" w:rsidR="00795DF2" w:rsidRPr="006F283B" w:rsidRDefault="00795DF2" w:rsidP="00992244">
            <w:pPr>
              <w:pStyle w:val="Tabletext0"/>
              <w:keepNext/>
              <w:keepLines/>
            </w:pPr>
            <w:r w:rsidRPr="006F283B">
              <w:t>E</w:t>
            </w:r>
          </w:p>
        </w:tc>
        <w:tc>
          <w:tcPr>
            <w:tcW w:w="3714" w:type="dxa"/>
            <w:vAlign w:val="center"/>
          </w:tcPr>
          <w:p w14:paraId="703A516B" w14:textId="77777777" w:rsidR="00795DF2" w:rsidRPr="006F283B" w:rsidRDefault="00795DF2" w:rsidP="00992244">
            <w:pPr>
              <w:pStyle w:val="Tabletext0"/>
              <w:keepNext/>
              <w:keepLines/>
            </w:pPr>
            <w:r w:rsidRPr="006F283B">
              <w:t>Compliance</w:t>
            </w:r>
          </w:p>
        </w:tc>
        <w:tc>
          <w:tcPr>
            <w:tcW w:w="1275" w:type="dxa"/>
            <w:vAlign w:val="center"/>
          </w:tcPr>
          <w:p w14:paraId="08526A50" w14:textId="77777777" w:rsidR="00795DF2" w:rsidRPr="006F283B" w:rsidRDefault="00795DF2" w:rsidP="00992244">
            <w:pPr>
              <w:pStyle w:val="Tabletext0"/>
              <w:keepNext/>
              <w:keepLines/>
              <w:jc w:val="center"/>
            </w:pPr>
            <w:r w:rsidRPr="006F283B">
              <w:t>96.0%</w:t>
            </w:r>
          </w:p>
        </w:tc>
        <w:tc>
          <w:tcPr>
            <w:tcW w:w="3351" w:type="dxa"/>
            <w:vAlign w:val="center"/>
          </w:tcPr>
          <w:p w14:paraId="5CC53D07" w14:textId="77777777" w:rsidR="00795DF2" w:rsidRPr="006F283B" w:rsidRDefault="00795DF2" w:rsidP="00992244">
            <w:pPr>
              <w:pStyle w:val="Tabletext0"/>
              <w:keepNext/>
              <w:keepLines/>
              <w:jc w:val="center"/>
            </w:pPr>
            <w:r w:rsidRPr="006F283B">
              <w:t>Table 39, PAOLA-1 EPAR</w:t>
            </w:r>
          </w:p>
        </w:tc>
      </w:tr>
      <w:tr w:rsidR="0062279A" w:rsidRPr="006F283B" w14:paraId="0C148D30" w14:textId="77777777" w:rsidTr="00285A5B">
        <w:tc>
          <w:tcPr>
            <w:tcW w:w="676" w:type="dxa"/>
            <w:vAlign w:val="center"/>
          </w:tcPr>
          <w:p w14:paraId="787105EA" w14:textId="77777777" w:rsidR="00795DF2" w:rsidRPr="006F283B" w:rsidRDefault="00795DF2" w:rsidP="00992244">
            <w:pPr>
              <w:pStyle w:val="Tabletext0"/>
              <w:keepNext/>
              <w:keepLines/>
            </w:pPr>
            <w:r w:rsidRPr="006F283B">
              <w:t>F</w:t>
            </w:r>
          </w:p>
        </w:tc>
        <w:tc>
          <w:tcPr>
            <w:tcW w:w="3714" w:type="dxa"/>
            <w:vAlign w:val="center"/>
          </w:tcPr>
          <w:p w14:paraId="22FCE4AF" w14:textId="77777777" w:rsidR="00795DF2" w:rsidRPr="006F283B" w:rsidRDefault="00795DF2" w:rsidP="00992244">
            <w:pPr>
              <w:pStyle w:val="Tabletext0"/>
              <w:keepNext/>
              <w:keepLines/>
            </w:pPr>
            <w:r w:rsidRPr="006F283B">
              <w:t>Cost per day</w:t>
            </w:r>
          </w:p>
        </w:tc>
        <w:tc>
          <w:tcPr>
            <w:tcW w:w="1275" w:type="dxa"/>
            <w:vAlign w:val="center"/>
          </w:tcPr>
          <w:p w14:paraId="5ADDDF05" w14:textId="77777777" w:rsidR="00795DF2" w:rsidRPr="006F283B" w:rsidRDefault="00795DF2" w:rsidP="00992244">
            <w:pPr>
              <w:pStyle w:val="Tabletext0"/>
              <w:keepNext/>
              <w:keepLines/>
              <w:jc w:val="center"/>
              <w:rPr>
                <w:iCs/>
              </w:rPr>
            </w:pPr>
            <w:r w:rsidRPr="006F283B">
              <w:rPr>
                <w:iCs/>
              </w:rPr>
              <w:t>$221.81</w:t>
            </w:r>
          </w:p>
        </w:tc>
        <w:tc>
          <w:tcPr>
            <w:tcW w:w="3351" w:type="dxa"/>
            <w:vAlign w:val="center"/>
          </w:tcPr>
          <w:p w14:paraId="0CC1ADAB" w14:textId="77777777" w:rsidR="00795DF2" w:rsidRPr="006F283B" w:rsidRDefault="00795DF2" w:rsidP="00992244">
            <w:pPr>
              <w:pStyle w:val="Tabletext0"/>
              <w:keepNext/>
              <w:keepLines/>
              <w:jc w:val="center"/>
            </w:pPr>
            <w:r w:rsidRPr="006F283B">
              <w:t>A / (B*C/D) * E</w:t>
            </w:r>
          </w:p>
        </w:tc>
      </w:tr>
      <w:tr w:rsidR="0062279A" w:rsidRPr="006F283B" w14:paraId="424DE577" w14:textId="77777777" w:rsidTr="00285A5B">
        <w:tc>
          <w:tcPr>
            <w:tcW w:w="676" w:type="dxa"/>
            <w:vAlign w:val="center"/>
          </w:tcPr>
          <w:p w14:paraId="3C4879F6" w14:textId="77777777" w:rsidR="00795DF2" w:rsidRPr="006F283B" w:rsidRDefault="00795DF2" w:rsidP="00992244">
            <w:pPr>
              <w:pStyle w:val="Tabletext0"/>
              <w:keepNext/>
              <w:keepLines/>
            </w:pPr>
            <w:r w:rsidRPr="006F283B">
              <w:t>G</w:t>
            </w:r>
          </w:p>
        </w:tc>
        <w:tc>
          <w:tcPr>
            <w:tcW w:w="3714" w:type="dxa"/>
            <w:vAlign w:val="center"/>
          </w:tcPr>
          <w:p w14:paraId="437BA8E9" w14:textId="77777777" w:rsidR="00795DF2" w:rsidRPr="006F283B" w:rsidRDefault="00795DF2" w:rsidP="00992244">
            <w:pPr>
              <w:pStyle w:val="Tabletext0"/>
              <w:keepNext/>
              <w:keepLines/>
            </w:pPr>
            <w:r w:rsidRPr="006F283B">
              <w:t>Treatment duration, months</w:t>
            </w:r>
          </w:p>
        </w:tc>
        <w:tc>
          <w:tcPr>
            <w:tcW w:w="1275" w:type="dxa"/>
            <w:vAlign w:val="center"/>
          </w:tcPr>
          <w:p w14:paraId="7A0BC49D" w14:textId="77777777" w:rsidR="00795DF2" w:rsidRPr="006F283B" w:rsidRDefault="00795DF2" w:rsidP="00992244">
            <w:pPr>
              <w:pStyle w:val="Tabletext0"/>
              <w:keepNext/>
              <w:keepLines/>
              <w:jc w:val="center"/>
            </w:pPr>
            <w:r w:rsidRPr="006F283B">
              <w:t>15.66</w:t>
            </w:r>
          </w:p>
        </w:tc>
        <w:tc>
          <w:tcPr>
            <w:tcW w:w="3351" w:type="dxa"/>
            <w:vAlign w:val="center"/>
          </w:tcPr>
          <w:p w14:paraId="3082B04D" w14:textId="77777777" w:rsidR="00795DF2" w:rsidRPr="006F283B" w:rsidRDefault="00795DF2" w:rsidP="00992244">
            <w:pPr>
              <w:pStyle w:val="Tabletext0"/>
              <w:keepNext/>
              <w:keepLines/>
              <w:jc w:val="center"/>
            </w:pPr>
            <w:r w:rsidRPr="006F283B">
              <w:t xml:space="preserve">Estimated from PAOLA-1 </w:t>
            </w:r>
            <w:r w:rsidRPr="006F283B">
              <w:rPr>
                <w:vertAlign w:val="superscript"/>
              </w:rPr>
              <w:t>a</w:t>
            </w:r>
          </w:p>
        </w:tc>
      </w:tr>
      <w:tr w:rsidR="0062279A" w:rsidRPr="006F283B" w14:paraId="5B2C5FFE" w14:textId="77777777" w:rsidTr="00285A5B">
        <w:tc>
          <w:tcPr>
            <w:tcW w:w="676" w:type="dxa"/>
            <w:vAlign w:val="center"/>
          </w:tcPr>
          <w:p w14:paraId="70131499" w14:textId="77777777" w:rsidR="00795DF2" w:rsidRPr="006F283B" w:rsidRDefault="00795DF2" w:rsidP="00992244">
            <w:pPr>
              <w:pStyle w:val="Tabletext0"/>
              <w:keepNext/>
              <w:keepLines/>
            </w:pPr>
            <w:r w:rsidRPr="006F283B">
              <w:t>H</w:t>
            </w:r>
          </w:p>
        </w:tc>
        <w:tc>
          <w:tcPr>
            <w:tcW w:w="3714" w:type="dxa"/>
            <w:vAlign w:val="center"/>
          </w:tcPr>
          <w:p w14:paraId="270A3815" w14:textId="77777777" w:rsidR="00795DF2" w:rsidRPr="006F283B" w:rsidRDefault="00795DF2" w:rsidP="00992244">
            <w:pPr>
              <w:pStyle w:val="Tabletext0"/>
              <w:keepNext/>
              <w:keepLines/>
            </w:pPr>
            <w:r w:rsidRPr="006F283B">
              <w:t>Cost per course of treatment</w:t>
            </w:r>
          </w:p>
        </w:tc>
        <w:tc>
          <w:tcPr>
            <w:tcW w:w="1275" w:type="dxa"/>
            <w:vAlign w:val="center"/>
          </w:tcPr>
          <w:p w14:paraId="4E1632E7" w14:textId="77777777" w:rsidR="00795DF2" w:rsidRPr="006F283B" w:rsidRDefault="00795DF2" w:rsidP="00992244">
            <w:pPr>
              <w:pStyle w:val="Tabletext0"/>
              <w:keepNext/>
              <w:keepLines/>
              <w:jc w:val="center"/>
              <w:rPr>
                <w:iCs/>
              </w:rPr>
            </w:pPr>
            <w:r w:rsidRPr="006F283B">
              <w:rPr>
                <w:iCs/>
              </w:rPr>
              <w:t>$105,726.69</w:t>
            </w:r>
          </w:p>
        </w:tc>
        <w:tc>
          <w:tcPr>
            <w:tcW w:w="3351" w:type="dxa"/>
            <w:vAlign w:val="center"/>
          </w:tcPr>
          <w:p w14:paraId="44ABA760" w14:textId="77777777" w:rsidR="00795DF2" w:rsidRPr="006F283B" w:rsidRDefault="00795DF2" w:rsidP="00992244">
            <w:pPr>
              <w:pStyle w:val="Tabletext0"/>
              <w:keepNext/>
              <w:keepLines/>
              <w:jc w:val="center"/>
            </w:pPr>
            <w:r w:rsidRPr="006F283B">
              <w:t>F * (G/12*365.25)</w:t>
            </w:r>
          </w:p>
        </w:tc>
      </w:tr>
      <w:tr w:rsidR="0062279A" w:rsidRPr="006F283B" w14:paraId="5EAEF670" w14:textId="77777777" w:rsidTr="00285A5B">
        <w:tc>
          <w:tcPr>
            <w:tcW w:w="676" w:type="dxa"/>
            <w:vAlign w:val="center"/>
          </w:tcPr>
          <w:p w14:paraId="3F61CDFF" w14:textId="77777777" w:rsidR="00795DF2" w:rsidRPr="006F283B" w:rsidRDefault="00795DF2" w:rsidP="00992244">
            <w:pPr>
              <w:pStyle w:val="Tabletext0"/>
              <w:keepNext/>
              <w:keepLines/>
            </w:pPr>
          </w:p>
        </w:tc>
        <w:tc>
          <w:tcPr>
            <w:tcW w:w="3714" w:type="dxa"/>
            <w:vAlign w:val="center"/>
          </w:tcPr>
          <w:p w14:paraId="26287399" w14:textId="77777777" w:rsidR="00795DF2" w:rsidRPr="006F283B" w:rsidRDefault="00795DF2" w:rsidP="00992244">
            <w:pPr>
              <w:pStyle w:val="Tabletext0"/>
              <w:keepNext/>
              <w:keepLines/>
              <w:rPr>
                <w:b/>
                <w:bCs/>
              </w:rPr>
            </w:pPr>
            <w:r w:rsidRPr="006F283B">
              <w:rPr>
                <w:b/>
                <w:bCs/>
              </w:rPr>
              <w:t>Additional costs / cost offsets</w:t>
            </w:r>
          </w:p>
        </w:tc>
        <w:tc>
          <w:tcPr>
            <w:tcW w:w="1275" w:type="dxa"/>
            <w:vAlign w:val="center"/>
          </w:tcPr>
          <w:p w14:paraId="78E784C1" w14:textId="77777777" w:rsidR="00795DF2" w:rsidRPr="006F283B" w:rsidRDefault="00795DF2" w:rsidP="00992244">
            <w:pPr>
              <w:pStyle w:val="Tabletext0"/>
              <w:keepNext/>
              <w:keepLines/>
              <w:jc w:val="center"/>
              <w:rPr>
                <w:b/>
                <w:bCs/>
              </w:rPr>
            </w:pPr>
          </w:p>
        </w:tc>
        <w:tc>
          <w:tcPr>
            <w:tcW w:w="3351" w:type="dxa"/>
            <w:vAlign w:val="center"/>
          </w:tcPr>
          <w:p w14:paraId="64DCC796" w14:textId="77777777" w:rsidR="00795DF2" w:rsidRPr="006F283B" w:rsidRDefault="00795DF2" w:rsidP="00992244">
            <w:pPr>
              <w:pStyle w:val="Tabletext0"/>
              <w:keepNext/>
              <w:keepLines/>
              <w:jc w:val="center"/>
            </w:pPr>
          </w:p>
        </w:tc>
      </w:tr>
      <w:tr w:rsidR="0062279A" w:rsidRPr="006F283B" w14:paraId="1C824BED" w14:textId="77777777" w:rsidTr="00285A5B">
        <w:tc>
          <w:tcPr>
            <w:tcW w:w="676" w:type="dxa"/>
            <w:vAlign w:val="center"/>
          </w:tcPr>
          <w:p w14:paraId="6389D96C" w14:textId="77777777" w:rsidR="00795DF2" w:rsidRPr="006F283B" w:rsidRDefault="00795DF2" w:rsidP="00992244">
            <w:pPr>
              <w:pStyle w:val="Tabletext0"/>
              <w:keepNext/>
              <w:keepLines/>
            </w:pPr>
            <w:r w:rsidRPr="006F283B">
              <w:t>I</w:t>
            </w:r>
          </w:p>
        </w:tc>
        <w:tc>
          <w:tcPr>
            <w:tcW w:w="3714" w:type="dxa"/>
            <w:vAlign w:val="center"/>
          </w:tcPr>
          <w:p w14:paraId="3A66EC29" w14:textId="77777777" w:rsidR="00795DF2" w:rsidRPr="006F283B" w:rsidRDefault="00795DF2" w:rsidP="00992244">
            <w:pPr>
              <w:pStyle w:val="Tabletext0"/>
              <w:keepNext/>
              <w:keepLines/>
            </w:pPr>
            <w:r w:rsidRPr="006F283B">
              <w:t>Net monitoring costs: niraparib versus olaparib</w:t>
            </w:r>
          </w:p>
        </w:tc>
        <w:tc>
          <w:tcPr>
            <w:tcW w:w="1275" w:type="dxa"/>
            <w:vAlign w:val="center"/>
          </w:tcPr>
          <w:p w14:paraId="197EB843" w14:textId="77777777" w:rsidR="00795DF2" w:rsidRPr="006F283B" w:rsidRDefault="00795DF2" w:rsidP="00992244">
            <w:pPr>
              <w:pStyle w:val="Tabletext0"/>
              <w:keepNext/>
              <w:keepLines/>
              <w:jc w:val="center"/>
            </w:pPr>
            <w:r w:rsidRPr="006F283B">
              <w:t>$399.52</w:t>
            </w:r>
          </w:p>
        </w:tc>
        <w:tc>
          <w:tcPr>
            <w:tcW w:w="3351" w:type="dxa"/>
            <w:vAlign w:val="center"/>
          </w:tcPr>
          <w:p w14:paraId="2D6FB43D" w14:textId="190BF709" w:rsidR="00795DF2" w:rsidRPr="006F283B" w:rsidRDefault="00403467" w:rsidP="00992244">
            <w:pPr>
              <w:pStyle w:val="Tabletext0"/>
              <w:keepNext/>
              <w:keepLines/>
              <w:jc w:val="center"/>
              <w:rPr>
                <w:highlight w:val="yellow"/>
              </w:rPr>
            </w:pPr>
            <w:r w:rsidRPr="006F283B">
              <w:t>Submission Table 253</w:t>
            </w:r>
          </w:p>
        </w:tc>
      </w:tr>
      <w:tr w:rsidR="0062279A" w:rsidRPr="006F283B" w14:paraId="058B3240" w14:textId="77777777" w:rsidTr="00285A5B">
        <w:tc>
          <w:tcPr>
            <w:tcW w:w="676" w:type="dxa"/>
            <w:vAlign w:val="center"/>
          </w:tcPr>
          <w:p w14:paraId="23A76A95" w14:textId="77777777" w:rsidR="00795DF2" w:rsidRPr="006F283B" w:rsidRDefault="00795DF2" w:rsidP="00992244">
            <w:pPr>
              <w:pStyle w:val="Tabletext0"/>
              <w:keepNext/>
              <w:keepLines/>
              <w:rPr>
                <w:b/>
                <w:bCs/>
              </w:rPr>
            </w:pPr>
          </w:p>
        </w:tc>
        <w:tc>
          <w:tcPr>
            <w:tcW w:w="3714" w:type="dxa"/>
            <w:vAlign w:val="center"/>
          </w:tcPr>
          <w:p w14:paraId="68B0A301" w14:textId="77777777" w:rsidR="00795DF2" w:rsidRPr="006F283B" w:rsidRDefault="00795DF2" w:rsidP="00992244">
            <w:pPr>
              <w:pStyle w:val="Tabletext0"/>
              <w:keepNext/>
              <w:keepLines/>
              <w:rPr>
                <w:b/>
                <w:bCs/>
              </w:rPr>
            </w:pPr>
            <w:r w:rsidRPr="006F283B">
              <w:rPr>
                <w:b/>
                <w:bCs/>
              </w:rPr>
              <w:t>Niraparib</w:t>
            </w:r>
          </w:p>
        </w:tc>
        <w:tc>
          <w:tcPr>
            <w:tcW w:w="1275" w:type="dxa"/>
            <w:vAlign w:val="center"/>
          </w:tcPr>
          <w:p w14:paraId="5B6A4523" w14:textId="77777777" w:rsidR="00795DF2" w:rsidRPr="006F283B" w:rsidRDefault="00795DF2" w:rsidP="00992244">
            <w:pPr>
              <w:pStyle w:val="Tabletext0"/>
              <w:keepNext/>
              <w:keepLines/>
              <w:jc w:val="center"/>
              <w:rPr>
                <w:b/>
                <w:bCs/>
              </w:rPr>
            </w:pPr>
          </w:p>
        </w:tc>
        <w:tc>
          <w:tcPr>
            <w:tcW w:w="3351" w:type="dxa"/>
            <w:vAlign w:val="center"/>
          </w:tcPr>
          <w:p w14:paraId="16EB3F83" w14:textId="77777777" w:rsidR="00795DF2" w:rsidRPr="006F283B" w:rsidRDefault="00795DF2" w:rsidP="00992244">
            <w:pPr>
              <w:pStyle w:val="Tabletext0"/>
              <w:keepNext/>
              <w:keepLines/>
              <w:jc w:val="center"/>
              <w:rPr>
                <w:b/>
                <w:bCs/>
              </w:rPr>
            </w:pPr>
          </w:p>
        </w:tc>
      </w:tr>
      <w:tr w:rsidR="0062279A" w:rsidRPr="006F283B" w14:paraId="144ADA90" w14:textId="77777777" w:rsidTr="00285A5B">
        <w:tc>
          <w:tcPr>
            <w:tcW w:w="676" w:type="dxa"/>
            <w:vAlign w:val="center"/>
          </w:tcPr>
          <w:p w14:paraId="6FAF3554" w14:textId="77777777" w:rsidR="00795DF2" w:rsidRPr="006F283B" w:rsidRDefault="00795DF2" w:rsidP="00992244">
            <w:pPr>
              <w:pStyle w:val="Tabletext0"/>
              <w:keepNext/>
              <w:keepLines/>
            </w:pPr>
            <w:r w:rsidRPr="006F283B">
              <w:t>J</w:t>
            </w:r>
          </w:p>
        </w:tc>
        <w:tc>
          <w:tcPr>
            <w:tcW w:w="3714" w:type="dxa"/>
            <w:vAlign w:val="center"/>
          </w:tcPr>
          <w:p w14:paraId="2F9DC6C9" w14:textId="4C8EA191" w:rsidR="00795DF2" w:rsidRPr="009F5AA6" w:rsidRDefault="00795DF2" w:rsidP="00992244">
            <w:pPr>
              <w:pStyle w:val="Tabletext0"/>
              <w:keepNext/>
              <w:keepLines/>
              <w:rPr>
                <w:vertAlign w:val="superscript"/>
              </w:rPr>
            </w:pPr>
            <w:r w:rsidRPr="006F283B">
              <w:t>Cost per course of treatment</w:t>
            </w:r>
            <w:r w:rsidR="009F5AA6">
              <w:rPr>
                <w:vertAlign w:val="superscript"/>
              </w:rPr>
              <w:t>c</w:t>
            </w:r>
          </w:p>
        </w:tc>
        <w:tc>
          <w:tcPr>
            <w:tcW w:w="1275" w:type="dxa"/>
            <w:vAlign w:val="center"/>
          </w:tcPr>
          <w:p w14:paraId="52DFDCD1" w14:textId="77777777" w:rsidR="00795DF2" w:rsidRPr="006F283B" w:rsidRDefault="00795DF2" w:rsidP="00992244">
            <w:pPr>
              <w:pStyle w:val="Tabletext0"/>
              <w:keepNext/>
              <w:keepLines/>
              <w:jc w:val="center"/>
              <w:rPr>
                <w:iCs/>
              </w:rPr>
            </w:pPr>
            <w:r w:rsidRPr="006F283B">
              <w:rPr>
                <w:iCs/>
              </w:rPr>
              <w:t>$</w:t>
            </w:r>
            <w:r w:rsidRPr="009F5AA6">
              <w:rPr>
                <w:iCs/>
              </w:rPr>
              <w:t>105,327.17</w:t>
            </w:r>
          </w:p>
        </w:tc>
        <w:tc>
          <w:tcPr>
            <w:tcW w:w="3351" w:type="dxa"/>
            <w:vAlign w:val="center"/>
          </w:tcPr>
          <w:p w14:paraId="712728EC" w14:textId="77777777" w:rsidR="00795DF2" w:rsidRPr="006F283B" w:rsidRDefault="00795DF2" w:rsidP="00992244">
            <w:pPr>
              <w:pStyle w:val="Tabletext0"/>
              <w:keepNext/>
              <w:keepLines/>
              <w:jc w:val="center"/>
            </w:pPr>
            <w:r w:rsidRPr="006F283B">
              <w:t>H-I</w:t>
            </w:r>
          </w:p>
        </w:tc>
      </w:tr>
      <w:tr w:rsidR="0062279A" w:rsidRPr="006F283B" w14:paraId="687E551B" w14:textId="77777777" w:rsidTr="00285A5B">
        <w:tc>
          <w:tcPr>
            <w:tcW w:w="676" w:type="dxa"/>
            <w:vAlign w:val="center"/>
          </w:tcPr>
          <w:p w14:paraId="3E4AA2CD" w14:textId="77777777" w:rsidR="00795DF2" w:rsidRPr="006F283B" w:rsidRDefault="00795DF2" w:rsidP="00992244">
            <w:pPr>
              <w:pStyle w:val="Tabletext0"/>
              <w:keepNext/>
              <w:keepLines/>
            </w:pPr>
            <w:r w:rsidRPr="006F283B">
              <w:t>K</w:t>
            </w:r>
          </w:p>
        </w:tc>
        <w:tc>
          <w:tcPr>
            <w:tcW w:w="3714" w:type="dxa"/>
            <w:vAlign w:val="center"/>
          </w:tcPr>
          <w:p w14:paraId="505470BB" w14:textId="05CA0F43" w:rsidR="00795DF2" w:rsidRPr="00CA0799" w:rsidRDefault="00795DF2" w:rsidP="00992244">
            <w:pPr>
              <w:pStyle w:val="Tabletext0"/>
              <w:keepNext/>
              <w:keepLines/>
              <w:rPr>
                <w:vertAlign w:val="superscript"/>
              </w:rPr>
            </w:pPr>
            <w:r w:rsidRPr="006F283B">
              <w:t>Mean dose, mg/day</w:t>
            </w:r>
            <w:r w:rsidR="00CA0799">
              <w:rPr>
                <w:vertAlign w:val="superscript"/>
              </w:rPr>
              <w:t>b</w:t>
            </w:r>
          </w:p>
        </w:tc>
        <w:tc>
          <w:tcPr>
            <w:tcW w:w="1275" w:type="dxa"/>
            <w:vAlign w:val="center"/>
          </w:tcPr>
          <w:p w14:paraId="5275A31A" w14:textId="77777777" w:rsidR="00795DF2" w:rsidRPr="006F283B" w:rsidRDefault="00795DF2" w:rsidP="00992244">
            <w:pPr>
              <w:pStyle w:val="Tabletext0"/>
              <w:keepNext/>
              <w:keepLines/>
              <w:jc w:val="center"/>
            </w:pPr>
            <w:r w:rsidRPr="006F283B">
              <w:t>162.1</w:t>
            </w:r>
          </w:p>
        </w:tc>
        <w:tc>
          <w:tcPr>
            <w:tcW w:w="3351" w:type="dxa"/>
            <w:vAlign w:val="center"/>
          </w:tcPr>
          <w:p w14:paraId="05FF0F3D" w14:textId="77777777" w:rsidR="00795DF2" w:rsidRPr="006F283B" w:rsidRDefault="00795DF2" w:rsidP="00992244">
            <w:pPr>
              <w:pStyle w:val="Tabletext0"/>
              <w:keepNext/>
              <w:keepLines/>
              <w:jc w:val="center"/>
            </w:pPr>
            <w:r w:rsidRPr="006F283B">
              <w:t>PRIMA ISD (CSR Table 14.3.5.13b)</w:t>
            </w:r>
          </w:p>
        </w:tc>
      </w:tr>
      <w:tr w:rsidR="0062279A" w:rsidRPr="006F283B" w14:paraId="5707BD1C" w14:textId="77777777" w:rsidTr="00285A5B">
        <w:tc>
          <w:tcPr>
            <w:tcW w:w="676" w:type="dxa"/>
            <w:vAlign w:val="center"/>
          </w:tcPr>
          <w:p w14:paraId="65E68EC7" w14:textId="77777777" w:rsidR="00795DF2" w:rsidRPr="006F283B" w:rsidRDefault="00795DF2" w:rsidP="00992244">
            <w:pPr>
              <w:pStyle w:val="Tabletext0"/>
              <w:keepNext/>
              <w:keepLines/>
            </w:pPr>
            <w:r w:rsidRPr="006F283B">
              <w:t>L</w:t>
            </w:r>
          </w:p>
        </w:tc>
        <w:tc>
          <w:tcPr>
            <w:tcW w:w="3714" w:type="dxa"/>
            <w:vAlign w:val="center"/>
          </w:tcPr>
          <w:p w14:paraId="5900668C" w14:textId="77777777" w:rsidR="00795DF2" w:rsidRPr="006F283B" w:rsidRDefault="00795DF2" w:rsidP="00992244">
            <w:pPr>
              <w:pStyle w:val="Tabletext0"/>
              <w:keepNext/>
              <w:keepLines/>
            </w:pPr>
            <w:r w:rsidRPr="006F283B">
              <w:t>Treatment duration, months</w:t>
            </w:r>
          </w:p>
        </w:tc>
        <w:tc>
          <w:tcPr>
            <w:tcW w:w="1275" w:type="dxa"/>
            <w:vAlign w:val="center"/>
          </w:tcPr>
          <w:p w14:paraId="7F6AE52B" w14:textId="77777777" w:rsidR="00795DF2" w:rsidRPr="006F283B" w:rsidRDefault="00795DF2" w:rsidP="00992244">
            <w:pPr>
              <w:pStyle w:val="Tabletext0"/>
              <w:keepNext/>
              <w:keepLines/>
              <w:jc w:val="center"/>
            </w:pPr>
            <w:r w:rsidRPr="006F283B">
              <w:t>16.87</w:t>
            </w:r>
          </w:p>
        </w:tc>
        <w:tc>
          <w:tcPr>
            <w:tcW w:w="3351" w:type="dxa"/>
            <w:vAlign w:val="center"/>
          </w:tcPr>
          <w:p w14:paraId="42E69A6E" w14:textId="78681B96" w:rsidR="0078286A" w:rsidRPr="006F283B" w:rsidRDefault="006E6E3F" w:rsidP="00992244">
            <w:pPr>
              <w:pStyle w:val="Tabletext0"/>
              <w:keepNext/>
              <w:keepLines/>
              <w:jc w:val="center"/>
            </w:pPr>
            <w:r w:rsidRPr="006F283B">
              <w:t>TTD from PRIMA to 13.6 months,</w:t>
            </w:r>
            <w:r w:rsidR="00285A5B" w:rsidRPr="006F283B">
              <w:t xml:space="preserve"> then</w:t>
            </w:r>
            <w:r w:rsidRPr="006F283B">
              <w:t xml:space="preserve"> extrapolated to 72 months</w:t>
            </w:r>
            <w:r w:rsidR="00285A5B" w:rsidRPr="006F283B">
              <w:t>, 5% complete responders discontinue at 3 years</w:t>
            </w:r>
          </w:p>
        </w:tc>
      </w:tr>
      <w:tr w:rsidR="0062279A" w:rsidRPr="006F283B" w14:paraId="46F4F324" w14:textId="77777777" w:rsidTr="00285A5B">
        <w:tc>
          <w:tcPr>
            <w:tcW w:w="676" w:type="dxa"/>
            <w:vAlign w:val="center"/>
          </w:tcPr>
          <w:p w14:paraId="7EC1B7A8" w14:textId="77777777" w:rsidR="00795DF2" w:rsidRPr="006F283B" w:rsidRDefault="00795DF2" w:rsidP="00992244">
            <w:pPr>
              <w:pStyle w:val="Tabletext0"/>
              <w:keepNext/>
              <w:keepLines/>
            </w:pPr>
            <w:r w:rsidRPr="006F283B">
              <w:t>M</w:t>
            </w:r>
          </w:p>
        </w:tc>
        <w:tc>
          <w:tcPr>
            <w:tcW w:w="3714" w:type="dxa"/>
            <w:vAlign w:val="center"/>
          </w:tcPr>
          <w:p w14:paraId="68AF94E6" w14:textId="7B1AE35F" w:rsidR="00795DF2" w:rsidRPr="006F283B" w:rsidRDefault="004943BA" w:rsidP="00992244">
            <w:pPr>
              <w:pStyle w:val="Tabletext0"/>
              <w:keepNext/>
              <w:keepLines/>
            </w:pPr>
            <w:r w:rsidRPr="006F283B">
              <w:t>Mean dose</w:t>
            </w:r>
            <w:r w:rsidR="00795DF2" w:rsidRPr="006F283B">
              <w:t xml:space="preserve"> per course of treatment, mg</w:t>
            </w:r>
          </w:p>
        </w:tc>
        <w:tc>
          <w:tcPr>
            <w:tcW w:w="1275" w:type="dxa"/>
            <w:vAlign w:val="center"/>
          </w:tcPr>
          <w:p w14:paraId="32F038E9" w14:textId="77777777" w:rsidR="00795DF2" w:rsidRPr="006F283B" w:rsidRDefault="00795DF2" w:rsidP="00992244">
            <w:pPr>
              <w:pStyle w:val="Tabletext0"/>
              <w:keepNext/>
              <w:keepLines/>
              <w:jc w:val="center"/>
            </w:pPr>
            <w:r w:rsidRPr="006F283B">
              <w:t>83,235.21</w:t>
            </w:r>
          </w:p>
        </w:tc>
        <w:tc>
          <w:tcPr>
            <w:tcW w:w="3351" w:type="dxa"/>
            <w:vAlign w:val="center"/>
          </w:tcPr>
          <w:p w14:paraId="44C41810" w14:textId="77777777" w:rsidR="00795DF2" w:rsidRPr="006F283B" w:rsidRDefault="00795DF2" w:rsidP="00992244">
            <w:pPr>
              <w:pStyle w:val="Tabletext0"/>
              <w:keepNext/>
              <w:keepLines/>
              <w:jc w:val="center"/>
            </w:pPr>
            <w:r w:rsidRPr="006F283B">
              <w:t>K * (L/12*365.25)</w:t>
            </w:r>
          </w:p>
        </w:tc>
      </w:tr>
      <w:tr w:rsidR="0062279A" w:rsidRPr="006F283B" w14:paraId="32541760" w14:textId="77777777" w:rsidTr="00285A5B">
        <w:tc>
          <w:tcPr>
            <w:tcW w:w="676" w:type="dxa"/>
            <w:vAlign w:val="center"/>
          </w:tcPr>
          <w:p w14:paraId="5F200EAF" w14:textId="77777777" w:rsidR="00795DF2" w:rsidRPr="006F283B" w:rsidRDefault="00795DF2" w:rsidP="00992244">
            <w:pPr>
              <w:pStyle w:val="Tabletext0"/>
              <w:keepNext/>
              <w:keepLines/>
            </w:pPr>
            <w:r w:rsidRPr="006F283B">
              <w:t>N</w:t>
            </w:r>
          </w:p>
        </w:tc>
        <w:tc>
          <w:tcPr>
            <w:tcW w:w="3714" w:type="dxa"/>
            <w:vAlign w:val="center"/>
          </w:tcPr>
          <w:p w14:paraId="6BE02E0E" w14:textId="16D92500" w:rsidR="00795DF2" w:rsidRPr="009F5AA6" w:rsidRDefault="00795DF2" w:rsidP="00992244">
            <w:pPr>
              <w:pStyle w:val="Tabletext0"/>
              <w:keepNext/>
              <w:keepLines/>
              <w:rPr>
                <w:vertAlign w:val="superscript"/>
              </w:rPr>
            </w:pPr>
            <w:r w:rsidRPr="006F283B">
              <w:t>Cost per mg</w:t>
            </w:r>
            <w:r w:rsidR="009F5AA6">
              <w:rPr>
                <w:vertAlign w:val="superscript"/>
              </w:rPr>
              <w:t>c</w:t>
            </w:r>
          </w:p>
        </w:tc>
        <w:tc>
          <w:tcPr>
            <w:tcW w:w="1275" w:type="dxa"/>
            <w:vAlign w:val="center"/>
          </w:tcPr>
          <w:p w14:paraId="1253D12A" w14:textId="77777777" w:rsidR="00795DF2" w:rsidRPr="006F283B" w:rsidRDefault="00795DF2" w:rsidP="00992244">
            <w:pPr>
              <w:pStyle w:val="Tabletext0"/>
              <w:keepNext/>
              <w:keepLines/>
              <w:jc w:val="center"/>
              <w:rPr>
                <w:iCs/>
              </w:rPr>
            </w:pPr>
            <w:r w:rsidRPr="006F283B">
              <w:rPr>
                <w:iCs/>
              </w:rPr>
              <w:t>$</w:t>
            </w:r>
            <w:r w:rsidRPr="009F5AA6">
              <w:rPr>
                <w:iCs/>
              </w:rPr>
              <w:t>1.27</w:t>
            </w:r>
          </w:p>
        </w:tc>
        <w:tc>
          <w:tcPr>
            <w:tcW w:w="3351" w:type="dxa"/>
            <w:vAlign w:val="center"/>
          </w:tcPr>
          <w:p w14:paraId="348BF853" w14:textId="77777777" w:rsidR="00795DF2" w:rsidRPr="006F283B" w:rsidRDefault="00795DF2" w:rsidP="00992244">
            <w:pPr>
              <w:pStyle w:val="Tabletext0"/>
              <w:keepNext/>
              <w:keepLines/>
              <w:jc w:val="center"/>
            </w:pPr>
            <w:r w:rsidRPr="006F283B">
              <w:t>J / M</w:t>
            </w:r>
          </w:p>
        </w:tc>
      </w:tr>
      <w:tr w:rsidR="0062279A" w:rsidRPr="006F283B" w14:paraId="1785DC8E" w14:textId="77777777" w:rsidTr="00285A5B">
        <w:tc>
          <w:tcPr>
            <w:tcW w:w="676" w:type="dxa"/>
            <w:vAlign w:val="center"/>
          </w:tcPr>
          <w:p w14:paraId="5033ED1D" w14:textId="77777777" w:rsidR="00795DF2" w:rsidRPr="006F283B" w:rsidRDefault="00795DF2" w:rsidP="00992244">
            <w:pPr>
              <w:pStyle w:val="Tabletext0"/>
              <w:keepNext/>
              <w:keepLines/>
            </w:pPr>
            <w:r w:rsidRPr="006F283B">
              <w:t>O</w:t>
            </w:r>
          </w:p>
        </w:tc>
        <w:tc>
          <w:tcPr>
            <w:tcW w:w="3714" w:type="dxa"/>
            <w:vAlign w:val="center"/>
          </w:tcPr>
          <w:p w14:paraId="731C5869" w14:textId="5191AE3E" w:rsidR="00795DF2" w:rsidRPr="006F283B" w:rsidRDefault="00DD429F" w:rsidP="00992244">
            <w:pPr>
              <w:pStyle w:val="Tabletext0"/>
              <w:keepNext/>
              <w:keepLines/>
            </w:pPr>
            <w:r w:rsidRPr="006F283B">
              <w:t xml:space="preserve">Total mg </w:t>
            </w:r>
            <w:r w:rsidR="00795DF2" w:rsidRPr="006F283B">
              <w:t>per 84-capsule pack</w:t>
            </w:r>
            <w:r w:rsidR="004943BA" w:rsidRPr="006F283B">
              <w:t xml:space="preserve"> </w:t>
            </w:r>
          </w:p>
        </w:tc>
        <w:tc>
          <w:tcPr>
            <w:tcW w:w="1275" w:type="dxa"/>
            <w:vAlign w:val="center"/>
          </w:tcPr>
          <w:p w14:paraId="21789D0C" w14:textId="77777777" w:rsidR="00795DF2" w:rsidRPr="006F283B" w:rsidRDefault="00795DF2" w:rsidP="00992244">
            <w:pPr>
              <w:pStyle w:val="Tabletext0"/>
              <w:keepNext/>
              <w:keepLines/>
              <w:jc w:val="center"/>
            </w:pPr>
            <w:r w:rsidRPr="006F283B">
              <w:t>8400</w:t>
            </w:r>
          </w:p>
        </w:tc>
        <w:tc>
          <w:tcPr>
            <w:tcW w:w="3351" w:type="dxa"/>
            <w:vMerge w:val="restart"/>
            <w:vAlign w:val="center"/>
          </w:tcPr>
          <w:p w14:paraId="2B2D943A" w14:textId="77777777" w:rsidR="00795DF2" w:rsidRPr="006F283B" w:rsidRDefault="00795DF2" w:rsidP="00992244">
            <w:pPr>
              <w:pStyle w:val="Tabletext0"/>
              <w:keepNext/>
              <w:keepLines/>
              <w:jc w:val="center"/>
            </w:pPr>
            <w:r w:rsidRPr="006F283B">
              <w:t>By definition</w:t>
            </w:r>
          </w:p>
        </w:tc>
      </w:tr>
      <w:tr w:rsidR="0062279A" w:rsidRPr="006F283B" w14:paraId="19DAC08C" w14:textId="77777777" w:rsidTr="00285A5B">
        <w:tc>
          <w:tcPr>
            <w:tcW w:w="676" w:type="dxa"/>
            <w:vAlign w:val="center"/>
          </w:tcPr>
          <w:p w14:paraId="1A13DA48" w14:textId="77777777" w:rsidR="00795DF2" w:rsidRPr="006F283B" w:rsidRDefault="00795DF2" w:rsidP="00992244">
            <w:pPr>
              <w:pStyle w:val="Tabletext0"/>
              <w:keepNext/>
              <w:keepLines/>
            </w:pPr>
            <w:r w:rsidRPr="006F283B">
              <w:t>P</w:t>
            </w:r>
          </w:p>
        </w:tc>
        <w:tc>
          <w:tcPr>
            <w:tcW w:w="3714" w:type="dxa"/>
            <w:vAlign w:val="center"/>
          </w:tcPr>
          <w:p w14:paraId="06A9B69B" w14:textId="5CD66EBE" w:rsidR="00795DF2" w:rsidRPr="006F283B" w:rsidRDefault="00DD429F" w:rsidP="00992244">
            <w:pPr>
              <w:pStyle w:val="Tabletext0"/>
              <w:keepNext/>
              <w:keepLines/>
            </w:pPr>
            <w:r w:rsidRPr="006F283B">
              <w:t xml:space="preserve">Total mg </w:t>
            </w:r>
            <w:r w:rsidR="00795DF2" w:rsidRPr="006F283B">
              <w:t>per 56-capsule pack</w:t>
            </w:r>
            <w:r w:rsidR="004943BA" w:rsidRPr="006F283B">
              <w:t xml:space="preserve"> </w:t>
            </w:r>
          </w:p>
        </w:tc>
        <w:tc>
          <w:tcPr>
            <w:tcW w:w="1275" w:type="dxa"/>
            <w:vAlign w:val="center"/>
          </w:tcPr>
          <w:p w14:paraId="37CEFF7F" w14:textId="77777777" w:rsidR="00795DF2" w:rsidRPr="006F283B" w:rsidRDefault="00795DF2" w:rsidP="00992244">
            <w:pPr>
              <w:pStyle w:val="Tabletext0"/>
              <w:keepNext/>
              <w:keepLines/>
              <w:jc w:val="center"/>
            </w:pPr>
            <w:r w:rsidRPr="006F283B">
              <w:t>5600</w:t>
            </w:r>
          </w:p>
        </w:tc>
        <w:tc>
          <w:tcPr>
            <w:tcW w:w="3351" w:type="dxa"/>
            <w:vMerge/>
            <w:vAlign w:val="center"/>
          </w:tcPr>
          <w:p w14:paraId="1B2C84E7" w14:textId="77777777" w:rsidR="00795DF2" w:rsidRPr="006F283B" w:rsidRDefault="00795DF2" w:rsidP="00992244">
            <w:pPr>
              <w:pStyle w:val="Tabletext0"/>
              <w:keepNext/>
              <w:keepLines/>
              <w:jc w:val="center"/>
            </w:pPr>
          </w:p>
        </w:tc>
      </w:tr>
      <w:tr w:rsidR="0062279A" w:rsidRPr="006F283B" w14:paraId="597D98F4" w14:textId="77777777" w:rsidTr="00285A5B">
        <w:tc>
          <w:tcPr>
            <w:tcW w:w="676" w:type="dxa"/>
            <w:vAlign w:val="center"/>
          </w:tcPr>
          <w:p w14:paraId="34351D46" w14:textId="77777777" w:rsidR="00795DF2" w:rsidRPr="006F283B" w:rsidRDefault="00795DF2" w:rsidP="00992244">
            <w:pPr>
              <w:pStyle w:val="Tabletext0"/>
              <w:keepNext/>
              <w:keepLines/>
            </w:pPr>
            <w:bookmarkStart w:id="154" w:name="_Hlk136445445"/>
            <w:r w:rsidRPr="006F283B">
              <w:t>Q</w:t>
            </w:r>
          </w:p>
        </w:tc>
        <w:tc>
          <w:tcPr>
            <w:tcW w:w="3714" w:type="dxa"/>
            <w:vAlign w:val="center"/>
          </w:tcPr>
          <w:p w14:paraId="74B0D447" w14:textId="236D2501" w:rsidR="00795DF2" w:rsidRPr="009F5AA6" w:rsidRDefault="00795DF2" w:rsidP="00992244">
            <w:pPr>
              <w:pStyle w:val="Tabletext0"/>
              <w:keepNext/>
              <w:keepLines/>
              <w:rPr>
                <w:b/>
                <w:bCs/>
                <w:vertAlign w:val="superscript"/>
              </w:rPr>
            </w:pPr>
            <w:r w:rsidRPr="006F283B">
              <w:rPr>
                <w:b/>
                <w:bCs/>
              </w:rPr>
              <w:t>Cost-minimising niraparib AEMP per 84-capsule script</w:t>
            </w:r>
            <w:r w:rsidR="009F5AA6">
              <w:rPr>
                <w:b/>
                <w:bCs/>
                <w:vertAlign w:val="superscript"/>
              </w:rPr>
              <w:t>c</w:t>
            </w:r>
          </w:p>
        </w:tc>
        <w:tc>
          <w:tcPr>
            <w:tcW w:w="1275" w:type="dxa"/>
            <w:vAlign w:val="center"/>
          </w:tcPr>
          <w:p w14:paraId="3ECC9D6E" w14:textId="77777777" w:rsidR="00795DF2" w:rsidRPr="009F5AA6" w:rsidRDefault="00795DF2" w:rsidP="00992244">
            <w:pPr>
              <w:pStyle w:val="Tabletext0"/>
              <w:keepNext/>
              <w:keepLines/>
              <w:jc w:val="center"/>
              <w:rPr>
                <w:b/>
                <w:bCs/>
              </w:rPr>
            </w:pPr>
            <w:r w:rsidRPr="009F5AA6">
              <w:rPr>
                <w:b/>
                <w:bCs/>
              </w:rPr>
              <w:t>$10,629.50</w:t>
            </w:r>
          </w:p>
        </w:tc>
        <w:tc>
          <w:tcPr>
            <w:tcW w:w="3351" w:type="dxa"/>
            <w:vAlign w:val="center"/>
          </w:tcPr>
          <w:p w14:paraId="4AC065B1" w14:textId="77777777" w:rsidR="00795DF2" w:rsidRPr="006F283B" w:rsidRDefault="00795DF2" w:rsidP="00992244">
            <w:pPr>
              <w:pStyle w:val="Tabletext0"/>
              <w:keepNext/>
              <w:keepLines/>
              <w:jc w:val="center"/>
            </w:pPr>
            <w:r w:rsidRPr="006F283B">
              <w:t>N * O</w:t>
            </w:r>
          </w:p>
        </w:tc>
      </w:tr>
      <w:tr w:rsidR="0062279A" w:rsidRPr="006F283B" w14:paraId="36CBE04A" w14:textId="77777777" w:rsidTr="00285A5B">
        <w:tc>
          <w:tcPr>
            <w:tcW w:w="676" w:type="dxa"/>
            <w:vAlign w:val="center"/>
          </w:tcPr>
          <w:p w14:paraId="6A1D62C5" w14:textId="77777777" w:rsidR="00795DF2" w:rsidRPr="006F283B" w:rsidRDefault="00795DF2" w:rsidP="00992244">
            <w:pPr>
              <w:pStyle w:val="Tabletext0"/>
              <w:keepNext/>
              <w:keepLines/>
            </w:pPr>
            <w:r w:rsidRPr="006F283B">
              <w:t>R</w:t>
            </w:r>
          </w:p>
        </w:tc>
        <w:tc>
          <w:tcPr>
            <w:tcW w:w="3714" w:type="dxa"/>
            <w:vAlign w:val="center"/>
          </w:tcPr>
          <w:p w14:paraId="04631043" w14:textId="2D314D17" w:rsidR="00795DF2" w:rsidRPr="009F5AA6" w:rsidRDefault="00795DF2" w:rsidP="00992244">
            <w:pPr>
              <w:pStyle w:val="Tabletext0"/>
              <w:keepNext/>
              <w:keepLines/>
              <w:rPr>
                <w:b/>
                <w:bCs/>
                <w:vertAlign w:val="superscript"/>
              </w:rPr>
            </w:pPr>
            <w:r w:rsidRPr="006F283B">
              <w:rPr>
                <w:b/>
                <w:bCs/>
              </w:rPr>
              <w:t>Cost-minimising niraparib AEMP per 56-capsule script</w:t>
            </w:r>
            <w:r w:rsidR="009F5AA6">
              <w:rPr>
                <w:b/>
                <w:bCs/>
                <w:vertAlign w:val="superscript"/>
              </w:rPr>
              <w:t>c</w:t>
            </w:r>
          </w:p>
        </w:tc>
        <w:tc>
          <w:tcPr>
            <w:tcW w:w="1275" w:type="dxa"/>
            <w:vAlign w:val="center"/>
          </w:tcPr>
          <w:p w14:paraId="67739502" w14:textId="77777777" w:rsidR="00795DF2" w:rsidRPr="009F5AA6" w:rsidRDefault="00795DF2" w:rsidP="00992244">
            <w:pPr>
              <w:pStyle w:val="Tabletext0"/>
              <w:keepNext/>
              <w:keepLines/>
              <w:jc w:val="center"/>
              <w:rPr>
                <w:b/>
                <w:bCs/>
              </w:rPr>
            </w:pPr>
            <w:r w:rsidRPr="009F5AA6">
              <w:rPr>
                <w:b/>
                <w:bCs/>
              </w:rPr>
              <w:t>$7,086.33</w:t>
            </w:r>
          </w:p>
        </w:tc>
        <w:tc>
          <w:tcPr>
            <w:tcW w:w="3351" w:type="dxa"/>
            <w:vAlign w:val="center"/>
          </w:tcPr>
          <w:p w14:paraId="5828502E" w14:textId="77777777" w:rsidR="00795DF2" w:rsidRPr="006F283B" w:rsidRDefault="00795DF2" w:rsidP="00992244">
            <w:pPr>
              <w:pStyle w:val="Tabletext0"/>
              <w:keepNext/>
              <w:keepLines/>
              <w:jc w:val="center"/>
            </w:pPr>
            <w:r w:rsidRPr="006F283B">
              <w:t>N * P</w:t>
            </w:r>
          </w:p>
        </w:tc>
      </w:tr>
    </w:tbl>
    <w:bookmarkEnd w:id="154"/>
    <w:p w14:paraId="55A633AE" w14:textId="77777777" w:rsidR="00CB2BDC" w:rsidRPr="006F283B" w:rsidRDefault="00CB2BDC" w:rsidP="00CB2BDC">
      <w:pPr>
        <w:pStyle w:val="TableNotes"/>
        <w:spacing w:after="0"/>
        <w:rPr>
          <w:sz w:val="18"/>
          <w:szCs w:val="18"/>
        </w:rPr>
      </w:pPr>
      <w:r w:rsidRPr="006F283B">
        <w:rPr>
          <w:sz w:val="18"/>
          <w:szCs w:val="18"/>
        </w:rPr>
        <w:t>Source: Table 254, p396 of the submission</w:t>
      </w:r>
    </w:p>
    <w:p w14:paraId="0E1B5C27" w14:textId="4918E4DD" w:rsidR="00795DF2" w:rsidRPr="006F283B" w:rsidRDefault="00795DF2" w:rsidP="00795DF2">
      <w:pPr>
        <w:pStyle w:val="TableNotes"/>
        <w:spacing w:after="0"/>
        <w:rPr>
          <w:sz w:val="18"/>
          <w:szCs w:val="18"/>
        </w:rPr>
      </w:pPr>
      <w:r w:rsidRPr="006F283B">
        <w:rPr>
          <w:sz w:val="18"/>
          <w:szCs w:val="18"/>
        </w:rPr>
        <w:t>AEMP = approved ex-manufacturer price; ISD = individualised starting dose</w:t>
      </w:r>
      <w:r w:rsidR="0078286A" w:rsidRPr="006F283B">
        <w:rPr>
          <w:sz w:val="18"/>
          <w:szCs w:val="18"/>
        </w:rPr>
        <w:t>; TTD = time to treatment discontinuation</w:t>
      </w:r>
      <w:r w:rsidRPr="006F283B">
        <w:rPr>
          <w:sz w:val="18"/>
          <w:szCs w:val="18"/>
        </w:rPr>
        <w:t>.</w:t>
      </w:r>
    </w:p>
    <w:p w14:paraId="4AAAF0C0" w14:textId="547C694E" w:rsidR="00795DF2" w:rsidRDefault="00DA6764" w:rsidP="00CA0799">
      <w:pPr>
        <w:pStyle w:val="TableNotes"/>
        <w:spacing w:after="0"/>
        <w:rPr>
          <w:sz w:val="18"/>
          <w:szCs w:val="18"/>
        </w:rPr>
      </w:pPr>
      <w:proofErr w:type="spellStart"/>
      <w:proofErr w:type="gramStart"/>
      <w:r w:rsidRPr="006F283B">
        <w:rPr>
          <w:sz w:val="18"/>
          <w:szCs w:val="18"/>
          <w:vertAlign w:val="superscript"/>
        </w:rPr>
        <w:t>a</w:t>
      </w:r>
      <w:proofErr w:type="spellEnd"/>
      <w:proofErr w:type="gramEnd"/>
      <w:r w:rsidRPr="006F283B">
        <w:rPr>
          <w:sz w:val="18"/>
          <w:szCs w:val="18"/>
          <w:vertAlign w:val="superscript"/>
        </w:rPr>
        <w:t xml:space="preserve"> </w:t>
      </w:r>
      <w:r w:rsidR="00795DF2" w:rsidRPr="006F283B">
        <w:rPr>
          <w:sz w:val="18"/>
          <w:szCs w:val="18"/>
        </w:rPr>
        <w:t>Estimated from PAOLA-1, area under the curve of olaparib exposure over time data, PAOLA-1 CSR Figure 14.3.1.1.</w:t>
      </w:r>
    </w:p>
    <w:p w14:paraId="43E0B8D7" w14:textId="1508D688" w:rsidR="00CA0799" w:rsidRDefault="00CA0799" w:rsidP="009F5AA6">
      <w:pPr>
        <w:pStyle w:val="TableNotes"/>
        <w:spacing w:after="0"/>
        <w:rPr>
          <w:i/>
          <w:iCs/>
          <w:sz w:val="18"/>
          <w:szCs w:val="18"/>
        </w:rPr>
      </w:pPr>
      <w:r w:rsidRPr="00CA0799">
        <w:rPr>
          <w:sz w:val="18"/>
          <w:szCs w:val="18"/>
          <w:vertAlign w:val="superscript"/>
        </w:rPr>
        <w:t>b</w:t>
      </w:r>
      <w:r>
        <w:rPr>
          <w:sz w:val="18"/>
          <w:szCs w:val="18"/>
        </w:rPr>
        <w:t xml:space="preserve"> </w:t>
      </w:r>
      <w:r w:rsidRPr="00CA0799">
        <w:rPr>
          <w:i/>
          <w:iCs/>
          <w:sz w:val="18"/>
          <w:szCs w:val="18"/>
        </w:rPr>
        <w:t>Note: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p w14:paraId="0F1AEE29" w14:textId="06B76289" w:rsidR="009F5AA6" w:rsidRPr="009F5AA6" w:rsidRDefault="009F5AA6" w:rsidP="00C07F3A">
      <w:pPr>
        <w:pStyle w:val="TableNotes"/>
        <w:spacing w:after="120"/>
        <w:rPr>
          <w:sz w:val="18"/>
          <w:szCs w:val="18"/>
        </w:rPr>
      </w:pPr>
      <w:r w:rsidRPr="009F5AA6">
        <w:rPr>
          <w:sz w:val="18"/>
          <w:szCs w:val="18"/>
          <w:vertAlign w:val="superscript"/>
        </w:rPr>
        <w:t>c</w:t>
      </w:r>
      <w:r>
        <w:rPr>
          <w:sz w:val="18"/>
          <w:szCs w:val="18"/>
        </w:rPr>
        <w:t xml:space="preserve"> </w:t>
      </w:r>
      <w:r w:rsidR="001A782B">
        <w:rPr>
          <w:sz w:val="18"/>
          <w:szCs w:val="18"/>
        </w:rPr>
        <w:t>Rows</w:t>
      </w:r>
      <w:r>
        <w:rPr>
          <w:sz w:val="18"/>
          <w:szCs w:val="18"/>
        </w:rPr>
        <w:t xml:space="preserve"> J, N, Q and R do not reflect the requested prices. For more details, please see Section </w:t>
      </w:r>
      <w:r>
        <w:rPr>
          <w:sz w:val="18"/>
          <w:szCs w:val="18"/>
        </w:rPr>
        <w:fldChar w:fldCharType="begin" w:fldLock="1"/>
      </w:r>
      <w:r>
        <w:rPr>
          <w:sz w:val="18"/>
          <w:szCs w:val="18"/>
        </w:rPr>
        <w:instrText xml:space="preserve"> REF _Ref136853058 \r \h </w:instrText>
      </w:r>
      <w:r>
        <w:rPr>
          <w:sz w:val="18"/>
          <w:szCs w:val="18"/>
        </w:rPr>
      </w:r>
      <w:r>
        <w:rPr>
          <w:sz w:val="18"/>
          <w:szCs w:val="18"/>
        </w:rPr>
        <w:fldChar w:fldCharType="separate"/>
      </w:r>
      <w:r w:rsidR="00305654">
        <w:rPr>
          <w:sz w:val="18"/>
          <w:szCs w:val="18"/>
        </w:rPr>
        <w:t>3</w:t>
      </w:r>
      <w:r>
        <w:rPr>
          <w:sz w:val="18"/>
          <w:szCs w:val="18"/>
        </w:rPr>
        <w:fldChar w:fldCharType="end"/>
      </w:r>
    </w:p>
    <w:p w14:paraId="555977E7" w14:textId="51F04531" w:rsidR="00795DF2" w:rsidRPr="006F283B" w:rsidRDefault="00795DF2" w:rsidP="00C07F3A">
      <w:pPr>
        <w:pStyle w:val="ListParagraph"/>
        <w:spacing w:before="0" w:after="120"/>
        <w:rPr>
          <w:color w:val="auto"/>
        </w:rPr>
      </w:pPr>
      <w:r w:rsidRPr="006F283B">
        <w:rPr>
          <w:color w:val="auto"/>
        </w:rPr>
        <w:t xml:space="preserve">The CMA replicated the approach used in the submission for niraparib for 1L </w:t>
      </w:r>
      <w:r w:rsidR="001152C0" w:rsidRPr="001152C0">
        <w:rPr>
          <w:i/>
          <w:iCs/>
          <w:color w:val="auto"/>
        </w:rPr>
        <w:t>BRCAm</w:t>
      </w:r>
      <w:r w:rsidRPr="006F283B">
        <w:rPr>
          <w:color w:val="auto"/>
        </w:rPr>
        <w:t xml:space="preserve"> HGEOC (March 2022 PBAC meeting), in which the equi-effective doses for niraparib and olaparib were determined over a 6-year period, taking into account the different stopping rules for complete responders (</w:t>
      </w:r>
      <w:proofErr w:type="gramStart"/>
      <w:r w:rsidR="0005528E" w:rsidRPr="006F283B">
        <w:rPr>
          <w:color w:val="auto"/>
        </w:rPr>
        <w:t>i.e.</w:t>
      </w:r>
      <w:proofErr w:type="gramEnd"/>
      <w:r w:rsidRPr="006F283B">
        <w:rPr>
          <w:color w:val="auto"/>
        </w:rPr>
        <w:t xml:space="preserve"> 3 years for niraparib and 2 years for olaparib), relative dose intensity per the ISD for niraparib and the flat pricing adjusted for compliance for to olaparib.</w:t>
      </w:r>
    </w:p>
    <w:p w14:paraId="4641B438" w14:textId="6273A0B5" w:rsidR="0060109D" w:rsidRPr="006F283B" w:rsidRDefault="0060109D" w:rsidP="00C07F3A">
      <w:pPr>
        <w:pStyle w:val="ListParagraph"/>
        <w:spacing w:before="0" w:after="120"/>
        <w:rPr>
          <w:color w:val="auto"/>
        </w:rPr>
      </w:pPr>
      <w:bookmarkStart w:id="155" w:name="_Ref130506218"/>
      <w:r w:rsidRPr="006F283B">
        <w:rPr>
          <w:color w:val="auto"/>
        </w:rPr>
        <w:t xml:space="preserve">The submission estimated that HRD positive </w:t>
      </w:r>
      <w:r w:rsidR="001152C0" w:rsidRPr="001152C0">
        <w:rPr>
          <w:i/>
          <w:iCs/>
          <w:color w:val="auto"/>
        </w:rPr>
        <w:t>BRCAwt</w:t>
      </w:r>
      <w:r w:rsidRPr="006F283B">
        <w:rPr>
          <w:color w:val="auto"/>
        </w:rPr>
        <w:t xml:space="preserve"> patients, in the first six years of treatment, will receive 16.87 months of niraparib treatment (based on </w:t>
      </w:r>
      <w:r w:rsidR="00AF4FAF" w:rsidRPr="006F283B">
        <w:rPr>
          <w:color w:val="auto"/>
        </w:rPr>
        <w:t xml:space="preserve">area under curve of </w:t>
      </w:r>
      <w:r w:rsidRPr="006F283B">
        <w:rPr>
          <w:color w:val="auto"/>
        </w:rPr>
        <w:t>PRIMA TTD</w:t>
      </w:r>
      <w:r w:rsidR="00AF4FAF" w:rsidRPr="006F283B">
        <w:rPr>
          <w:color w:val="auto"/>
        </w:rPr>
        <w:t xml:space="preserve">, HRD positive </w:t>
      </w:r>
      <w:r w:rsidR="001152C0" w:rsidRPr="001152C0">
        <w:rPr>
          <w:i/>
          <w:iCs/>
          <w:color w:val="auto"/>
        </w:rPr>
        <w:t>BRCAwt</w:t>
      </w:r>
      <w:r w:rsidR="00AF4FAF" w:rsidRPr="006F283B">
        <w:rPr>
          <w:color w:val="auto"/>
        </w:rPr>
        <w:t xml:space="preserve"> subgroup</w:t>
      </w:r>
      <w:r w:rsidRPr="006F283B">
        <w:rPr>
          <w:color w:val="auto"/>
        </w:rPr>
        <w:t xml:space="preserve">) </w:t>
      </w:r>
      <w:r w:rsidR="00CB23B3" w:rsidRPr="006F283B">
        <w:rPr>
          <w:color w:val="auto"/>
        </w:rPr>
        <w:t xml:space="preserve">compared to 15.66 months of olaparib treatment (based on </w:t>
      </w:r>
      <w:r w:rsidR="00AF4FAF" w:rsidRPr="006F283B">
        <w:rPr>
          <w:color w:val="auto"/>
        </w:rPr>
        <w:t xml:space="preserve">area under curve of PAOLA-1 TTD, </w:t>
      </w:r>
      <w:r w:rsidR="00285A5B" w:rsidRPr="006F283B">
        <w:rPr>
          <w:color w:val="auto"/>
        </w:rPr>
        <w:t xml:space="preserve">ITT population, adjusted to reflect HRD positive </w:t>
      </w:r>
      <w:r w:rsidR="001152C0" w:rsidRPr="001152C0">
        <w:rPr>
          <w:i/>
          <w:iCs/>
          <w:color w:val="auto"/>
        </w:rPr>
        <w:t>BRCAwt</w:t>
      </w:r>
      <w:r w:rsidR="00285A5B" w:rsidRPr="006F283B">
        <w:rPr>
          <w:color w:val="auto"/>
        </w:rPr>
        <w:t xml:space="preserve"> subgroup</w:t>
      </w:r>
      <w:r w:rsidR="00AF4FAF" w:rsidRPr="006F283B">
        <w:rPr>
          <w:color w:val="auto"/>
        </w:rPr>
        <w:t>)</w:t>
      </w:r>
      <w:r w:rsidR="00FE5B92" w:rsidRPr="006F283B">
        <w:rPr>
          <w:color w:val="auto"/>
        </w:rPr>
        <w:t xml:space="preserve"> with a 96.0% compliance to olaparib</w:t>
      </w:r>
      <w:r w:rsidR="001858E6" w:rsidRPr="006F283B">
        <w:rPr>
          <w:color w:val="auto"/>
        </w:rPr>
        <w:t>. A mean dose of 162.1</w:t>
      </w:r>
      <w:r w:rsidR="001A68FF" w:rsidRPr="006F283B">
        <w:rPr>
          <w:color w:val="auto"/>
        </w:rPr>
        <w:t xml:space="preserve"> </w:t>
      </w:r>
      <w:r w:rsidR="001858E6" w:rsidRPr="006F283B">
        <w:rPr>
          <w:color w:val="auto"/>
        </w:rPr>
        <w:t>mg per day of niraparib was used in the CMA base</w:t>
      </w:r>
      <w:r w:rsidR="00430AA9" w:rsidRPr="006F283B">
        <w:rPr>
          <w:color w:val="auto"/>
        </w:rPr>
        <w:t>d</w:t>
      </w:r>
      <w:r w:rsidR="001858E6" w:rsidRPr="006F283B">
        <w:rPr>
          <w:color w:val="auto"/>
        </w:rPr>
        <w:t xml:space="preserve"> on </w:t>
      </w:r>
      <w:r w:rsidR="00430AA9" w:rsidRPr="006F283B">
        <w:rPr>
          <w:color w:val="auto"/>
        </w:rPr>
        <w:t xml:space="preserve">the </w:t>
      </w:r>
      <w:r w:rsidR="001858E6" w:rsidRPr="006F283B">
        <w:rPr>
          <w:color w:val="auto"/>
        </w:rPr>
        <w:t>figure for the PRIMA ISD cohort</w:t>
      </w:r>
      <w:r w:rsidR="006F2156" w:rsidRPr="006F283B">
        <w:rPr>
          <w:color w:val="auto"/>
        </w:rPr>
        <w:t xml:space="preserve">. </w:t>
      </w:r>
      <w:r w:rsidR="00FE5B92" w:rsidRPr="006F283B">
        <w:rPr>
          <w:color w:val="auto"/>
        </w:rPr>
        <w:t xml:space="preserve">Comparatively, in the March 2022 submission </w:t>
      </w:r>
      <w:r w:rsidR="004E02BD" w:rsidRPr="006F283B">
        <w:rPr>
          <w:color w:val="auto"/>
        </w:rPr>
        <w:t xml:space="preserve">for the 1L </w:t>
      </w:r>
      <w:r w:rsidR="001152C0" w:rsidRPr="001152C0">
        <w:rPr>
          <w:i/>
          <w:iCs/>
          <w:color w:val="auto"/>
        </w:rPr>
        <w:t>BRCAm</w:t>
      </w:r>
      <w:r w:rsidR="004E02BD" w:rsidRPr="006F283B">
        <w:rPr>
          <w:color w:val="auto"/>
        </w:rPr>
        <w:t xml:space="preserve"> population, </w:t>
      </w:r>
      <w:r w:rsidR="00FE5B92" w:rsidRPr="006F283B">
        <w:rPr>
          <w:color w:val="auto"/>
        </w:rPr>
        <w:t xml:space="preserve">the equi-effective doses were estimated as niraparib </w:t>
      </w:r>
      <w:r w:rsidR="00FE5B92" w:rsidRPr="006F283B">
        <w:rPr>
          <w:color w:val="auto"/>
        </w:rPr>
        <w:lastRenderedPageBreak/>
        <w:t>162.</w:t>
      </w:r>
      <w:r w:rsidR="00752DAE" w:rsidRPr="006F283B">
        <w:rPr>
          <w:color w:val="auto"/>
        </w:rPr>
        <w:t>1</w:t>
      </w:r>
      <w:r w:rsidR="00752DAE">
        <w:rPr>
          <w:color w:val="auto"/>
        </w:rPr>
        <w:t> </w:t>
      </w:r>
      <w:r w:rsidR="00FE5B92" w:rsidRPr="006F283B">
        <w:rPr>
          <w:color w:val="auto"/>
        </w:rPr>
        <w:t>mg/day</w:t>
      </w:r>
      <w:r w:rsidR="00205D77">
        <w:rPr>
          <w:rStyle w:val="FootnoteReference"/>
          <w:color w:val="auto"/>
        </w:rPr>
        <w:footnoteReference w:id="10"/>
      </w:r>
      <w:r w:rsidR="00FE5B92" w:rsidRPr="006F283B">
        <w:rPr>
          <w:color w:val="auto"/>
        </w:rPr>
        <w:t xml:space="preserve"> for 25 months and a fixed daily cost of any olaparib daily dose (</w:t>
      </w:r>
      <w:r w:rsidR="00752DAE" w:rsidRPr="006F283B">
        <w:rPr>
          <w:color w:val="auto"/>
        </w:rPr>
        <w:t>600</w:t>
      </w:r>
      <w:r w:rsidR="00752DAE">
        <w:rPr>
          <w:color w:val="auto"/>
        </w:rPr>
        <w:t> </w:t>
      </w:r>
      <w:r w:rsidR="00FE5B92" w:rsidRPr="006F283B">
        <w:rPr>
          <w:color w:val="auto"/>
        </w:rPr>
        <w:t xml:space="preserve">mg/day, </w:t>
      </w:r>
      <w:r w:rsidR="00752DAE" w:rsidRPr="006F283B">
        <w:rPr>
          <w:color w:val="auto"/>
        </w:rPr>
        <w:t>500</w:t>
      </w:r>
      <w:r w:rsidR="00752DAE">
        <w:rPr>
          <w:color w:val="auto"/>
        </w:rPr>
        <w:t> </w:t>
      </w:r>
      <w:r w:rsidR="00FE5B92" w:rsidRPr="006F283B">
        <w:rPr>
          <w:color w:val="auto"/>
        </w:rPr>
        <w:t xml:space="preserve">mg/day or </w:t>
      </w:r>
      <w:r w:rsidR="00752DAE" w:rsidRPr="006F283B">
        <w:rPr>
          <w:color w:val="auto"/>
        </w:rPr>
        <w:t>400</w:t>
      </w:r>
      <w:r w:rsidR="00752DAE">
        <w:rPr>
          <w:color w:val="auto"/>
        </w:rPr>
        <w:t> </w:t>
      </w:r>
      <w:r w:rsidR="00FE5B92" w:rsidRPr="006F283B">
        <w:rPr>
          <w:color w:val="auto"/>
        </w:rPr>
        <w:t>mg/day) for 20.9 months at 97% compliance (</w:t>
      </w:r>
      <w:r w:rsidR="00232EED" w:rsidRPr="006F283B">
        <w:rPr>
          <w:color w:val="auto"/>
        </w:rPr>
        <w:t>p</w:t>
      </w:r>
      <w:r w:rsidR="00FE5B92" w:rsidRPr="006F283B">
        <w:rPr>
          <w:color w:val="auto"/>
        </w:rPr>
        <w:t>aragraph 7.13, niraparib</w:t>
      </w:r>
      <w:r w:rsidR="007A3C62" w:rsidRPr="006F283B">
        <w:rPr>
          <w:color w:val="auto"/>
        </w:rPr>
        <w:t xml:space="preserve"> PSD</w:t>
      </w:r>
      <w:r w:rsidR="00FE5B92" w:rsidRPr="006F283B">
        <w:rPr>
          <w:color w:val="auto"/>
        </w:rPr>
        <w:t>, March 2022 PBAC meeting)</w:t>
      </w:r>
      <w:r w:rsidR="00232EED" w:rsidRPr="006F283B">
        <w:rPr>
          <w:color w:val="auto"/>
        </w:rPr>
        <w:t>.</w:t>
      </w:r>
      <w:bookmarkEnd w:id="155"/>
    </w:p>
    <w:p w14:paraId="382093D5" w14:textId="03DC13BC" w:rsidR="00714600" w:rsidRPr="006F283B" w:rsidRDefault="00714600" w:rsidP="00C07F3A">
      <w:pPr>
        <w:pStyle w:val="ListParagraph"/>
        <w:spacing w:before="0" w:after="120"/>
        <w:rPr>
          <w:color w:val="auto"/>
        </w:rPr>
      </w:pPr>
      <w:bookmarkStart w:id="156" w:name="_Ref130808749"/>
      <w:r w:rsidRPr="006F283B">
        <w:t xml:space="preserve">The submission noted that patients on niraparib require increased monitoring of complete blood counts (CBC) and blood pressure (BP monitoring) over the first year of treatment. Niraparib patients require CBCs weekly in the first month of treatment, followed by monthly for the next 11 months and periodically thereafter, whereas olaparib patients require CBCs monthly for the first 12 months of treatment and periodically thereafter. Niraparib patients also require blood pressure (BP) monitoring monthly for the first 12 months of treatment. The CMA included MBS item fees to reflect these monitoring costs which totalled $399.52 additional cost per course of niraparib compared to olaparib (MBS item 65070 for CBC and MBS item 23 for a GP consult for BP monitoring). </w:t>
      </w:r>
    </w:p>
    <w:p w14:paraId="68416E14" w14:textId="38CD91C0" w:rsidR="00714600" w:rsidRPr="006F283B" w:rsidRDefault="00714600" w:rsidP="00C07F3A">
      <w:pPr>
        <w:pStyle w:val="ListParagraph"/>
        <w:spacing w:before="0" w:after="120"/>
        <w:rPr>
          <w:color w:val="auto"/>
        </w:rPr>
      </w:pPr>
      <w:r w:rsidRPr="006F283B">
        <w:t>The PBAC noted that the CMA</w:t>
      </w:r>
      <w:r w:rsidRPr="006F283B">
        <w:rPr>
          <w:color w:val="auto"/>
        </w:rPr>
        <w:t xml:space="preserve"> used in the submission for niraparib for 1L </w:t>
      </w:r>
      <w:r w:rsidR="001152C0" w:rsidRPr="001152C0">
        <w:rPr>
          <w:i/>
          <w:iCs/>
          <w:color w:val="auto"/>
        </w:rPr>
        <w:t>BRCAm</w:t>
      </w:r>
      <w:r w:rsidRPr="006F283B">
        <w:rPr>
          <w:color w:val="auto"/>
        </w:rPr>
        <w:t xml:space="preserve"> HGEOC (March 2022 PBAC meeting) </w:t>
      </w:r>
      <w:r w:rsidRPr="006F283B">
        <w:rPr>
          <w:bCs/>
        </w:rPr>
        <w:t>included the costs of managing and monitoring AEs which the PBAC considered was appropriate (para 7.12 niraparib PSD, March</w:t>
      </w:r>
      <w:r w:rsidR="008E1252">
        <w:rPr>
          <w:bCs/>
        </w:rPr>
        <w:t> </w:t>
      </w:r>
      <w:r w:rsidRPr="006F283B">
        <w:rPr>
          <w:bCs/>
        </w:rPr>
        <w:t>2022 PBAC meeting). The PBAC noted that no</w:t>
      </w:r>
      <w:r w:rsidR="003A2C91" w:rsidRPr="006F283B">
        <w:rPr>
          <w:bCs/>
        </w:rPr>
        <w:t xml:space="preserve"> safety costs were included in the CMA in this submission on the basis that an </w:t>
      </w:r>
      <w:r w:rsidR="003A2C91" w:rsidRPr="006F283B">
        <w:t>increased toxicity burden was associated with olaparib + bevacizumab when compared to niraparib.</w:t>
      </w:r>
    </w:p>
    <w:p w14:paraId="5954BF22" w14:textId="36437872" w:rsidR="00843998" w:rsidRPr="006F283B" w:rsidRDefault="00843998" w:rsidP="00F029F7">
      <w:pPr>
        <w:pStyle w:val="4-SubsectionHeading"/>
      </w:pPr>
      <w:bookmarkStart w:id="157" w:name="_Toc413139283"/>
      <w:bookmarkStart w:id="158" w:name="_Toc95298230"/>
      <w:bookmarkStart w:id="159" w:name="_Toc123646839"/>
      <w:bookmarkStart w:id="160" w:name="_Toc123646940"/>
      <w:bookmarkStart w:id="161" w:name="_Toc123647175"/>
      <w:bookmarkStart w:id="162" w:name="_Toc124937099"/>
      <w:bookmarkEnd w:id="156"/>
      <w:r w:rsidRPr="006F283B">
        <w:lastRenderedPageBreak/>
        <w:t>Drug cost/patient/course</w:t>
      </w:r>
      <w:bookmarkEnd w:id="157"/>
      <w:bookmarkEnd w:id="158"/>
      <w:bookmarkEnd w:id="159"/>
      <w:bookmarkEnd w:id="160"/>
      <w:bookmarkEnd w:id="161"/>
      <w:bookmarkEnd w:id="162"/>
    </w:p>
    <w:p w14:paraId="286C5291" w14:textId="32EC9EA9" w:rsidR="0017526C" w:rsidRPr="006F283B" w:rsidRDefault="00CB2BDC" w:rsidP="00BE1D7B">
      <w:pPr>
        <w:pStyle w:val="TableFigureHeading"/>
        <w:keepLines/>
        <w:rPr>
          <w:rStyle w:val="CommentReference"/>
          <w:b/>
        </w:rPr>
      </w:pPr>
      <w:r w:rsidRPr="006F283B">
        <w:t xml:space="preserve">Table </w:t>
      </w:r>
      <w:r w:rsidR="00091054">
        <w:fldChar w:fldCharType="begin" w:fldLock="1"/>
      </w:r>
      <w:r w:rsidR="00091054">
        <w:instrText xml:space="preserve"> SEQ Table \* ARABIC </w:instrText>
      </w:r>
      <w:r w:rsidR="00091054">
        <w:fldChar w:fldCharType="separate"/>
      </w:r>
      <w:r w:rsidR="00305654">
        <w:rPr>
          <w:noProof/>
        </w:rPr>
        <w:t>22</w:t>
      </w:r>
      <w:r w:rsidR="00091054">
        <w:rPr>
          <w:noProof/>
        </w:rPr>
        <w:fldChar w:fldCharType="end"/>
      </w:r>
      <w:r w:rsidR="00C07F3A">
        <w:t>:</w:t>
      </w:r>
      <w:r w:rsidR="0017526C" w:rsidRPr="006F283B">
        <w:t xml:space="preserve"> </w:t>
      </w:r>
      <w:r w:rsidR="0017526C" w:rsidRPr="006F283B">
        <w:rPr>
          <w:rStyle w:val="CommentReference"/>
          <w:b/>
        </w:rPr>
        <w:t xml:space="preserve">Drug cost per patient for niraparib </w:t>
      </w:r>
      <w:r w:rsidR="005F2C97" w:rsidRPr="006F283B">
        <w:rPr>
          <w:rStyle w:val="CommentReference"/>
          <w:b/>
        </w:rPr>
        <w:t xml:space="preserve">– HRD positive </w:t>
      </w:r>
      <w:r w:rsidR="001152C0" w:rsidRPr="001152C0">
        <w:rPr>
          <w:rStyle w:val="CommentReference"/>
          <w:b/>
          <w:i/>
          <w:iCs/>
        </w:rPr>
        <w:t>BRCAwt</w:t>
      </w:r>
      <w:r w:rsidR="005F2C97" w:rsidRPr="006F283B">
        <w:rPr>
          <w:rStyle w:val="CommentReference"/>
          <w:b/>
        </w:rPr>
        <w:t xml:space="preserve"> (requested effective </w:t>
      </w:r>
      <w:proofErr w:type="gramStart"/>
      <w:r w:rsidR="00B517BD" w:rsidRPr="006F283B">
        <w:rPr>
          <w:rStyle w:val="CommentReference"/>
          <w:b/>
        </w:rPr>
        <w:t>DPMQ</w:t>
      </w:r>
      <w:r w:rsidR="005F2C97" w:rsidRPr="006F283B">
        <w:rPr>
          <w:rStyle w:val="CommentReference"/>
          <w:b/>
        </w:rPr>
        <w:t>)</w:t>
      </w:r>
      <w:r w:rsidR="00AF31E5" w:rsidRPr="006F283B">
        <w:rPr>
          <w:rStyle w:val="CommentReference"/>
          <w:b/>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Drug cost per patient for niraparib - non-BRCAm NDA HGEOC (requested effective DPMQ)* "/>
      </w:tblPr>
      <w:tblGrid>
        <w:gridCol w:w="1695"/>
        <w:gridCol w:w="2629"/>
        <w:gridCol w:w="2346"/>
        <w:gridCol w:w="2346"/>
      </w:tblGrid>
      <w:tr w:rsidR="0017526C" w:rsidRPr="006F283B" w14:paraId="4A0570C8" w14:textId="77777777" w:rsidTr="0017526C">
        <w:trPr>
          <w:cantSplit/>
          <w:tblHeader/>
          <w:jc w:val="center"/>
        </w:trPr>
        <w:tc>
          <w:tcPr>
            <w:tcW w:w="940" w:type="pct"/>
            <w:tcBorders>
              <w:top w:val="single" w:sz="4" w:space="0" w:color="auto"/>
              <w:left w:val="single" w:sz="4" w:space="0" w:color="auto"/>
              <w:bottom w:val="single" w:sz="4" w:space="0" w:color="auto"/>
              <w:right w:val="single" w:sz="4" w:space="0" w:color="auto"/>
            </w:tcBorders>
            <w:vAlign w:val="center"/>
          </w:tcPr>
          <w:p w14:paraId="5EA8444A" w14:textId="77777777" w:rsidR="0017526C" w:rsidRPr="006F283B" w:rsidRDefault="0017526C" w:rsidP="00BE1D7B">
            <w:pPr>
              <w:pStyle w:val="In-tableHeading"/>
              <w:keepLines/>
              <w:widowControl w:val="0"/>
              <w:jc w:val="center"/>
              <w:rPr>
                <w:lang w:val="en-AU"/>
              </w:rPr>
            </w:pPr>
          </w:p>
        </w:tc>
        <w:tc>
          <w:tcPr>
            <w:tcW w:w="4060" w:type="pct"/>
            <w:gridSpan w:val="3"/>
            <w:tcBorders>
              <w:top w:val="single" w:sz="4" w:space="0" w:color="auto"/>
              <w:left w:val="single" w:sz="4" w:space="0" w:color="auto"/>
              <w:bottom w:val="single" w:sz="4" w:space="0" w:color="auto"/>
              <w:right w:val="single" w:sz="4" w:space="0" w:color="auto"/>
            </w:tcBorders>
            <w:vAlign w:val="center"/>
            <w:hideMark/>
          </w:tcPr>
          <w:p w14:paraId="7850ACE3" w14:textId="77777777" w:rsidR="0017526C" w:rsidRPr="006F283B" w:rsidRDefault="0017526C" w:rsidP="00BE1D7B">
            <w:pPr>
              <w:pStyle w:val="In-tableHeading"/>
              <w:keepLines/>
              <w:widowControl w:val="0"/>
              <w:jc w:val="center"/>
              <w:rPr>
                <w:lang w:val="en-AU"/>
              </w:rPr>
            </w:pPr>
            <w:r w:rsidRPr="006F283B">
              <w:rPr>
                <w:lang w:val="en-AU"/>
              </w:rPr>
              <w:t>Niraparib</w:t>
            </w:r>
          </w:p>
        </w:tc>
      </w:tr>
      <w:tr w:rsidR="0017526C" w:rsidRPr="006F283B" w14:paraId="601D1684" w14:textId="77777777" w:rsidTr="0017526C">
        <w:trPr>
          <w:cantSplit/>
          <w:tblHeader/>
          <w:jc w:val="center"/>
        </w:trPr>
        <w:tc>
          <w:tcPr>
            <w:tcW w:w="940" w:type="pct"/>
            <w:tcBorders>
              <w:top w:val="single" w:sz="4" w:space="0" w:color="auto"/>
              <w:left w:val="single" w:sz="4" w:space="0" w:color="auto"/>
              <w:bottom w:val="single" w:sz="4" w:space="0" w:color="auto"/>
              <w:right w:val="single" w:sz="4" w:space="0" w:color="auto"/>
            </w:tcBorders>
            <w:vAlign w:val="center"/>
          </w:tcPr>
          <w:p w14:paraId="4DC48D49" w14:textId="77777777" w:rsidR="0017526C" w:rsidRPr="006F283B" w:rsidRDefault="0017526C" w:rsidP="00BE1D7B">
            <w:pPr>
              <w:pStyle w:val="In-tableHeading"/>
              <w:keepLines/>
              <w:widowControl w:val="0"/>
              <w:jc w:val="center"/>
              <w:rPr>
                <w:lang w:val="en-AU"/>
              </w:rPr>
            </w:pPr>
          </w:p>
        </w:tc>
        <w:tc>
          <w:tcPr>
            <w:tcW w:w="1458" w:type="pct"/>
            <w:tcBorders>
              <w:top w:val="single" w:sz="4" w:space="0" w:color="auto"/>
              <w:left w:val="single" w:sz="4" w:space="0" w:color="auto"/>
              <w:bottom w:val="single" w:sz="4" w:space="0" w:color="auto"/>
              <w:right w:val="single" w:sz="4" w:space="0" w:color="auto"/>
            </w:tcBorders>
            <w:vAlign w:val="center"/>
            <w:hideMark/>
          </w:tcPr>
          <w:p w14:paraId="086D0130" w14:textId="77777777" w:rsidR="0017526C" w:rsidRPr="006F283B" w:rsidRDefault="0017526C" w:rsidP="00BE1D7B">
            <w:pPr>
              <w:pStyle w:val="In-tableHeading"/>
              <w:keepLines/>
              <w:widowControl w:val="0"/>
              <w:jc w:val="center"/>
              <w:rPr>
                <w:lang w:val="en-AU"/>
              </w:rPr>
            </w:pPr>
            <w:r w:rsidRPr="006F283B">
              <w:rPr>
                <w:lang w:val="en-AU"/>
              </w:rPr>
              <w:t>Trial dose and duration</w:t>
            </w:r>
          </w:p>
        </w:tc>
        <w:tc>
          <w:tcPr>
            <w:tcW w:w="1301" w:type="pct"/>
            <w:tcBorders>
              <w:top w:val="single" w:sz="4" w:space="0" w:color="auto"/>
              <w:left w:val="single" w:sz="4" w:space="0" w:color="auto"/>
              <w:bottom w:val="single" w:sz="4" w:space="0" w:color="auto"/>
              <w:right w:val="single" w:sz="4" w:space="0" w:color="auto"/>
            </w:tcBorders>
            <w:vAlign w:val="center"/>
            <w:hideMark/>
          </w:tcPr>
          <w:p w14:paraId="58D355D8" w14:textId="77777777" w:rsidR="0017526C" w:rsidRPr="006F283B" w:rsidRDefault="0017526C" w:rsidP="00BE1D7B">
            <w:pPr>
              <w:pStyle w:val="In-tableHeading"/>
              <w:keepLines/>
              <w:widowControl w:val="0"/>
              <w:jc w:val="center"/>
              <w:rPr>
                <w:lang w:val="en-AU"/>
              </w:rPr>
            </w:pPr>
            <w:r w:rsidRPr="006F283B">
              <w:rPr>
                <w:lang w:val="en-AU"/>
              </w:rPr>
              <w:t>Model</w:t>
            </w:r>
          </w:p>
        </w:tc>
        <w:tc>
          <w:tcPr>
            <w:tcW w:w="1301" w:type="pct"/>
            <w:tcBorders>
              <w:top w:val="single" w:sz="4" w:space="0" w:color="auto"/>
              <w:left w:val="single" w:sz="4" w:space="0" w:color="auto"/>
              <w:bottom w:val="single" w:sz="4" w:space="0" w:color="auto"/>
              <w:right w:val="single" w:sz="4" w:space="0" w:color="auto"/>
            </w:tcBorders>
            <w:vAlign w:val="center"/>
            <w:hideMark/>
          </w:tcPr>
          <w:p w14:paraId="3E911D48" w14:textId="77777777" w:rsidR="0017526C" w:rsidRPr="006F283B" w:rsidRDefault="0017526C" w:rsidP="00BE1D7B">
            <w:pPr>
              <w:pStyle w:val="In-tableHeading"/>
              <w:keepLines/>
              <w:widowControl w:val="0"/>
              <w:jc w:val="center"/>
              <w:rPr>
                <w:lang w:val="en-AU"/>
              </w:rPr>
            </w:pPr>
            <w:r w:rsidRPr="006F283B">
              <w:rPr>
                <w:lang w:val="en-AU"/>
              </w:rPr>
              <w:t>Financial estimates</w:t>
            </w:r>
          </w:p>
        </w:tc>
      </w:tr>
      <w:tr w:rsidR="0017526C" w:rsidRPr="006F283B" w14:paraId="7724ED72" w14:textId="77777777" w:rsidTr="0017526C">
        <w:trPr>
          <w:cantSplit/>
          <w:jc w:val="center"/>
        </w:trPr>
        <w:tc>
          <w:tcPr>
            <w:tcW w:w="940" w:type="pct"/>
            <w:tcBorders>
              <w:top w:val="single" w:sz="4" w:space="0" w:color="auto"/>
              <w:left w:val="single" w:sz="4" w:space="0" w:color="auto"/>
              <w:bottom w:val="single" w:sz="4" w:space="0" w:color="auto"/>
              <w:right w:val="single" w:sz="4" w:space="0" w:color="auto"/>
            </w:tcBorders>
            <w:vAlign w:val="center"/>
            <w:hideMark/>
          </w:tcPr>
          <w:p w14:paraId="56F5AB1B" w14:textId="2084CB30" w:rsidR="0017526C" w:rsidRPr="006F283B" w:rsidRDefault="0017526C" w:rsidP="00BE1D7B">
            <w:pPr>
              <w:pStyle w:val="TableText"/>
              <w:keepNext/>
              <w:keepLines/>
            </w:pPr>
            <w:r w:rsidRPr="006F283B">
              <w:t xml:space="preserve">Mean dose </w:t>
            </w:r>
          </w:p>
        </w:tc>
        <w:tc>
          <w:tcPr>
            <w:tcW w:w="1458" w:type="pct"/>
            <w:tcBorders>
              <w:top w:val="single" w:sz="4" w:space="0" w:color="auto"/>
              <w:left w:val="single" w:sz="4" w:space="0" w:color="auto"/>
              <w:bottom w:val="single" w:sz="4" w:space="0" w:color="auto"/>
              <w:right w:val="single" w:sz="4" w:space="0" w:color="auto"/>
            </w:tcBorders>
            <w:vAlign w:val="center"/>
            <w:hideMark/>
          </w:tcPr>
          <w:p w14:paraId="29B20CE4" w14:textId="0266628C" w:rsidR="0017526C" w:rsidRPr="006F283B" w:rsidRDefault="0017526C" w:rsidP="00BE1D7B">
            <w:pPr>
              <w:pStyle w:val="TableText"/>
              <w:keepNext/>
              <w:keepLines/>
              <w:jc w:val="center"/>
              <w:rPr>
                <w:vertAlign w:val="superscript"/>
              </w:rPr>
            </w:pPr>
            <w:r w:rsidRPr="006F283B">
              <w:t>PRIMA ITT cohort dosing</w:t>
            </w:r>
            <w:r w:rsidR="005F2C97" w:rsidRPr="006F283B">
              <w:t xml:space="preserve"> </w:t>
            </w:r>
            <w:r w:rsidRPr="006F283B">
              <w:rPr>
                <w:vertAlign w:val="superscript"/>
              </w:rPr>
              <w:t>a</w:t>
            </w:r>
          </w:p>
          <w:p w14:paraId="3E40D677" w14:textId="3FEEC0C9" w:rsidR="0017526C" w:rsidRPr="006F283B" w:rsidRDefault="004216F1" w:rsidP="00BE1D7B">
            <w:pPr>
              <w:pStyle w:val="TableText"/>
              <w:keepNext/>
              <w:keepLines/>
              <w:jc w:val="center"/>
            </w:pPr>
            <w:r w:rsidRPr="006F283B">
              <w:t>1</w:t>
            </w:r>
            <w:r w:rsidR="002A5990" w:rsidRPr="006F283B">
              <w:t>74.7</w:t>
            </w:r>
            <w:r w:rsidR="00752DAE">
              <w:t> </w:t>
            </w:r>
            <w:r w:rsidRPr="006F283B">
              <w:t>mg/day</w:t>
            </w:r>
          </w:p>
          <w:p w14:paraId="56BEC919" w14:textId="77777777" w:rsidR="00A3794E" w:rsidRPr="006F283B" w:rsidRDefault="00A3794E" w:rsidP="00A3794E">
            <w:pPr>
              <w:pStyle w:val="TableText"/>
              <w:keepNext/>
              <w:keepLines/>
              <w:jc w:val="center"/>
              <w:rPr>
                <w:vertAlign w:val="superscript"/>
              </w:rPr>
            </w:pPr>
            <w:r w:rsidRPr="006F283B">
              <w:t xml:space="preserve">PRIMA ISD cohort dosing </w:t>
            </w:r>
            <w:r w:rsidRPr="006F283B">
              <w:rPr>
                <w:vertAlign w:val="superscript"/>
              </w:rPr>
              <w:t>b</w:t>
            </w:r>
          </w:p>
          <w:p w14:paraId="2EA557C1" w14:textId="65EB4A72" w:rsidR="00A3794E" w:rsidRPr="006F283B" w:rsidRDefault="00A3794E" w:rsidP="00A3794E">
            <w:pPr>
              <w:pStyle w:val="TableText"/>
              <w:keepNext/>
              <w:keepLines/>
              <w:jc w:val="center"/>
            </w:pPr>
            <w:r w:rsidRPr="006F283B">
              <w:t>162.1</w:t>
            </w:r>
            <w:r w:rsidR="00752DAE">
              <w:t> </w:t>
            </w:r>
            <w:r w:rsidRPr="006F283B">
              <w:t>mg mg/day</w:t>
            </w:r>
          </w:p>
        </w:tc>
        <w:tc>
          <w:tcPr>
            <w:tcW w:w="1301" w:type="pct"/>
            <w:tcBorders>
              <w:top w:val="single" w:sz="4" w:space="0" w:color="auto"/>
              <w:left w:val="single" w:sz="4" w:space="0" w:color="auto"/>
              <w:bottom w:val="single" w:sz="4" w:space="0" w:color="auto"/>
              <w:right w:val="single" w:sz="4" w:space="0" w:color="auto"/>
            </w:tcBorders>
            <w:vAlign w:val="center"/>
            <w:hideMark/>
          </w:tcPr>
          <w:p w14:paraId="1824412F" w14:textId="0C1D8BA4" w:rsidR="0017526C" w:rsidRPr="006F283B" w:rsidRDefault="0017526C" w:rsidP="00BE1D7B">
            <w:pPr>
              <w:pStyle w:val="TableText"/>
              <w:keepNext/>
              <w:keepLines/>
              <w:jc w:val="center"/>
              <w:rPr>
                <w:vertAlign w:val="superscript"/>
              </w:rPr>
            </w:pPr>
            <w:r w:rsidRPr="006F283B">
              <w:t>PRIMA ISD cohort dosing</w:t>
            </w:r>
            <w:r w:rsidR="005F2C97" w:rsidRPr="006F283B">
              <w:t xml:space="preserve"> </w:t>
            </w:r>
            <w:r w:rsidRPr="006F283B">
              <w:rPr>
                <w:vertAlign w:val="superscript"/>
              </w:rPr>
              <w:t>b</w:t>
            </w:r>
          </w:p>
          <w:p w14:paraId="41E57926" w14:textId="7D65AE97" w:rsidR="0017526C" w:rsidRPr="006F283B" w:rsidRDefault="00A3794E" w:rsidP="00BE1D7B">
            <w:pPr>
              <w:pStyle w:val="TableText"/>
              <w:keepNext/>
              <w:keepLines/>
              <w:jc w:val="center"/>
              <w:rPr>
                <w:b/>
              </w:rPr>
            </w:pPr>
            <w:r w:rsidRPr="006F283B">
              <w:t>162.1</w:t>
            </w:r>
            <w:r w:rsidR="00752DAE">
              <w:t> </w:t>
            </w:r>
            <w:r w:rsidR="0017526C" w:rsidRPr="006F283B">
              <w:t>mg/day</w:t>
            </w:r>
          </w:p>
        </w:tc>
        <w:tc>
          <w:tcPr>
            <w:tcW w:w="1301" w:type="pct"/>
            <w:tcBorders>
              <w:top w:val="single" w:sz="4" w:space="0" w:color="auto"/>
              <w:left w:val="single" w:sz="4" w:space="0" w:color="auto"/>
              <w:bottom w:val="single" w:sz="4" w:space="0" w:color="auto"/>
              <w:right w:val="single" w:sz="4" w:space="0" w:color="auto"/>
            </w:tcBorders>
            <w:vAlign w:val="center"/>
            <w:hideMark/>
          </w:tcPr>
          <w:p w14:paraId="1B656ED0" w14:textId="4AAD27EB" w:rsidR="0017526C" w:rsidRPr="006F283B" w:rsidRDefault="0017526C" w:rsidP="00BE1D7B">
            <w:pPr>
              <w:pStyle w:val="TableText"/>
              <w:keepNext/>
              <w:keepLines/>
              <w:jc w:val="center"/>
              <w:rPr>
                <w:vertAlign w:val="superscript"/>
              </w:rPr>
            </w:pPr>
            <w:r w:rsidRPr="006F283B">
              <w:t>PRIMA ISD cohort dosing</w:t>
            </w:r>
            <w:r w:rsidR="005F2C97" w:rsidRPr="006F283B">
              <w:t xml:space="preserve"> </w:t>
            </w:r>
            <w:r w:rsidRPr="006F283B">
              <w:rPr>
                <w:vertAlign w:val="superscript"/>
              </w:rPr>
              <w:t>b</w:t>
            </w:r>
          </w:p>
          <w:p w14:paraId="1D58EA65" w14:textId="74096576" w:rsidR="0017526C" w:rsidRPr="006F283B" w:rsidRDefault="004216F1" w:rsidP="00BE1D7B">
            <w:pPr>
              <w:pStyle w:val="TableText"/>
              <w:keepNext/>
              <w:keepLines/>
              <w:jc w:val="center"/>
              <w:rPr>
                <w:b/>
              </w:rPr>
            </w:pPr>
            <w:r w:rsidRPr="006F283B">
              <w:t>162.1</w:t>
            </w:r>
            <w:r w:rsidR="00752DAE">
              <w:t> </w:t>
            </w:r>
            <w:r w:rsidRPr="006F283B">
              <w:t>mg</w:t>
            </w:r>
            <w:r w:rsidR="00A3794E" w:rsidRPr="006F283B">
              <w:t>/day</w:t>
            </w:r>
          </w:p>
        </w:tc>
      </w:tr>
      <w:tr w:rsidR="0017526C" w:rsidRPr="006F283B" w14:paraId="697C82A5" w14:textId="77777777" w:rsidTr="0017526C">
        <w:trPr>
          <w:cantSplit/>
          <w:jc w:val="center"/>
        </w:trPr>
        <w:tc>
          <w:tcPr>
            <w:tcW w:w="940" w:type="pct"/>
            <w:tcBorders>
              <w:top w:val="single" w:sz="4" w:space="0" w:color="auto"/>
              <w:left w:val="single" w:sz="4" w:space="0" w:color="auto"/>
              <w:bottom w:val="single" w:sz="4" w:space="0" w:color="auto"/>
              <w:right w:val="single" w:sz="4" w:space="0" w:color="auto"/>
            </w:tcBorders>
            <w:vAlign w:val="center"/>
            <w:hideMark/>
          </w:tcPr>
          <w:p w14:paraId="5EB61690" w14:textId="77777777" w:rsidR="0017526C" w:rsidRPr="006F283B" w:rsidRDefault="0017526C" w:rsidP="00BE1D7B">
            <w:pPr>
              <w:pStyle w:val="TableText"/>
              <w:keepNext/>
              <w:keepLines/>
            </w:pPr>
            <w:r w:rsidRPr="006F283B">
              <w:t>Mean duration</w:t>
            </w:r>
          </w:p>
        </w:tc>
        <w:tc>
          <w:tcPr>
            <w:tcW w:w="1458" w:type="pct"/>
            <w:tcBorders>
              <w:top w:val="single" w:sz="4" w:space="0" w:color="auto"/>
              <w:left w:val="single" w:sz="4" w:space="0" w:color="auto"/>
              <w:bottom w:val="single" w:sz="4" w:space="0" w:color="auto"/>
              <w:right w:val="single" w:sz="4" w:space="0" w:color="auto"/>
            </w:tcBorders>
            <w:vAlign w:val="center"/>
            <w:hideMark/>
          </w:tcPr>
          <w:p w14:paraId="0A8C7EBD" w14:textId="17216111" w:rsidR="0017526C" w:rsidRPr="006F283B" w:rsidRDefault="008401A3" w:rsidP="00BE1D7B">
            <w:pPr>
              <w:pStyle w:val="TableText"/>
              <w:keepNext/>
              <w:keepLines/>
              <w:jc w:val="center"/>
              <w:rPr>
                <w:b/>
              </w:rPr>
            </w:pPr>
            <w:r w:rsidRPr="006F283B">
              <w:t>12.81 months</w:t>
            </w:r>
            <w:r w:rsidR="004E18B0" w:rsidRPr="006F283B">
              <w:t xml:space="preserve"> </w:t>
            </w:r>
            <w:r w:rsidR="0017526C" w:rsidRPr="006F283B">
              <w:rPr>
                <w:vertAlign w:val="superscript"/>
              </w:rPr>
              <w:t>c</w:t>
            </w:r>
          </w:p>
        </w:tc>
        <w:tc>
          <w:tcPr>
            <w:tcW w:w="1301" w:type="pct"/>
            <w:tcBorders>
              <w:top w:val="single" w:sz="4" w:space="0" w:color="auto"/>
              <w:left w:val="single" w:sz="4" w:space="0" w:color="auto"/>
              <w:bottom w:val="single" w:sz="4" w:space="0" w:color="auto"/>
              <w:right w:val="single" w:sz="4" w:space="0" w:color="auto"/>
            </w:tcBorders>
            <w:vAlign w:val="center"/>
            <w:hideMark/>
          </w:tcPr>
          <w:p w14:paraId="4AE6C5C4" w14:textId="72BFABAC" w:rsidR="0017526C" w:rsidRPr="006F283B" w:rsidRDefault="00B20473" w:rsidP="00BE1D7B">
            <w:pPr>
              <w:pStyle w:val="TableText"/>
              <w:keepNext/>
              <w:keepLines/>
              <w:jc w:val="center"/>
              <w:rPr>
                <w:b/>
              </w:rPr>
            </w:pPr>
            <w:r w:rsidRPr="006F283B">
              <w:t>16.</w:t>
            </w:r>
            <w:r w:rsidR="00E345BE" w:rsidRPr="006F283B">
              <w:t>74</w:t>
            </w:r>
            <w:r w:rsidRPr="006F283B">
              <w:t xml:space="preserve"> months</w:t>
            </w:r>
            <w:r w:rsidR="004E18B0" w:rsidRPr="006F283B">
              <w:t xml:space="preserve"> </w:t>
            </w:r>
            <w:r w:rsidR="0017526C" w:rsidRPr="006F283B">
              <w:rPr>
                <w:vertAlign w:val="superscript"/>
              </w:rPr>
              <w:t>d</w:t>
            </w:r>
          </w:p>
        </w:tc>
        <w:tc>
          <w:tcPr>
            <w:tcW w:w="1301" w:type="pct"/>
            <w:tcBorders>
              <w:top w:val="single" w:sz="4" w:space="0" w:color="auto"/>
              <w:left w:val="single" w:sz="4" w:space="0" w:color="auto"/>
              <w:bottom w:val="single" w:sz="4" w:space="0" w:color="auto"/>
              <w:right w:val="single" w:sz="4" w:space="0" w:color="auto"/>
            </w:tcBorders>
            <w:vAlign w:val="center"/>
            <w:hideMark/>
          </w:tcPr>
          <w:p w14:paraId="123DD762" w14:textId="0A3CD536" w:rsidR="0017526C" w:rsidRPr="006F283B" w:rsidRDefault="00E807E6" w:rsidP="00BE1D7B">
            <w:pPr>
              <w:pStyle w:val="TableText"/>
              <w:keepNext/>
              <w:keepLines/>
              <w:jc w:val="center"/>
              <w:rPr>
                <w:vertAlign w:val="superscript"/>
              </w:rPr>
            </w:pPr>
            <w:r w:rsidRPr="006F283B">
              <w:t>1</w:t>
            </w:r>
            <w:r w:rsidR="007E1E41" w:rsidRPr="006F283B">
              <w:t>6.</w:t>
            </w:r>
            <w:r w:rsidR="00E919B9" w:rsidRPr="006F283B">
              <w:t>47 months</w:t>
            </w:r>
            <w:r w:rsidRPr="006F283B">
              <w:t xml:space="preserve"> </w:t>
            </w:r>
            <w:r w:rsidR="0017526C" w:rsidRPr="006F283B">
              <w:rPr>
                <w:vertAlign w:val="superscript"/>
              </w:rPr>
              <w:t>e</w:t>
            </w:r>
          </w:p>
        </w:tc>
      </w:tr>
      <w:tr w:rsidR="0017526C" w:rsidRPr="006F283B" w14:paraId="78294ECF" w14:textId="77777777" w:rsidTr="00F62F4E">
        <w:trPr>
          <w:cantSplit/>
          <w:trHeight w:val="58"/>
          <w:jc w:val="center"/>
        </w:trPr>
        <w:tc>
          <w:tcPr>
            <w:tcW w:w="940" w:type="pct"/>
            <w:tcBorders>
              <w:top w:val="single" w:sz="4" w:space="0" w:color="auto"/>
              <w:left w:val="single" w:sz="4" w:space="0" w:color="auto"/>
              <w:bottom w:val="single" w:sz="4" w:space="0" w:color="auto"/>
              <w:right w:val="single" w:sz="4" w:space="0" w:color="auto"/>
            </w:tcBorders>
            <w:vAlign w:val="center"/>
            <w:hideMark/>
          </w:tcPr>
          <w:p w14:paraId="68ACEF0C" w14:textId="77777777" w:rsidR="0017526C" w:rsidRPr="006F283B" w:rsidRDefault="0017526C" w:rsidP="00BE1D7B">
            <w:pPr>
              <w:pStyle w:val="TableText"/>
              <w:keepNext/>
              <w:keepLines/>
            </w:pPr>
            <w:r w:rsidRPr="006F283B">
              <w:t>Cost/patient/course</w:t>
            </w:r>
          </w:p>
        </w:tc>
        <w:tc>
          <w:tcPr>
            <w:tcW w:w="1458" w:type="pct"/>
            <w:tcBorders>
              <w:top w:val="single" w:sz="4" w:space="0" w:color="auto"/>
              <w:left w:val="single" w:sz="4" w:space="0" w:color="auto"/>
              <w:bottom w:val="single" w:sz="4" w:space="0" w:color="auto"/>
              <w:right w:val="single" w:sz="4" w:space="0" w:color="auto"/>
            </w:tcBorders>
            <w:vAlign w:val="center"/>
          </w:tcPr>
          <w:p w14:paraId="4D5B89E8" w14:textId="131FFA80" w:rsidR="0017526C" w:rsidRPr="006F283B" w:rsidRDefault="00DE25C0" w:rsidP="00BE1D7B">
            <w:pPr>
              <w:keepNext/>
              <w:keepLines/>
              <w:widowControl w:val="0"/>
              <w:spacing w:before="0" w:after="0"/>
              <w:jc w:val="center"/>
              <w:rPr>
                <w:rFonts w:ascii="Arial Narrow" w:hAnsi="Arial Narrow" w:cs="Calibri"/>
                <w:color w:val="000000"/>
                <w:sz w:val="20"/>
                <w:szCs w:val="20"/>
                <w:vertAlign w:val="superscript"/>
              </w:rPr>
            </w:pPr>
            <w:r w:rsidRPr="006F283B">
              <w:rPr>
                <w:rFonts w:ascii="Arial Narrow" w:hAnsi="Arial Narrow" w:cs="Calibri"/>
                <w:color w:val="000000"/>
                <w:sz w:val="20"/>
                <w:szCs w:val="20"/>
              </w:rPr>
              <w:t>$</w:t>
            </w:r>
            <w:r w:rsidR="00093050" w:rsidRPr="00093050">
              <w:rPr>
                <w:rFonts w:ascii="Arial Narrow" w:hAnsi="Arial Narrow" w:cs="Calibri"/>
                <w:color w:val="000000"/>
                <w:sz w:val="20"/>
                <w:szCs w:val="20"/>
                <w:shd w:val="solid" w:color="000000" w:fill="000000"/>
                <w14:textFill>
                  <w14:solidFill>
                    <w14:srgbClr w14:val="000000">
                      <w14:alpha w14:val="100000"/>
                    </w14:srgbClr>
                  </w14:solidFill>
                </w14:textFill>
              </w:rPr>
              <w:t>|</w:t>
            </w:r>
            <w:r w:rsidR="008401A3" w:rsidRPr="006F283B">
              <w:rPr>
                <w:rFonts w:ascii="Arial Narrow" w:hAnsi="Arial Narrow" w:cs="Calibri"/>
                <w:color w:val="000000"/>
                <w:sz w:val="20"/>
                <w:szCs w:val="20"/>
              </w:rPr>
              <w:t xml:space="preserve"> </w:t>
            </w:r>
            <w:r w:rsidR="008401A3" w:rsidRPr="006F283B">
              <w:rPr>
                <w:rFonts w:ascii="Arial Narrow" w:hAnsi="Arial Narrow" w:cs="Calibri"/>
                <w:color w:val="000000"/>
                <w:sz w:val="20"/>
                <w:szCs w:val="20"/>
                <w:vertAlign w:val="superscript"/>
              </w:rPr>
              <w:t>f</w:t>
            </w:r>
          </w:p>
        </w:tc>
        <w:tc>
          <w:tcPr>
            <w:tcW w:w="1301" w:type="pct"/>
            <w:tcBorders>
              <w:top w:val="single" w:sz="4" w:space="0" w:color="auto"/>
              <w:left w:val="single" w:sz="4" w:space="0" w:color="auto"/>
              <w:bottom w:val="single" w:sz="4" w:space="0" w:color="auto"/>
              <w:right w:val="single" w:sz="4" w:space="0" w:color="auto"/>
            </w:tcBorders>
            <w:vAlign w:val="center"/>
          </w:tcPr>
          <w:p w14:paraId="4BC66E5C" w14:textId="1F02A2CB" w:rsidR="0017526C" w:rsidRPr="006F283B" w:rsidRDefault="001F795C" w:rsidP="00BE1D7B">
            <w:pPr>
              <w:pStyle w:val="TableText"/>
              <w:keepNext/>
              <w:keepLines/>
              <w:jc w:val="center"/>
              <w:rPr>
                <w:rFonts w:cstheme="majorBidi"/>
                <w:szCs w:val="24"/>
                <w:vertAlign w:val="superscript"/>
              </w:rPr>
            </w:pPr>
            <w:r w:rsidRPr="006F283B">
              <w:rPr>
                <w:rFonts w:cstheme="majorBidi"/>
                <w:szCs w:val="24"/>
              </w:rPr>
              <w:t>$</w:t>
            </w:r>
            <w:r w:rsidR="00093050" w:rsidRPr="00093050">
              <w:rPr>
                <w:rFonts w:cstheme="majorBidi"/>
                <w:color w:val="000000"/>
                <w:szCs w:val="24"/>
                <w:shd w:val="solid" w:color="000000" w:fill="000000"/>
                <w14:textFill>
                  <w14:solidFill>
                    <w14:srgbClr w14:val="000000">
                      <w14:alpha w14:val="100000"/>
                    </w14:srgbClr>
                  </w14:solidFill>
                </w14:textFill>
              </w:rPr>
              <w:t>|</w:t>
            </w:r>
            <w:r w:rsidR="00FD5BC7" w:rsidRPr="006F283B">
              <w:rPr>
                <w:rFonts w:cstheme="majorBidi"/>
                <w:szCs w:val="24"/>
              </w:rPr>
              <w:t xml:space="preserve"> </w:t>
            </w:r>
            <w:r w:rsidR="00E65E8A" w:rsidRPr="006F283B">
              <w:rPr>
                <w:rFonts w:cstheme="majorBidi"/>
                <w:szCs w:val="24"/>
                <w:vertAlign w:val="superscript"/>
              </w:rPr>
              <w:t>g</w:t>
            </w:r>
          </w:p>
        </w:tc>
        <w:tc>
          <w:tcPr>
            <w:tcW w:w="1301" w:type="pct"/>
            <w:tcBorders>
              <w:top w:val="single" w:sz="4" w:space="0" w:color="auto"/>
              <w:left w:val="single" w:sz="4" w:space="0" w:color="auto"/>
              <w:bottom w:val="single" w:sz="4" w:space="0" w:color="auto"/>
              <w:right w:val="single" w:sz="4" w:space="0" w:color="auto"/>
            </w:tcBorders>
            <w:vAlign w:val="center"/>
          </w:tcPr>
          <w:p w14:paraId="16849A8A" w14:textId="563E938D" w:rsidR="0017526C" w:rsidRPr="006F283B" w:rsidRDefault="00E919B9" w:rsidP="00BE1D7B">
            <w:pPr>
              <w:pStyle w:val="TableText"/>
              <w:keepNext/>
              <w:keepLines/>
              <w:jc w:val="center"/>
              <w:rPr>
                <w:rFonts w:cstheme="majorBidi"/>
                <w:szCs w:val="24"/>
                <w:vertAlign w:val="superscript"/>
              </w:rPr>
            </w:pPr>
            <w:r w:rsidRPr="006F283B">
              <w:rPr>
                <w:rFonts w:cstheme="majorBidi"/>
                <w:szCs w:val="24"/>
              </w:rPr>
              <w:t>$</w:t>
            </w:r>
            <w:r w:rsidR="00093050" w:rsidRPr="00093050">
              <w:rPr>
                <w:rFonts w:cstheme="majorBidi"/>
                <w:color w:val="000000"/>
                <w:szCs w:val="24"/>
                <w:shd w:val="solid" w:color="000000" w:fill="000000"/>
                <w14:textFill>
                  <w14:solidFill>
                    <w14:srgbClr w14:val="000000">
                      <w14:alpha w14:val="100000"/>
                    </w14:srgbClr>
                  </w14:solidFill>
                </w14:textFill>
              </w:rPr>
              <w:t>|</w:t>
            </w:r>
            <w:r w:rsidR="000C614D" w:rsidRPr="006F283B">
              <w:rPr>
                <w:rFonts w:cstheme="majorBidi"/>
                <w:szCs w:val="24"/>
              </w:rPr>
              <w:t xml:space="preserve"> </w:t>
            </w:r>
            <w:r w:rsidR="000C614D" w:rsidRPr="006F283B">
              <w:rPr>
                <w:rFonts w:cstheme="majorBidi"/>
                <w:szCs w:val="24"/>
                <w:vertAlign w:val="superscript"/>
              </w:rPr>
              <w:t>h</w:t>
            </w:r>
          </w:p>
        </w:tc>
      </w:tr>
    </w:tbl>
    <w:p w14:paraId="03E89756" w14:textId="51731928" w:rsidR="0017526C" w:rsidRPr="006F283B" w:rsidRDefault="0017526C" w:rsidP="003915F9">
      <w:pPr>
        <w:pStyle w:val="TableFigureFooter"/>
        <w:keepNext/>
        <w:keepLines/>
        <w:widowControl w:val="0"/>
        <w:jc w:val="both"/>
        <w:rPr>
          <w:rFonts w:eastAsiaTheme="minorHAnsi" w:cs="Times New Roman"/>
          <w:szCs w:val="18"/>
          <w:lang w:eastAsia="en-US"/>
        </w:rPr>
      </w:pPr>
      <w:r w:rsidRPr="006F283B">
        <w:t xml:space="preserve">Source: </w:t>
      </w:r>
      <w:r w:rsidRPr="006F283B">
        <w:rPr>
          <w:iCs/>
        </w:rPr>
        <w:t xml:space="preserve">Compiled during evaluation </w:t>
      </w:r>
      <w:r w:rsidR="00436077" w:rsidRPr="006F283B">
        <w:rPr>
          <w:iCs/>
        </w:rPr>
        <w:t xml:space="preserve">based on </w:t>
      </w:r>
      <w:r w:rsidR="00436077" w:rsidRPr="006F283B">
        <w:t xml:space="preserve">Table 55 (p122) of the submission, </w:t>
      </w:r>
      <w:r w:rsidR="00436077" w:rsidRPr="006F283B">
        <w:rPr>
          <w:szCs w:val="18"/>
        </w:rPr>
        <w:t>Zejula (niraparib) 1L HRD_non</w:t>
      </w:r>
      <w:r w:rsidR="001152C0" w:rsidRPr="001152C0">
        <w:rPr>
          <w:i/>
          <w:iCs/>
          <w:szCs w:val="18"/>
        </w:rPr>
        <w:t>BRCAm</w:t>
      </w:r>
      <w:r w:rsidR="00436077" w:rsidRPr="006F283B">
        <w:rPr>
          <w:szCs w:val="18"/>
        </w:rPr>
        <w:t xml:space="preserve"> CUA.xls, ‘costs’ and ‘CUA results’ spreadsheet and </w:t>
      </w:r>
      <w:r w:rsidR="004D7EC9" w:rsidRPr="006F283B">
        <w:t>“</w:t>
      </w:r>
      <w:r w:rsidR="00436077" w:rsidRPr="006F283B">
        <w:t>Zejula (niraparib) 1L BIM Oct 22</w:t>
      </w:r>
      <w:r w:rsidR="004D7EC9" w:rsidRPr="006F283B">
        <w:t>”</w:t>
      </w:r>
      <w:r w:rsidR="00436077" w:rsidRPr="006F283B">
        <w:t xml:space="preserve">.xlsx worksheet </w:t>
      </w:r>
      <w:r w:rsidR="005B2746" w:rsidRPr="006F283B">
        <w:t xml:space="preserve">sheets 2d, </w:t>
      </w:r>
      <w:r w:rsidR="00360E10" w:rsidRPr="006F283B">
        <w:t xml:space="preserve">3c, and </w:t>
      </w:r>
      <w:r w:rsidR="005B2746" w:rsidRPr="006F283B">
        <w:t>5</w:t>
      </w:r>
      <w:r w:rsidR="00436077" w:rsidRPr="006F283B">
        <w:t>”</w:t>
      </w:r>
    </w:p>
    <w:p w14:paraId="0D0277F1" w14:textId="60E31F1C" w:rsidR="0017526C" w:rsidRPr="006F283B" w:rsidRDefault="001152C0" w:rsidP="003915F9">
      <w:pPr>
        <w:pStyle w:val="TableFigureFooter"/>
        <w:keepNext/>
        <w:keepLines/>
        <w:widowControl w:val="0"/>
        <w:jc w:val="both"/>
        <w:rPr>
          <w:sz w:val="20"/>
          <w:szCs w:val="20"/>
        </w:rPr>
      </w:pPr>
      <w:r w:rsidRPr="001152C0">
        <w:rPr>
          <w:i/>
          <w:iCs/>
        </w:rPr>
        <w:t>BRCAm</w:t>
      </w:r>
      <w:r w:rsidR="0017526C" w:rsidRPr="006F283B">
        <w:t xml:space="preserve"> = </w:t>
      </w:r>
      <w:r w:rsidRPr="001152C0">
        <w:rPr>
          <w:i/>
          <w:iCs/>
        </w:rPr>
        <w:t xml:space="preserve">BRCA </w:t>
      </w:r>
      <w:r w:rsidR="0017526C" w:rsidRPr="006F283B">
        <w:t>gene mutation; DPMQ = dispensed price for maximum quantity; ISD = individualised starting dose, ITT = intention-to-treat; NDA HGEOC = newly diagnosed advanced high grade epithelial ovarian, fallopian tube or primary peritoneal cancer</w:t>
      </w:r>
    </w:p>
    <w:p w14:paraId="32C006C8" w14:textId="40E1CF22" w:rsidR="0017526C" w:rsidRPr="006F283B" w:rsidRDefault="0017526C" w:rsidP="003915F9">
      <w:pPr>
        <w:pStyle w:val="TableFigureFooter"/>
        <w:keepNext/>
        <w:keepLines/>
        <w:widowControl w:val="0"/>
        <w:jc w:val="both"/>
      </w:pPr>
      <w:r w:rsidRPr="006F283B">
        <w:rPr>
          <w:vertAlign w:val="superscript"/>
        </w:rPr>
        <w:t xml:space="preserve">* </w:t>
      </w:r>
      <w:r w:rsidRPr="006F283B">
        <w:rPr>
          <w:szCs w:val="18"/>
        </w:rPr>
        <w:t xml:space="preserve">Requested effective </w:t>
      </w:r>
      <w:r w:rsidR="006D57B5" w:rsidRPr="006F283B">
        <w:rPr>
          <w:szCs w:val="18"/>
        </w:rPr>
        <w:t>AEMP</w:t>
      </w:r>
      <w:r w:rsidRPr="006F283B">
        <w:rPr>
          <w:szCs w:val="18"/>
        </w:rPr>
        <w:t xml:space="preserve"> for niraparib (</w:t>
      </w:r>
      <w:r w:rsidR="00C76FBC" w:rsidRPr="006F283B">
        <w:rPr>
          <w:szCs w:val="18"/>
        </w:rPr>
        <w:t xml:space="preserve">HRD positive </w:t>
      </w:r>
      <w:r w:rsidR="001152C0" w:rsidRPr="001152C0">
        <w:rPr>
          <w:i/>
          <w:iCs/>
          <w:szCs w:val="18"/>
        </w:rPr>
        <w:t>BRCAwt</w:t>
      </w:r>
      <w:r w:rsidRPr="006F283B">
        <w:rPr>
          <w:szCs w:val="18"/>
        </w:rPr>
        <w:t xml:space="preserve">): </w:t>
      </w:r>
      <w:r w:rsidRPr="006F283B">
        <w:t xml:space="preserve">84 caps = </w:t>
      </w:r>
      <w:r w:rsidR="005F2C97" w:rsidRPr="006F283B">
        <w:t>$</w:t>
      </w:r>
      <w:r w:rsidR="00093050" w:rsidRPr="00093050">
        <w:rPr>
          <w:color w:val="000000"/>
          <w:spacing w:val="78"/>
          <w:shd w:val="solid" w:color="000000" w:fill="000000"/>
          <w:fitText w:val="388" w:id="-1233481200"/>
          <w14:textFill>
            <w14:solidFill>
              <w14:srgbClr w14:val="000000">
                <w14:alpha w14:val="100000"/>
              </w14:srgbClr>
            </w14:solidFill>
          </w14:textFill>
        </w:rPr>
        <w:t>|||</w:t>
      </w:r>
      <w:r w:rsidR="00093050" w:rsidRPr="00093050">
        <w:rPr>
          <w:color w:val="000000"/>
          <w:spacing w:val="1"/>
          <w:shd w:val="solid" w:color="000000" w:fill="000000"/>
          <w:fitText w:val="388" w:id="-1233481200"/>
          <w14:textFill>
            <w14:solidFill>
              <w14:srgbClr w14:val="000000">
                <w14:alpha w14:val="100000"/>
              </w14:srgbClr>
            </w14:solidFill>
          </w14:textFill>
        </w:rPr>
        <w:t>|</w:t>
      </w:r>
      <w:r w:rsidR="00C76FBC" w:rsidRPr="006F283B">
        <w:t xml:space="preserve">, </w:t>
      </w:r>
      <w:r w:rsidRPr="006F283B">
        <w:t>56 caps</w:t>
      </w:r>
      <w:r w:rsidR="00C76FBC" w:rsidRPr="006F283B">
        <w:t>= $</w:t>
      </w:r>
      <w:r w:rsidR="00093050" w:rsidRPr="00093050">
        <w:rPr>
          <w:color w:val="000000"/>
          <w:spacing w:val="82"/>
          <w:shd w:val="solid" w:color="000000" w:fill="000000"/>
          <w:fitText w:val="400" w:id="-1233481216"/>
          <w14:textFill>
            <w14:solidFill>
              <w14:srgbClr w14:val="000000">
                <w14:alpha w14:val="100000"/>
              </w14:srgbClr>
            </w14:solidFill>
          </w14:textFill>
        </w:rPr>
        <w:t>|||</w:t>
      </w:r>
      <w:r w:rsidR="00093050" w:rsidRPr="00093050">
        <w:rPr>
          <w:color w:val="000000"/>
          <w:spacing w:val="1"/>
          <w:shd w:val="solid" w:color="000000" w:fill="000000"/>
          <w:fitText w:val="400" w:id="-1233481216"/>
          <w14:textFill>
            <w14:solidFill>
              <w14:srgbClr w14:val="000000">
                <w14:alpha w14:val="100000"/>
              </w14:srgbClr>
            </w14:solidFill>
          </w14:textFill>
        </w:rPr>
        <w:t>|</w:t>
      </w:r>
      <w:r w:rsidRPr="006F283B">
        <w:t xml:space="preserve"> </w:t>
      </w:r>
    </w:p>
    <w:p w14:paraId="0BD10345" w14:textId="13C83118" w:rsidR="0017526C" w:rsidRPr="006F283B" w:rsidRDefault="0017526C" w:rsidP="003915F9">
      <w:pPr>
        <w:pStyle w:val="TableFigureFooter"/>
        <w:keepNext/>
        <w:keepLines/>
        <w:widowControl w:val="0"/>
        <w:jc w:val="both"/>
        <w:rPr>
          <w:szCs w:val="18"/>
          <w:lang w:eastAsia="en-US"/>
        </w:rPr>
      </w:pPr>
      <w:proofErr w:type="spellStart"/>
      <w:proofErr w:type="gramStart"/>
      <w:r w:rsidRPr="006F283B">
        <w:rPr>
          <w:vertAlign w:val="superscript"/>
        </w:rPr>
        <w:t>a</w:t>
      </w:r>
      <w:proofErr w:type="spellEnd"/>
      <w:proofErr w:type="gramEnd"/>
      <w:r w:rsidRPr="006F283B">
        <w:rPr>
          <w:vertAlign w:val="superscript"/>
        </w:rPr>
        <w:t xml:space="preserve"> </w:t>
      </w:r>
      <w:r w:rsidRPr="006F283B">
        <w:t xml:space="preserve">Initial dose intensity for ITT cohort was 204 mg/day, decreasing to 160-170 mg/day from Cycle 4 onwards. Note that the mean dose of treatment stated was provided for the purposes of informing the PBAC consideration. Interpretation of the results and their application should therefore be limited to seeking to understand the basis for the PBAC outcome and should not be used for any other </w:t>
      </w:r>
      <w:proofErr w:type="gramStart"/>
      <w:r w:rsidRPr="006F283B">
        <w:t>purpose</w:t>
      </w:r>
      <w:proofErr w:type="gramEnd"/>
    </w:p>
    <w:p w14:paraId="6C773505" w14:textId="179EF2EE" w:rsidR="0017526C" w:rsidRPr="006F283B" w:rsidRDefault="0017526C" w:rsidP="003915F9">
      <w:pPr>
        <w:pStyle w:val="TableFigureFooter"/>
        <w:keepNext/>
        <w:keepLines/>
        <w:widowControl w:val="0"/>
        <w:jc w:val="both"/>
        <w:rPr>
          <w:sz w:val="20"/>
          <w:szCs w:val="20"/>
        </w:rPr>
      </w:pPr>
      <w:r w:rsidRPr="006F283B">
        <w:rPr>
          <w:vertAlign w:val="superscript"/>
        </w:rPr>
        <w:t>b</w:t>
      </w:r>
      <w:r w:rsidRPr="006F283B">
        <w:t xml:space="preserve"> Initial dose intensity for ISD cohort was 184 mg/day, decreasing to 150-158 mg/day from Cycle 4 onwards. Note that the mean dose of treatment stated was provided for the purposes of informing the PBAC consideration. Interpretation of the results and their application should therefore be limited to seeking to understand the basis for the PBAC outcome and should not be used for any other </w:t>
      </w:r>
      <w:proofErr w:type="gramStart"/>
      <w:r w:rsidRPr="006F283B">
        <w:t>purpose</w:t>
      </w:r>
      <w:proofErr w:type="gramEnd"/>
    </w:p>
    <w:p w14:paraId="343A018B" w14:textId="00096A48" w:rsidR="0017526C" w:rsidRPr="006F283B" w:rsidRDefault="0017526C" w:rsidP="003915F9">
      <w:pPr>
        <w:pStyle w:val="TableFigureFooter"/>
        <w:keepNext/>
        <w:keepLines/>
        <w:widowControl w:val="0"/>
        <w:jc w:val="both"/>
      </w:pPr>
      <w:r w:rsidRPr="006F283B">
        <w:rPr>
          <w:vertAlign w:val="superscript"/>
        </w:rPr>
        <w:t xml:space="preserve">c </w:t>
      </w:r>
      <w:r w:rsidR="00E237CD" w:rsidRPr="006F283B">
        <w:t>Undiscounted duration from step 1 of model (1.0672 years)</w:t>
      </w:r>
    </w:p>
    <w:p w14:paraId="305A0DBC" w14:textId="1CEE3231" w:rsidR="0017526C" w:rsidRPr="006F283B" w:rsidRDefault="0017526C" w:rsidP="003915F9">
      <w:pPr>
        <w:pStyle w:val="TableFigureFooter"/>
        <w:keepNext/>
        <w:keepLines/>
        <w:widowControl w:val="0"/>
        <w:jc w:val="both"/>
      </w:pPr>
      <w:r w:rsidRPr="006F283B">
        <w:rPr>
          <w:vertAlign w:val="superscript"/>
        </w:rPr>
        <w:t>d</w:t>
      </w:r>
      <w:r w:rsidRPr="006F283B">
        <w:t xml:space="preserve"> </w:t>
      </w:r>
      <w:r w:rsidR="000C614D" w:rsidRPr="006F283B">
        <w:t>Und</w:t>
      </w:r>
      <w:r w:rsidRPr="006F283B">
        <w:t xml:space="preserve">iscounted duration </w:t>
      </w:r>
      <w:r w:rsidR="004D7EC9" w:rsidRPr="006F283B">
        <w:t xml:space="preserve">from step 6 of model </w:t>
      </w:r>
      <w:r w:rsidRPr="006F283B">
        <w:t>without half-cycle correction</w:t>
      </w:r>
      <w:r w:rsidR="00D03846" w:rsidRPr="006F283B" w:rsidDel="00D03846">
        <w:t xml:space="preserve"> </w:t>
      </w:r>
      <w:r w:rsidR="000C614D" w:rsidRPr="006F283B">
        <w:t>(1.3948 years)</w:t>
      </w:r>
      <w:r w:rsidR="00D03846" w:rsidRPr="006F283B">
        <w:t>.</w:t>
      </w:r>
    </w:p>
    <w:p w14:paraId="09CDAFC7" w14:textId="004E04C8" w:rsidR="0017526C" w:rsidRPr="006F283B" w:rsidRDefault="0017526C" w:rsidP="003915F9">
      <w:pPr>
        <w:pStyle w:val="TableFigureFooter"/>
        <w:keepNext/>
        <w:keepLines/>
        <w:widowControl w:val="0"/>
        <w:jc w:val="both"/>
      </w:pPr>
      <w:r w:rsidRPr="006F283B">
        <w:rPr>
          <w:vertAlign w:val="superscript"/>
        </w:rPr>
        <w:t xml:space="preserve">e </w:t>
      </w:r>
      <w:r w:rsidR="000B004D" w:rsidRPr="006F283B">
        <w:t xml:space="preserve">Weighted duration assuming 94.4% HRD positive </w:t>
      </w:r>
      <w:r w:rsidR="001152C0" w:rsidRPr="001152C0">
        <w:rPr>
          <w:i/>
          <w:iCs/>
        </w:rPr>
        <w:t>BRCAwt</w:t>
      </w:r>
      <w:r w:rsidR="000B004D" w:rsidRPr="006F283B">
        <w:t xml:space="preserve"> (17.08 months) and 5.6% HRD negative (10.97 months) estimated from model assuming no half cycle correction </w:t>
      </w:r>
      <w:r w:rsidR="0084026C" w:rsidRPr="006F283B">
        <w:t>(but with discounting)</w:t>
      </w:r>
    </w:p>
    <w:p w14:paraId="32DD2DE6" w14:textId="64F054F3" w:rsidR="0017526C" w:rsidRPr="006F283B" w:rsidRDefault="0017526C" w:rsidP="003915F9">
      <w:pPr>
        <w:pStyle w:val="TableFigureFooter"/>
        <w:keepNext/>
        <w:keepLines/>
        <w:widowControl w:val="0"/>
        <w:jc w:val="both"/>
      </w:pPr>
      <w:r w:rsidRPr="006F283B">
        <w:t xml:space="preserve">f </w:t>
      </w:r>
      <w:r w:rsidR="002E3FC3" w:rsidRPr="006F283B">
        <w:t>U</w:t>
      </w:r>
      <w:r w:rsidRPr="006F283B">
        <w:t xml:space="preserve">ndiscounted </w:t>
      </w:r>
      <w:r w:rsidR="002E3FC3" w:rsidRPr="006F283B">
        <w:t xml:space="preserve">incremental niraparib cost in step 1 of model </w:t>
      </w:r>
      <w:r w:rsidRPr="006F283B">
        <w:t xml:space="preserve">and without half-cycle correction </w:t>
      </w:r>
    </w:p>
    <w:p w14:paraId="6A36AAC4" w14:textId="60BCCE69" w:rsidR="0017526C" w:rsidRPr="006F283B" w:rsidRDefault="0017526C" w:rsidP="003915F9">
      <w:pPr>
        <w:pStyle w:val="TableFigureFooter"/>
        <w:keepNext/>
        <w:keepLines/>
        <w:widowControl w:val="0"/>
        <w:jc w:val="both"/>
      </w:pPr>
      <w:r w:rsidRPr="006F283B">
        <w:rPr>
          <w:vertAlign w:val="superscript"/>
        </w:rPr>
        <w:t xml:space="preserve">g </w:t>
      </w:r>
      <w:r w:rsidR="000C614D" w:rsidRPr="006F283B">
        <w:t>Und</w:t>
      </w:r>
      <w:r w:rsidR="00E65E8A" w:rsidRPr="006F283B">
        <w:t>iscounted incremental niraparib cost in step 6 of model without half-cycle correction</w:t>
      </w:r>
    </w:p>
    <w:p w14:paraId="464784C9" w14:textId="242C8762" w:rsidR="000C614D" w:rsidRPr="006F283B" w:rsidRDefault="000C614D" w:rsidP="003915F9">
      <w:pPr>
        <w:pStyle w:val="TableFigureFooter"/>
        <w:keepNext/>
        <w:keepLines/>
        <w:widowControl w:val="0"/>
        <w:spacing w:after="120"/>
        <w:jc w:val="both"/>
      </w:pPr>
      <w:r w:rsidRPr="006F283B">
        <w:rPr>
          <w:vertAlign w:val="superscript"/>
        </w:rPr>
        <w:t>h</w:t>
      </w:r>
      <w:r w:rsidRPr="006F283B">
        <w:t xml:space="preserve"> Calculated using weighted DPMQ of niraparib</w:t>
      </w:r>
      <w:r w:rsidR="006A3003" w:rsidRPr="006F283B">
        <w:t xml:space="preserve"> assuming 5</w:t>
      </w:r>
      <w:r w:rsidR="002C290D" w:rsidRPr="006F283B">
        <w:t xml:space="preserve">5.9% </w:t>
      </w:r>
      <w:r w:rsidR="001152C0" w:rsidRPr="001152C0">
        <w:rPr>
          <w:i/>
          <w:iCs/>
        </w:rPr>
        <w:t>BRCAm</w:t>
      </w:r>
      <w:r w:rsidR="002C290D" w:rsidRPr="006F283B">
        <w:t xml:space="preserve"> and 44.1% HRD positive </w:t>
      </w:r>
      <w:r w:rsidR="001152C0" w:rsidRPr="001152C0">
        <w:rPr>
          <w:i/>
          <w:iCs/>
        </w:rPr>
        <w:t>BRCAwt</w:t>
      </w:r>
      <w:r w:rsidR="00F62F4E" w:rsidRPr="006F283B">
        <w:t>; 84 caps = $</w:t>
      </w:r>
      <w:r w:rsidR="00093050" w:rsidRPr="00093050">
        <w:rPr>
          <w:color w:val="000000"/>
          <w:spacing w:val="78"/>
          <w:shd w:val="solid" w:color="000000" w:fill="000000"/>
          <w:fitText w:val="388" w:id="-1233481215"/>
          <w14:textFill>
            <w14:solidFill>
              <w14:srgbClr w14:val="000000">
                <w14:alpha w14:val="100000"/>
              </w14:srgbClr>
            </w14:solidFill>
          </w14:textFill>
        </w:rPr>
        <w:t>|||</w:t>
      </w:r>
      <w:r w:rsidR="00093050" w:rsidRPr="00093050">
        <w:rPr>
          <w:color w:val="000000"/>
          <w:spacing w:val="1"/>
          <w:shd w:val="solid" w:color="000000" w:fill="000000"/>
          <w:fitText w:val="388" w:id="-1233481215"/>
          <w14:textFill>
            <w14:solidFill>
              <w14:srgbClr w14:val="000000">
                <w14:alpha w14:val="100000"/>
              </w14:srgbClr>
            </w14:solidFill>
          </w14:textFill>
        </w:rPr>
        <w:t>|</w:t>
      </w:r>
      <w:r w:rsidR="00F62F4E" w:rsidRPr="006F283B">
        <w:t>, 56 caps= $</w:t>
      </w:r>
      <w:r w:rsidR="00093050" w:rsidRPr="00093050">
        <w:rPr>
          <w:color w:val="000000"/>
          <w:spacing w:val="82"/>
          <w:shd w:val="solid" w:color="000000" w:fill="000000"/>
          <w:fitText w:val="401" w:id="-1233481214"/>
          <w14:textFill>
            <w14:solidFill>
              <w14:srgbClr w14:val="000000">
                <w14:alpha w14:val="100000"/>
              </w14:srgbClr>
            </w14:solidFill>
          </w14:textFill>
        </w:rPr>
        <w:t>|||</w:t>
      </w:r>
      <w:r w:rsidR="00093050" w:rsidRPr="00093050">
        <w:rPr>
          <w:color w:val="000000"/>
          <w:spacing w:val="2"/>
          <w:shd w:val="solid" w:color="000000" w:fill="000000"/>
          <w:fitText w:val="401" w:id="-1233481214"/>
          <w14:textFill>
            <w14:solidFill>
              <w14:srgbClr w14:val="000000">
                <w14:alpha w14:val="100000"/>
              </w14:srgbClr>
            </w14:solidFill>
          </w14:textFill>
        </w:rPr>
        <w:t>|</w:t>
      </w:r>
      <w:r w:rsidR="00370019" w:rsidRPr="006F283B">
        <w:t xml:space="preserve">. If calculated using </w:t>
      </w:r>
      <w:r w:rsidR="009065B4" w:rsidRPr="006F283B">
        <w:t xml:space="preserve">HRD positive </w:t>
      </w:r>
      <w:r w:rsidR="001152C0" w:rsidRPr="001152C0">
        <w:rPr>
          <w:i/>
          <w:iCs/>
        </w:rPr>
        <w:t>BRCAwt</w:t>
      </w:r>
      <w:r w:rsidR="009065B4" w:rsidRPr="006F283B">
        <w:t xml:space="preserve"> pricing only (</w:t>
      </w:r>
      <w:r w:rsidR="00AF31E5" w:rsidRPr="006F283B">
        <w:t xml:space="preserve">see * above) </w:t>
      </w:r>
      <w:r w:rsidR="00515D88" w:rsidRPr="006F283B">
        <w:t>cost/patient/course in financial estimates becom</w:t>
      </w:r>
      <w:r w:rsidR="00C677C7" w:rsidRPr="006F283B">
        <w:t>es</w:t>
      </w:r>
      <w:r w:rsidR="00515D88" w:rsidRPr="006F283B">
        <w:t xml:space="preserve"> $</w:t>
      </w:r>
      <w:r w:rsidR="00093050" w:rsidRPr="00093050">
        <w:rPr>
          <w:color w:val="000000"/>
          <w:spacing w:val="82"/>
          <w:shd w:val="solid" w:color="000000" w:fill="000000"/>
          <w:fitText w:val="401" w:id="-1233481213"/>
          <w14:textFill>
            <w14:solidFill>
              <w14:srgbClr w14:val="000000">
                <w14:alpha w14:val="100000"/>
              </w14:srgbClr>
            </w14:solidFill>
          </w14:textFill>
        </w:rPr>
        <w:t>|||</w:t>
      </w:r>
      <w:r w:rsidR="00093050" w:rsidRPr="00093050">
        <w:rPr>
          <w:color w:val="000000"/>
          <w:spacing w:val="2"/>
          <w:shd w:val="solid" w:color="000000" w:fill="000000"/>
          <w:fitText w:val="401" w:id="-1233481213"/>
          <w14:textFill>
            <w14:solidFill>
              <w14:srgbClr w14:val="000000">
                <w14:alpha w14:val="100000"/>
              </w14:srgbClr>
            </w14:solidFill>
          </w14:textFill>
        </w:rPr>
        <w:t>|</w:t>
      </w:r>
      <w:r w:rsidR="00515D88" w:rsidRPr="006F283B">
        <w:t>.</w:t>
      </w:r>
      <w:r w:rsidR="008E34C5">
        <w:t xml:space="preserve"> </w:t>
      </w:r>
    </w:p>
    <w:p w14:paraId="6A8D3DD0" w14:textId="3C4C3676" w:rsidR="00843998" w:rsidRPr="006F283B" w:rsidRDefault="00F62F4E" w:rsidP="00C07F3A">
      <w:pPr>
        <w:pStyle w:val="ListParagraph"/>
        <w:spacing w:before="0" w:after="120"/>
      </w:pPr>
      <w:r w:rsidRPr="006F283B">
        <w:t xml:space="preserve">The estimation of drug cost per patient was complex, </w:t>
      </w:r>
      <w:r w:rsidR="00DA423C" w:rsidRPr="006F283B">
        <w:t xml:space="preserve">as the dosage of niraparib was highly variable within PRIMA and extrapolations of TTD were required to estimate the </w:t>
      </w:r>
      <w:r w:rsidR="006A3003" w:rsidRPr="006F283B">
        <w:t xml:space="preserve">total length of treatment, therefore the cost per course per patient was associated with substantial uncertainty. The large difference between the modelled cost per course per patient and the financial estimates was due to the </w:t>
      </w:r>
      <w:r w:rsidR="00FA57F4" w:rsidRPr="006F283B">
        <w:t xml:space="preserve">economic </w:t>
      </w:r>
      <w:r w:rsidR="006A3003" w:rsidRPr="006F283B">
        <w:t xml:space="preserve">model using only the proposed effective price for HRD positive </w:t>
      </w:r>
      <w:r w:rsidR="001152C0" w:rsidRPr="001152C0">
        <w:rPr>
          <w:i/>
          <w:iCs/>
        </w:rPr>
        <w:t>BRCAwt</w:t>
      </w:r>
      <w:r w:rsidR="006A3003" w:rsidRPr="006F283B">
        <w:t xml:space="preserve"> patients whereas the financial </w:t>
      </w:r>
      <w:r w:rsidR="00FA57F4" w:rsidRPr="006F283B">
        <w:t xml:space="preserve">estimates </w:t>
      </w:r>
      <w:r w:rsidR="006A3003" w:rsidRPr="006F283B">
        <w:t xml:space="preserve">used the weighted price for </w:t>
      </w:r>
      <w:r w:rsidR="00BE1D7B" w:rsidRPr="006F283B">
        <w:t xml:space="preserve">both </w:t>
      </w:r>
      <w:r w:rsidR="001152C0" w:rsidRPr="001152C0">
        <w:rPr>
          <w:i/>
          <w:iCs/>
        </w:rPr>
        <w:t>BRCAm</w:t>
      </w:r>
      <w:r w:rsidR="00BE1D7B" w:rsidRPr="006F283B">
        <w:t xml:space="preserve"> and HRD positive </w:t>
      </w:r>
      <w:r w:rsidR="001152C0" w:rsidRPr="001152C0">
        <w:rPr>
          <w:i/>
          <w:iCs/>
        </w:rPr>
        <w:t>BRCAwt</w:t>
      </w:r>
      <w:r w:rsidR="00D860E5" w:rsidRPr="006F283B">
        <w:t xml:space="preserve">. </w:t>
      </w:r>
    </w:p>
    <w:p w14:paraId="47894781" w14:textId="77410E66" w:rsidR="00843998" w:rsidRPr="006F283B" w:rsidRDefault="00843998" w:rsidP="00F029F7">
      <w:pPr>
        <w:pStyle w:val="4-SubsectionHeading"/>
      </w:pPr>
      <w:bookmarkStart w:id="163" w:name="_Toc413139284"/>
      <w:bookmarkStart w:id="164" w:name="_Toc95298231"/>
      <w:bookmarkStart w:id="165" w:name="_Toc123646840"/>
      <w:bookmarkStart w:id="166" w:name="_Toc123646941"/>
      <w:bookmarkStart w:id="167" w:name="_Toc123647176"/>
      <w:bookmarkStart w:id="168" w:name="_Toc124937100"/>
      <w:r w:rsidRPr="006F283B">
        <w:t xml:space="preserve">Estimated PBS </w:t>
      </w:r>
      <w:r w:rsidR="00537DA9" w:rsidRPr="006F283B">
        <w:t>and</w:t>
      </w:r>
      <w:r w:rsidRPr="006F283B">
        <w:t xml:space="preserve"> financial </w:t>
      </w:r>
      <w:proofErr w:type="gramStart"/>
      <w:r w:rsidRPr="006F283B">
        <w:t>implications</w:t>
      </w:r>
      <w:bookmarkEnd w:id="163"/>
      <w:bookmarkEnd w:id="164"/>
      <w:bookmarkEnd w:id="165"/>
      <w:bookmarkEnd w:id="166"/>
      <w:bookmarkEnd w:id="167"/>
      <w:bookmarkEnd w:id="168"/>
      <w:proofErr w:type="gramEnd"/>
    </w:p>
    <w:p w14:paraId="0A700844" w14:textId="60665EFB" w:rsidR="00FA57F4" w:rsidRPr="006F283B" w:rsidRDefault="006E5C8F" w:rsidP="00C07F3A">
      <w:pPr>
        <w:pStyle w:val="ListParagraph"/>
        <w:spacing w:before="0" w:after="120"/>
        <w:rPr>
          <w:color w:val="auto"/>
        </w:rPr>
      </w:pPr>
      <w:r w:rsidRPr="006F283B">
        <w:t>This submission was considered by DUS</w:t>
      </w:r>
      <w:r w:rsidR="00FA57F4" w:rsidRPr="006F283B">
        <w:t xml:space="preserve">C. DUSC has also previously considered the near market comparator, olaparib for the treatment of HRD positive </w:t>
      </w:r>
      <w:r w:rsidR="001152C0" w:rsidRPr="001152C0">
        <w:rPr>
          <w:i/>
        </w:rPr>
        <w:t>BRCAwt</w:t>
      </w:r>
      <w:r w:rsidR="00FA57F4" w:rsidRPr="006F283B">
        <w:t xml:space="preserve"> HGEOC (July 2022 PBAC meeting).</w:t>
      </w:r>
      <w:r w:rsidRPr="006F283B">
        <w:t xml:space="preserve"> </w:t>
      </w:r>
      <w:bookmarkStart w:id="169" w:name="_Hlk130583732"/>
    </w:p>
    <w:p w14:paraId="4F2B8CBF" w14:textId="60F7F3A9" w:rsidR="006E5C8F" w:rsidRPr="006F283B" w:rsidRDefault="006E5C8F" w:rsidP="00C07F3A">
      <w:pPr>
        <w:pStyle w:val="ListParagraph"/>
        <w:spacing w:before="0" w:after="120"/>
        <w:rPr>
          <w:color w:val="auto"/>
        </w:rPr>
      </w:pPr>
      <w:r w:rsidRPr="006F283B">
        <w:rPr>
          <w:color w:val="auto"/>
        </w:rPr>
        <w:t xml:space="preserve">The submission used an epidemiological approach to estimate the number of patients who would be eligible for the proposed HRD test, likely uptake of the test and the estimated number of patients with HRD positive </w:t>
      </w:r>
      <w:r w:rsidR="001152C0" w:rsidRPr="001152C0">
        <w:rPr>
          <w:i/>
          <w:color w:val="auto"/>
        </w:rPr>
        <w:t>BRCAwt</w:t>
      </w:r>
      <w:r w:rsidRPr="006F283B">
        <w:rPr>
          <w:color w:val="auto"/>
        </w:rPr>
        <w:t xml:space="preserve"> tumours. Only patients who then subsequently receive treatment with and have a response to 1L PBC were considered eligible for niraparib maintenance treatment.</w:t>
      </w:r>
    </w:p>
    <w:bookmarkEnd w:id="169"/>
    <w:p w14:paraId="54C3603E" w14:textId="20E4F167" w:rsidR="006E5C8F" w:rsidRPr="006F283B" w:rsidRDefault="006E5C8F" w:rsidP="00C07F3A">
      <w:pPr>
        <w:pStyle w:val="ListParagraph"/>
        <w:spacing w:before="0" w:after="120"/>
      </w:pPr>
      <w:r w:rsidRPr="006F283B">
        <w:t xml:space="preserve">An overview of the sources used to inform the financial impact of the proposed expanded PBS listing of niraparib, incorporating both the listing of niraparib for </w:t>
      </w:r>
      <w:r w:rsidRPr="006F283B">
        <w:lastRenderedPageBreak/>
        <w:t xml:space="preserve">patients with HRD positive </w:t>
      </w:r>
      <w:r w:rsidR="001152C0" w:rsidRPr="001152C0">
        <w:rPr>
          <w:i/>
        </w:rPr>
        <w:t>BRCAwt</w:t>
      </w:r>
      <w:r w:rsidRPr="006F283B">
        <w:t xml:space="preserve"> HGEOC on the PBS/RPBS and its associated codependent HRD testing, is presented in the table below.</w:t>
      </w:r>
    </w:p>
    <w:p w14:paraId="665007BB" w14:textId="3152B7CF" w:rsidR="006E5C8F" w:rsidRPr="006F283B" w:rsidRDefault="00CB2BDC" w:rsidP="00593A64">
      <w:pPr>
        <w:pStyle w:val="Caption"/>
      </w:pPr>
      <w:bookmarkStart w:id="170" w:name="_Ref130508955"/>
      <w:r w:rsidRPr="006F283B">
        <w:t xml:space="preserve">Table </w:t>
      </w:r>
      <w:r w:rsidR="00091054">
        <w:fldChar w:fldCharType="begin" w:fldLock="1"/>
      </w:r>
      <w:r w:rsidR="00091054">
        <w:instrText xml:space="preserve"> SEQ Table \* ARABIC </w:instrText>
      </w:r>
      <w:r w:rsidR="00091054">
        <w:fldChar w:fldCharType="separate"/>
      </w:r>
      <w:r w:rsidR="00305654">
        <w:rPr>
          <w:noProof/>
        </w:rPr>
        <w:t>23</w:t>
      </w:r>
      <w:r w:rsidR="00091054">
        <w:rPr>
          <w:noProof/>
        </w:rPr>
        <w:fldChar w:fldCharType="end"/>
      </w:r>
      <w:bookmarkEnd w:id="170"/>
      <w:r w:rsidR="00C07F3A">
        <w:t xml:space="preserve">: </w:t>
      </w:r>
      <w:r w:rsidR="006E5C8F" w:rsidRPr="006F283B">
        <w:t xml:space="preserve">Data sources and parameter values applied in the utilisation and financial </w:t>
      </w:r>
      <w:proofErr w:type="gramStart"/>
      <w:r w:rsidR="006E5C8F" w:rsidRPr="006F283B">
        <w:t>estimates</w:t>
      </w:r>
      <w:proofErr w:type="gram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283"/>
        <w:gridCol w:w="2963"/>
        <w:gridCol w:w="3144"/>
      </w:tblGrid>
      <w:tr w:rsidR="006E5C8F" w:rsidRPr="006F283B" w14:paraId="26D40DE5" w14:textId="77777777" w:rsidTr="00372EA1">
        <w:trPr>
          <w:cantSplit/>
          <w:tblHeader/>
        </w:trPr>
        <w:tc>
          <w:tcPr>
            <w:tcW w:w="1677" w:type="dxa"/>
            <w:vAlign w:val="center"/>
          </w:tcPr>
          <w:p w14:paraId="27458FA4" w14:textId="77777777" w:rsidR="006E5C8F" w:rsidRPr="006F283B" w:rsidRDefault="006E5C8F" w:rsidP="00372EA1">
            <w:pPr>
              <w:pStyle w:val="In-tableHeading"/>
              <w:rPr>
                <w:lang w:val="en-AU"/>
              </w:rPr>
            </w:pPr>
            <w:r w:rsidRPr="006F283B">
              <w:rPr>
                <w:lang w:val="en-AU"/>
              </w:rPr>
              <w:t>Data</w:t>
            </w:r>
          </w:p>
        </w:tc>
        <w:tc>
          <w:tcPr>
            <w:tcW w:w="1283" w:type="dxa"/>
            <w:vAlign w:val="center"/>
          </w:tcPr>
          <w:p w14:paraId="32A43FF9" w14:textId="77777777" w:rsidR="006E5C8F" w:rsidRPr="006F283B" w:rsidRDefault="006E5C8F" w:rsidP="00372EA1">
            <w:pPr>
              <w:pStyle w:val="In-tableHeading"/>
              <w:jc w:val="center"/>
              <w:rPr>
                <w:lang w:val="en-AU"/>
              </w:rPr>
            </w:pPr>
            <w:r w:rsidRPr="006F283B">
              <w:rPr>
                <w:lang w:val="en-AU"/>
              </w:rPr>
              <w:t>Value</w:t>
            </w:r>
          </w:p>
        </w:tc>
        <w:tc>
          <w:tcPr>
            <w:tcW w:w="2963" w:type="dxa"/>
            <w:vAlign w:val="center"/>
          </w:tcPr>
          <w:p w14:paraId="6237128A" w14:textId="77777777" w:rsidR="006E5C8F" w:rsidRPr="006F283B" w:rsidRDefault="006E5C8F" w:rsidP="00372EA1">
            <w:pPr>
              <w:pStyle w:val="In-tableHeading"/>
              <w:jc w:val="center"/>
              <w:rPr>
                <w:lang w:val="en-AU"/>
              </w:rPr>
            </w:pPr>
            <w:r w:rsidRPr="006F283B">
              <w:rPr>
                <w:lang w:val="en-AU"/>
              </w:rPr>
              <w:t>Source</w:t>
            </w:r>
          </w:p>
        </w:tc>
        <w:tc>
          <w:tcPr>
            <w:tcW w:w="3144" w:type="dxa"/>
            <w:vAlign w:val="center"/>
          </w:tcPr>
          <w:p w14:paraId="75CF253A" w14:textId="77777777" w:rsidR="006E5C8F" w:rsidRPr="006F283B" w:rsidRDefault="006E5C8F" w:rsidP="00372EA1">
            <w:pPr>
              <w:pStyle w:val="In-tableHeading"/>
              <w:ind w:left="486" w:hanging="486"/>
              <w:jc w:val="center"/>
              <w:rPr>
                <w:lang w:val="en-AU"/>
              </w:rPr>
            </w:pPr>
            <w:r w:rsidRPr="006F283B">
              <w:rPr>
                <w:lang w:val="en-AU"/>
              </w:rPr>
              <w:t>Comment</w:t>
            </w:r>
          </w:p>
        </w:tc>
      </w:tr>
      <w:tr w:rsidR="006E5C8F" w:rsidRPr="006F283B" w14:paraId="351D8172" w14:textId="77777777" w:rsidTr="00372EA1">
        <w:trPr>
          <w:cantSplit/>
        </w:trPr>
        <w:tc>
          <w:tcPr>
            <w:tcW w:w="9067" w:type="dxa"/>
            <w:gridSpan w:val="4"/>
            <w:vAlign w:val="center"/>
          </w:tcPr>
          <w:p w14:paraId="3025CC5B" w14:textId="77777777" w:rsidR="006E5C8F" w:rsidRPr="006F283B" w:rsidRDefault="006E5C8F" w:rsidP="00372EA1">
            <w:pPr>
              <w:pStyle w:val="In-tableHeading"/>
              <w:rPr>
                <w:lang w:val="en-AU"/>
              </w:rPr>
            </w:pPr>
            <w:r w:rsidRPr="006F283B">
              <w:rPr>
                <w:lang w:val="en-AU"/>
              </w:rPr>
              <w:t>Eligible population</w:t>
            </w:r>
          </w:p>
        </w:tc>
      </w:tr>
      <w:tr w:rsidR="006E5C8F" w:rsidRPr="006F283B" w14:paraId="095257C6" w14:textId="77777777" w:rsidTr="00FA57F4">
        <w:trPr>
          <w:cantSplit/>
        </w:trPr>
        <w:tc>
          <w:tcPr>
            <w:tcW w:w="1677" w:type="dxa"/>
            <w:vAlign w:val="center"/>
          </w:tcPr>
          <w:p w14:paraId="47FBC9B5" w14:textId="77777777" w:rsidR="006E5C8F" w:rsidRPr="006F283B" w:rsidRDefault="006E5C8F" w:rsidP="00372EA1">
            <w:pPr>
              <w:pStyle w:val="TableText"/>
              <w:rPr>
                <w:highlight w:val="yellow"/>
              </w:rPr>
            </w:pPr>
            <w:r w:rsidRPr="006F283B">
              <w:t>Ovarian cancer incidence projections in Australia</w:t>
            </w:r>
          </w:p>
        </w:tc>
        <w:tc>
          <w:tcPr>
            <w:tcW w:w="1283" w:type="dxa"/>
            <w:vAlign w:val="center"/>
          </w:tcPr>
          <w:p w14:paraId="2175EFAF" w14:textId="77777777" w:rsidR="006E5C8F" w:rsidRPr="006F283B" w:rsidRDefault="006E5C8F" w:rsidP="00372EA1">
            <w:pPr>
              <w:pStyle w:val="TableText"/>
              <w:spacing w:line="254" w:lineRule="auto"/>
              <w:jc w:val="center"/>
            </w:pPr>
            <w:r w:rsidRPr="006F283B">
              <w:t>Yr 1: 1,731</w:t>
            </w:r>
          </w:p>
          <w:p w14:paraId="4478D8A0" w14:textId="77777777" w:rsidR="006E5C8F" w:rsidRPr="006F283B" w:rsidRDefault="006E5C8F" w:rsidP="00372EA1">
            <w:pPr>
              <w:pStyle w:val="TableText"/>
              <w:spacing w:line="254" w:lineRule="auto"/>
              <w:jc w:val="center"/>
            </w:pPr>
            <w:r w:rsidRPr="006F283B">
              <w:t>Yr 2: 1,758</w:t>
            </w:r>
          </w:p>
          <w:p w14:paraId="6B1B59F9" w14:textId="77777777" w:rsidR="006E5C8F" w:rsidRPr="006F283B" w:rsidRDefault="006E5C8F" w:rsidP="00372EA1">
            <w:pPr>
              <w:pStyle w:val="TableText"/>
              <w:spacing w:line="254" w:lineRule="auto"/>
              <w:jc w:val="center"/>
            </w:pPr>
            <w:r w:rsidRPr="006F283B">
              <w:t>Yr 3: 1,786</w:t>
            </w:r>
          </w:p>
          <w:p w14:paraId="13579C39" w14:textId="77777777" w:rsidR="006E5C8F" w:rsidRPr="006F283B" w:rsidRDefault="006E5C8F" w:rsidP="00372EA1">
            <w:pPr>
              <w:pStyle w:val="TableText"/>
              <w:spacing w:line="254" w:lineRule="auto"/>
              <w:jc w:val="center"/>
            </w:pPr>
            <w:r w:rsidRPr="006F283B">
              <w:t>Yr 4: 1,813</w:t>
            </w:r>
          </w:p>
          <w:p w14:paraId="2310E670" w14:textId="77777777" w:rsidR="006E5C8F" w:rsidRPr="006F283B" w:rsidRDefault="006E5C8F" w:rsidP="00372EA1">
            <w:pPr>
              <w:pStyle w:val="TableText"/>
              <w:spacing w:line="254" w:lineRule="auto"/>
              <w:jc w:val="center"/>
            </w:pPr>
            <w:r w:rsidRPr="006F283B">
              <w:t>Yr 5: 1,841</w:t>
            </w:r>
          </w:p>
          <w:p w14:paraId="5A652536" w14:textId="77777777" w:rsidR="006E5C8F" w:rsidRPr="006F283B" w:rsidRDefault="006E5C8F" w:rsidP="00372EA1">
            <w:pPr>
              <w:pStyle w:val="TableText"/>
              <w:jc w:val="center"/>
              <w:rPr>
                <w:highlight w:val="yellow"/>
              </w:rPr>
            </w:pPr>
            <w:r w:rsidRPr="006F283B">
              <w:t>Yr 6: 1,868</w:t>
            </w:r>
          </w:p>
        </w:tc>
        <w:tc>
          <w:tcPr>
            <w:tcW w:w="2963" w:type="dxa"/>
            <w:vAlign w:val="center"/>
          </w:tcPr>
          <w:p w14:paraId="7551703D" w14:textId="77777777" w:rsidR="006E5C8F" w:rsidRPr="006F283B" w:rsidRDefault="006E5C8F" w:rsidP="00372EA1">
            <w:pPr>
              <w:pStyle w:val="TableText"/>
              <w:jc w:val="center"/>
              <w:rPr>
                <w:highlight w:val="yellow"/>
              </w:rPr>
            </w:pPr>
            <w:r w:rsidRPr="006F283B">
              <w:rPr>
                <w:rFonts w:cs="Times New Roman"/>
              </w:rPr>
              <w:t>AIHW 2022</w:t>
            </w:r>
          </w:p>
        </w:tc>
        <w:tc>
          <w:tcPr>
            <w:tcW w:w="3144" w:type="dxa"/>
          </w:tcPr>
          <w:p w14:paraId="504BDC61" w14:textId="77777777" w:rsidR="006E5C8F" w:rsidRPr="006F283B" w:rsidRDefault="006E5C8F" w:rsidP="00FA57F4">
            <w:pPr>
              <w:pStyle w:val="TableText"/>
              <w:spacing w:line="254" w:lineRule="auto"/>
              <w:rPr>
                <w:rFonts w:eastAsiaTheme="majorEastAsia" w:cs="Arial"/>
                <w:iCs/>
                <w:szCs w:val="20"/>
                <w:highlight w:val="yellow"/>
                <w:lang w:bidi="en-US"/>
              </w:rPr>
            </w:pPr>
            <w:r w:rsidRPr="006F283B">
              <w:rPr>
                <w:rFonts w:eastAsiaTheme="majorEastAsia" w:cs="Arial"/>
                <w:iCs/>
                <w:szCs w:val="20"/>
                <w:lang w:bidi="en-US"/>
              </w:rPr>
              <w:t xml:space="preserve">Values </w:t>
            </w:r>
            <w:proofErr w:type="gramStart"/>
            <w:r w:rsidRPr="006F283B">
              <w:rPr>
                <w:rFonts w:eastAsiaTheme="majorEastAsia" w:cs="Arial"/>
                <w:iCs/>
                <w:szCs w:val="20"/>
                <w:lang w:bidi="en-US"/>
              </w:rPr>
              <w:t>similar to</w:t>
            </w:r>
            <w:proofErr w:type="gramEnd"/>
            <w:r w:rsidRPr="006F283B">
              <w:rPr>
                <w:rFonts w:eastAsiaTheme="majorEastAsia" w:cs="Arial"/>
                <w:iCs/>
                <w:szCs w:val="20"/>
                <w:lang w:bidi="en-US"/>
              </w:rPr>
              <w:t xml:space="preserve"> those used for olaparib (Yr 1 1,733 to Yr 6 1,900; paragraph 6.90, olaparib PSD, July 2022 PBAC meeting)</w:t>
            </w:r>
          </w:p>
        </w:tc>
      </w:tr>
      <w:tr w:rsidR="006E5C8F" w:rsidRPr="006F283B" w14:paraId="12902BBF" w14:textId="77777777" w:rsidTr="00FA57F4">
        <w:trPr>
          <w:cantSplit/>
        </w:trPr>
        <w:tc>
          <w:tcPr>
            <w:tcW w:w="1677" w:type="dxa"/>
            <w:shd w:val="clear" w:color="auto" w:fill="BDD6EE" w:themeFill="accent1" w:themeFillTint="66"/>
            <w:vAlign w:val="center"/>
          </w:tcPr>
          <w:p w14:paraId="36FDF4F0" w14:textId="77777777" w:rsidR="006E5C8F" w:rsidRPr="006F283B" w:rsidRDefault="006E5C8F" w:rsidP="00372EA1">
            <w:pPr>
              <w:pStyle w:val="TableText"/>
            </w:pPr>
            <w:r w:rsidRPr="006F283B">
              <w:t>% with high grade disease</w:t>
            </w:r>
          </w:p>
        </w:tc>
        <w:tc>
          <w:tcPr>
            <w:tcW w:w="1283" w:type="dxa"/>
            <w:shd w:val="clear" w:color="auto" w:fill="BDD6EE" w:themeFill="accent1" w:themeFillTint="66"/>
            <w:vAlign w:val="center"/>
          </w:tcPr>
          <w:p w14:paraId="47AA62E5" w14:textId="77777777" w:rsidR="006E5C8F" w:rsidRPr="006F283B" w:rsidRDefault="006E5C8F" w:rsidP="00372EA1">
            <w:pPr>
              <w:pStyle w:val="TableText"/>
              <w:jc w:val="center"/>
            </w:pPr>
            <w:r w:rsidRPr="006F283B">
              <w:t>93.6%</w:t>
            </w:r>
          </w:p>
        </w:tc>
        <w:tc>
          <w:tcPr>
            <w:tcW w:w="2963" w:type="dxa"/>
            <w:vMerge w:val="restart"/>
            <w:shd w:val="clear" w:color="auto" w:fill="BDD6EE" w:themeFill="accent1" w:themeFillTint="66"/>
            <w:vAlign w:val="center"/>
          </w:tcPr>
          <w:p w14:paraId="6EA0BE82" w14:textId="77777777" w:rsidR="006E5C8F" w:rsidRPr="006F283B" w:rsidRDefault="006E5C8F" w:rsidP="00372EA1">
            <w:pPr>
              <w:pStyle w:val="TableText"/>
              <w:jc w:val="center"/>
            </w:pPr>
            <w:r w:rsidRPr="006F283B">
              <w:t>Analysis of patients in the AOCS (Alsop 2012)</w:t>
            </w:r>
          </w:p>
        </w:tc>
        <w:tc>
          <w:tcPr>
            <w:tcW w:w="3144" w:type="dxa"/>
            <w:vMerge w:val="restart"/>
          </w:tcPr>
          <w:p w14:paraId="27B980D5" w14:textId="11CEF769" w:rsidR="006E5C8F" w:rsidRPr="006F283B" w:rsidRDefault="006E5C8F" w:rsidP="00FA57F4">
            <w:pPr>
              <w:pStyle w:val="TableText"/>
              <w:rPr>
                <w:rFonts w:cs="Times New Roman"/>
                <w:szCs w:val="20"/>
              </w:rPr>
            </w:pPr>
            <w:r w:rsidRPr="006F283B">
              <w:rPr>
                <w:rFonts w:cs="Times New Roman"/>
                <w:szCs w:val="20"/>
              </w:rPr>
              <w:t>Value previously considered to be reasonable (paragraph 6.79, niraparib PSD, March 2022 PBAC meeting).</w:t>
            </w:r>
            <w:r w:rsidR="008E34C5">
              <w:rPr>
                <w:rFonts w:cs="Times New Roman"/>
                <w:szCs w:val="20"/>
              </w:rPr>
              <w:t xml:space="preserve"> </w:t>
            </w:r>
          </w:p>
        </w:tc>
      </w:tr>
      <w:tr w:rsidR="006E5C8F" w:rsidRPr="006F283B" w14:paraId="1C004DA9" w14:textId="77777777" w:rsidTr="00FA57F4">
        <w:trPr>
          <w:cantSplit/>
        </w:trPr>
        <w:tc>
          <w:tcPr>
            <w:tcW w:w="1677" w:type="dxa"/>
            <w:shd w:val="clear" w:color="auto" w:fill="BDD6EE" w:themeFill="accent1" w:themeFillTint="66"/>
            <w:vAlign w:val="center"/>
          </w:tcPr>
          <w:p w14:paraId="3FEAF2FD" w14:textId="77777777" w:rsidR="006E5C8F" w:rsidRPr="006F283B" w:rsidRDefault="006E5C8F" w:rsidP="00372EA1">
            <w:pPr>
              <w:pStyle w:val="TableText"/>
            </w:pPr>
            <w:r w:rsidRPr="006F283B">
              <w:t>% with advanced (FIGO III/IV) disease in high-grade ovarian cancer</w:t>
            </w:r>
          </w:p>
        </w:tc>
        <w:tc>
          <w:tcPr>
            <w:tcW w:w="1283" w:type="dxa"/>
            <w:shd w:val="clear" w:color="auto" w:fill="BDD6EE" w:themeFill="accent1" w:themeFillTint="66"/>
            <w:vAlign w:val="center"/>
          </w:tcPr>
          <w:p w14:paraId="33789B05" w14:textId="77777777" w:rsidR="006E5C8F" w:rsidRPr="006F283B" w:rsidRDefault="006E5C8F" w:rsidP="00372EA1">
            <w:pPr>
              <w:pStyle w:val="TableText"/>
              <w:jc w:val="center"/>
            </w:pPr>
            <w:r w:rsidRPr="006F283B">
              <w:t>81.8%</w:t>
            </w:r>
          </w:p>
        </w:tc>
        <w:tc>
          <w:tcPr>
            <w:tcW w:w="2963" w:type="dxa"/>
            <w:vMerge/>
            <w:shd w:val="clear" w:color="auto" w:fill="BDD6EE" w:themeFill="accent1" w:themeFillTint="66"/>
            <w:vAlign w:val="center"/>
          </w:tcPr>
          <w:p w14:paraId="34DFD0C1" w14:textId="77777777" w:rsidR="006E5C8F" w:rsidRPr="006F283B" w:rsidRDefault="006E5C8F" w:rsidP="00372EA1">
            <w:pPr>
              <w:pStyle w:val="TableText"/>
              <w:jc w:val="center"/>
            </w:pPr>
          </w:p>
        </w:tc>
        <w:tc>
          <w:tcPr>
            <w:tcW w:w="3144" w:type="dxa"/>
            <w:vMerge/>
          </w:tcPr>
          <w:p w14:paraId="09584FF6" w14:textId="77777777" w:rsidR="006E5C8F" w:rsidRPr="006F283B" w:rsidRDefault="006E5C8F" w:rsidP="00FA57F4">
            <w:pPr>
              <w:pStyle w:val="TableText"/>
              <w:rPr>
                <w:rFonts w:cs="Times New Roman"/>
                <w:szCs w:val="20"/>
              </w:rPr>
            </w:pPr>
          </w:p>
        </w:tc>
      </w:tr>
      <w:tr w:rsidR="006E5C8F" w:rsidRPr="006F283B" w14:paraId="7C91A0B7" w14:textId="77777777" w:rsidTr="00FA57F4">
        <w:trPr>
          <w:cantSplit/>
        </w:trPr>
        <w:tc>
          <w:tcPr>
            <w:tcW w:w="1677" w:type="dxa"/>
            <w:shd w:val="clear" w:color="auto" w:fill="BDD6EE" w:themeFill="accent1" w:themeFillTint="66"/>
            <w:vAlign w:val="center"/>
          </w:tcPr>
          <w:p w14:paraId="52B01633" w14:textId="77777777" w:rsidR="006E5C8F" w:rsidRPr="006F283B" w:rsidRDefault="006E5C8F" w:rsidP="00372EA1">
            <w:pPr>
              <w:pStyle w:val="TableText"/>
            </w:pPr>
            <w:r w:rsidRPr="006F283B">
              <w:t>% treated with PBC</w:t>
            </w:r>
          </w:p>
        </w:tc>
        <w:tc>
          <w:tcPr>
            <w:tcW w:w="1283" w:type="dxa"/>
            <w:shd w:val="clear" w:color="auto" w:fill="BDD6EE" w:themeFill="accent1" w:themeFillTint="66"/>
            <w:vAlign w:val="center"/>
          </w:tcPr>
          <w:p w14:paraId="48507925" w14:textId="77777777" w:rsidR="006E5C8F" w:rsidRPr="006F283B" w:rsidRDefault="006E5C8F" w:rsidP="00372EA1">
            <w:pPr>
              <w:pStyle w:val="TableText"/>
              <w:jc w:val="center"/>
            </w:pPr>
            <w:r w:rsidRPr="006F283B">
              <w:t>91.5%</w:t>
            </w:r>
          </w:p>
        </w:tc>
        <w:tc>
          <w:tcPr>
            <w:tcW w:w="2963" w:type="dxa"/>
            <w:vMerge/>
            <w:shd w:val="clear" w:color="auto" w:fill="BDD6EE" w:themeFill="accent1" w:themeFillTint="66"/>
            <w:vAlign w:val="center"/>
          </w:tcPr>
          <w:p w14:paraId="52445961" w14:textId="77777777" w:rsidR="006E5C8F" w:rsidRPr="006F283B" w:rsidRDefault="006E5C8F" w:rsidP="00372EA1">
            <w:pPr>
              <w:pStyle w:val="TableText"/>
              <w:jc w:val="center"/>
            </w:pPr>
          </w:p>
        </w:tc>
        <w:tc>
          <w:tcPr>
            <w:tcW w:w="3144" w:type="dxa"/>
            <w:vMerge/>
          </w:tcPr>
          <w:p w14:paraId="2325CF62" w14:textId="77777777" w:rsidR="006E5C8F" w:rsidRPr="006F283B" w:rsidRDefault="006E5C8F" w:rsidP="00FA57F4">
            <w:pPr>
              <w:pStyle w:val="TableText"/>
              <w:rPr>
                <w:rFonts w:eastAsiaTheme="majorEastAsia" w:cs="Arial"/>
                <w:iCs/>
                <w:szCs w:val="20"/>
                <w:lang w:bidi="en-US"/>
              </w:rPr>
            </w:pPr>
          </w:p>
        </w:tc>
      </w:tr>
      <w:tr w:rsidR="006E5C8F" w:rsidRPr="006F283B" w14:paraId="46F21C46" w14:textId="77777777" w:rsidTr="00FA57F4">
        <w:trPr>
          <w:cantSplit/>
        </w:trPr>
        <w:tc>
          <w:tcPr>
            <w:tcW w:w="1677" w:type="dxa"/>
            <w:vAlign w:val="center"/>
          </w:tcPr>
          <w:p w14:paraId="79CF7C92" w14:textId="77777777" w:rsidR="006E5C8F" w:rsidRPr="006F283B" w:rsidRDefault="006E5C8F" w:rsidP="00372EA1">
            <w:pPr>
              <w:pStyle w:val="TableText"/>
            </w:pPr>
            <w:r w:rsidRPr="006F283B">
              <w:t>% treated with PBC only</w:t>
            </w:r>
          </w:p>
        </w:tc>
        <w:tc>
          <w:tcPr>
            <w:tcW w:w="1283" w:type="dxa"/>
            <w:vAlign w:val="center"/>
          </w:tcPr>
          <w:p w14:paraId="27EAE30E" w14:textId="77777777" w:rsidR="006E5C8F" w:rsidRPr="006F283B" w:rsidRDefault="006E5C8F" w:rsidP="00372EA1">
            <w:pPr>
              <w:pStyle w:val="TableText"/>
              <w:jc w:val="center"/>
            </w:pPr>
            <w:r w:rsidRPr="006F283B">
              <w:t>95%</w:t>
            </w:r>
          </w:p>
        </w:tc>
        <w:tc>
          <w:tcPr>
            <w:tcW w:w="2963" w:type="dxa"/>
            <w:shd w:val="clear" w:color="auto" w:fill="auto"/>
            <w:vAlign w:val="center"/>
          </w:tcPr>
          <w:p w14:paraId="791546DB" w14:textId="77777777" w:rsidR="006E5C8F" w:rsidRPr="006F283B" w:rsidRDefault="006E5C8F" w:rsidP="00372EA1">
            <w:pPr>
              <w:pStyle w:val="TableText"/>
              <w:jc w:val="center"/>
            </w:pPr>
            <w:r w:rsidRPr="006F283B">
              <w:t>Assumption based on PBAC advice (paragraph 7.10, niraparib, PSD, March 2022 PBAC meeting)</w:t>
            </w:r>
          </w:p>
        </w:tc>
        <w:tc>
          <w:tcPr>
            <w:tcW w:w="3144" w:type="dxa"/>
          </w:tcPr>
          <w:p w14:paraId="404C374B" w14:textId="77777777" w:rsidR="006E5C8F" w:rsidRPr="006F283B" w:rsidRDefault="006E5C8F" w:rsidP="00FA57F4">
            <w:pPr>
              <w:pStyle w:val="TableText"/>
              <w:rPr>
                <w:rFonts w:eastAsiaTheme="majorEastAsia" w:cs="Arial"/>
                <w:iCs/>
                <w:szCs w:val="20"/>
                <w:lang w:bidi="en-US"/>
              </w:rPr>
            </w:pPr>
            <w:r w:rsidRPr="006F283B">
              <w:rPr>
                <w:iCs/>
              </w:rPr>
              <w:t>Figure consistent with the economic model.</w:t>
            </w:r>
          </w:p>
        </w:tc>
      </w:tr>
      <w:tr w:rsidR="006E5C8F" w:rsidRPr="006F283B" w14:paraId="280666A6" w14:textId="77777777" w:rsidTr="00FA57F4">
        <w:trPr>
          <w:cantSplit/>
        </w:trPr>
        <w:tc>
          <w:tcPr>
            <w:tcW w:w="1677" w:type="dxa"/>
            <w:shd w:val="clear" w:color="auto" w:fill="BDD6EE" w:themeFill="accent1" w:themeFillTint="66"/>
            <w:vAlign w:val="center"/>
          </w:tcPr>
          <w:p w14:paraId="51339613" w14:textId="77777777" w:rsidR="006E5C8F" w:rsidRPr="006F283B" w:rsidRDefault="006E5C8F" w:rsidP="00372EA1">
            <w:pPr>
              <w:pStyle w:val="TableText"/>
            </w:pPr>
            <w:r w:rsidRPr="006F283B">
              <w:t>% 1L PBC responders</w:t>
            </w:r>
          </w:p>
        </w:tc>
        <w:tc>
          <w:tcPr>
            <w:tcW w:w="1283" w:type="dxa"/>
            <w:shd w:val="clear" w:color="auto" w:fill="BDD6EE" w:themeFill="accent1" w:themeFillTint="66"/>
            <w:vAlign w:val="center"/>
          </w:tcPr>
          <w:p w14:paraId="43113F47" w14:textId="77777777" w:rsidR="006E5C8F" w:rsidRPr="006F283B" w:rsidRDefault="006E5C8F" w:rsidP="00372EA1">
            <w:pPr>
              <w:pStyle w:val="TableText"/>
              <w:jc w:val="center"/>
            </w:pPr>
            <w:r w:rsidRPr="006F283B">
              <w:t>88.6%</w:t>
            </w:r>
          </w:p>
        </w:tc>
        <w:tc>
          <w:tcPr>
            <w:tcW w:w="2963" w:type="dxa"/>
            <w:shd w:val="clear" w:color="auto" w:fill="BDD6EE" w:themeFill="accent1" w:themeFillTint="66"/>
            <w:vAlign w:val="center"/>
          </w:tcPr>
          <w:p w14:paraId="07B5619C" w14:textId="77777777" w:rsidR="006E5C8F" w:rsidRPr="006F283B" w:rsidRDefault="006E5C8F" w:rsidP="00372EA1">
            <w:pPr>
              <w:pStyle w:val="TableText"/>
              <w:jc w:val="center"/>
            </w:pPr>
            <w:r w:rsidRPr="006F283B">
              <w:t>Morgan 2020</w:t>
            </w:r>
          </w:p>
        </w:tc>
        <w:tc>
          <w:tcPr>
            <w:tcW w:w="3144" w:type="dxa"/>
          </w:tcPr>
          <w:p w14:paraId="546E56D7" w14:textId="69E5C3B0" w:rsidR="006E5C8F" w:rsidRPr="006F283B" w:rsidRDefault="006E5C8F" w:rsidP="00FA57F4">
            <w:pPr>
              <w:pStyle w:val="TableText"/>
              <w:rPr>
                <w:rFonts w:eastAsiaTheme="majorEastAsia" w:cs="Arial"/>
                <w:iCs/>
                <w:szCs w:val="20"/>
                <w:lang w:bidi="en-US"/>
              </w:rPr>
            </w:pPr>
            <w:r w:rsidRPr="006F283B">
              <w:rPr>
                <w:rFonts w:cs="Times New Roman"/>
                <w:szCs w:val="20"/>
              </w:rPr>
              <w:t>Reasonable (paragraph 6.79, niraparib PSD, March 2022 PBAC meeting).</w:t>
            </w:r>
          </w:p>
        </w:tc>
      </w:tr>
      <w:tr w:rsidR="006E5C8F" w:rsidRPr="006F283B" w14:paraId="209323F5" w14:textId="77777777" w:rsidTr="00FA57F4">
        <w:trPr>
          <w:cantSplit/>
        </w:trPr>
        <w:tc>
          <w:tcPr>
            <w:tcW w:w="1677" w:type="dxa"/>
            <w:vAlign w:val="center"/>
          </w:tcPr>
          <w:p w14:paraId="189CC167" w14:textId="77777777" w:rsidR="006E5C8F" w:rsidRPr="006F283B" w:rsidRDefault="006E5C8F" w:rsidP="00372EA1">
            <w:pPr>
              <w:pStyle w:val="TableText"/>
            </w:pPr>
            <w:r w:rsidRPr="006F283B">
              <w:t>% with viable tissue sample available</w:t>
            </w:r>
          </w:p>
        </w:tc>
        <w:tc>
          <w:tcPr>
            <w:tcW w:w="1283" w:type="dxa"/>
            <w:vAlign w:val="center"/>
          </w:tcPr>
          <w:p w14:paraId="50B450C0" w14:textId="77777777" w:rsidR="006E5C8F" w:rsidRPr="006F283B" w:rsidRDefault="006E5C8F" w:rsidP="00372EA1">
            <w:pPr>
              <w:pStyle w:val="TableText"/>
              <w:spacing w:line="254" w:lineRule="auto"/>
              <w:jc w:val="center"/>
            </w:pPr>
            <w:r w:rsidRPr="006F283B">
              <w:t>Yr 1: 67.5%</w:t>
            </w:r>
          </w:p>
          <w:p w14:paraId="308AC8C4" w14:textId="77777777" w:rsidR="006E5C8F" w:rsidRPr="006F283B" w:rsidRDefault="006E5C8F" w:rsidP="00372EA1">
            <w:pPr>
              <w:pStyle w:val="TableText"/>
              <w:spacing w:line="254" w:lineRule="auto"/>
              <w:jc w:val="center"/>
            </w:pPr>
            <w:r w:rsidRPr="006F283B">
              <w:t>Yr 2: 70.0%</w:t>
            </w:r>
          </w:p>
          <w:p w14:paraId="5744DA13" w14:textId="77777777" w:rsidR="006E5C8F" w:rsidRPr="006F283B" w:rsidRDefault="006E5C8F" w:rsidP="00372EA1">
            <w:pPr>
              <w:pStyle w:val="TableText"/>
              <w:spacing w:line="254" w:lineRule="auto"/>
              <w:jc w:val="center"/>
            </w:pPr>
            <w:r w:rsidRPr="006F283B">
              <w:t>Yr 3: 72.5%</w:t>
            </w:r>
          </w:p>
          <w:p w14:paraId="076EE0B3" w14:textId="77777777" w:rsidR="006E5C8F" w:rsidRPr="006F283B" w:rsidRDefault="006E5C8F" w:rsidP="00372EA1">
            <w:pPr>
              <w:pStyle w:val="TableText"/>
              <w:spacing w:line="254" w:lineRule="auto"/>
              <w:jc w:val="center"/>
            </w:pPr>
            <w:r w:rsidRPr="006F283B">
              <w:t>Yr 4: 75.0%</w:t>
            </w:r>
          </w:p>
          <w:p w14:paraId="43AEE5AE" w14:textId="77777777" w:rsidR="006E5C8F" w:rsidRPr="006F283B" w:rsidRDefault="006E5C8F" w:rsidP="00372EA1">
            <w:pPr>
              <w:pStyle w:val="TableText"/>
              <w:spacing w:line="254" w:lineRule="auto"/>
              <w:jc w:val="center"/>
            </w:pPr>
            <w:r w:rsidRPr="006F283B">
              <w:t>Yr 5: 77.5%</w:t>
            </w:r>
          </w:p>
          <w:p w14:paraId="27AE15F6" w14:textId="77777777" w:rsidR="006E5C8F" w:rsidRPr="006F283B" w:rsidRDefault="006E5C8F" w:rsidP="00372EA1">
            <w:pPr>
              <w:pStyle w:val="TableText"/>
              <w:jc w:val="center"/>
            </w:pPr>
            <w:r w:rsidRPr="006F283B">
              <w:t>Yr 6: 80.0%</w:t>
            </w:r>
          </w:p>
        </w:tc>
        <w:tc>
          <w:tcPr>
            <w:tcW w:w="2963" w:type="dxa"/>
            <w:shd w:val="clear" w:color="auto" w:fill="auto"/>
            <w:vAlign w:val="center"/>
          </w:tcPr>
          <w:p w14:paraId="5C8D385C" w14:textId="4BAE6404" w:rsidR="006E5C8F" w:rsidRPr="006F283B" w:rsidRDefault="006E5C8F" w:rsidP="00372EA1">
            <w:pPr>
              <w:pStyle w:val="TableText"/>
              <w:jc w:val="center"/>
            </w:pPr>
            <w:r w:rsidRPr="006F283B">
              <w:t xml:space="preserve">The proportion of patients who received a tumour </w:t>
            </w:r>
            <w:r w:rsidR="001152C0" w:rsidRPr="001152C0">
              <w:rPr>
                <w:i/>
              </w:rPr>
              <w:t xml:space="preserve">BRCA </w:t>
            </w:r>
            <w:r w:rsidRPr="006F283B">
              <w:t>test (MBS item: 73301) over the 2021-2022 financial year was used as a proxy for Year 1 and assumed to increase to 80% over time.</w:t>
            </w:r>
          </w:p>
        </w:tc>
        <w:tc>
          <w:tcPr>
            <w:tcW w:w="3144" w:type="dxa"/>
          </w:tcPr>
          <w:p w14:paraId="030EAA46" w14:textId="36BECF0E" w:rsidR="006E5C8F" w:rsidRPr="006F283B" w:rsidRDefault="006E5C8F" w:rsidP="00FA57F4">
            <w:pPr>
              <w:pStyle w:val="TableText"/>
              <w:rPr>
                <w:rFonts w:eastAsiaTheme="majorEastAsia" w:cs="Arial"/>
                <w:iCs/>
                <w:szCs w:val="20"/>
                <w:lang w:bidi="en-US"/>
              </w:rPr>
            </w:pPr>
            <w:r w:rsidRPr="006F283B">
              <w:rPr>
                <w:rFonts w:eastAsiaTheme="majorEastAsia" w:cs="Arial"/>
                <w:iCs/>
                <w:szCs w:val="20"/>
                <w:lang w:bidi="en-US"/>
              </w:rPr>
              <w:t xml:space="preserve">There is uncertainty regarding the proportion of patients with a viable tissue sample and may be underestimated. Olaparib in </w:t>
            </w:r>
            <w:r w:rsidR="001152C0" w:rsidRPr="001152C0">
              <w:rPr>
                <w:rFonts w:eastAsiaTheme="majorEastAsia" w:cs="Arial"/>
                <w:i/>
                <w:iCs/>
                <w:szCs w:val="20"/>
                <w:lang w:bidi="en-US"/>
              </w:rPr>
              <w:t>BRCAm</w:t>
            </w:r>
            <w:r w:rsidRPr="006F283B">
              <w:rPr>
                <w:rFonts w:eastAsiaTheme="majorEastAsia" w:cs="Arial"/>
                <w:iCs/>
                <w:szCs w:val="20"/>
                <w:lang w:bidi="en-US"/>
              </w:rPr>
              <w:t xml:space="preserve"> (paragraph 6.47, olaparib, PSD, PBAC July 2020) assumed 95% of patients will be tested</w:t>
            </w:r>
            <w:r w:rsidR="00885242" w:rsidRPr="006F283B">
              <w:rPr>
                <w:rFonts w:eastAsiaTheme="majorEastAsia" w:cs="Arial"/>
                <w:iCs/>
                <w:szCs w:val="20"/>
                <w:lang w:bidi="en-US"/>
              </w:rPr>
              <w:t xml:space="preserve">. </w:t>
            </w:r>
          </w:p>
          <w:p w14:paraId="30B811E4" w14:textId="01E75B0E" w:rsidR="00885242" w:rsidRPr="006F283B" w:rsidRDefault="00C87F2E" w:rsidP="00FA57F4">
            <w:pPr>
              <w:pStyle w:val="TableText"/>
              <w:rPr>
                <w:rFonts w:eastAsiaTheme="majorEastAsia" w:cs="Arial"/>
                <w:iCs/>
                <w:szCs w:val="20"/>
                <w:lang w:bidi="en-US"/>
              </w:rPr>
            </w:pPr>
            <w:r w:rsidRPr="006F283B">
              <w:rPr>
                <w:rFonts w:eastAsiaTheme="majorEastAsia" w:cs="Arial"/>
                <w:iCs/>
                <w:szCs w:val="20"/>
                <w:lang w:bidi="en-US"/>
              </w:rPr>
              <w:t xml:space="preserve">DUSC considered that this proportion was underestimated and was likely to increase to a peak of 90%, </w:t>
            </w:r>
            <w:r w:rsidR="00885242" w:rsidRPr="006F283B">
              <w:rPr>
                <w:rFonts w:eastAsiaTheme="majorEastAsia" w:cs="Arial"/>
                <w:iCs/>
                <w:szCs w:val="20"/>
                <w:lang w:bidi="en-US"/>
              </w:rPr>
              <w:t>as there is increased recognition of importance of adequate tissue.</w:t>
            </w:r>
            <w:r w:rsidRPr="006F283B">
              <w:rPr>
                <w:rFonts w:eastAsiaTheme="majorEastAsia" w:cs="Arial"/>
                <w:iCs/>
                <w:szCs w:val="20"/>
                <w:lang w:bidi="en-US"/>
              </w:rPr>
              <w:t xml:space="preserve"> The pre-PBAC response considered 90% to be optimistic, however applied this rate from Year 5 to Year 6. </w:t>
            </w:r>
          </w:p>
        </w:tc>
      </w:tr>
      <w:tr w:rsidR="006E5C8F" w:rsidRPr="006F283B" w14:paraId="0A3AB070" w14:textId="77777777" w:rsidTr="00FA57F4">
        <w:trPr>
          <w:cantSplit/>
        </w:trPr>
        <w:tc>
          <w:tcPr>
            <w:tcW w:w="1677" w:type="dxa"/>
            <w:shd w:val="clear" w:color="auto" w:fill="BDD6EE" w:themeFill="accent1" w:themeFillTint="66"/>
            <w:vAlign w:val="center"/>
          </w:tcPr>
          <w:p w14:paraId="47D73676" w14:textId="72FFC8D6" w:rsidR="006E5C8F" w:rsidRPr="006F283B" w:rsidRDefault="006E5C8F" w:rsidP="00372EA1">
            <w:pPr>
              <w:pStyle w:val="TableText"/>
            </w:pPr>
            <w:r w:rsidRPr="006F283B">
              <w:t xml:space="preserve">% HRD positive </w:t>
            </w:r>
            <w:r w:rsidR="001152C0" w:rsidRPr="001152C0">
              <w:rPr>
                <w:i/>
              </w:rPr>
              <w:t>BRCAwt</w:t>
            </w:r>
          </w:p>
        </w:tc>
        <w:tc>
          <w:tcPr>
            <w:tcW w:w="1283" w:type="dxa"/>
            <w:shd w:val="clear" w:color="auto" w:fill="BDD6EE" w:themeFill="accent1" w:themeFillTint="66"/>
            <w:vAlign w:val="center"/>
          </w:tcPr>
          <w:p w14:paraId="26511925" w14:textId="77777777" w:rsidR="006E5C8F" w:rsidRPr="006F283B" w:rsidRDefault="006E5C8F" w:rsidP="00372EA1">
            <w:pPr>
              <w:pStyle w:val="TableText"/>
              <w:jc w:val="center"/>
            </w:pPr>
            <w:r w:rsidRPr="006F283B">
              <w:t>23.7%</w:t>
            </w:r>
          </w:p>
        </w:tc>
        <w:tc>
          <w:tcPr>
            <w:tcW w:w="2963" w:type="dxa"/>
            <w:shd w:val="clear" w:color="auto" w:fill="BDD6EE" w:themeFill="accent1" w:themeFillTint="66"/>
            <w:vAlign w:val="center"/>
          </w:tcPr>
          <w:p w14:paraId="103E76D6" w14:textId="77777777" w:rsidR="006E5C8F" w:rsidRPr="006F283B" w:rsidRDefault="006E5C8F" w:rsidP="00372EA1">
            <w:pPr>
              <w:pStyle w:val="TableText"/>
              <w:jc w:val="center"/>
            </w:pPr>
            <w:r w:rsidRPr="006F283B">
              <w:t>PRIMA CSR</w:t>
            </w:r>
          </w:p>
        </w:tc>
        <w:tc>
          <w:tcPr>
            <w:tcW w:w="3144" w:type="dxa"/>
          </w:tcPr>
          <w:p w14:paraId="4761B3C7" w14:textId="77777777" w:rsidR="006E5C8F" w:rsidRPr="006F283B" w:rsidRDefault="006E5C8F" w:rsidP="00FA57F4">
            <w:pPr>
              <w:pStyle w:val="TableText"/>
              <w:rPr>
                <w:rFonts w:eastAsiaTheme="majorEastAsia" w:cs="Arial"/>
                <w:iCs/>
                <w:szCs w:val="20"/>
                <w:lang w:bidi="en-US"/>
              </w:rPr>
            </w:pPr>
            <w:r w:rsidRPr="006F283B">
              <w:rPr>
                <w:iCs/>
              </w:rPr>
              <w:t xml:space="preserve">Reasonable and consistent with model. </w:t>
            </w:r>
            <w:proofErr w:type="gramStart"/>
            <w:r w:rsidRPr="006F283B">
              <w:rPr>
                <w:iCs/>
              </w:rPr>
              <w:t>Similar to</w:t>
            </w:r>
            <w:proofErr w:type="gramEnd"/>
            <w:r w:rsidRPr="006F283B">
              <w:rPr>
                <w:iCs/>
              </w:rPr>
              <w:t xml:space="preserve"> the figure used olaparib (25%; Table 22, </w:t>
            </w:r>
            <w:r w:rsidRPr="006F283B">
              <w:rPr>
                <w:rFonts w:eastAsiaTheme="majorEastAsia" w:cs="Arial"/>
                <w:iCs/>
                <w:szCs w:val="20"/>
                <w:lang w:bidi="en-US"/>
              </w:rPr>
              <w:t>olaparib PSD, July 2022 PBAC meeting).</w:t>
            </w:r>
          </w:p>
        </w:tc>
      </w:tr>
      <w:tr w:rsidR="006E5C8F" w:rsidRPr="006F283B" w14:paraId="25FB71DB" w14:textId="77777777" w:rsidTr="00FA57F4">
        <w:trPr>
          <w:cantSplit/>
        </w:trPr>
        <w:tc>
          <w:tcPr>
            <w:tcW w:w="1677" w:type="dxa"/>
            <w:shd w:val="clear" w:color="auto" w:fill="BDD6EE" w:themeFill="accent1" w:themeFillTint="66"/>
            <w:vAlign w:val="center"/>
          </w:tcPr>
          <w:p w14:paraId="088F75AF" w14:textId="02E31E10" w:rsidR="006E5C8F" w:rsidRPr="006F283B" w:rsidRDefault="006E5C8F" w:rsidP="00372EA1">
            <w:pPr>
              <w:pStyle w:val="TableText"/>
            </w:pPr>
            <w:r w:rsidRPr="006F283B">
              <w:t xml:space="preserve">% </w:t>
            </w:r>
            <w:r w:rsidR="001152C0" w:rsidRPr="001152C0">
              <w:rPr>
                <w:i/>
                <w:iCs/>
              </w:rPr>
              <w:t>BRCAm</w:t>
            </w:r>
          </w:p>
        </w:tc>
        <w:tc>
          <w:tcPr>
            <w:tcW w:w="1283" w:type="dxa"/>
            <w:shd w:val="clear" w:color="auto" w:fill="BDD6EE" w:themeFill="accent1" w:themeFillTint="66"/>
            <w:vAlign w:val="center"/>
          </w:tcPr>
          <w:p w14:paraId="02A26882" w14:textId="77777777" w:rsidR="006E5C8F" w:rsidRPr="006F283B" w:rsidRDefault="006E5C8F" w:rsidP="00372EA1">
            <w:pPr>
              <w:pStyle w:val="TableText"/>
              <w:jc w:val="center"/>
            </w:pPr>
            <w:r w:rsidRPr="006F283B">
              <w:t>25.3%</w:t>
            </w:r>
          </w:p>
        </w:tc>
        <w:tc>
          <w:tcPr>
            <w:tcW w:w="2963" w:type="dxa"/>
            <w:shd w:val="clear" w:color="auto" w:fill="BDD6EE" w:themeFill="accent1" w:themeFillTint="66"/>
            <w:vAlign w:val="center"/>
          </w:tcPr>
          <w:p w14:paraId="2B9003F7" w14:textId="77777777" w:rsidR="006E5C8F" w:rsidRPr="006F283B" w:rsidRDefault="006E5C8F" w:rsidP="00372EA1">
            <w:pPr>
              <w:pStyle w:val="TableText"/>
              <w:jc w:val="center"/>
            </w:pPr>
            <w:r w:rsidRPr="006F283B">
              <w:t>Based on paragraph 6.46, olaparib PSD, July 2020 PBAC meeting.</w:t>
            </w:r>
          </w:p>
        </w:tc>
        <w:tc>
          <w:tcPr>
            <w:tcW w:w="3144" w:type="dxa"/>
          </w:tcPr>
          <w:p w14:paraId="4EF4F22C" w14:textId="77777777" w:rsidR="006E5C8F" w:rsidRPr="006F283B" w:rsidRDefault="006E5C8F" w:rsidP="00FA57F4">
            <w:pPr>
              <w:pStyle w:val="TableText"/>
              <w:rPr>
                <w:iCs/>
              </w:rPr>
            </w:pPr>
            <w:r w:rsidRPr="006F283B">
              <w:rPr>
                <w:iCs/>
              </w:rPr>
              <w:t>Reasonable</w:t>
            </w:r>
          </w:p>
        </w:tc>
      </w:tr>
      <w:tr w:rsidR="006E5C8F" w:rsidRPr="006F283B" w14:paraId="4059CD4D" w14:textId="77777777" w:rsidTr="00FA57F4">
        <w:trPr>
          <w:cantSplit/>
        </w:trPr>
        <w:tc>
          <w:tcPr>
            <w:tcW w:w="1677" w:type="dxa"/>
            <w:shd w:val="clear" w:color="auto" w:fill="BDD6EE" w:themeFill="accent1" w:themeFillTint="66"/>
            <w:vAlign w:val="center"/>
          </w:tcPr>
          <w:p w14:paraId="3A4B994E" w14:textId="77777777" w:rsidR="006E5C8F" w:rsidRPr="006F283B" w:rsidRDefault="006E5C8F" w:rsidP="00372EA1">
            <w:pPr>
              <w:pStyle w:val="TableText"/>
            </w:pPr>
            <w:r w:rsidRPr="006F283B">
              <w:rPr>
                <w:rFonts w:cs="Times New Roman"/>
              </w:rPr>
              <w:t>Proportion discontinuing olaparib as 1L therapy due to AEs</w:t>
            </w:r>
          </w:p>
        </w:tc>
        <w:tc>
          <w:tcPr>
            <w:tcW w:w="1283" w:type="dxa"/>
            <w:shd w:val="clear" w:color="auto" w:fill="BDD6EE" w:themeFill="accent1" w:themeFillTint="66"/>
            <w:vAlign w:val="center"/>
          </w:tcPr>
          <w:p w14:paraId="01450867" w14:textId="77777777" w:rsidR="006E5C8F" w:rsidRPr="006F283B" w:rsidRDefault="006E5C8F" w:rsidP="00372EA1">
            <w:pPr>
              <w:pStyle w:val="TableText"/>
              <w:jc w:val="center"/>
            </w:pPr>
            <w:r w:rsidRPr="006F283B">
              <w:rPr>
                <w:rFonts w:cs="Times New Roman"/>
              </w:rPr>
              <w:t xml:space="preserve">11.5%, </w:t>
            </w:r>
          </w:p>
        </w:tc>
        <w:tc>
          <w:tcPr>
            <w:tcW w:w="2963" w:type="dxa"/>
            <w:shd w:val="clear" w:color="auto" w:fill="BDD6EE" w:themeFill="accent1" w:themeFillTint="66"/>
            <w:vAlign w:val="center"/>
          </w:tcPr>
          <w:p w14:paraId="505FFA55" w14:textId="77777777" w:rsidR="006E5C8F" w:rsidRPr="006F283B" w:rsidRDefault="006E5C8F" w:rsidP="00372EA1">
            <w:pPr>
              <w:pStyle w:val="TableText"/>
              <w:jc w:val="center"/>
            </w:pPr>
            <w:r w:rsidRPr="006F283B">
              <w:rPr>
                <w:rFonts w:cs="Times New Roman"/>
              </w:rPr>
              <w:t>Moore 2018 (SOLO-1 trial)</w:t>
            </w:r>
          </w:p>
        </w:tc>
        <w:tc>
          <w:tcPr>
            <w:tcW w:w="3144" w:type="dxa"/>
          </w:tcPr>
          <w:p w14:paraId="0D138173" w14:textId="77777777" w:rsidR="006E5C8F" w:rsidRPr="006F283B" w:rsidRDefault="006E5C8F" w:rsidP="00FA57F4">
            <w:pPr>
              <w:pStyle w:val="TableText"/>
              <w:rPr>
                <w:iCs/>
              </w:rPr>
            </w:pPr>
            <w:r w:rsidRPr="006F283B">
              <w:rPr>
                <w:rFonts w:cs="Times New Roman"/>
                <w:szCs w:val="20"/>
              </w:rPr>
              <w:t xml:space="preserve">Value previously considered to be reasonable </w:t>
            </w:r>
            <w:r w:rsidRPr="006F283B">
              <w:rPr>
                <w:rFonts w:cs="Times New Roman"/>
              </w:rPr>
              <w:t>(paragraph 6.79, niraparib PSD, March 2022 PBAC meeting).</w:t>
            </w:r>
          </w:p>
        </w:tc>
      </w:tr>
      <w:tr w:rsidR="006E5C8F" w:rsidRPr="006F283B" w14:paraId="597AB361" w14:textId="77777777" w:rsidTr="00372EA1">
        <w:trPr>
          <w:cantSplit/>
        </w:trPr>
        <w:tc>
          <w:tcPr>
            <w:tcW w:w="9067" w:type="dxa"/>
            <w:gridSpan w:val="4"/>
            <w:vAlign w:val="center"/>
          </w:tcPr>
          <w:p w14:paraId="5025E979" w14:textId="77777777" w:rsidR="006E5C8F" w:rsidRPr="006F283B" w:rsidRDefault="006E5C8F" w:rsidP="00372EA1">
            <w:pPr>
              <w:pStyle w:val="TableText"/>
              <w:keepNext/>
              <w:rPr>
                <w:b/>
              </w:rPr>
            </w:pPr>
            <w:r w:rsidRPr="006F283B">
              <w:rPr>
                <w:b/>
              </w:rPr>
              <w:lastRenderedPageBreak/>
              <w:t>Niraparib</w:t>
            </w:r>
          </w:p>
        </w:tc>
      </w:tr>
      <w:tr w:rsidR="006E5C8F" w:rsidRPr="006F283B" w14:paraId="40BB6C3C" w14:textId="77777777" w:rsidTr="00FA57F4">
        <w:trPr>
          <w:cantSplit/>
        </w:trPr>
        <w:tc>
          <w:tcPr>
            <w:tcW w:w="1677" w:type="dxa"/>
            <w:vAlign w:val="center"/>
          </w:tcPr>
          <w:p w14:paraId="534063B5" w14:textId="026358CF" w:rsidR="006E5C8F" w:rsidRPr="006F283B" w:rsidRDefault="006E5C8F" w:rsidP="00372EA1">
            <w:pPr>
              <w:pStyle w:val="TableText"/>
            </w:pPr>
            <w:r w:rsidRPr="006F283B">
              <w:t xml:space="preserve">Niraparib uptake rate (HRD positive </w:t>
            </w:r>
            <w:r w:rsidR="001152C0" w:rsidRPr="001152C0">
              <w:rPr>
                <w:i/>
              </w:rPr>
              <w:t>BRCAwt</w:t>
            </w:r>
            <w:r w:rsidRPr="006F283B">
              <w:t xml:space="preserve"> patients)</w:t>
            </w:r>
          </w:p>
        </w:tc>
        <w:tc>
          <w:tcPr>
            <w:tcW w:w="1283" w:type="dxa"/>
            <w:vAlign w:val="center"/>
          </w:tcPr>
          <w:p w14:paraId="683DFDEE" w14:textId="77777777" w:rsidR="006E5C8F" w:rsidRPr="006F283B" w:rsidRDefault="006E5C8F" w:rsidP="00372EA1">
            <w:pPr>
              <w:pStyle w:val="TableText"/>
              <w:jc w:val="center"/>
            </w:pPr>
            <w:r w:rsidRPr="006F283B">
              <w:t>Yr 1: 50%</w:t>
            </w:r>
          </w:p>
          <w:p w14:paraId="2D4371DF" w14:textId="77777777" w:rsidR="006E5C8F" w:rsidRPr="006F283B" w:rsidRDefault="006E5C8F" w:rsidP="00372EA1">
            <w:pPr>
              <w:pStyle w:val="TableText"/>
              <w:jc w:val="center"/>
            </w:pPr>
            <w:r w:rsidRPr="006F283B">
              <w:t>Yr 2: 60%</w:t>
            </w:r>
          </w:p>
          <w:p w14:paraId="0F744CC2" w14:textId="77777777" w:rsidR="006E5C8F" w:rsidRPr="006F283B" w:rsidRDefault="006E5C8F" w:rsidP="00372EA1">
            <w:pPr>
              <w:pStyle w:val="TableText"/>
              <w:jc w:val="center"/>
            </w:pPr>
            <w:r w:rsidRPr="006F283B">
              <w:t>Yr 3: 65%</w:t>
            </w:r>
          </w:p>
          <w:p w14:paraId="7BB172A8" w14:textId="77777777" w:rsidR="006E5C8F" w:rsidRPr="006F283B" w:rsidRDefault="006E5C8F" w:rsidP="00372EA1">
            <w:pPr>
              <w:pStyle w:val="TableText"/>
              <w:jc w:val="center"/>
            </w:pPr>
            <w:r w:rsidRPr="006F283B">
              <w:t>Yr 4: 70%</w:t>
            </w:r>
          </w:p>
          <w:p w14:paraId="6188A279" w14:textId="77777777" w:rsidR="006E5C8F" w:rsidRPr="006F283B" w:rsidRDefault="006E5C8F" w:rsidP="00372EA1">
            <w:pPr>
              <w:pStyle w:val="TableText"/>
              <w:jc w:val="center"/>
            </w:pPr>
            <w:r w:rsidRPr="006F283B">
              <w:t>Yr 5: 72.5%</w:t>
            </w:r>
          </w:p>
          <w:p w14:paraId="51CDD725" w14:textId="77777777" w:rsidR="006E5C8F" w:rsidRPr="006F283B" w:rsidRDefault="006E5C8F" w:rsidP="00372EA1">
            <w:pPr>
              <w:pStyle w:val="TableText"/>
              <w:jc w:val="center"/>
            </w:pPr>
            <w:r w:rsidRPr="006F283B">
              <w:t>Yr 6: 75%</w:t>
            </w:r>
          </w:p>
        </w:tc>
        <w:tc>
          <w:tcPr>
            <w:tcW w:w="2963" w:type="dxa"/>
            <w:vAlign w:val="center"/>
          </w:tcPr>
          <w:p w14:paraId="60C38274" w14:textId="77777777" w:rsidR="006E5C8F" w:rsidRPr="006F283B" w:rsidRDefault="006E5C8F" w:rsidP="00372EA1">
            <w:pPr>
              <w:pStyle w:val="TableText"/>
              <w:jc w:val="center"/>
            </w:pPr>
            <w:r w:rsidRPr="006F283B">
              <w:t>Uptake rate sponsor assumption.</w:t>
            </w:r>
          </w:p>
        </w:tc>
        <w:tc>
          <w:tcPr>
            <w:tcW w:w="3144" w:type="dxa"/>
          </w:tcPr>
          <w:p w14:paraId="3C546A98" w14:textId="5761EDBF" w:rsidR="006E5C8F" w:rsidRPr="006F283B" w:rsidRDefault="006E5C8F" w:rsidP="00FA57F4">
            <w:pPr>
              <w:pStyle w:val="TableText"/>
              <w:rPr>
                <w:iCs/>
              </w:rPr>
            </w:pPr>
            <w:r w:rsidRPr="006F283B">
              <w:t xml:space="preserve">Maximum uptake rate based on sponsor advisory board advice that ~20% of HRD positive </w:t>
            </w:r>
            <w:r w:rsidR="001152C0" w:rsidRPr="001152C0">
              <w:rPr>
                <w:i/>
              </w:rPr>
              <w:t>BRCAwt</w:t>
            </w:r>
            <w:r w:rsidRPr="006F283B">
              <w:t xml:space="preserve"> patients will not be suitable for niraparib treatment due to age/frailty or patient preference not to risk an AE. </w:t>
            </w:r>
            <w:proofErr w:type="gramStart"/>
            <w:r w:rsidRPr="006F283B">
              <w:rPr>
                <w:iCs/>
              </w:rPr>
              <w:t>However</w:t>
            </w:r>
            <w:proofErr w:type="gramEnd"/>
            <w:r w:rsidRPr="006F283B">
              <w:rPr>
                <w:iCs/>
              </w:rPr>
              <w:t xml:space="preserve"> a proportion of these patients would also not have had 1L PBC and already excluded from the calculation. Uptake rate was possibly underestimated and was lower than previous submission (50% in year 1 increasing to 75% in year 3 onwards)</w:t>
            </w:r>
            <w:r w:rsidR="00885242" w:rsidRPr="006F283B">
              <w:rPr>
                <w:iCs/>
              </w:rPr>
              <w:t>. DUSC considered the uptake rate (from eligible population) was likely underestimated.</w:t>
            </w:r>
          </w:p>
          <w:p w14:paraId="07CBC3FD" w14:textId="77777777" w:rsidR="00C87F2E" w:rsidRPr="006F283B" w:rsidRDefault="00C87F2E" w:rsidP="00FA57F4">
            <w:pPr>
              <w:pStyle w:val="TableText"/>
              <w:rPr>
                <w:i/>
                <w:iCs/>
              </w:rPr>
            </w:pPr>
          </w:p>
          <w:p w14:paraId="47707814" w14:textId="00439E4A" w:rsidR="00C87F2E" w:rsidRPr="006F283B" w:rsidRDefault="00C87F2E" w:rsidP="00FA57F4">
            <w:pPr>
              <w:pStyle w:val="TableText"/>
              <w:rPr>
                <w:i/>
                <w:iCs/>
              </w:rPr>
            </w:pPr>
            <w:r w:rsidRPr="006F283B">
              <w:t>Uptake rates were increased in the pre-PBAC response</w:t>
            </w:r>
            <w:r w:rsidR="00FA57F4" w:rsidRPr="006F283B">
              <w:t xml:space="preserve"> </w:t>
            </w:r>
            <w:r w:rsidRPr="006F283B">
              <w:t>to 75% in year 1, and 80% in years 2 to 6.</w:t>
            </w:r>
          </w:p>
        </w:tc>
      </w:tr>
      <w:tr w:rsidR="006E5C8F" w:rsidRPr="006F283B" w14:paraId="3F0FA3E2" w14:textId="77777777" w:rsidTr="00FA57F4">
        <w:trPr>
          <w:cantSplit/>
        </w:trPr>
        <w:tc>
          <w:tcPr>
            <w:tcW w:w="1677" w:type="dxa"/>
            <w:shd w:val="clear" w:color="auto" w:fill="BDD6EE" w:themeFill="accent1" w:themeFillTint="66"/>
            <w:vAlign w:val="center"/>
          </w:tcPr>
          <w:p w14:paraId="713412E2" w14:textId="5BA5307E" w:rsidR="006E5C8F" w:rsidRPr="006F283B" w:rsidRDefault="006E5C8F" w:rsidP="00372EA1">
            <w:pPr>
              <w:pStyle w:val="TableText"/>
            </w:pPr>
            <w:r w:rsidRPr="006F283B">
              <w:t>Niraparib uptake rate (</w:t>
            </w:r>
            <w:r w:rsidR="001152C0" w:rsidRPr="001152C0">
              <w:rPr>
                <w:i/>
              </w:rPr>
              <w:t>BRCAm</w:t>
            </w:r>
            <w:r w:rsidRPr="006F283B">
              <w:t xml:space="preserve"> patients)</w:t>
            </w:r>
          </w:p>
        </w:tc>
        <w:tc>
          <w:tcPr>
            <w:tcW w:w="1283" w:type="dxa"/>
            <w:shd w:val="clear" w:color="auto" w:fill="BDD6EE" w:themeFill="accent1" w:themeFillTint="66"/>
            <w:vAlign w:val="center"/>
          </w:tcPr>
          <w:p w14:paraId="75C5672D" w14:textId="77777777" w:rsidR="006E5C8F" w:rsidRPr="006F283B" w:rsidRDefault="006E5C8F" w:rsidP="00372EA1">
            <w:pPr>
              <w:pStyle w:val="TableText"/>
              <w:jc w:val="center"/>
            </w:pPr>
            <w:r w:rsidRPr="006F283B">
              <w:t>Yr 1: 25.5%</w:t>
            </w:r>
          </w:p>
          <w:p w14:paraId="31142BF3" w14:textId="77777777" w:rsidR="006E5C8F" w:rsidRPr="006F283B" w:rsidRDefault="006E5C8F" w:rsidP="00372EA1">
            <w:pPr>
              <w:pStyle w:val="TableText"/>
              <w:jc w:val="center"/>
            </w:pPr>
            <w:r w:rsidRPr="006F283B">
              <w:t>Yr 2+: 36%</w:t>
            </w:r>
          </w:p>
        </w:tc>
        <w:tc>
          <w:tcPr>
            <w:tcW w:w="2963" w:type="dxa"/>
            <w:shd w:val="clear" w:color="auto" w:fill="BDD6EE" w:themeFill="accent1" w:themeFillTint="66"/>
            <w:vAlign w:val="center"/>
          </w:tcPr>
          <w:p w14:paraId="6DE6D3D4" w14:textId="77777777" w:rsidR="006E5C8F" w:rsidRPr="006F283B" w:rsidRDefault="006E5C8F" w:rsidP="00372EA1">
            <w:pPr>
              <w:pStyle w:val="TableText"/>
              <w:jc w:val="center"/>
            </w:pPr>
            <w:r w:rsidRPr="006F283B">
              <w:t>As used in the finalised BIM for the PBS listing of niraparib in September 2022.</w:t>
            </w:r>
          </w:p>
        </w:tc>
        <w:tc>
          <w:tcPr>
            <w:tcW w:w="3144" w:type="dxa"/>
          </w:tcPr>
          <w:p w14:paraId="4B5961F4" w14:textId="652850DA" w:rsidR="00885242" w:rsidRPr="006F283B" w:rsidRDefault="00885242" w:rsidP="00FA57F4">
            <w:pPr>
              <w:pStyle w:val="TableText"/>
              <w:rPr>
                <w:iCs/>
              </w:rPr>
            </w:pPr>
            <w:r w:rsidRPr="006F283B">
              <w:rPr>
                <w:iCs/>
              </w:rPr>
              <w:t xml:space="preserve">DUSC considered this reasonable as olaparib is likely to have </w:t>
            </w:r>
            <w:r w:rsidR="00221C7D" w:rsidRPr="006F283B">
              <w:rPr>
                <w:iCs/>
              </w:rPr>
              <w:t xml:space="preserve">a </w:t>
            </w:r>
            <w:r w:rsidRPr="006F283B">
              <w:rPr>
                <w:iCs/>
              </w:rPr>
              <w:t xml:space="preserve">larger market share for </w:t>
            </w:r>
            <w:r w:rsidR="001152C0" w:rsidRPr="001152C0">
              <w:rPr>
                <w:i/>
                <w:iCs/>
              </w:rPr>
              <w:t>BRCAm</w:t>
            </w:r>
            <w:r w:rsidRPr="006F283B">
              <w:rPr>
                <w:iCs/>
              </w:rPr>
              <w:t xml:space="preserve"> patients.</w:t>
            </w:r>
          </w:p>
        </w:tc>
      </w:tr>
      <w:tr w:rsidR="006E5C8F" w:rsidRPr="006F283B" w14:paraId="3B45CA71" w14:textId="77777777" w:rsidTr="00FA57F4">
        <w:trPr>
          <w:cantSplit/>
        </w:trPr>
        <w:tc>
          <w:tcPr>
            <w:tcW w:w="1677" w:type="dxa"/>
            <w:shd w:val="clear" w:color="auto" w:fill="BDD6EE" w:themeFill="accent1" w:themeFillTint="66"/>
            <w:vAlign w:val="center"/>
          </w:tcPr>
          <w:p w14:paraId="560EF190" w14:textId="1DC13849" w:rsidR="006E5C8F" w:rsidRPr="006F283B" w:rsidRDefault="006E5C8F" w:rsidP="00372EA1">
            <w:pPr>
              <w:pStyle w:val="TableText"/>
            </w:pPr>
            <w:r w:rsidRPr="006F283B">
              <w:t>Niraparib uptake rate (</w:t>
            </w:r>
            <w:r w:rsidR="001152C0" w:rsidRPr="001152C0">
              <w:rPr>
                <w:i/>
              </w:rPr>
              <w:t>BRCAm</w:t>
            </w:r>
            <w:r w:rsidRPr="006F283B">
              <w:t xml:space="preserve"> patients switching from olaparib due to AEs)</w:t>
            </w:r>
          </w:p>
        </w:tc>
        <w:tc>
          <w:tcPr>
            <w:tcW w:w="1283" w:type="dxa"/>
            <w:shd w:val="clear" w:color="auto" w:fill="BDD6EE" w:themeFill="accent1" w:themeFillTint="66"/>
            <w:vAlign w:val="center"/>
          </w:tcPr>
          <w:p w14:paraId="165600B3" w14:textId="77777777" w:rsidR="006E5C8F" w:rsidRPr="006F283B" w:rsidRDefault="006E5C8F" w:rsidP="00372EA1">
            <w:pPr>
              <w:pStyle w:val="TableText"/>
              <w:jc w:val="center"/>
            </w:pPr>
            <w:r w:rsidRPr="006F283B">
              <w:t>20%</w:t>
            </w:r>
          </w:p>
        </w:tc>
        <w:tc>
          <w:tcPr>
            <w:tcW w:w="2963" w:type="dxa"/>
            <w:shd w:val="clear" w:color="auto" w:fill="BDD6EE" w:themeFill="accent1" w:themeFillTint="66"/>
            <w:vAlign w:val="center"/>
          </w:tcPr>
          <w:p w14:paraId="7C658F44" w14:textId="77777777" w:rsidR="006E5C8F" w:rsidRPr="006F283B" w:rsidRDefault="006E5C8F" w:rsidP="00372EA1">
            <w:pPr>
              <w:pStyle w:val="TableText"/>
              <w:jc w:val="center"/>
            </w:pPr>
            <w:r w:rsidRPr="006F283B">
              <w:t>As used for the PBS listing of niraparib in September 2022.</w:t>
            </w:r>
          </w:p>
        </w:tc>
        <w:tc>
          <w:tcPr>
            <w:tcW w:w="3144" w:type="dxa"/>
          </w:tcPr>
          <w:p w14:paraId="5F362567" w14:textId="77777777" w:rsidR="006E5C8F" w:rsidRPr="006F283B" w:rsidRDefault="006E5C8F" w:rsidP="00FA57F4">
            <w:pPr>
              <w:pStyle w:val="TableText"/>
              <w:rPr>
                <w:iCs/>
              </w:rPr>
            </w:pPr>
            <w:r w:rsidRPr="006F283B">
              <w:rPr>
                <w:iCs/>
              </w:rPr>
              <w:t>Reasonable.</w:t>
            </w:r>
          </w:p>
        </w:tc>
      </w:tr>
      <w:tr w:rsidR="006E5C8F" w:rsidRPr="006F283B" w14:paraId="511CB9CA" w14:textId="77777777" w:rsidTr="00FA57F4">
        <w:trPr>
          <w:cantSplit/>
        </w:trPr>
        <w:tc>
          <w:tcPr>
            <w:tcW w:w="1677" w:type="dxa"/>
            <w:shd w:val="clear" w:color="auto" w:fill="BDD6EE" w:themeFill="accent1" w:themeFillTint="66"/>
            <w:vAlign w:val="center"/>
          </w:tcPr>
          <w:p w14:paraId="7F742BB6" w14:textId="43D3CB99" w:rsidR="006E5C8F" w:rsidRPr="006F283B" w:rsidRDefault="006E5C8F" w:rsidP="00372EA1">
            <w:pPr>
              <w:pStyle w:val="TableText"/>
            </w:pPr>
            <w:r w:rsidRPr="006F283B">
              <w:t xml:space="preserve">DoT: </w:t>
            </w:r>
            <w:r w:rsidR="001152C0" w:rsidRPr="001152C0">
              <w:rPr>
                <w:i/>
              </w:rPr>
              <w:t>BRCAm</w:t>
            </w:r>
            <w:r w:rsidRPr="006F283B">
              <w:t xml:space="preserve"> patients </w:t>
            </w:r>
          </w:p>
        </w:tc>
        <w:tc>
          <w:tcPr>
            <w:tcW w:w="1283" w:type="dxa"/>
            <w:shd w:val="clear" w:color="auto" w:fill="BDD6EE" w:themeFill="accent1" w:themeFillTint="66"/>
            <w:vAlign w:val="center"/>
          </w:tcPr>
          <w:p w14:paraId="26BDDD14" w14:textId="77777777" w:rsidR="006E5C8F" w:rsidRPr="006F283B" w:rsidRDefault="006E5C8F" w:rsidP="00372EA1">
            <w:pPr>
              <w:pStyle w:val="TableText"/>
              <w:jc w:val="center"/>
            </w:pPr>
            <w:r w:rsidRPr="006F283B">
              <w:t>760.9 days (25 months)</w:t>
            </w:r>
          </w:p>
        </w:tc>
        <w:tc>
          <w:tcPr>
            <w:tcW w:w="2963" w:type="dxa"/>
            <w:shd w:val="clear" w:color="auto" w:fill="BDD6EE" w:themeFill="accent1" w:themeFillTint="66"/>
            <w:vAlign w:val="center"/>
          </w:tcPr>
          <w:p w14:paraId="5CD71AC3" w14:textId="77777777" w:rsidR="006E5C8F" w:rsidRPr="006F283B" w:rsidRDefault="006E5C8F" w:rsidP="00372EA1">
            <w:pPr>
              <w:pStyle w:val="TableText"/>
              <w:jc w:val="center"/>
            </w:pPr>
            <w:r w:rsidRPr="006F283B">
              <w:t>Based paragraph 7.13, niraparib PSD, March 2022 PBAC meeting</w:t>
            </w:r>
          </w:p>
        </w:tc>
        <w:tc>
          <w:tcPr>
            <w:tcW w:w="3144" w:type="dxa"/>
          </w:tcPr>
          <w:p w14:paraId="432A8428" w14:textId="1B936395" w:rsidR="00885242" w:rsidRPr="006F283B" w:rsidRDefault="006E5C8F" w:rsidP="00FA57F4">
            <w:pPr>
              <w:pStyle w:val="TableText"/>
              <w:rPr>
                <w:iCs/>
              </w:rPr>
            </w:pPr>
            <w:r w:rsidRPr="006F283B">
              <w:rPr>
                <w:iCs/>
              </w:rPr>
              <w:t>Reasonable.</w:t>
            </w:r>
          </w:p>
        </w:tc>
      </w:tr>
      <w:tr w:rsidR="006E5C8F" w:rsidRPr="006F283B" w14:paraId="7F9C1C27" w14:textId="77777777" w:rsidTr="00FA57F4">
        <w:trPr>
          <w:cantSplit/>
        </w:trPr>
        <w:tc>
          <w:tcPr>
            <w:tcW w:w="1677" w:type="dxa"/>
            <w:vAlign w:val="center"/>
          </w:tcPr>
          <w:p w14:paraId="56104A41" w14:textId="57F8441D" w:rsidR="006E5C8F" w:rsidRPr="006F283B" w:rsidRDefault="006E5C8F" w:rsidP="00372EA1">
            <w:pPr>
              <w:pStyle w:val="TableText"/>
            </w:pPr>
            <w:r w:rsidRPr="006F283B">
              <w:t xml:space="preserve">DoT: HRD positive </w:t>
            </w:r>
            <w:r w:rsidR="001152C0" w:rsidRPr="001152C0">
              <w:rPr>
                <w:i/>
              </w:rPr>
              <w:t>BRCAwt</w:t>
            </w:r>
            <w:r w:rsidRPr="006F283B">
              <w:t xml:space="preserve"> patients</w:t>
            </w:r>
          </w:p>
        </w:tc>
        <w:tc>
          <w:tcPr>
            <w:tcW w:w="1283" w:type="dxa"/>
            <w:vAlign w:val="center"/>
          </w:tcPr>
          <w:p w14:paraId="49FD9194" w14:textId="77777777" w:rsidR="006E5C8F" w:rsidRPr="006F283B" w:rsidRDefault="006E5C8F" w:rsidP="00372EA1">
            <w:pPr>
              <w:pStyle w:val="TableText"/>
              <w:jc w:val="center"/>
            </w:pPr>
            <w:r w:rsidRPr="006F283B">
              <w:t>486.2 days (15.98 months)</w:t>
            </w:r>
          </w:p>
        </w:tc>
        <w:tc>
          <w:tcPr>
            <w:tcW w:w="2963" w:type="dxa"/>
            <w:vAlign w:val="center"/>
          </w:tcPr>
          <w:p w14:paraId="1FC6BF2C" w14:textId="1962DA75" w:rsidR="006E5C8F" w:rsidRPr="006F283B" w:rsidRDefault="006E5C8F" w:rsidP="00372EA1">
            <w:pPr>
              <w:pStyle w:val="TableText"/>
              <w:jc w:val="center"/>
            </w:pPr>
            <w:r w:rsidRPr="006F283B">
              <w:t xml:space="preserve">Weighted average of HRD positive </w:t>
            </w:r>
            <w:r w:rsidR="001152C0" w:rsidRPr="001152C0">
              <w:rPr>
                <w:i/>
              </w:rPr>
              <w:t>BRCAwt</w:t>
            </w:r>
            <w:r w:rsidRPr="006F283B">
              <w:t xml:space="preserve"> true positive and HRD negative DoT from CUA</w:t>
            </w:r>
          </w:p>
        </w:tc>
        <w:tc>
          <w:tcPr>
            <w:tcW w:w="3144" w:type="dxa"/>
          </w:tcPr>
          <w:p w14:paraId="26A0BDBF" w14:textId="5EA71456" w:rsidR="00885242" w:rsidRPr="006F283B" w:rsidRDefault="006E5C8F" w:rsidP="00FA57F4">
            <w:pPr>
              <w:pStyle w:val="TableText"/>
              <w:rPr>
                <w:iCs/>
              </w:rPr>
            </w:pPr>
            <w:r w:rsidRPr="006F283B">
              <w:rPr>
                <w:iCs/>
              </w:rPr>
              <w:t xml:space="preserve">May be underestimated as half cycle correction inappropriately applied. </w:t>
            </w:r>
            <w:r w:rsidR="00885242" w:rsidRPr="006F283B">
              <w:rPr>
                <w:iCs/>
              </w:rPr>
              <w:t>The PSCR presented updated estimates with the half cycle correction removed</w:t>
            </w:r>
            <w:r w:rsidR="00B57441" w:rsidRPr="006F283B">
              <w:rPr>
                <w:iCs/>
              </w:rPr>
              <w:t xml:space="preserve"> (16.47 months)</w:t>
            </w:r>
            <w:r w:rsidR="00885242" w:rsidRPr="006F283B">
              <w:rPr>
                <w:iCs/>
              </w:rPr>
              <w:t>.</w:t>
            </w:r>
          </w:p>
        </w:tc>
      </w:tr>
      <w:tr w:rsidR="006E5C8F" w:rsidRPr="006F283B" w14:paraId="13138AC5" w14:textId="77777777" w:rsidTr="00FA57F4">
        <w:trPr>
          <w:cantSplit/>
        </w:trPr>
        <w:tc>
          <w:tcPr>
            <w:tcW w:w="1677" w:type="dxa"/>
            <w:shd w:val="clear" w:color="auto" w:fill="BDD6EE" w:themeFill="accent1" w:themeFillTint="66"/>
            <w:vAlign w:val="center"/>
          </w:tcPr>
          <w:p w14:paraId="22F10738" w14:textId="77777777" w:rsidR="006E5C8F" w:rsidRPr="006F283B" w:rsidRDefault="006E5C8F" w:rsidP="00372EA1">
            <w:pPr>
              <w:pStyle w:val="TableText"/>
            </w:pPr>
            <w:r w:rsidRPr="006F283B">
              <w:t>Niraparib packs per patient in first year</w:t>
            </w:r>
          </w:p>
        </w:tc>
        <w:tc>
          <w:tcPr>
            <w:tcW w:w="1283" w:type="dxa"/>
            <w:shd w:val="clear" w:color="auto" w:fill="BDD6EE" w:themeFill="accent1" w:themeFillTint="66"/>
            <w:vAlign w:val="center"/>
          </w:tcPr>
          <w:p w14:paraId="13AEBD59" w14:textId="77777777" w:rsidR="006E5C8F" w:rsidRPr="006F283B" w:rsidRDefault="006E5C8F" w:rsidP="00372EA1">
            <w:pPr>
              <w:pStyle w:val="TableText"/>
              <w:jc w:val="center"/>
            </w:pPr>
            <w:r w:rsidRPr="006F283B">
              <w:t>84 pack: 0.99</w:t>
            </w:r>
          </w:p>
          <w:p w14:paraId="31A2B62E" w14:textId="77777777" w:rsidR="006E5C8F" w:rsidRPr="006F283B" w:rsidRDefault="006E5C8F" w:rsidP="00372EA1">
            <w:pPr>
              <w:pStyle w:val="TableText"/>
              <w:jc w:val="center"/>
            </w:pPr>
            <w:r w:rsidRPr="006F283B">
              <w:t>56 pack: 8.79</w:t>
            </w:r>
          </w:p>
        </w:tc>
        <w:tc>
          <w:tcPr>
            <w:tcW w:w="2963" w:type="dxa"/>
            <w:vMerge w:val="restart"/>
            <w:shd w:val="clear" w:color="auto" w:fill="BDD6EE" w:themeFill="accent1" w:themeFillTint="66"/>
            <w:vAlign w:val="center"/>
          </w:tcPr>
          <w:p w14:paraId="4A33DB0D" w14:textId="77777777" w:rsidR="006E5C8F" w:rsidRPr="006F283B" w:rsidRDefault="006E5C8F" w:rsidP="00372EA1">
            <w:pPr>
              <w:pStyle w:val="TableText"/>
              <w:jc w:val="center"/>
            </w:pPr>
            <w:r w:rsidRPr="006F283B">
              <w:t>PRIMA exposure by dose and cycle volumes and compliance rates for the ISD cohort</w:t>
            </w:r>
          </w:p>
        </w:tc>
        <w:tc>
          <w:tcPr>
            <w:tcW w:w="3144" w:type="dxa"/>
            <w:vMerge w:val="restart"/>
          </w:tcPr>
          <w:p w14:paraId="4267617B" w14:textId="6C81DE0B" w:rsidR="00885242" w:rsidRPr="006F283B" w:rsidRDefault="00885242" w:rsidP="00FA57F4">
            <w:pPr>
              <w:pStyle w:val="TableText"/>
              <w:rPr>
                <w:iCs/>
              </w:rPr>
            </w:pPr>
            <w:r w:rsidRPr="006F283B">
              <w:rPr>
                <w:iCs/>
              </w:rPr>
              <w:t xml:space="preserve">DUSC </w:t>
            </w:r>
            <w:r w:rsidR="00B57441" w:rsidRPr="006F283B">
              <w:rPr>
                <w:iCs/>
              </w:rPr>
              <w:t xml:space="preserve">considered this </w:t>
            </w:r>
            <w:r w:rsidRPr="006F283B">
              <w:rPr>
                <w:iCs/>
              </w:rPr>
              <w:t>simplified approach should be maintained.</w:t>
            </w:r>
          </w:p>
        </w:tc>
      </w:tr>
      <w:tr w:rsidR="006E5C8F" w:rsidRPr="006F283B" w14:paraId="36CECD59" w14:textId="77777777" w:rsidTr="00FA57F4">
        <w:trPr>
          <w:cantSplit/>
        </w:trPr>
        <w:tc>
          <w:tcPr>
            <w:tcW w:w="1677" w:type="dxa"/>
            <w:shd w:val="clear" w:color="auto" w:fill="BDD6EE" w:themeFill="accent1" w:themeFillTint="66"/>
            <w:vAlign w:val="center"/>
          </w:tcPr>
          <w:p w14:paraId="6FBF6E4C" w14:textId="77777777" w:rsidR="006E5C8F" w:rsidRPr="006F283B" w:rsidRDefault="006E5C8F" w:rsidP="00372EA1">
            <w:pPr>
              <w:pStyle w:val="TableText"/>
            </w:pPr>
            <w:r w:rsidRPr="006F283B">
              <w:t>Niraparib packs per patient in first year</w:t>
            </w:r>
          </w:p>
        </w:tc>
        <w:tc>
          <w:tcPr>
            <w:tcW w:w="1283" w:type="dxa"/>
            <w:shd w:val="clear" w:color="auto" w:fill="BDD6EE" w:themeFill="accent1" w:themeFillTint="66"/>
            <w:vAlign w:val="center"/>
          </w:tcPr>
          <w:p w14:paraId="1DF7456F" w14:textId="3DD41A41" w:rsidR="006E5C8F" w:rsidRPr="00205D77" w:rsidRDefault="006E5C8F" w:rsidP="00372EA1">
            <w:pPr>
              <w:pStyle w:val="TableText"/>
              <w:jc w:val="center"/>
              <w:rPr>
                <w:vertAlign w:val="superscript"/>
              </w:rPr>
            </w:pPr>
            <w:r w:rsidRPr="006F283B">
              <w:t>84 pack: 0.30</w:t>
            </w:r>
            <w:r w:rsidR="00205D77">
              <w:rPr>
                <w:vertAlign w:val="superscript"/>
              </w:rPr>
              <w:t>a</w:t>
            </w:r>
          </w:p>
          <w:p w14:paraId="322F757D" w14:textId="6914439C" w:rsidR="006E5C8F" w:rsidRPr="00205D77" w:rsidRDefault="006E5C8F" w:rsidP="00372EA1">
            <w:pPr>
              <w:pStyle w:val="TableText"/>
              <w:jc w:val="center"/>
              <w:rPr>
                <w:vertAlign w:val="superscript"/>
              </w:rPr>
            </w:pPr>
            <w:r w:rsidRPr="006F283B">
              <w:t>56 pack: 9.37</w:t>
            </w:r>
            <w:r w:rsidR="00205D77">
              <w:rPr>
                <w:vertAlign w:val="superscript"/>
              </w:rPr>
              <w:t>a</w:t>
            </w:r>
          </w:p>
        </w:tc>
        <w:tc>
          <w:tcPr>
            <w:tcW w:w="2963" w:type="dxa"/>
            <w:vMerge/>
            <w:shd w:val="clear" w:color="auto" w:fill="BDD6EE" w:themeFill="accent1" w:themeFillTint="66"/>
            <w:vAlign w:val="center"/>
          </w:tcPr>
          <w:p w14:paraId="61BAFECB" w14:textId="77777777" w:rsidR="006E5C8F" w:rsidRPr="006F283B" w:rsidRDefault="006E5C8F" w:rsidP="00372EA1">
            <w:pPr>
              <w:pStyle w:val="TableText"/>
              <w:jc w:val="center"/>
            </w:pPr>
          </w:p>
        </w:tc>
        <w:tc>
          <w:tcPr>
            <w:tcW w:w="3144" w:type="dxa"/>
            <w:vMerge/>
          </w:tcPr>
          <w:p w14:paraId="5DCDAF66" w14:textId="77777777" w:rsidR="006E5C8F" w:rsidRPr="006F283B" w:rsidRDefault="006E5C8F" w:rsidP="00FA57F4">
            <w:pPr>
              <w:pStyle w:val="TableText"/>
              <w:rPr>
                <w:iCs/>
              </w:rPr>
            </w:pPr>
          </w:p>
        </w:tc>
      </w:tr>
      <w:tr w:rsidR="006E5C8F" w:rsidRPr="006F283B" w14:paraId="606B35D8" w14:textId="77777777" w:rsidTr="00FA57F4">
        <w:trPr>
          <w:cantSplit/>
        </w:trPr>
        <w:tc>
          <w:tcPr>
            <w:tcW w:w="1677" w:type="dxa"/>
            <w:vAlign w:val="center"/>
          </w:tcPr>
          <w:p w14:paraId="36A89B63" w14:textId="77777777" w:rsidR="006E5C8F" w:rsidRPr="006F283B" w:rsidRDefault="006E5C8F" w:rsidP="00372EA1">
            <w:pPr>
              <w:pStyle w:val="TableText"/>
            </w:pPr>
            <w:r w:rsidRPr="006F283B">
              <w:rPr>
                <w:szCs w:val="20"/>
              </w:rPr>
              <w:t>Cost of niraparib, (DPMQ), effective</w:t>
            </w:r>
          </w:p>
        </w:tc>
        <w:tc>
          <w:tcPr>
            <w:tcW w:w="1283" w:type="dxa"/>
            <w:vAlign w:val="center"/>
          </w:tcPr>
          <w:p w14:paraId="7D5DE673" w14:textId="3DA537E5" w:rsidR="006E5C8F" w:rsidRPr="006F283B" w:rsidRDefault="006E5C8F" w:rsidP="00372EA1">
            <w:pPr>
              <w:pStyle w:val="TableText"/>
              <w:jc w:val="center"/>
              <w:rPr>
                <w:szCs w:val="20"/>
              </w:rPr>
            </w:pPr>
            <w:r w:rsidRPr="006F283B">
              <w:rPr>
                <w:szCs w:val="20"/>
              </w:rPr>
              <w:t>84 tablets: $</w:t>
            </w:r>
            <w:r w:rsidR="00093050" w:rsidRPr="00093050">
              <w:rPr>
                <w:color w:val="000000"/>
                <w:spacing w:val="48"/>
                <w:szCs w:val="20"/>
                <w:shd w:val="solid" w:color="000000" w:fill="000000"/>
                <w:fitText w:val="225" w:id="-1233481212"/>
                <w14:textFill>
                  <w14:solidFill>
                    <w14:srgbClr w14:val="000000">
                      <w14:alpha w14:val="100000"/>
                    </w14:srgbClr>
                  </w14:solidFill>
                </w14:textFill>
              </w:rPr>
              <w:t>||</w:t>
            </w:r>
            <w:r w:rsidR="00093050" w:rsidRPr="00093050">
              <w:rPr>
                <w:color w:val="000000"/>
                <w:spacing w:val="2"/>
                <w:szCs w:val="20"/>
                <w:shd w:val="solid" w:color="000000" w:fill="000000"/>
                <w:fitText w:val="225" w:id="-1233481212"/>
                <w14:textFill>
                  <w14:solidFill>
                    <w14:srgbClr w14:val="000000">
                      <w14:alpha w14:val="100000"/>
                    </w14:srgbClr>
                  </w14:solidFill>
                </w14:textFill>
              </w:rPr>
              <w:t>|</w:t>
            </w:r>
          </w:p>
          <w:p w14:paraId="165EC08B" w14:textId="34719C73" w:rsidR="006E5C8F" w:rsidRPr="006F283B" w:rsidRDefault="006E5C8F" w:rsidP="00372EA1">
            <w:pPr>
              <w:pStyle w:val="TableText"/>
              <w:jc w:val="center"/>
            </w:pPr>
            <w:r w:rsidRPr="006F283B">
              <w:rPr>
                <w:szCs w:val="20"/>
              </w:rPr>
              <w:t>56 tablets: $</w:t>
            </w:r>
            <w:r w:rsidR="00093050" w:rsidRPr="0063757D">
              <w:rPr>
                <w:color w:val="000000"/>
                <w:spacing w:val="48"/>
                <w:szCs w:val="20"/>
                <w:shd w:val="solid" w:color="000000" w:fill="000000"/>
                <w:fitText w:val="225" w:id="-1233481211"/>
                <w14:textFill>
                  <w14:solidFill>
                    <w14:srgbClr w14:val="000000">
                      <w14:alpha w14:val="100000"/>
                    </w14:srgbClr>
                  </w14:solidFill>
                </w14:textFill>
              </w:rPr>
              <w:t>||</w:t>
            </w:r>
            <w:r w:rsidR="00093050" w:rsidRPr="0063757D">
              <w:rPr>
                <w:color w:val="000000"/>
                <w:spacing w:val="2"/>
                <w:szCs w:val="20"/>
                <w:shd w:val="solid" w:color="000000" w:fill="000000"/>
                <w:fitText w:val="225" w:id="-1233481211"/>
                <w14:textFill>
                  <w14:solidFill>
                    <w14:srgbClr w14:val="000000">
                      <w14:alpha w14:val="100000"/>
                    </w14:srgbClr>
                  </w14:solidFill>
                </w14:textFill>
              </w:rPr>
              <w:t>|</w:t>
            </w:r>
          </w:p>
        </w:tc>
        <w:tc>
          <w:tcPr>
            <w:tcW w:w="2963" w:type="dxa"/>
            <w:vAlign w:val="center"/>
          </w:tcPr>
          <w:p w14:paraId="4C0D443A" w14:textId="78D9CF3F" w:rsidR="006E5C8F" w:rsidRPr="006F283B" w:rsidRDefault="006E5C8F" w:rsidP="00372EA1">
            <w:pPr>
              <w:pStyle w:val="TableText"/>
              <w:jc w:val="center"/>
            </w:pPr>
            <w:r w:rsidRPr="006F283B">
              <w:rPr>
                <w:szCs w:val="20"/>
              </w:rPr>
              <w:t xml:space="preserve">Weighted effective prices proposed across the </w:t>
            </w:r>
            <w:r w:rsidR="001152C0" w:rsidRPr="001152C0">
              <w:rPr>
                <w:i/>
                <w:szCs w:val="20"/>
              </w:rPr>
              <w:t>BRCAm</w:t>
            </w:r>
            <w:r w:rsidRPr="006F283B">
              <w:rPr>
                <w:szCs w:val="20"/>
              </w:rPr>
              <w:t xml:space="preserve"> and HRD positive </w:t>
            </w:r>
            <w:r w:rsidR="001152C0" w:rsidRPr="001152C0">
              <w:rPr>
                <w:i/>
                <w:szCs w:val="20"/>
              </w:rPr>
              <w:t>BRCAwt</w:t>
            </w:r>
            <w:r w:rsidRPr="006F283B">
              <w:rPr>
                <w:szCs w:val="20"/>
              </w:rPr>
              <w:t xml:space="preserve"> cohorts</w:t>
            </w:r>
          </w:p>
        </w:tc>
        <w:tc>
          <w:tcPr>
            <w:tcW w:w="3144" w:type="dxa"/>
          </w:tcPr>
          <w:p w14:paraId="33FF3399" w14:textId="7A8463EB" w:rsidR="006E5C8F" w:rsidRPr="006F283B" w:rsidRDefault="007E089A" w:rsidP="00FA57F4">
            <w:pPr>
              <w:pStyle w:val="TableText"/>
            </w:pPr>
            <w:r w:rsidRPr="006F283B">
              <w:t xml:space="preserve">The PSCR </w:t>
            </w:r>
            <w:r w:rsidR="00221C7D" w:rsidRPr="006F283B">
              <w:t xml:space="preserve">and pre-PBAC response both </w:t>
            </w:r>
            <w:r w:rsidRPr="006F283B">
              <w:t>amended the proposed DPMQ</w:t>
            </w:r>
            <w:r w:rsidR="00221C7D" w:rsidRPr="006F283B">
              <w:t xml:space="preserve"> in the estimates provided</w:t>
            </w:r>
            <w:r w:rsidRPr="006F283B">
              <w:t>.</w:t>
            </w:r>
          </w:p>
        </w:tc>
      </w:tr>
      <w:tr w:rsidR="006E5C8F" w:rsidRPr="006F283B" w14:paraId="618B3E21" w14:textId="77777777" w:rsidTr="00372EA1">
        <w:trPr>
          <w:cantSplit/>
        </w:trPr>
        <w:tc>
          <w:tcPr>
            <w:tcW w:w="1677" w:type="dxa"/>
            <w:shd w:val="clear" w:color="auto" w:fill="BDD6EE" w:themeFill="accent1" w:themeFillTint="66"/>
            <w:vAlign w:val="center"/>
          </w:tcPr>
          <w:p w14:paraId="0BFD8154" w14:textId="668522A4" w:rsidR="006E5C8F" w:rsidRPr="006F283B" w:rsidRDefault="006E5C8F" w:rsidP="00372EA1">
            <w:pPr>
              <w:pStyle w:val="TableText"/>
            </w:pPr>
            <w:r w:rsidRPr="006F283B">
              <w:t>Olaparib uptake rate (</w:t>
            </w:r>
            <w:r w:rsidR="001152C0" w:rsidRPr="001152C0">
              <w:rPr>
                <w:i/>
              </w:rPr>
              <w:t>BRCAm</w:t>
            </w:r>
            <w:r w:rsidRPr="006F283B">
              <w:t xml:space="preserve"> patients)</w:t>
            </w:r>
          </w:p>
        </w:tc>
        <w:tc>
          <w:tcPr>
            <w:tcW w:w="1283" w:type="dxa"/>
            <w:shd w:val="clear" w:color="auto" w:fill="BDD6EE" w:themeFill="accent1" w:themeFillTint="66"/>
            <w:vAlign w:val="center"/>
          </w:tcPr>
          <w:p w14:paraId="17572F89" w14:textId="77777777" w:rsidR="006E5C8F" w:rsidRPr="006F283B" w:rsidRDefault="006E5C8F" w:rsidP="00372EA1">
            <w:pPr>
              <w:pStyle w:val="TableText"/>
              <w:jc w:val="center"/>
            </w:pPr>
            <w:r w:rsidRPr="006F283B">
              <w:t>Yr 1: 59.5%</w:t>
            </w:r>
          </w:p>
          <w:p w14:paraId="06C76135" w14:textId="77777777" w:rsidR="006E5C8F" w:rsidRPr="006F283B" w:rsidRDefault="006E5C8F" w:rsidP="00372EA1">
            <w:pPr>
              <w:pStyle w:val="TableText"/>
              <w:jc w:val="center"/>
            </w:pPr>
            <w:r w:rsidRPr="006F283B">
              <w:t>Yr 2+: 54.0%</w:t>
            </w:r>
          </w:p>
        </w:tc>
        <w:tc>
          <w:tcPr>
            <w:tcW w:w="2963" w:type="dxa"/>
            <w:shd w:val="clear" w:color="auto" w:fill="BDD6EE" w:themeFill="accent1" w:themeFillTint="66"/>
            <w:vAlign w:val="center"/>
          </w:tcPr>
          <w:p w14:paraId="29E8D7D7" w14:textId="77777777" w:rsidR="006E5C8F" w:rsidRPr="006F283B" w:rsidRDefault="006E5C8F" w:rsidP="00372EA1">
            <w:pPr>
              <w:pStyle w:val="TableText"/>
              <w:jc w:val="center"/>
            </w:pPr>
            <w:r w:rsidRPr="006F283B">
              <w:t xml:space="preserve">Submission (p279): assumption. </w:t>
            </w:r>
          </w:p>
        </w:tc>
        <w:tc>
          <w:tcPr>
            <w:tcW w:w="3144" w:type="dxa"/>
            <w:vAlign w:val="center"/>
          </w:tcPr>
          <w:p w14:paraId="64AD25AD" w14:textId="793F798A" w:rsidR="006E5C8F" w:rsidRPr="003915F9" w:rsidRDefault="00FB2D8E" w:rsidP="00B57441">
            <w:pPr>
              <w:pStyle w:val="TableText"/>
              <w:rPr>
                <w:rFonts w:cs="Times New Roman"/>
                <w:szCs w:val="20"/>
              </w:rPr>
            </w:pPr>
            <w:r w:rsidRPr="006F283B">
              <w:rPr>
                <w:rFonts w:cs="Arial"/>
                <w:iCs/>
                <w:szCs w:val="24"/>
              </w:rPr>
              <w:t>The uptake rate applied for Year 1 (</w:t>
            </w:r>
            <w:proofErr w:type="gramStart"/>
            <w:r w:rsidRPr="006F283B">
              <w:rPr>
                <w:rFonts w:cs="Arial"/>
                <w:iCs/>
                <w:szCs w:val="24"/>
              </w:rPr>
              <w:t>i.e.</w:t>
            </w:r>
            <w:proofErr w:type="gramEnd"/>
            <w:r w:rsidRPr="006F283B">
              <w:rPr>
                <w:rFonts w:cs="Arial"/>
                <w:iCs/>
                <w:szCs w:val="24"/>
              </w:rPr>
              <w:t xml:space="preserve"> 2023; 59.5%) corresponded with Year 2 (i.e. 2023; 59.5%) of the niraparib March 2022 submission.</w:t>
            </w:r>
          </w:p>
        </w:tc>
      </w:tr>
      <w:tr w:rsidR="006E5C8F" w:rsidRPr="006F283B" w14:paraId="441E3CE5" w14:textId="77777777" w:rsidTr="00372EA1">
        <w:trPr>
          <w:cantSplit/>
        </w:trPr>
        <w:tc>
          <w:tcPr>
            <w:tcW w:w="1677" w:type="dxa"/>
            <w:shd w:val="clear" w:color="auto" w:fill="BDD6EE" w:themeFill="accent1" w:themeFillTint="66"/>
            <w:vAlign w:val="center"/>
          </w:tcPr>
          <w:p w14:paraId="35DB617D" w14:textId="77777777" w:rsidR="006E5C8F" w:rsidRPr="006F283B" w:rsidRDefault="006E5C8F" w:rsidP="00372EA1">
            <w:pPr>
              <w:pStyle w:val="TableText"/>
            </w:pPr>
            <w:r w:rsidRPr="006F283B">
              <w:t>Patients discontinuing olaparib due to adverse events</w:t>
            </w:r>
          </w:p>
        </w:tc>
        <w:tc>
          <w:tcPr>
            <w:tcW w:w="1283" w:type="dxa"/>
            <w:shd w:val="clear" w:color="auto" w:fill="BDD6EE" w:themeFill="accent1" w:themeFillTint="66"/>
            <w:vAlign w:val="center"/>
          </w:tcPr>
          <w:p w14:paraId="3C37C8A9" w14:textId="77777777" w:rsidR="006E5C8F" w:rsidRPr="006F283B" w:rsidRDefault="006E5C8F" w:rsidP="00372EA1">
            <w:pPr>
              <w:pStyle w:val="TableText"/>
              <w:jc w:val="center"/>
            </w:pPr>
            <w:r w:rsidRPr="006F283B">
              <w:t>11.5%</w:t>
            </w:r>
          </w:p>
        </w:tc>
        <w:tc>
          <w:tcPr>
            <w:tcW w:w="2963" w:type="dxa"/>
            <w:shd w:val="clear" w:color="auto" w:fill="BDD6EE" w:themeFill="accent1" w:themeFillTint="66"/>
            <w:vAlign w:val="center"/>
          </w:tcPr>
          <w:p w14:paraId="4319C37A" w14:textId="77777777" w:rsidR="006E5C8F" w:rsidRPr="006F283B" w:rsidRDefault="006E5C8F" w:rsidP="00372EA1">
            <w:pPr>
              <w:pStyle w:val="TableText"/>
              <w:jc w:val="center"/>
            </w:pPr>
            <w:r w:rsidRPr="006F283B">
              <w:t>Moore 2018, based on SOLO-1</w:t>
            </w:r>
          </w:p>
        </w:tc>
        <w:tc>
          <w:tcPr>
            <w:tcW w:w="3144" w:type="dxa"/>
            <w:vAlign w:val="center"/>
          </w:tcPr>
          <w:p w14:paraId="4E6CEF1E" w14:textId="13DEE19D" w:rsidR="006E5C8F" w:rsidRPr="006F283B" w:rsidRDefault="006E5C8F" w:rsidP="00B57441">
            <w:pPr>
              <w:pStyle w:val="TableText"/>
              <w:rPr>
                <w:iCs/>
              </w:rPr>
            </w:pPr>
            <w:r w:rsidRPr="006F283B">
              <w:rPr>
                <w:rFonts w:cs="Times New Roman"/>
                <w:szCs w:val="20"/>
              </w:rPr>
              <w:t>Value previously considered to be reasonable (paragraph 6.79, niraparib PSD, March 2022 PBAC meeting).</w:t>
            </w:r>
            <w:r w:rsidR="008E34C5">
              <w:rPr>
                <w:rFonts w:cs="Times New Roman"/>
                <w:szCs w:val="20"/>
              </w:rPr>
              <w:t xml:space="preserve"> </w:t>
            </w:r>
          </w:p>
        </w:tc>
      </w:tr>
      <w:tr w:rsidR="006E5C8F" w:rsidRPr="006F283B" w14:paraId="450FC113" w14:textId="77777777" w:rsidTr="00B57441">
        <w:trPr>
          <w:cantSplit/>
        </w:trPr>
        <w:tc>
          <w:tcPr>
            <w:tcW w:w="1677" w:type="dxa"/>
            <w:vAlign w:val="center"/>
          </w:tcPr>
          <w:p w14:paraId="571305B7" w14:textId="77777777" w:rsidR="006E5C8F" w:rsidRPr="006F283B" w:rsidRDefault="006E5C8F" w:rsidP="00372EA1">
            <w:pPr>
              <w:pStyle w:val="TableText"/>
            </w:pPr>
            <w:r w:rsidRPr="006F283B">
              <w:t>Average copayment</w:t>
            </w:r>
          </w:p>
        </w:tc>
        <w:tc>
          <w:tcPr>
            <w:tcW w:w="1283" w:type="dxa"/>
            <w:vAlign w:val="center"/>
          </w:tcPr>
          <w:p w14:paraId="0FCF263C" w14:textId="77777777" w:rsidR="006E5C8F" w:rsidRPr="006F283B" w:rsidRDefault="006E5C8F" w:rsidP="00372EA1">
            <w:pPr>
              <w:pStyle w:val="TableText"/>
              <w:jc w:val="center"/>
              <w:rPr>
                <w:bCs/>
                <w:szCs w:val="20"/>
              </w:rPr>
            </w:pPr>
            <w:r w:rsidRPr="006F283B">
              <w:rPr>
                <w:szCs w:val="20"/>
              </w:rPr>
              <w:t>$25.05 PBS</w:t>
            </w:r>
          </w:p>
          <w:p w14:paraId="18FA7CBA" w14:textId="77777777" w:rsidR="006E5C8F" w:rsidRPr="006F283B" w:rsidRDefault="006E5C8F" w:rsidP="00372EA1">
            <w:pPr>
              <w:pStyle w:val="TableText"/>
              <w:jc w:val="center"/>
            </w:pPr>
            <w:r w:rsidRPr="006F283B">
              <w:rPr>
                <w:szCs w:val="20"/>
              </w:rPr>
              <w:t>$6.60 RPBS</w:t>
            </w:r>
          </w:p>
        </w:tc>
        <w:tc>
          <w:tcPr>
            <w:tcW w:w="2963" w:type="dxa"/>
            <w:vAlign w:val="center"/>
          </w:tcPr>
          <w:p w14:paraId="5C8FB67F" w14:textId="77777777" w:rsidR="006E5C8F" w:rsidRPr="006F283B" w:rsidRDefault="006E5C8F" w:rsidP="00372EA1">
            <w:pPr>
              <w:pStyle w:val="TableText"/>
              <w:jc w:val="center"/>
            </w:pPr>
            <w:r w:rsidRPr="006F283B">
              <w:t>Current PBS item codes for olaparib (1215W, 1216C, 12169L and 12170M) used to determine split.</w:t>
            </w:r>
          </w:p>
        </w:tc>
        <w:tc>
          <w:tcPr>
            <w:tcW w:w="3144" w:type="dxa"/>
          </w:tcPr>
          <w:p w14:paraId="1059188E" w14:textId="4DFB27E5" w:rsidR="007E089A" w:rsidRPr="006F283B" w:rsidRDefault="007E089A" w:rsidP="00B57441">
            <w:pPr>
              <w:pStyle w:val="TableText"/>
            </w:pPr>
            <w:r w:rsidRPr="006F283B">
              <w:t xml:space="preserve">The estimates in </w:t>
            </w:r>
            <w:r w:rsidRPr="006F283B">
              <w:fldChar w:fldCharType="begin" w:fldLock="1"/>
            </w:r>
            <w:r w:rsidRPr="006F283B">
              <w:instrText xml:space="preserve"> REF _Ref130507872 \h </w:instrText>
            </w:r>
            <w:r w:rsidR="00B57441" w:rsidRPr="006F283B">
              <w:instrText xml:space="preserve"> \* MERGEFORMAT </w:instrText>
            </w:r>
            <w:r w:rsidRPr="006F283B">
              <w:fldChar w:fldCharType="separate"/>
            </w:r>
            <w:r w:rsidR="00305654" w:rsidRPr="006F283B">
              <w:t xml:space="preserve">Table </w:t>
            </w:r>
            <w:r w:rsidR="00305654">
              <w:t>24</w:t>
            </w:r>
            <w:r w:rsidRPr="006F283B">
              <w:fldChar w:fldCharType="end"/>
            </w:r>
            <w:r w:rsidRPr="006F283B">
              <w:t xml:space="preserve"> reflect the new co-payment</w:t>
            </w:r>
            <w:r w:rsidR="00B57441" w:rsidRPr="006F283B">
              <w:t xml:space="preserve"> amounts</w:t>
            </w:r>
            <w:r w:rsidR="00CC6E99" w:rsidRPr="006F283B">
              <w:t xml:space="preserve"> ($30, $7.30 concessional)</w:t>
            </w:r>
            <w:r w:rsidRPr="006F283B">
              <w:t>.</w:t>
            </w:r>
          </w:p>
        </w:tc>
      </w:tr>
      <w:tr w:rsidR="006E5C8F" w:rsidRPr="006F283B" w14:paraId="7BF75A51" w14:textId="77777777" w:rsidTr="00372EA1">
        <w:trPr>
          <w:cantSplit/>
        </w:trPr>
        <w:tc>
          <w:tcPr>
            <w:tcW w:w="1677" w:type="dxa"/>
            <w:vAlign w:val="center"/>
          </w:tcPr>
          <w:p w14:paraId="086EC64E" w14:textId="2D683B54" w:rsidR="006E5C8F" w:rsidRPr="006F283B" w:rsidRDefault="006E5C8F" w:rsidP="00372EA1">
            <w:pPr>
              <w:pStyle w:val="TableText"/>
            </w:pPr>
            <w:r w:rsidRPr="006F283B">
              <w:lastRenderedPageBreak/>
              <w:t xml:space="preserve">Cost of tumour </w:t>
            </w:r>
            <w:r w:rsidR="001152C0" w:rsidRPr="001152C0">
              <w:rPr>
                <w:i/>
              </w:rPr>
              <w:t>BRCA1/2</w:t>
            </w:r>
            <w:r w:rsidRPr="006F283B">
              <w:t xml:space="preserve"> mutation testing</w:t>
            </w:r>
          </w:p>
        </w:tc>
        <w:tc>
          <w:tcPr>
            <w:tcW w:w="1283" w:type="dxa"/>
            <w:vAlign w:val="center"/>
          </w:tcPr>
          <w:p w14:paraId="1CBA4DFE" w14:textId="77777777" w:rsidR="006E5C8F" w:rsidRPr="006F283B" w:rsidRDefault="006E5C8F" w:rsidP="00372EA1">
            <w:pPr>
              <w:pStyle w:val="TableText"/>
              <w:jc w:val="center"/>
            </w:pPr>
            <w:r w:rsidRPr="006F283B">
              <w:t>$1,200</w:t>
            </w:r>
          </w:p>
        </w:tc>
        <w:tc>
          <w:tcPr>
            <w:tcW w:w="2963" w:type="dxa"/>
            <w:vAlign w:val="center"/>
          </w:tcPr>
          <w:p w14:paraId="324ED0D5" w14:textId="77777777" w:rsidR="006E5C8F" w:rsidRPr="006F283B" w:rsidRDefault="006E5C8F" w:rsidP="00372EA1">
            <w:pPr>
              <w:pStyle w:val="TableText"/>
              <w:jc w:val="center"/>
            </w:pPr>
            <w:r w:rsidRPr="006F283B">
              <w:t>MBS item 73301</w:t>
            </w:r>
          </w:p>
        </w:tc>
        <w:tc>
          <w:tcPr>
            <w:tcW w:w="3144" w:type="dxa"/>
            <w:vAlign w:val="center"/>
          </w:tcPr>
          <w:p w14:paraId="012F2EC4" w14:textId="77777777" w:rsidR="006E5C8F" w:rsidRPr="006F283B" w:rsidRDefault="006E5C8F" w:rsidP="00B57441">
            <w:pPr>
              <w:pStyle w:val="TableText"/>
              <w:rPr>
                <w:iCs/>
              </w:rPr>
            </w:pPr>
            <w:r w:rsidRPr="006F283B">
              <w:rPr>
                <w:iCs/>
              </w:rPr>
              <w:t>The MSAC has advised that this cost should be $1,000. Updated in commentary.</w:t>
            </w:r>
          </w:p>
          <w:p w14:paraId="14AE40C4" w14:textId="5B9D5840" w:rsidR="007E089A" w:rsidRPr="006F283B" w:rsidRDefault="007E089A" w:rsidP="00B57441">
            <w:pPr>
              <w:pStyle w:val="TableText"/>
              <w:rPr>
                <w:iCs/>
              </w:rPr>
            </w:pPr>
            <w:r w:rsidRPr="006F283B">
              <w:rPr>
                <w:iCs/>
              </w:rPr>
              <w:t>The PSCR agreed and presented estimates with the updated price.</w:t>
            </w:r>
          </w:p>
        </w:tc>
      </w:tr>
      <w:tr w:rsidR="006E5C8F" w:rsidRPr="006F283B" w14:paraId="7B0DF08B" w14:textId="77777777" w:rsidTr="00372EA1">
        <w:trPr>
          <w:cantSplit/>
        </w:trPr>
        <w:tc>
          <w:tcPr>
            <w:tcW w:w="1677" w:type="dxa"/>
            <w:vAlign w:val="center"/>
          </w:tcPr>
          <w:p w14:paraId="5B50E1B1" w14:textId="77777777" w:rsidR="006E5C8F" w:rsidRPr="006F283B" w:rsidRDefault="006E5C8F" w:rsidP="00372EA1">
            <w:pPr>
              <w:pStyle w:val="TableText"/>
            </w:pPr>
            <w:r w:rsidRPr="006F283B">
              <w:t>Cost of HRD testing</w:t>
            </w:r>
          </w:p>
        </w:tc>
        <w:tc>
          <w:tcPr>
            <w:tcW w:w="1283" w:type="dxa"/>
            <w:vAlign w:val="center"/>
          </w:tcPr>
          <w:p w14:paraId="48EF1E57" w14:textId="77777777" w:rsidR="006E5C8F" w:rsidRPr="006F283B" w:rsidRDefault="006E5C8F" w:rsidP="00372EA1">
            <w:pPr>
              <w:pStyle w:val="TableText"/>
              <w:jc w:val="center"/>
            </w:pPr>
            <w:r w:rsidRPr="006F283B">
              <w:t>$3,000</w:t>
            </w:r>
          </w:p>
        </w:tc>
        <w:tc>
          <w:tcPr>
            <w:tcW w:w="2963" w:type="dxa"/>
            <w:vAlign w:val="center"/>
          </w:tcPr>
          <w:p w14:paraId="186BBDAF" w14:textId="6849F8BF" w:rsidR="006E5C8F" w:rsidRPr="006F283B" w:rsidRDefault="006E5C8F" w:rsidP="00372EA1">
            <w:pPr>
              <w:pStyle w:val="TableText"/>
              <w:jc w:val="center"/>
            </w:pPr>
            <w:r w:rsidRPr="006F283B">
              <w:t xml:space="preserve">Requested </w:t>
            </w:r>
            <w:r w:rsidR="00BA4B4A" w:rsidRPr="006F283B">
              <w:t>MBS fee</w:t>
            </w:r>
          </w:p>
        </w:tc>
        <w:tc>
          <w:tcPr>
            <w:tcW w:w="3144" w:type="dxa"/>
            <w:vAlign w:val="center"/>
          </w:tcPr>
          <w:p w14:paraId="7858A063" w14:textId="3694B466" w:rsidR="006E5C8F" w:rsidRPr="006F283B" w:rsidRDefault="006E5C8F" w:rsidP="00B57441">
            <w:pPr>
              <w:pStyle w:val="TableText"/>
              <w:rPr>
                <w:iCs/>
              </w:rPr>
            </w:pPr>
            <w:r w:rsidRPr="006F283B">
              <w:rPr>
                <w:rFonts w:cs="Times New Roman"/>
                <w:szCs w:val="20"/>
              </w:rPr>
              <w:t xml:space="preserve">The submission </w:t>
            </w:r>
            <w:r w:rsidR="00BA4B4A" w:rsidRPr="006F283B">
              <w:rPr>
                <w:rFonts w:cs="Times New Roman"/>
                <w:szCs w:val="20"/>
              </w:rPr>
              <w:t xml:space="preserve">calculated </w:t>
            </w:r>
            <w:r w:rsidRPr="006F283B">
              <w:rPr>
                <w:rFonts w:cs="Times New Roman"/>
                <w:szCs w:val="20"/>
              </w:rPr>
              <w:t>a</w:t>
            </w:r>
            <w:r w:rsidR="00BA4B4A" w:rsidRPr="006F283B">
              <w:rPr>
                <w:rFonts w:cs="Times New Roman"/>
                <w:szCs w:val="20"/>
              </w:rPr>
              <w:t xml:space="preserve"> mathematical</w:t>
            </w:r>
            <w:r w:rsidRPr="006F283B">
              <w:rPr>
                <w:rFonts w:cs="Times New Roman"/>
                <w:szCs w:val="20"/>
              </w:rPr>
              <w:t xml:space="preserve"> 85% </w:t>
            </w:r>
            <w:r w:rsidR="00BA4B4A" w:rsidRPr="006F283B">
              <w:rPr>
                <w:rFonts w:cs="Times New Roman"/>
                <w:szCs w:val="20"/>
              </w:rPr>
              <w:t xml:space="preserve">benefit, </w:t>
            </w:r>
            <w:r w:rsidRPr="006F283B">
              <w:rPr>
                <w:rFonts w:cs="Times New Roman"/>
                <w:szCs w:val="20"/>
              </w:rPr>
              <w:t xml:space="preserve">which did not account for the resultant out of pocket </w:t>
            </w:r>
            <w:r w:rsidR="00BA4B4A" w:rsidRPr="006F283B">
              <w:rPr>
                <w:rFonts w:cs="Times New Roman"/>
                <w:szCs w:val="20"/>
              </w:rPr>
              <w:t xml:space="preserve">cost </w:t>
            </w:r>
            <w:r w:rsidRPr="006F283B">
              <w:rPr>
                <w:rFonts w:cs="Times New Roman"/>
                <w:szCs w:val="20"/>
              </w:rPr>
              <w:t>exceeding the MBS Greatest Permissible Gap</w:t>
            </w:r>
            <w:r w:rsidR="00BA4B4A" w:rsidRPr="006F283B">
              <w:rPr>
                <w:rFonts w:cs="Times New Roman"/>
                <w:szCs w:val="20"/>
              </w:rPr>
              <w:t xml:space="preserve"> (GPG)</w:t>
            </w:r>
            <w:r w:rsidR="007E089A" w:rsidRPr="006F283B">
              <w:rPr>
                <w:rFonts w:cs="Times New Roman"/>
                <w:szCs w:val="20"/>
              </w:rPr>
              <w:t xml:space="preserve">. The PSCR accepted this change and presented estimates </w:t>
            </w:r>
            <w:r w:rsidR="00BA4B4A" w:rsidRPr="006F283B">
              <w:rPr>
                <w:rFonts w:cs="Times New Roman"/>
                <w:szCs w:val="20"/>
              </w:rPr>
              <w:t xml:space="preserve">that </w:t>
            </w:r>
            <w:r w:rsidR="007E089A" w:rsidRPr="006F283B">
              <w:rPr>
                <w:rFonts w:cs="Times New Roman"/>
                <w:szCs w:val="20"/>
              </w:rPr>
              <w:t>accounted for the GPG.</w:t>
            </w:r>
          </w:p>
        </w:tc>
      </w:tr>
      <w:tr w:rsidR="006E5C8F" w:rsidRPr="006F283B" w14:paraId="13A6E4C7" w14:textId="77777777" w:rsidTr="00372EA1">
        <w:trPr>
          <w:cantSplit/>
        </w:trPr>
        <w:tc>
          <w:tcPr>
            <w:tcW w:w="1677" w:type="dxa"/>
            <w:vAlign w:val="center"/>
          </w:tcPr>
          <w:p w14:paraId="60D20AFE" w14:textId="77777777" w:rsidR="006E5C8F" w:rsidRPr="006F283B" w:rsidRDefault="006E5C8F" w:rsidP="00372EA1">
            <w:pPr>
              <w:pStyle w:val="TableText"/>
            </w:pPr>
            <w:r w:rsidRPr="006F283B">
              <w:t xml:space="preserve">Complete blood count </w:t>
            </w:r>
          </w:p>
        </w:tc>
        <w:tc>
          <w:tcPr>
            <w:tcW w:w="1283" w:type="dxa"/>
            <w:vAlign w:val="center"/>
          </w:tcPr>
          <w:p w14:paraId="74FC8DE8" w14:textId="77777777" w:rsidR="006E5C8F" w:rsidRPr="006F283B" w:rsidRDefault="006E5C8F" w:rsidP="00372EA1">
            <w:pPr>
              <w:pStyle w:val="TableText"/>
              <w:jc w:val="center"/>
            </w:pPr>
            <w:r w:rsidRPr="006F283B">
              <w:t>$16.95</w:t>
            </w:r>
          </w:p>
        </w:tc>
        <w:tc>
          <w:tcPr>
            <w:tcW w:w="2963" w:type="dxa"/>
            <w:vAlign w:val="center"/>
          </w:tcPr>
          <w:p w14:paraId="17DD031B" w14:textId="77777777" w:rsidR="006E5C8F" w:rsidRPr="006F283B" w:rsidRDefault="006E5C8F" w:rsidP="00372EA1">
            <w:pPr>
              <w:pStyle w:val="TableText"/>
              <w:jc w:val="center"/>
            </w:pPr>
            <w:r w:rsidRPr="006F283B">
              <w:t>MBS item 65070</w:t>
            </w:r>
          </w:p>
        </w:tc>
        <w:tc>
          <w:tcPr>
            <w:tcW w:w="3144" w:type="dxa"/>
            <w:vAlign w:val="center"/>
          </w:tcPr>
          <w:p w14:paraId="14CCE62C" w14:textId="77777777" w:rsidR="006E5C8F" w:rsidRPr="006F283B" w:rsidRDefault="006E5C8F" w:rsidP="00B57441">
            <w:pPr>
              <w:pStyle w:val="TableText"/>
              <w:rPr>
                <w:rFonts w:cs="Times New Roman"/>
                <w:szCs w:val="20"/>
              </w:rPr>
            </w:pPr>
            <w:r w:rsidRPr="006F283B">
              <w:rPr>
                <w:rFonts w:cs="Times New Roman"/>
                <w:szCs w:val="20"/>
              </w:rPr>
              <w:t>85% rebate appropriately applied</w:t>
            </w:r>
          </w:p>
        </w:tc>
      </w:tr>
    </w:tbl>
    <w:p w14:paraId="32EC16B5" w14:textId="77777777" w:rsidR="00CB2BDC" w:rsidRPr="006F283B" w:rsidRDefault="00CB2BDC" w:rsidP="00CB2BDC">
      <w:pPr>
        <w:pStyle w:val="TableFooter"/>
      </w:pPr>
      <w:r w:rsidRPr="006F283B">
        <w:t>Source: Table 157, p279 of the submission.</w:t>
      </w:r>
    </w:p>
    <w:p w14:paraId="04A36204" w14:textId="19A3A035" w:rsidR="006E5C8F" w:rsidRPr="006F283B" w:rsidRDefault="006E5C8F" w:rsidP="006E5C8F">
      <w:pPr>
        <w:pStyle w:val="TableFooter"/>
      </w:pPr>
      <w:r w:rsidRPr="006F283B">
        <w:t xml:space="preserve">AE = adverse event; AOCS = Australian Ovarian Cancer Study, AIHW = Australian Institute of Health and Welfare; </w:t>
      </w:r>
      <w:r w:rsidR="001152C0" w:rsidRPr="001152C0">
        <w:rPr>
          <w:i/>
          <w:iCs/>
          <w:lang w:eastAsia="ja-JP"/>
        </w:rPr>
        <w:t>BRCAm</w:t>
      </w:r>
      <w:r w:rsidRPr="006F283B">
        <w:rPr>
          <w:lang w:eastAsia="ja-JP"/>
        </w:rPr>
        <w:t xml:space="preserve"> = breast cancer gene mutation; </w:t>
      </w:r>
      <w:r w:rsidR="001152C0" w:rsidRPr="001152C0">
        <w:rPr>
          <w:i/>
          <w:iCs/>
          <w:lang w:eastAsia="ja-JP"/>
        </w:rPr>
        <w:t>BRCAwt</w:t>
      </w:r>
      <w:r w:rsidRPr="006F283B">
        <w:rPr>
          <w:lang w:eastAsia="ja-JP"/>
        </w:rPr>
        <w:t xml:space="preserve"> = breast cancer gene wild type; CUA = cost utility analysis; DoT = duration of treatment; </w:t>
      </w:r>
      <w:r w:rsidRPr="006F283B">
        <w:t xml:space="preserve">DPMA = dispensed price maximum quantity; </w:t>
      </w:r>
      <w:r w:rsidR="00BA4B4A" w:rsidRPr="006F283B">
        <w:t xml:space="preserve">GPG = greatest permissible gap; </w:t>
      </w:r>
      <w:r w:rsidRPr="006F283B">
        <w:rPr>
          <w:lang w:eastAsia="ja-JP"/>
        </w:rPr>
        <w:t xml:space="preserve">HRD = homologous recombination deficiency; </w:t>
      </w:r>
      <w:r w:rsidRPr="006F283B">
        <w:t>HGEOC = high grade epithelial ovarian cancer; ISD = individual starting dose; MBS = Medicare Benefits Schedule; PBC = platinum based chemotherapy; PSD = public summary document; Yr = year</w:t>
      </w:r>
    </w:p>
    <w:p w14:paraId="2FA95AC1" w14:textId="6236CA75" w:rsidR="006E5C8F" w:rsidRDefault="006E5C8F" w:rsidP="00C07F3A">
      <w:pPr>
        <w:pStyle w:val="TableFooter"/>
        <w:spacing w:after="120"/>
      </w:pPr>
      <w:r w:rsidRPr="006F283B">
        <w:t xml:space="preserve">Blue shaded values indicate values previously considered by the </w:t>
      </w:r>
      <w:proofErr w:type="gramStart"/>
      <w:r w:rsidRPr="006F283B">
        <w:t>PBAC</w:t>
      </w:r>
      <w:proofErr w:type="gramEnd"/>
    </w:p>
    <w:p w14:paraId="6B01D400" w14:textId="153CA527" w:rsidR="00205D77" w:rsidRPr="00801E4A" w:rsidRDefault="00205D77" w:rsidP="00C07F3A">
      <w:pPr>
        <w:pStyle w:val="TableFooter"/>
        <w:spacing w:after="120"/>
      </w:pPr>
      <w:r w:rsidRPr="00205D77">
        <w:rPr>
          <w:vertAlign w:val="superscript"/>
        </w:rPr>
        <w:t>a</w:t>
      </w:r>
      <w:r>
        <w:t xml:space="preserve"> </w:t>
      </w:r>
      <w:r w:rsidRPr="00205D77">
        <w:rPr>
          <w:i/>
          <w:iCs/>
        </w:rPr>
        <w:t>Note that the dose intensity and compliance data from PRIMA used to derive the number of niraparib packs were provided for the purposes of informing the PBAC consideration. Interpretation of the results and their application should therefore be limited to seeking to understand the basis for the PBAC outcome and should not be used for any other purpose.</w:t>
      </w:r>
    </w:p>
    <w:p w14:paraId="43597C18" w14:textId="255C9F99" w:rsidR="006E5C8F" w:rsidRPr="006F283B" w:rsidRDefault="006E5C8F" w:rsidP="00C07F3A">
      <w:pPr>
        <w:pStyle w:val="ListParagraph"/>
        <w:spacing w:before="0" w:after="120"/>
        <w:rPr>
          <w:color w:val="auto"/>
        </w:rPr>
      </w:pPr>
      <w:r w:rsidRPr="006F283B">
        <w:rPr>
          <w:color w:val="auto"/>
        </w:rPr>
        <w:t xml:space="preserve">The submission claimed that financial impact assessment of the proposed expanded listing of niraparib on the PBS/RPBS required consideration of not only the impact of niraparib listing in the HRD positive </w:t>
      </w:r>
      <w:r w:rsidR="001152C0" w:rsidRPr="001152C0">
        <w:rPr>
          <w:i/>
          <w:iCs/>
          <w:color w:val="auto"/>
        </w:rPr>
        <w:t>BRCAwt</w:t>
      </w:r>
      <w:r w:rsidRPr="006F283B">
        <w:rPr>
          <w:color w:val="auto"/>
        </w:rPr>
        <w:t xml:space="preserve"> population but also the impact of the change in effective price for niraparib in the </w:t>
      </w:r>
      <w:r w:rsidR="001152C0" w:rsidRPr="001152C0">
        <w:rPr>
          <w:i/>
          <w:iCs/>
          <w:color w:val="auto"/>
        </w:rPr>
        <w:t>BRCAm</w:t>
      </w:r>
      <w:r w:rsidRPr="006F283B">
        <w:rPr>
          <w:color w:val="auto"/>
        </w:rPr>
        <w:t xml:space="preserve"> population. Consequently, the epidemiological approach included three incident populations: (1) HRD positive </w:t>
      </w:r>
      <w:r w:rsidR="001152C0" w:rsidRPr="001152C0">
        <w:rPr>
          <w:i/>
          <w:color w:val="auto"/>
        </w:rPr>
        <w:t>BRCAwt</w:t>
      </w:r>
      <w:r w:rsidRPr="006F283B">
        <w:rPr>
          <w:color w:val="auto"/>
        </w:rPr>
        <w:t xml:space="preserve"> patients; (2) </w:t>
      </w:r>
      <w:r w:rsidR="001152C0" w:rsidRPr="001152C0">
        <w:rPr>
          <w:i/>
          <w:color w:val="auto"/>
        </w:rPr>
        <w:t>BRCAm</w:t>
      </w:r>
      <w:r w:rsidRPr="006F283B">
        <w:rPr>
          <w:color w:val="auto"/>
        </w:rPr>
        <w:t xml:space="preserve"> patients eligible for niraparib; and (3) patients discontinuing olaparib due to AEs. The derivation of the estimated patients initiating niraparib in each of these populations is shown in the table below.</w:t>
      </w:r>
    </w:p>
    <w:p w14:paraId="5AFA6D79" w14:textId="22482111" w:rsidR="006E5C8F" w:rsidRPr="006F283B" w:rsidRDefault="006E5C8F" w:rsidP="00C07F3A">
      <w:pPr>
        <w:pStyle w:val="ListParagraph"/>
        <w:spacing w:before="0" w:after="120"/>
        <w:rPr>
          <w:color w:val="auto"/>
        </w:rPr>
      </w:pPr>
      <w:r w:rsidRPr="006F283B">
        <w:t xml:space="preserve">The estimated use and financial implications for listing niraparib on the PBS for the treatment of patients with HRD positive </w:t>
      </w:r>
      <w:r w:rsidR="001152C0" w:rsidRPr="001152C0">
        <w:rPr>
          <w:i/>
          <w:iCs/>
        </w:rPr>
        <w:t>BRCAwt</w:t>
      </w:r>
      <w:r w:rsidRPr="006F283B">
        <w:t xml:space="preserve"> HGEOC are summarised in the table below.</w:t>
      </w:r>
      <w:r w:rsidR="008E34C5">
        <w:t xml:space="preserve"> </w:t>
      </w:r>
    </w:p>
    <w:p w14:paraId="5446A31B" w14:textId="4F3C5D47" w:rsidR="006E5C8F" w:rsidRPr="006F283B" w:rsidRDefault="00E4583F" w:rsidP="00152220">
      <w:pPr>
        <w:pStyle w:val="Caption"/>
        <w:pageBreakBefore/>
      </w:pPr>
      <w:bookmarkStart w:id="171" w:name="_Ref130507872"/>
      <w:r w:rsidRPr="006F283B">
        <w:lastRenderedPageBreak/>
        <w:t xml:space="preserve">Table </w:t>
      </w:r>
      <w:r w:rsidR="00091054">
        <w:fldChar w:fldCharType="begin" w:fldLock="1"/>
      </w:r>
      <w:r w:rsidR="00091054">
        <w:instrText xml:space="preserve"> SEQ Table \* ARABIC </w:instrText>
      </w:r>
      <w:r w:rsidR="00091054">
        <w:fldChar w:fldCharType="separate"/>
      </w:r>
      <w:r w:rsidR="00305654">
        <w:rPr>
          <w:noProof/>
        </w:rPr>
        <w:t>24</w:t>
      </w:r>
      <w:r w:rsidR="00091054">
        <w:rPr>
          <w:noProof/>
        </w:rPr>
        <w:fldChar w:fldCharType="end"/>
      </w:r>
      <w:bookmarkEnd w:id="171"/>
      <w:r w:rsidR="00C07F3A">
        <w:t xml:space="preserve">: </w:t>
      </w:r>
      <w:r w:rsidR="00F76E10" w:rsidRPr="006F283B">
        <w:t>Estimated use and financial implications</w:t>
      </w:r>
      <w:r w:rsidR="00C83FDF" w:rsidRPr="006F283B">
        <w:t xml:space="preserve"> after correction by DUSC </w:t>
      </w:r>
    </w:p>
    <w:tbl>
      <w:tblPr>
        <w:tblStyle w:val="PBAC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091"/>
        <w:gridCol w:w="1177"/>
        <w:gridCol w:w="1158"/>
        <w:gridCol w:w="1167"/>
        <w:gridCol w:w="1167"/>
      </w:tblGrid>
      <w:tr w:rsidR="00F76E10" w:rsidRPr="006F283B" w14:paraId="1CC47619" w14:textId="77777777" w:rsidTr="00372EA1">
        <w:trPr>
          <w:cnfStyle w:val="100000000000" w:firstRow="1" w:lastRow="0" w:firstColumn="0" w:lastColumn="0" w:oddVBand="0" w:evenVBand="0" w:oddHBand="0" w:evenHBand="0" w:firstRowFirstColumn="0" w:firstRowLastColumn="0" w:lastRowFirstColumn="0" w:lastRowLastColumn="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5A96733" w14:textId="77777777" w:rsidR="00F76E10" w:rsidRPr="006F283B" w:rsidRDefault="00F76E10" w:rsidP="00F76E10">
            <w:pPr>
              <w:keepNext/>
              <w:widowControl w:val="0"/>
              <w:spacing w:before="0"/>
              <w:jc w:val="left"/>
              <w:rPr>
                <w:rFonts w:ascii="Arial Narrow" w:hAnsi="Arial Narrow"/>
                <w:sz w:val="20"/>
                <w:szCs w:val="20"/>
                <w:lang w:val="en-AU"/>
              </w:rPr>
            </w:pP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8FD72" w14:textId="77777777" w:rsidR="00F76E10" w:rsidRPr="006F283B" w:rsidRDefault="00F76E10" w:rsidP="00F76E10">
            <w:pPr>
              <w:keepNext/>
              <w:widowControl w:val="0"/>
              <w:spacing w:before="0"/>
              <w:jc w:val="center"/>
              <w:rPr>
                <w:rFonts w:ascii="Arial Narrow" w:hAnsi="Arial Narrow"/>
                <w:sz w:val="20"/>
                <w:szCs w:val="20"/>
                <w:lang w:val="en-AU"/>
              </w:rPr>
            </w:pPr>
            <w:r w:rsidRPr="006F283B">
              <w:rPr>
                <w:rFonts w:ascii="Arial Narrow" w:hAnsi="Arial Narrow"/>
                <w:sz w:val="20"/>
                <w:szCs w:val="20"/>
                <w:lang w:val="en-AU"/>
              </w:rPr>
              <w:t>2023</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FEA3C" w14:textId="77777777" w:rsidR="00F76E10" w:rsidRPr="006F283B" w:rsidRDefault="00F76E10" w:rsidP="00F76E10">
            <w:pPr>
              <w:keepNext/>
              <w:widowControl w:val="0"/>
              <w:spacing w:before="0"/>
              <w:jc w:val="center"/>
              <w:rPr>
                <w:rFonts w:ascii="Arial Narrow" w:hAnsi="Arial Narrow"/>
                <w:sz w:val="20"/>
                <w:szCs w:val="20"/>
                <w:lang w:val="en-AU"/>
              </w:rPr>
            </w:pPr>
            <w:r w:rsidRPr="006F283B">
              <w:rPr>
                <w:rFonts w:ascii="Arial Narrow" w:hAnsi="Arial Narrow"/>
                <w:sz w:val="20"/>
                <w:szCs w:val="20"/>
                <w:lang w:val="en-AU"/>
              </w:rPr>
              <w:t>2024</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9E852" w14:textId="77777777" w:rsidR="00F76E10" w:rsidRPr="006F283B" w:rsidRDefault="00F76E10" w:rsidP="00F76E10">
            <w:pPr>
              <w:keepNext/>
              <w:widowControl w:val="0"/>
              <w:spacing w:before="0"/>
              <w:jc w:val="center"/>
              <w:rPr>
                <w:rFonts w:ascii="Arial Narrow" w:hAnsi="Arial Narrow"/>
                <w:sz w:val="20"/>
                <w:szCs w:val="20"/>
                <w:lang w:val="en-AU"/>
              </w:rPr>
            </w:pPr>
            <w:r w:rsidRPr="006F283B">
              <w:rPr>
                <w:rFonts w:ascii="Arial Narrow" w:hAnsi="Arial Narrow"/>
                <w:sz w:val="20"/>
                <w:szCs w:val="20"/>
                <w:lang w:val="en-AU"/>
              </w:rPr>
              <w:t>2025</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27A89" w14:textId="77777777" w:rsidR="00F76E10" w:rsidRPr="006F283B" w:rsidRDefault="00F76E10" w:rsidP="00F76E10">
            <w:pPr>
              <w:keepNext/>
              <w:widowControl w:val="0"/>
              <w:spacing w:before="0"/>
              <w:jc w:val="center"/>
              <w:rPr>
                <w:rFonts w:ascii="Arial Narrow" w:hAnsi="Arial Narrow"/>
                <w:sz w:val="20"/>
                <w:szCs w:val="20"/>
                <w:lang w:val="en-AU"/>
              </w:rPr>
            </w:pPr>
            <w:r w:rsidRPr="006F283B">
              <w:rPr>
                <w:rFonts w:ascii="Arial Narrow" w:hAnsi="Arial Narrow"/>
                <w:sz w:val="20"/>
                <w:szCs w:val="20"/>
                <w:lang w:val="en-AU"/>
              </w:rPr>
              <w:t>2026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3D76C" w14:textId="77777777" w:rsidR="00F76E10" w:rsidRPr="006F283B" w:rsidRDefault="00F76E10" w:rsidP="00F76E10">
            <w:pPr>
              <w:keepNext/>
              <w:widowControl w:val="0"/>
              <w:spacing w:before="0"/>
              <w:jc w:val="center"/>
              <w:rPr>
                <w:rFonts w:ascii="Arial Narrow" w:hAnsi="Arial Narrow"/>
                <w:sz w:val="20"/>
                <w:szCs w:val="20"/>
                <w:lang w:val="en-AU"/>
              </w:rPr>
            </w:pPr>
            <w:r w:rsidRPr="006F283B">
              <w:rPr>
                <w:rFonts w:ascii="Arial Narrow" w:hAnsi="Arial Narrow"/>
                <w:sz w:val="20"/>
                <w:szCs w:val="20"/>
                <w:lang w:val="en-AU"/>
              </w:rPr>
              <w:t>2027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C3B87" w14:textId="77777777" w:rsidR="00F76E10" w:rsidRPr="006F283B" w:rsidRDefault="00F76E10" w:rsidP="00F76E10">
            <w:pPr>
              <w:keepNext/>
              <w:widowControl w:val="0"/>
              <w:spacing w:before="0"/>
              <w:jc w:val="center"/>
              <w:rPr>
                <w:rFonts w:ascii="Arial Narrow" w:hAnsi="Arial Narrow"/>
                <w:sz w:val="20"/>
                <w:szCs w:val="20"/>
                <w:lang w:val="en-AU"/>
              </w:rPr>
            </w:pPr>
            <w:r w:rsidRPr="006F283B">
              <w:rPr>
                <w:rFonts w:ascii="Arial Narrow" w:hAnsi="Arial Narrow"/>
                <w:sz w:val="20"/>
                <w:szCs w:val="20"/>
                <w:lang w:val="en-AU"/>
              </w:rPr>
              <w:t>2028</w:t>
            </w:r>
          </w:p>
        </w:tc>
      </w:tr>
      <w:tr w:rsidR="00F76E10" w:rsidRPr="006F283B" w14:paraId="0E7FD771"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7F35E92" w14:textId="0F9385F7" w:rsidR="00F76E10" w:rsidRPr="006F283B" w:rsidRDefault="00F76E10" w:rsidP="00F76E10">
            <w:pPr>
              <w:keepNext/>
              <w:widowControl w:val="0"/>
              <w:spacing w:before="0"/>
              <w:jc w:val="left"/>
              <w:rPr>
                <w:rFonts w:ascii="Arial Narrow" w:hAnsi="Arial Narrow" w:cs="Times New Roman"/>
                <w:b/>
                <w:color w:val="000000"/>
                <w:sz w:val="20"/>
                <w:szCs w:val="20"/>
                <w:lang w:val="en-AU" w:eastAsia="zh-CN"/>
              </w:rPr>
            </w:pPr>
            <w:r w:rsidRPr="006F283B">
              <w:rPr>
                <w:rFonts w:ascii="Arial Narrow" w:hAnsi="Arial Narrow" w:cs="Times New Roman"/>
                <w:b/>
                <w:color w:val="000000"/>
                <w:sz w:val="20"/>
                <w:szCs w:val="20"/>
                <w:lang w:val="en-AU" w:eastAsia="zh-CN"/>
              </w:rPr>
              <w:t xml:space="preserve">Estimated financial implications of niraparib to PBS/RPBS </w:t>
            </w:r>
          </w:p>
        </w:tc>
      </w:tr>
      <w:tr w:rsidR="00F76E10" w:rsidRPr="006F283B" w14:paraId="07791C50"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tcPr>
          <w:p w14:paraId="5978B9B4" w14:textId="43A29F02" w:rsidR="00F76E10" w:rsidRPr="006F283B" w:rsidRDefault="00F76E10" w:rsidP="00F76E10">
            <w:pPr>
              <w:keepNext/>
              <w:widowControl w:val="0"/>
              <w:spacing w:before="0"/>
              <w:jc w:val="left"/>
              <w:rPr>
                <w:rFonts w:ascii="Arial Narrow" w:hAnsi="Arial Narrow" w:cs="Times New Roman"/>
                <w:b/>
                <w:color w:val="000000"/>
                <w:sz w:val="20"/>
                <w:szCs w:val="20"/>
                <w:lang w:val="en-AU" w:eastAsia="zh-CN"/>
              </w:rPr>
            </w:pPr>
            <w:r w:rsidRPr="006F283B">
              <w:rPr>
                <w:rFonts w:ascii="Arial Narrow" w:hAnsi="Arial Narrow" w:cs="Times New Roman"/>
                <w:b/>
                <w:color w:val="000000"/>
                <w:sz w:val="20"/>
                <w:szCs w:val="20"/>
                <w:lang w:val="en-AU" w:eastAsia="zh-CN"/>
              </w:rPr>
              <w:t xml:space="preserve">HRD positive </w:t>
            </w:r>
            <w:r w:rsidR="001152C0" w:rsidRPr="001152C0">
              <w:rPr>
                <w:rFonts w:ascii="Arial Narrow" w:hAnsi="Arial Narrow" w:cs="Times New Roman"/>
                <w:b/>
                <w:i/>
                <w:color w:val="000000"/>
                <w:sz w:val="20"/>
                <w:szCs w:val="20"/>
                <w:lang w:val="en-AU" w:eastAsia="zh-CN"/>
              </w:rPr>
              <w:t>BRCAwt</w:t>
            </w:r>
            <w:r w:rsidRPr="006F283B">
              <w:rPr>
                <w:rFonts w:ascii="Arial Narrow" w:hAnsi="Arial Narrow" w:cs="Times New Roman"/>
                <w:b/>
                <w:color w:val="000000"/>
                <w:sz w:val="20"/>
                <w:szCs w:val="20"/>
                <w:lang w:val="en-AU" w:eastAsia="zh-CN"/>
              </w:rPr>
              <w:t xml:space="preserve"> cohort</w:t>
            </w:r>
          </w:p>
        </w:tc>
      </w:tr>
      <w:tr w:rsidR="00F76E10" w:rsidRPr="006F283B" w14:paraId="42DE4B59"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4C3FEE72" w14:textId="77777777"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Incidence ovarian cancer</w:t>
            </w:r>
          </w:p>
        </w:tc>
        <w:tc>
          <w:tcPr>
            <w:tcW w:w="629" w:type="pct"/>
            <w:tcBorders>
              <w:top w:val="single" w:sz="4" w:space="0" w:color="auto"/>
              <w:left w:val="single" w:sz="4" w:space="0" w:color="auto"/>
              <w:bottom w:val="single" w:sz="4" w:space="0" w:color="auto"/>
              <w:right w:val="single" w:sz="4" w:space="0" w:color="auto"/>
            </w:tcBorders>
            <w:vAlign w:val="center"/>
          </w:tcPr>
          <w:p w14:paraId="4BAB6CE5" w14:textId="6343A5E3" w:rsidR="00F76E10" w:rsidRPr="004D5955" w:rsidRDefault="00F76E10" w:rsidP="00F76E10">
            <w:pPr>
              <w:widowControl w:val="0"/>
              <w:spacing w:before="0"/>
              <w:jc w:val="center"/>
              <w:rPr>
                <w:rFonts w:ascii="Arial Narrow" w:hAnsi="Arial Narrow"/>
                <w:bCs/>
                <w:sz w:val="20"/>
                <w:szCs w:val="20"/>
                <w:vertAlign w:val="superscript"/>
                <w:lang w:val="en-AU"/>
              </w:rPr>
            </w:pPr>
            <w:r w:rsidRPr="004D5955">
              <w:rPr>
                <w:rFonts w:ascii="Arial Narrow" w:hAnsi="Arial Narrow"/>
                <w:sz w:val="20"/>
                <w:szCs w:val="20"/>
                <w:lang w:val="en-AU"/>
              </w:rPr>
              <w:t>1,731</w:t>
            </w:r>
          </w:p>
        </w:tc>
        <w:tc>
          <w:tcPr>
            <w:tcW w:w="605" w:type="pct"/>
            <w:tcBorders>
              <w:top w:val="single" w:sz="4" w:space="0" w:color="auto"/>
              <w:left w:val="single" w:sz="4" w:space="0" w:color="auto"/>
              <w:bottom w:val="single" w:sz="4" w:space="0" w:color="auto"/>
              <w:right w:val="single" w:sz="4" w:space="0" w:color="auto"/>
            </w:tcBorders>
            <w:vAlign w:val="center"/>
          </w:tcPr>
          <w:p w14:paraId="0A7D7319" w14:textId="6C09549E"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1,758</w:t>
            </w:r>
          </w:p>
        </w:tc>
        <w:tc>
          <w:tcPr>
            <w:tcW w:w="653" w:type="pct"/>
            <w:tcBorders>
              <w:top w:val="single" w:sz="4" w:space="0" w:color="auto"/>
              <w:left w:val="single" w:sz="4" w:space="0" w:color="auto"/>
              <w:bottom w:val="single" w:sz="4" w:space="0" w:color="auto"/>
              <w:right w:val="single" w:sz="4" w:space="0" w:color="auto"/>
            </w:tcBorders>
            <w:vAlign w:val="center"/>
          </w:tcPr>
          <w:p w14:paraId="09B53AC3" w14:textId="499028BB"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1,786</w:t>
            </w:r>
          </w:p>
        </w:tc>
        <w:tc>
          <w:tcPr>
            <w:tcW w:w="642" w:type="pct"/>
            <w:tcBorders>
              <w:top w:val="single" w:sz="4" w:space="0" w:color="auto"/>
              <w:left w:val="single" w:sz="4" w:space="0" w:color="auto"/>
              <w:bottom w:val="single" w:sz="4" w:space="0" w:color="auto"/>
              <w:right w:val="single" w:sz="4" w:space="0" w:color="auto"/>
            </w:tcBorders>
            <w:vAlign w:val="center"/>
          </w:tcPr>
          <w:p w14:paraId="089BF28E" w14:textId="13E2F0F0"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1,813</w:t>
            </w:r>
          </w:p>
        </w:tc>
        <w:tc>
          <w:tcPr>
            <w:tcW w:w="647" w:type="pct"/>
            <w:tcBorders>
              <w:top w:val="single" w:sz="4" w:space="0" w:color="auto"/>
              <w:left w:val="single" w:sz="4" w:space="0" w:color="auto"/>
              <w:bottom w:val="single" w:sz="4" w:space="0" w:color="auto"/>
              <w:right w:val="single" w:sz="4" w:space="0" w:color="auto"/>
            </w:tcBorders>
            <w:vAlign w:val="center"/>
          </w:tcPr>
          <w:p w14:paraId="61B4EF66" w14:textId="6F544792"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1,841</w:t>
            </w:r>
          </w:p>
        </w:tc>
        <w:tc>
          <w:tcPr>
            <w:tcW w:w="647" w:type="pct"/>
            <w:tcBorders>
              <w:top w:val="single" w:sz="4" w:space="0" w:color="auto"/>
              <w:left w:val="single" w:sz="4" w:space="0" w:color="auto"/>
              <w:bottom w:val="single" w:sz="4" w:space="0" w:color="auto"/>
              <w:right w:val="single" w:sz="4" w:space="0" w:color="auto"/>
            </w:tcBorders>
            <w:vAlign w:val="center"/>
          </w:tcPr>
          <w:p w14:paraId="755116A2" w14:textId="3DCA4357"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1,868</w:t>
            </w:r>
          </w:p>
        </w:tc>
      </w:tr>
      <w:tr w:rsidR="00F76E10" w:rsidRPr="006F283B" w14:paraId="03811640"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64FD70F8" w14:textId="2E96663A"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 xml:space="preserve">NDA HGEOC HRD positive </w:t>
            </w:r>
            <w:r w:rsidR="001152C0" w:rsidRPr="001152C0">
              <w:rPr>
                <w:rFonts w:ascii="Arial Narrow" w:hAnsi="Arial Narrow"/>
                <w:i/>
                <w:sz w:val="20"/>
                <w:szCs w:val="20"/>
                <w:lang w:val="en-AU"/>
              </w:rPr>
              <w:t>BRCAwt</w:t>
            </w:r>
            <w:r w:rsidRPr="006F283B">
              <w:rPr>
                <w:rFonts w:ascii="Arial Narrow" w:hAnsi="Arial Narrow"/>
                <w:sz w:val="20"/>
                <w:szCs w:val="20"/>
                <w:lang w:val="en-AU"/>
              </w:rPr>
              <w:t xml:space="preserve"> eligible for niraparib</w:t>
            </w:r>
          </w:p>
        </w:tc>
        <w:tc>
          <w:tcPr>
            <w:tcW w:w="629" w:type="pct"/>
            <w:tcBorders>
              <w:top w:val="single" w:sz="4" w:space="0" w:color="auto"/>
              <w:left w:val="single" w:sz="4" w:space="0" w:color="auto"/>
              <w:bottom w:val="single" w:sz="4" w:space="0" w:color="auto"/>
              <w:right w:val="single" w:sz="4" w:space="0" w:color="auto"/>
            </w:tcBorders>
            <w:vAlign w:val="center"/>
          </w:tcPr>
          <w:p w14:paraId="69E3B98D" w14:textId="5D5C24D3" w:rsidR="00F76E10" w:rsidRPr="00C46E78" w:rsidRDefault="00093050" w:rsidP="00F76E10">
            <w:pPr>
              <w:widowControl w:val="0"/>
              <w:spacing w:before="0"/>
              <w:jc w:val="center"/>
              <w:rPr>
                <w:rFonts w:ascii="Arial Narrow" w:hAnsi="Arial Narrow"/>
                <w:sz w:val="20"/>
                <w:szCs w:val="20"/>
                <w:vertAlign w:val="superscript"/>
                <w:lang w:val="en-AU"/>
              </w:rPr>
            </w:pPr>
            <w:r w:rsidRPr="00093050">
              <w:rPr>
                <w:rFonts w:ascii="Arial Narrow" w:hAnsi="Arial Narrow" w:cs="Times New Roman"/>
                <w:bCs/>
                <w:color w:val="000000"/>
                <w:spacing w:val="214"/>
                <w:sz w:val="20"/>
                <w:szCs w:val="20"/>
                <w:shd w:val="solid" w:color="000000" w:fill="000000"/>
                <w:fitText w:val="300" w:id="-1233481210"/>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300" w:id="-123348121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4D5955" w:rsidRPr="004D5955">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60523FCC" w14:textId="48C38167"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51"/>
                <w:sz w:val="20"/>
                <w:szCs w:val="20"/>
                <w:shd w:val="solid" w:color="000000" w:fill="000000"/>
                <w:fitText w:val="325" w:id="-1233481209"/>
                <w:lang w:val="en-AU"/>
                <w14:textFill>
                  <w14:solidFill>
                    <w14:srgbClr w14:val="000000">
                      <w14:alpha w14:val="100000"/>
                    </w14:srgbClr>
                  </w14:solidFill>
                </w14:textFill>
              </w:rPr>
              <w:t>|||</w:t>
            </w:r>
            <w:r w:rsidRPr="00093050">
              <w:rPr>
                <w:rFonts w:ascii="Arial Narrow" w:hAnsi="Arial Narrow" w:cs="Times New Roman"/>
                <w:bCs/>
                <w:color w:val="000000"/>
                <w:spacing w:val="2"/>
                <w:sz w:val="20"/>
                <w:szCs w:val="20"/>
                <w:shd w:val="solid" w:color="000000" w:fill="000000"/>
                <w:fitText w:val="325" w:id="-1233481209"/>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4D5955" w:rsidRPr="004D5955">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4E664C53" w14:textId="067DF236"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08"/>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08"/>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458AF67A" w14:textId="3213B9BA"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07"/>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07"/>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7F1E767D" w14:textId="69224BA4"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06"/>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06"/>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4EB4A740" w14:textId="58D1B006"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05"/>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05"/>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r>
      <w:tr w:rsidR="00F76E10" w:rsidRPr="006F283B" w14:paraId="35EE22DD"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0A3F3A1E" w14:textId="5A7304DE"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cs="Times New Roman"/>
                <w:sz w:val="20"/>
                <w:szCs w:val="20"/>
                <w:lang w:val="en-AU"/>
              </w:rPr>
              <w:t xml:space="preserve">NDA HGEOC HRD positive </w:t>
            </w:r>
            <w:r w:rsidR="001152C0" w:rsidRPr="001152C0">
              <w:rPr>
                <w:rFonts w:ascii="Arial Narrow" w:hAnsi="Arial Narrow" w:cs="Times New Roman"/>
                <w:i/>
                <w:sz w:val="20"/>
                <w:szCs w:val="20"/>
                <w:lang w:val="en-AU"/>
              </w:rPr>
              <w:t>BRCAwt</w:t>
            </w:r>
            <w:r w:rsidRPr="006F283B">
              <w:rPr>
                <w:rFonts w:ascii="Arial Narrow" w:hAnsi="Arial Narrow" w:cs="Times New Roman"/>
                <w:sz w:val="20"/>
                <w:szCs w:val="20"/>
                <w:lang w:val="en-AU"/>
              </w:rPr>
              <w:t xml:space="preserve"> initiating niraparib</w:t>
            </w:r>
          </w:p>
        </w:tc>
        <w:tc>
          <w:tcPr>
            <w:tcW w:w="629" w:type="pct"/>
            <w:tcBorders>
              <w:top w:val="single" w:sz="4" w:space="0" w:color="auto"/>
              <w:left w:val="single" w:sz="4" w:space="0" w:color="auto"/>
              <w:bottom w:val="single" w:sz="4" w:space="0" w:color="auto"/>
              <w:right w:val="single" w:sz="4" w:space="0" w:color="auto"/>
            </w:tcBorders>
            <w:vAlign w:val="center"/>
          </w:tcPr>
          <w:p w14:paraId="36A55276" w14:textId="7D985CC8"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olor w:val="000000"/>
                <w:spacing w:val="214"/>
                <w:sz w:val="20"/>
                <w:szCs w:val="20"/>
                <w:shd w:val="solid" w:color="000000" w:fill="000000"/>
                <w:fitText w:val="300" w:id="-1233481204"/>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300" w:id="-1233481204"/>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7F59503B" w14:textId="4C034559"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olor w:val="000000"/>
                <w:spacing w:val="51"/>
                <w:sz w:val="20"/>
                <w:szCs w:val="20"/>
                <w:shd w:val="solid" w:color="000000" w:fill="000000"/>
                <w:fitText w:val="325" w:id="-1233481203"/>
                <w:lang w:val="en-AU"/>
                <w14:textFill>
                  <w14:solidFill>
                    <w14:srgbClr w14:val="000000">
                      <w14:alpha w14:val="100000"/>
                    </w14:srgbClr>
                  </w14:solidFill>
                </w14:textFill>
              </w:rPr>
              <w:t>|||</w:t>
            </w:r>
            <w:r w:rsidRPr="00093050">
              <w:rPr>
                <w:rFonts w:ascii="Arial Narrow" w:hAnsi="Arial Narrow"/>
                <w:color w:val="000000"/>
                <w:spacing w:val="2"/>
                <w:sz w:val="20"/>
                <w:szCs w:val="20"/>
                <w:shd w:val="solid" w:color="000000" w:fill="000000"/>
                <w:fitText w:val="325" w:id="-1233481203"/>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2067DFB2" w14:textId="56CAEEBC"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olor w:val="000000"/>
                <w:spacing w:val="202"/>
                <w:sz w:val="20"/>
                <w:szCs w:val="20"/>
                <w:shd w:val="solid" w:color="000000" w:fill="000000"/>
                <w:fitText w:val="288" w:id="-1233481202"/>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2"/>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4BFD77AB" w14:textId="74D5A9CF"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olor w:val="000000"/>
                <w:spacing w:val="202"/>
                <w:sz w:val="20"/>
                <w:szCs w:val="20"/>
                <w:shd w:val="solid" w:color="000000" w:fill="000000"/>
                <w:fitText w:val="288" w:id="-1233481201"/>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1"/>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55E4CA50" w14:textId="10465864"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olor w:val="000000"/>
                <w:spacing w:val="202"/>
                <w:sz w:val="20"/>
                <w:szCs w:val="20"/>
                <w:shd w:val="solid" w:color="000000" w:fill="000000"/>
                <w:fitText w:val="288" w:id="-1233481200"/>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0"/>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45324E2E" w14:textId="468C5331"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olor w:val="000000"/>
                <w:spacing w:val="202"/>
                <w:sz w:val="20"/>
                <w:szCs w:val="20"/>
                <w:shd w:val="solid" w:color="000000" w:fill="000000"/>
                <w:fitText w:val="288" w:id="-1233481216"/>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6"/>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r>
      <w:tr w:rsidR="00F76E10" w:rsidRPr="006F283B" w14:paraId="0DBA6640"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0BBC3E32" w14:textId="77777777" w:rsidR="00F76E10" w:rsidRPr="006F283B" w:rsidRDefault="00F76E10" w:rsidP="00F76E10">
            <w:pPr>
              <w:widowControl w:val="0"/>
              <w:spacing w:before="0"/>
              <w:jc w:val="left"/>
              <w:rPr>
                <w:rFonts w:ascii="Arial Narrow" w:hAnsi="Arial Narrow" w:cs="Times New Roman"/>
                <w:sz w:val="20"/>
                <w:szCs w:val="20"/>
                <w:lang w:val="en-AU"/>
              </w:rPr>
            </w:pPr>
            <w:r w:rsidRPr="006F283B">
              <w:rPr>
                <w:rFonts w:ascii="Arial Narrow" w:hAnsi="Arial Narrow"/>
                <w:sz w:val="20"/>
                <w:szCs w:val="20"/>
                <w:lang w:val="en-AU"/>
              </w:rPr>
              <w:t>Total 84-pack scripts dispensed</w:t>
            </w:r>
          </w:p>
        </w:tc>
        <w:tc>
          <w:tcPr>
            <w:tcW w:w="629" w:type="pct"/>
            <w:tcBorders>
              <w:top w:val="single" w:sz="4" w:space="0" w:color="auto"/>
              <w:left w:val="single" w:sz="4" w:space="0" w:color="auto"/>
              <w:bottom w:val="single" w:sz="4" w:space="0" w:color="auto"/>
              <w:right w:val="single" w:sz="4" w:space="0" w:color="auto"/>
            </w:tcBorders>
            <w:vAlign w:val="center"/>
          </w:tcPr>
          <w:p w14:paraId="4FAAC9B2" w14:textId="5DF826AF"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14"/>
                <w:sz w:val="20"/>
                <w:szCs w:val="20"/>
                <w:shd w:val="solid" w:color="000000" w:fill="000000"/>
                <w:fitText w:val="300" w:id="-1233481215"/>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300" w:id="-1233481215"/>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6608A115" w14:textId="322544DC"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51"/>
                <w:sz w:val="20"/>
                <w:szCs w:val="20"/>
                <w:shd w:val="solid" w:color="000000" w:fill="000000"/>
                <w:fitText w:val="325" w:id="-1233481214"/>
                <w:lang w:val="en-AU"/>
                <w14:textFill>
                  <w14:solidFill>
                    <w14:srgbClr w14:val="000000">
                      <w14:alpha w14:val="100000"/>
                    </w14:srgbClr>
                  </w14:solidFill>
                </w14:textFill>
              </w:rPr>
              <w:t>|||</w:t>
            </w:r>
            <w:r w:rsidRPr="00093050">
              <w:rPr>
                <w:rFonts w:ascii="Arial Narrow" w:hAnsi="Arial Narrow"/>
                <w:color w:val="000000"/>
                <w:spacing w:val="2"/>
                <w:sz w:val="20"/>
                <w:szCs w:val="20"/>
                <w:shd w:val="solid" w:color="000000" w:fill="000000"/>
                <w:fitText w:val="325" w:id="-1233481214"/>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74188049" w14:textId="423C599F"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02"/>
                <w:sz w:val="20"/>
                <w:szCs w:val="20"/>
                <w:shd w:val="solid" w:color="000000" w:fill="000000"/>
                <w:fitText w:val="288" w:id="-1233481213"/>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3"/>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6AFE72AB" w14:textId="54C2BDB6"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02"/>
                <w:sz w:val="20"/>
                <w:szCs w:val="20"/>
                <w:shd w:val="solid" w:color="000000" w:fill="000000"/>
                <w:fitText w:val="288" w:id="-1233481212"/>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3E81F797" w14:textId="0EDE773C"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02"/>
                <w:sz w:val="20"/>
                <w:szCs w:val="20"/>
                <w:shd w:val="solid" w:color="000000" w:fill="000000"/>
                <w:fitText w:val="288" w:id="-1233481211"/>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1"/>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1B04443C" w14:textId="31A66B80"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02"/>
                <w:sz w:val="20"/>
                <w:szCs w:val="20"/>
                <w:shd w:val="solid" w:color="000000" w:fill="000000"/>
                <w:fitText w:val="288" w:id="-1233481210"/>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0"/>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r>
      <w:tr w:rsidR="00F76E10" w:rsidRPr="006F283B" w14:paraId="41C530D2"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42F15E6C" w14:textId="77777777" w:rsidR="00F76E10" w:rsidRPr="006F283B" w:rsidRDefault="00F76E10" w:rsidP="00F76E10">
            <w:pPr>
              <w:widowControl w:val="0"/>
              <w:spacing w:before="0"/>
              <w:jc w:val="left"/>
              <w:rPr>
                <w:rFonts w:ascii="Arial Narrow" w:hAnsi="Arial Narrow" w:cs="Times New Roman"/>
                <w:sz w:val="20"/>
                <w:szCs w:val="20"/>
                <w:lang w:val="en-AU"/>
              </w:rPr>
            </w:pPr>
            <w:r w:rsidRPr="006F283B">
              <w:rPr>
                <w:rFonts w:ascii="Arial Narrow" w:hAnsi="Arial Narrow"/>
                <w:sz w:val="20"/>
                <w:szCs w:val="20"/>
                <w:lang w:val="en-AU"/>
              </w:rPr>
              <w:t>Total 56-pack scripts dispensed</w:t>
            </w:r>
          </w:p>
        </w:tc>
        <w:tc>
          <w:tcPr>
            <w:tcW w:w="629" w:type="pct"/>
            <w:tcBorders>
              <w:top w:val="single" w:sz="4" w:space="0" w:color="auto"/>
              <w:left w:val="single" w:sz="4" w:space="0" w:color="auto"/>
              <w:bottom w:val="single" w:sz="4" w:space="0" w:color="auto"/>
              <w:right w:val="single" w:sz="4" w:space="0" w:color="auto"/>
            </w:tcBorders>
            <w:vAlign w:val="center"/>
          </w:tcPr>
          <w:p w14:paraId="40C01F6A" w14:textId="2E047CBD"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14"/>
                <w:sz w:val="20"/>
                <w:szCs w:val="20"/>
                <w:shd w:val="solid" w:color="000000" w:fill="000000"/>
                <w:fitText w:val="300" w:id="-1233481209"/>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300" w:id="-1233481209"/>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4D5955">
              <w:rPr>
                <w:rFonts w:ascii="Arial Narrow" w:hAnsi="Arial Narrow"/>
                <w:sz w:val="20"/>
                <w:szCs w:val="20"/>
                <w:vertAlign w:val="superscript"/>
                <w:lang w:val="en-AU"/>
              </w:rPr>
              <w:t>2</w:t>
            </w:r>
          </w:p>
        </w:tc>
        <w:tc>
          <w:tcPr>
            <w:tcW w:w="605" w:type="pct"/>
            <w:tcBorders>
              <w:top w:val="single" w:sz="4" w:space="0" w:color="auto"/>
              <w:left w:val="single" w:sz="4" w:space="0" w:color="auto"/>
              <w:bottom w:val="single" w:sz="4" w:space="0" w:color="auto"/>
              <w:right w:val="single" w:sz="4" w:space="0" w:color="auto"/>
            </w:tcBorders>
            <w:vAlign w:val="center"/>
          </w:tcPr>
          <w:p w14:paraId="2581F89B" w14:textId="20E59EDC"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51"/>
                <w:sz w:val="20"/>
                <w:szCs w:val="20"/>
                <w:shd w:val="solid" w:color="000000" w:fill="000000"/>
                <w:fitText w:val="325" w:id="-1233481208"/>
                <w:lang w:val="en-AU"/>
                <w14:textFill>
                  <w14:solidFill>
                    <w14:srgbClr w14:val="000000">
                      <w14:alpha w14:val="100000"/>
                    </w14:srgbClr>
                  </w14:solidFill>
                </w14:textFill>
              </w:rPr>
              <w:t>|||</w:t>
            </w:r>
            <w:r w:rsidRPr="00093050">
              <w:rPr>
                <w:rFonts w:ascii="Arial Narrow" w:hAnsi="Arial Narrow"/>
                <w:color w:val="000000"/>
                <w:spacing w:val="2"/>
                <w:sz w:val="20"/>
                <w:szCs w:val="20"/>
                <w:shd w:val="solid" w:color="000000" w:fill="000000"/>
                <w:fitText w:val="325" w:id="-1233481208"/>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4D5955">
              <w:rPr>
                <w:rFonts w:ascii="Arial Narrow" w:hAnsi="Arial Narrow"/>
                <w:sz w:val="20"/>
                <w:szCs w:val="20"/>
                <w:vertAlign w:val="superscript"/>
                <w:lang w:val="en-AU"/>
              </w:rPr>
              <w:t>2</w:t>
            </w:r>
          </w:p>
        </w:tc>
        <w:tc>
          <w:tcPr>
            <w:tcW w:w="653" w:type="pct"/>
            <w:tcBorders>
              <w:top w:val="single" w:sz="4" w:space="0" w:color="auto"/>
              <w:left w:val="single" w:sz="4" w:space="0" w:color="auto"/>
              <w:bottom w:val="single" w:sz="4" w:space="0" w:color="auto"/>
              <w:right w:val="single" w:sz="4" w:space="0" w:color="auto"/>
            </w:tcBorders>
            <w:vAlign w:val="center"/>
          </w:tcPr>
          <w:p w14:paraId="062B16A6" w14:textId="34210552"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02"/>
                <w:sz w:val="20"/>
                <w:szCs w:val="20"/>
                <w:shd w:val="solid" w:color="000000" w:fill="000000"/>
                <w:fitText w:val="288" w:id="-1233481207"/>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7"/>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4D5955">
              <w:rPr>
                <w:rFonts w:ascii="Arial Narrow" w:hAnsi="Arial Narrow"/>
                <w:sz w:val="20"/>
                <w:szCs w:val="20"/>
                <w:vertAlign w:val="superscript"/>
                <w:lang w:val="en-AU"/>
              </w:rPr>
              <w:t>2</w:t>
            </w:r>
          </w:p>
        </w:tc>
        <w:tc>
          <w:tcPr>
            <w:tcW w:w="642" w:type="pct"/>
            <w:tcBorders>
              <w:top w:val="single" w:sz="4" w:space="0" w:color="auto"/>
              <w:left w:val="single" w:sz="4" w:space="0" w:color="auto"/>
              <w:bottom w:val="single" w:sz="4" w:space="0" w:color="auto"/>
              <w:right w:val="single" w:sz="4" w:space="0" w:color="auto"/>
            </w:tcBorders>
            <w:vAlign w:val="center"/>
          </w:tcPr>
          <w:p w14:paraId="3E108498" w14:textId="16509505" w:rsidR="00F76E10" w:rsidRPr="00555B0D" w:rsidRDefault="00093050" w:rsidP="00F76E10">
            <w:pPr>
              <w:widowControl w:val="0"/>
              <w:spacing w:before="0"/>
              <w:jc w:val="center"/>
              <w:rPr>
                <w:rFonts w:ascii="Arial Narrow" w:hAnsi="Arial Narrow" w:cs="Calibri"/>
                <w:color w:val="000000"/>
                <w:sz w:val="20"/>
                <w:szCs w:val="20"/>
                <w:highlight w:val="darkGray"/>
                <w:lang w:val="en-AU"/>
              </w:rPr>
            </w:pPr>
            <w:r w:rsidRPr="00093050">
              <w:rPr>
                <w:rFonts w:ascii="Arial Narrow" w:hAnsi="Arial Narrow"/>
                <w:color w:val="000000"/>
                <w:spacing w:val="202"/>
                <w:sz w:val="20"/>
                <w:szCs w:val="20"/>
                <w:shd w:val="solid" w:color="000000" w:fill="000000"/>
                <w:fitText w:val="288" w:id="-1233481206"/>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6"/>
                <w:lang w:val="en-AU"/>
                <w14:textFill>
                  <w14:solidFill>
                    <w14:srgbClr w14:val="000000">
                      <w14:alpha w14:val="100000"/>
                    </w14:srgbClr>
                  </w14:solidFill>
                </w14:textFill>
              </w:rPr>
              <w:t>|</w:t>
            </w:r>
            <w:r w:rsidR="00C46E78" w:rsidRPr="00555B0D">
              <w:rPr>
                <w:rFonts w:ascii="Arial Narrow" w:hAnsi="Arial Narrow"/>
                <w:sz w:val="20"/>
                <w:szCs w:val="20"/>
                <w:lang w:val="en-AU"/>
              </w:rPr>
              <w:t xml:space="preserve"> </w:t>
            </w:r>
            <w:r w:rsidR="004D5955">
              <w:rPr>
                <w:rFonts w:ascii="Arial Narrow" w:hAnsi="Arial Narrow"/>
                <w:sz w:val="20"/>
                <w:szCs w:val="20"/>
                <w:vertAlign w:val="superscript"/>
                <w:lang w:val="en-AU"/>
              </w:rPr>
              <w:t>2</w:t>
            </w:r>
          </w:p>
        </w:tc>
        <w:tc>
          <w:tcPr>
            <w:tcW w:w="647" w:type="pct"/>
            <w:tcBorders>
              <w:top w:val="single" w:sz="4" w:space="0" w:color="auto"/>
              <w:left w:val="single" w:sz="4" w:space="0" w:color="auto"/>
              <w:bottom w:val="single" w:sz="4" w:space="0" w:color="auto"/>
              <w:right w:val="single" w:sz="4" w:space="0" w:color="auto"/>
            </w:tcBorders>
            <w:vAlign w:val="center"/>
          </w:tcPr>
          <w:p w14:paraId="1ABB8E18" w14:textId="42935570"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02"/>
                <w:sz w:val="20"/>
                <w:szCs w:val="20"/>
                <w:shd w:val="solid" w:color="000000" w:fill="000000"/>
                <w:fitText w:val="288" w:id="-1233481205"/>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5"/>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4D5955">
              <w:rPr>
                <w:rFonts w:ascii="Arial Narrow" w:hAnsi="Arial Narrow"/>
                <w:sz w:val="20"/>
                <w:szCs w:val="20"/>
                <w:vertAlign w:val="superscript"/>
                <w:lang w:val="en-AU"/>
              </w:rPr>
              <w:t>2</w:t>
            </w:r>
          </w:p>
        </w:tc>
        <w:tc>
          <w:tcPr>
            <w:tcW w:w="647" w:type="pct"/>
            <w:tcBorders>
              <w:top w:val="single" w:sz="4" w:space="0" w:color="auto"/>
              <w:left w:val="single" w:sz="4" w:space="0" w:color="auto"/>
              <w:bottom w:val="single" w:sz="4" w:space="0" w:color="auto"/>
              <w:right w:val="single" w:sz="4" w:space="0" w:color="auto"/>
            </w:tcBorders>
            <w:vAlign w:val="center"/>
          </w:tcPr>
          <w:p w14:paraId="2846DE26" w14:textId="553FF4B4"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olor w:val="000000"/>
                <w:spacing w:val="202"/>
                <w:sz w:val="20"/>
                <w:szCs w:val="20"/>
                <w:shd w:val="solid" w:color="000000" w:fill="000000"/>
                <w:fitText w:val="288" w:id="-1233481204"/>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4"/>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4D5955">
              <w:rPr>
                <w:rFonts w:ascii="Arial Narrow" w:hAnsi="Arial Narrow"/>
                <w:sz w:val="20"/>
                <w:szCs w:val="20"/>
                <w:vertAlign w:val="superscript"/>
                <w:lang w:val="en-AU"/>
              </w:rPr>
              <w:t>2</w:t>
            </w:r>
          </w:p>
        </w:tc>
      </w:tr>
      <w:tr w:rsidR="00F76E10" w:rsidRPr="006F283B" w14:paraId="5E51556B"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44EEBA09" w14:textId="77777777"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Net cost to PBS/RPBS</w:t>
            </w:r>
          </w:p>
        </w:tc>
        <w:tc>
          <w:tcPr>
            <w:tcW w:w="629" w:type="pct"/>
            <w:tcBorders>
              <w:top w:val="single" w:sz="4" w:space="0" w:color="auto"/>
              <w:left w:val="single" w:sz="4" w:space="0" w:color="auto"/>
              <w:bottom w:val="single" w:sz="4" w:space="0" w:color="auto"/>
              <w:right w:val="single" w:sz="4" w:space="0" w:color="auto"/>
            </w:tcBorders>
            <w:vAlign w:val="center"/>
          </w:tcPr>
          <w:p w14:paraId="1563CBA1" w14:textId="06F40D91"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9"/>
                <w:sz w:val="20"/>
                <w:szCs w:val="20"/>
                <w:shd w:val="solid" w:color="000000" w:fill="000000"/>
                <w:fitText w:val="350" w:id="-1233481203"/>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120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3087A998" w14:textId="25B712B5"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68"/>
                <w:sz w:val="20"/>
                <w:szCs w:val="20"/>
                <w:shd w:val="solid" w:color="000000" w:fill="000000"/>
                <w:fitText w:val="376" w:id="-1233481202"/>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120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5F81F858" w14:textId="18CC637F"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1"/>
                <w:sz w:val="20"/>
                <w:szCs w:val="20"/>
                <w:shd w:val="solid" w:color="000000" w:fill="000000"/>
                <w:fitText w:val="325" w:id="-1233481201"/>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120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182136CA" w14:textId="61863C4A"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00"/>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0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4D3FAFA9" w14:textId="4F360621"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6"/>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1F42BCCA" w14:textId="65CE5449"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5"/>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42677372"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tcPr>
          <w:p w14:paraId="7146C103" w14:textId="41D52632" w:rsidR="00F76E10" w:rsidRPr="006F283B" w:rsidRDefault="001152C0" w:rsidP="00F76E10">
            <w:pPr>
              <w:keepNext/>
              <w:widowControl w:val="0"/>
              <w:spacing w:before="0"/>
              <w:jc w:val="left"/>
              <w:rPr>
                <w:rFonts w:ascii="Arial Narrow" w:hAnsi="Arial Narrow" w:cs="Times New Roman"/>
                <w:b/>
                <w:color w:val="000000"/>
                <w:sz w:val="20"/>
                <w:szCs w:val="20"/>
                <w:lang w:val="en-AU" w:eastAsia="zh-CN"/>
              </w:rPr>
            </w:pPr>
            <w:r w:rsidRPr="001152C0">
              <w:rPr>
                <w:rFonts w:ascii="Arial Narrow" w:hAnsi="Arial Narrow" w:cs="Times New Roman"/>
                <w:b/>
                <w:i/>
                <w:color w:val="000000"/>
                <w:sz w:val="20"/>
                <w:szCs w:val="20"/>
                <w:lang w:val="en-AU" w:eastAsia="zh-CN"/>
              </w:rPr>
              <w:t>BRCAm</w:t>
            </w:r>
            <w:r w:rsidR="00F76E10" w:rsidRPr="006F283B">
              <w:rPr>
                <w:rFonts w:ascii="Arial Narrow" w:hAnsi="Arial Narrow" w:cs="Times New Roman"/>
                <w:b/>
                <w:color w:val="000000"/>
                <w:sz w:val="20"/>
                <w:szCs w:val="20"/>
                <w:lang w:val="en-AU" w:eastAsia="zh-CN"/>
              </w:rPr>
              <w:t xml:space="preserve"> cohort</w:t>
            </w:r>
          </w:p>
        </w:tc>
      </w:tr>
      <w:tr w:rsidR="00F76E10" w:rsidRPr="006F283B" w14:paraId="44688D59"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15C4B0DC" w14:textId="77777777"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Incidence ovarian cancer</w:t>
            </w:r>
          </w:p>
        </w:tc>
        <w:tc>
          <w:tcPr>
            <w:tcW w:w="629" w:type="pct"/>
            <w:tcBorders>
              <w:top w:val="single" w:sz="4" w:space="0" w:color="auto"/>
              <w:left w:val="single" w:sz="4" w:space="0" w:color="auto"/>
              <w:bottom w:val="single" w:sz="4" w:space="0" w:color="auto"/>
              <w:right w:val="single" w:sz="4" w:space="0" w:color="auto"/>
            </w:tcBorders>
            <w:vAlign w:val="center"/>
          </w:tcPr>
          <w:p w14:paraId="35C1B699" w14:textId="30640D44"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1,731</w:t>
            </w:r>
          </w:p>
        </w:tc>
        <w:tc>
          <w:tcPr>
            <w:tcW w:w="605" w:type="pct"/>
            <w:tcBorders>
              <w:top w:val="single" w:sz="4" w:space="0" w:color="auto"/>
              <w:left w:val="single" w:sz="4" w:space="0" w:color="auto"/>
              <w:bottom w:val="single" w:sz="4" w:space="0" w:color="auto"/>
              <w:right w:val="single" w:sz="4" w:space="0" w:color="auto"/>
            </w:tcBorders>
            <w:vAlign w:val="center"/>
          </w:tcPr>
          <w:p w14:paraId="6386DAC8" w14:textId="6BF88A9E"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1,758</w:t>
            </w:r>
          </w:p>
        </w:tc>
        <w:tc>
          <w:tcPr>
            <w:tcW w:w="653" w:type="pct"/>
            <w:tcBorders>
              <w:top w:val="single" w:sz="4" w:space="0" w:color="auto"/>
              <w:left w:val="single" w:sz="4" w:space="0" w:color="auto"/>
              <w:bottom w:val="single" w:sz="4" w:space="0" w:color="auto"/>
              <w:right w:val="single" w:sz="4" w:space="0" w:color="auto"/>
            </w:tcBorders>
            <w:vAlign w:val="center"/>
          </w:tcPr>
          <w:p w14:paraId="47840445" w14:textId="1E57104E"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1,786</w:t>
            </w:r>
          </w:p>
        </w:tc>
        <w:tc>
          <w:tcPr>
            <w:tcW w:w="642" w:type="pct"/>
            <w:tcBorders>
              <w:top w:val="single" w:sz="4" w:space="0" w:color="auto"/>
              <w:left w:val="single" w:sz="4" w:space="0" w:color="auto"/>
              <w:bottom w:val="single" w:sz="4" w:space="0" w:color="auto"/>
              <w:right w:val="single" w:sz="4" w:space="0" w:color="auto"/>
            </w:tcBorders>
            <w:vAlign w:val="center"/>
          </w:tcPr>
          <w:p w14:paraId="2EA4AE33" w14:textId="1CF94C50"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1,813</w:t>
            </w:r>
          </w:p>
        </w:tc>
        <w:tc>
          <w:tcPr>
            <w:tcW w:w="647" w:type="pct"/>
            <w:tcBorders>
              <w:top w:val="single" w:sz="4" w:space="0" w:color="auto"/>
              <w:left w:val="single" w:sz="4" w:space="0" w:color="auto"/>
              <w:bottom w:val="single" w:sz="4" w:space="0" w:color="auto"/>
              <w:right w:val="single" w:sz="4" w:space="0" w:color="auto"/>
            </w:tcBorders>
            <w:vAlign w:val="center"/>
          </w:tcPr>
          <w:p w14:paraId="7EBB99EA" w14:textId="1EBBB42D"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1,841</w:t>
            </w:r>
          </w:p>
        </w:tc>
        <w:tc>
          <w:tcPr>
            <w:tcW w:w="647" w:type="pct"/>
            <w:tcBorders>
              <w:top w:val="single" w:sz="4" w:space="0" w:color="auto"/>
              <w:left w:val="single" w:sz="4" w:space="0" w:color="auto"/>
              <w:bottom w:val="single" w:sz="4" w:space="0" w:color="auto"/>
              <w:right w:val="single" w:sz="4" w:space="0" w:color="auto"/>
            </w:tcBorders>
            <w:vAlign w:val="center"/>
          </w:tcPr>
          <w:p w14:paraId="7E0C9978" w14:textId="59040642" w:rsidR="00F76E10" w:rsidRPr="004D5955" w:rsidRDefault="00F76E10" w:rsidP="00F76E10">
            <w:pPr>
              <w:widowControl w:val="0"/>
              <w:spacing w:before="0"/>
              <w:jc w:val="center"/>
              <w:rPr>
                <w:rFonts w:ascii="Arial Narrow" w:hAnsi="Arial Narrow"/>
                <w:bCs/>
                <w:sz w:val="20"/>
                <w:szCs w:val="20"/>
                <w:lang w:val="en-AU"/>
              </w:rPr>
            </w:pPr>
            <w:r w:rsidRPr="004D5955">
              <w:rPr>
                <w:rFonts w:ascii="Arial Narrow" w:hAnsi="Arial Narrow"/>
                <w:sz w:val="20"/>
                <w:szCs w:val="20"/>
                <w:lang w:val="en-AU"/>
              </w:rPr>
              <w:t>1,868</w:t>
            </w:r>
          </w:p>
        </w:tc>
      </w:tr>
      <w:tr w:rsidR="00F76E10" w:rsidRPr="006F283B" w14:paraId="06720219"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7A0379CD" w14:textId="601D2CB0"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cs="Times New Roman"/>
                <w:sz w:val="20"/>
                <w:szCs w:val="20"/>
                <w:lang w:val="en-AU"/>
              </w:rPr>
              <w:t>NDA HGEOC (</w:t>
            </w:r>
            <w:r w:rsidR="001152C0" w:rsidRPr="001152C0">
              <w:rPr>
                <w:rFonts w:ascii="Arial Narrow" w:hAnsi="Arial Narrow" w:cs="Times New Roman"/>
                <w:i/>
                <w:sz w:val="20"/>
                <w:szCs w:val="20"/>
                <w:lang w:val="en-AU"/>
              </w:rPr>
              <w:t>BRCAm</w:t>
            </w:r>
            <w:r w:rsidRPr="006F283B">
              <w:rPr>
                <w:rFonts w:ascii="Arial Narrow" w:hAnsi="Arial Narrow" w:cs="Times New Roman"/>
                <w:sz w:val="20"/>
                <w:szCs w:val="20"/>
                <w:lang w:val="en-AU"/>
              </w:rPr>
              <w:t xml:space="preserve">) eligible for niraparib </w:t>
            </w:r>
            <w:r w:rsidRPr="006F283B">
              <w:rPr>
                <w:rFonts w:ascii="Arial Narrow" w:hAnsi="Arial Narrow"/>
                <w:sz w:val="20"/>
                <w:szCs w:val="20"/>
                <w:vertAlign w:val="superscript"/>
                <w:lang w:val="en-AU"/>
              </w:rPr>
              <w:t>d</w:t>
            </w:r>
          </w:p>
        </w:tc>
        <w:tc>
          <w:tcPr>
            <w:tcW w:w="629" w:type="pct"/>
            <w:tcBorders>
              <w:top w:val="single" w:sz="4" w:space="0" w:color="auto"/>
              <w:left w:val="single" w:sz="4" w:space="0" w:color="auto"/>
              <w:bottom w:val="single" w:sz="4" w:space="0" w:color="auto"/>
              <w:right w:val="single" w:sz="4" w:space="0" w:color="auto"/>
            </w:tcBorders>
            <w:vAlign w:val="center"/>
          </w:tcPr>
          <w:p w14:paraId="7264B1F1" w14:textId="0D93D833"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14"/>
                <w:sz w:val="20"/>
                <w:szCs w:val="20"/>
                <w:shd w:val="solid" w:color="000000" w:fill="000000"/>
                <w:fitText w:val="300" w:id="-1233481214"/>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300" w:id="-1233481214"/>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1C0B7027" w14:textId="03268475"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51"/>
                <w:sz w:val="20"/>
                <w:szCs w:val="20"/>
                <w:shd w:val="solid" w:color="000000" w:fill="000000"/>
                <w:fitText w:val="325" w:id="-1233481213"/>
                <w:lang w:val="en-AU"/>
                <w14:textFill>
                  <w14:solidFill>
                    <w14:srgbClr w14:val="000000">
                      <w14:alpha w14:val="100000"/>
                    </w14:srgbClr>
                  </w14:solidFill>
                </w14:textFill>
              </w:rPr>
              <w:t>|||</w:t>
            </w:r>
            <w:r w:rsidRPr="00093050">
              <w:rPr>
                <w:rFonts w:ascii="Arial Narrow" w:hAnsi="Arial Narrow" w:cs="Times New Roman"/>
                <w:bCs/>
                <w:color w:val="000000"/>
                <w:spacing w:val="2"/>
                <w:sz w:val="20"/>
                <w:szCs w:val="20"/>
                <w:shd w:val="solid" w:color="000000" w:fill="000000"/>
                <w:fitText w:val="325" w:id="-1233481213"/>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7DDA368C" w14:textId="28A1EBDF"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12"/>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12"/>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376B8369" w14:textId="0B6C38B7"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11"/>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11"/>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329D1203" w14:textId="51831177"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10"/>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10"/>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4EC8BFC7" w14:textId="66093660"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Times New Roman"/>
                <w:bCs/>
                <w:color w:val="000000"/>
                <w:spacing w:val="202"/>
                <w:sz w:val="20"/>
                <w:szCs w:val="20"/>
                <w:shd w:val="solid" w:color="000000" w:fill="000000"/>
                <w:fitText w:val="288" w:id="-1233481209"/>
                <w:lang w:val="en-AU"/>
                <w14:textFill>
                  <w14:solidFill>
                    <w14:srgbClr w14:val="000000">
                      <w14:alpha w14:val="100000"/>
                    </w14:srgbClr>
                  </w14:solidFill>
                </w14:textFill>
              </w:rPr>
              <w:t>|</w:t>
            </w:r>
            <w:r w:rsidRPr="00093050">
              <w:rPr>
                <w:rFonts w:ascii="Arial Narrow" w:hAnsi="Arial Narrow" w:cs="Times New Roman"/>
                <w:bCs/>
                <w:color w:val="000000"/>
                <w:spacing w:val="1"/>
                <w:sz w:val="20"/>
                <w:szCs w:val="20"/>
                <w:shd w:val="solid" w:color="000000" w:fill="000000"/>
                <w:fitText w:val="288" w:id="-1233481209"/>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r>
      <w:tr w:rsidR="00F76E10" w:rsidRPr="006F283B" w14:paraId="0A38C7FD"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5EC73386" w14:textId="1EE2295D"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cs="Times New Roman"/>
                <w:sz w:val="20"/>
                <w:szCs w:val="20"/>
                <w:lang w:val="en-AU"/>
              </w:rPr>
              <w:t>NDA HGEOC (</w:t>
            </w:r>
            <w:r w:rsidR="001152C0" w:rsidRPr="001152C0">
              <w:rPr>
                <w:rFonts w:ascii="Arial Narrow" w:hAnsi="Arial Narrow" w:cs="Times New Roman"/>
                <w:i/>
                <w:sz w:val="20"/>
                <w:szCs w:val="20"/>
                <w:lang w:val="en-AU"/>
              </w:rPr>
              <w:t>BRCAm</w:t>
            </w:r>
            <w:r w:rsidRPr="006F283B">
              <w:rPr>
                <w:rFonts w:ascii="Arial Narrow" w:hAnsi="Arial Narrow" w:cs="Times New Roman"/>
                <w:sz w:val="20"/>
                <w:szCs w:val="20"/>
                <w:lang w:val="en-AU"/>
              </w:rPr>
              <w:t>) initiating niraparib</w:t>
            </w:r>
            <w:r w:rsidRPr="006F283B">
              <w:rPr>
                <w:rFonts w:ascii="Arial Narrow" w:hAnsi="Arial Narrow"/>
                <w:sz w:val="20"/>
                <w:szCs w:val="20"/>
                <w:vertAlign w:val="superscript"/>
                <w:lang w:val="en-AU"/>
              </w:rPr>
              <w:t xml:space="preserve"> d</w:t>
            </w:r>
          </w:p>
        </w:tc>
        <w:tc>
          <w:tcPr>
            <w:tcW w:w="629" w:type="pct"/>
            <w:tcBorders>
              <w:top w:val="single" w:sz="4" w:space="0" w:color="auto"/>
              <w:left w:val="single" w:sz="4" w:space="0" w:color="auto"/>
              <w:bottom w:val="single" w:sz="4" w:space="0" w:color="auto"/>
              <w:right w:val="single" w:sz="4" w:space="0" w:color="auto"/>
            </w:tcBorders>
            <w:vAlign w:val="center"/>
          </w:tcPr>
          <w:p w14:paraId="1B108F99" w14:textId="48E20A89"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Calibri"/>
                <w:color w:val="000000"/>
                <w:spacing w:val="214"/>
                <w:sz w:val="20"/>
                <w:szCs w:val="20"/>
                <w:shd w:val="solid" w:color="000000" w:fill="000000"/>
                <w:fitText w:val="300" w:id="-1233481208"/>
                <w:lang w:val="en-AU"/>
                <w14:textFill>
                  <w14:solidFill>
                    <w14:srgbClr w14:val="000000">
                      <w14:alpha w14:val="100000"/>
                    </w14:srgbClr>
                  </w14:solidFill>
                </w14:textFill>
              </w:rPr>
              <w:t>|</w:t>
            </w:r>
            <w:r w:rsidRPr="00093050">
              <w:rPr>
                <w:rFonts w:ascii="Arial Narrow" w:hAnsi="Arial Narrow" w:cs="Calibri"/>
                <w:color w:val="000000"/>
                <w:spacing w:val="1"/>
                <w:sz w:val="20"/>
                <w:szCs w:val="20"/>
                <w:shd w:val="solid" w:color="000000" w:fill="000000"/>
                <w:fitText w:val="300" w:id="-1233481208"/>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656193FB" w14:textId="6DD78450"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Calibri"/>
                <w:color w:val="000000"/>
                <w:spacing w:val="51"/>
                <w:sz w:val="20"/>
                <w:szCs w:val="20"/>
                <w:shd w:val="solid" w:color="000000" w:fill="000000"/>
                <w:fitText w:val="325" w:id="-1233481207"/>
                <w:lang w:val="en-AU"/>
                <w14:textFill>
                  <w14:solidFill>
                    <w14:srgbClr w14:val="000000">
                      <w14:alpha w14:val="100000"/>
                    </w14:srgbClr>
                  </w14:solidFill>
                </w14:textFill>
              </w:rPr>
              <w:t>|||</w:t>
            </w:r>
            <w:r w:rsidRPr="00093050">
              <w:rPr>
                <w:rFonts w:ascii="Arial Narrow" w:hAnsi="Arial Narrow" w:cs="Calibri"/>
                <w:color w:val="000000"/>
                <w:spacing w:val="2"/>
                <w:sz w:val="20"/>
                <w:szCs w:val="20"/>
                <w:shd w:val="solid" w:color="000000" w:fill="000000"/>
                <w:fitText w:val="325" w:id="-1233481207"/>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6B76F540" w14:textId="1223B992"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Calibri"/>
                <w:color w:val="000000"/>
                <w:spacing w:val="202"/>
                <w:sz w:val="20"/>
                <w:szCs w:val="20"/>
                <w:shd w:val="solid" w:color="000000" w:fill="000000"/>
                <w:fitText w:val="288" w:id="-1233481206"/>
                <w:lang w:val="en-AU"/>
                <w14:textFill>
                  <w14:solidFill>
                    <w14:srgbClr w14:val="000000">
                      <w14:alpha w14:val="100000"/>
                    </w14:srgbClr>
                  </w14:solidFill>
                </w14:textFill>
              </w:rPr>
              <w:t>|</w:t>
            </w:r>
            <w:r w:rsidRPr="00093050">
              <w:rPr>
                <w:rFonts w:ascii="Arial Narrow" w:hAnsi="Arial Narrow" w:cs="Calibri"/>
                <w:color w:val="000000"/>
                <w:spacing w:val="1"/>
                <w:sz w:val="20"/>
                <w:szCs w:val="20"/>
                <w:shd w:val="solid" w:color="000000" w:fill="000000"/>
                <w:fitText w:val="288" w:id="-1233481206"/>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4DAB75C3" w14:textId="0500207A"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Calibri"/>
                <w:color w:val="000000"/>
                <w:spacing w:val="202"/>
                <w:sz w:val="20"/>
                <w:szCs w:val="20"/>
                <w:shd w:val="solid" w:color="000000" w:fill="000000"/>
                <w:fitText w:val="288" w:id="-1233481205"/>
                <w:lang w:val="en-AU"/>
                <w14:textFill>
                  <w14:solidFill>
                    <w14:srgbClr w14:val="000000">
                      <w14:alpha w14:val="100000"/>
                    </w14:srgbClr>
                  </w14:solidFill>
                </w14:textFill>
              </w:rPr>
              <w:t>|</w:t>
            </w:r>
            <w:r w:rsidRPr="00093050">
              <w:rPr>
                <w:rFonts w:ascii="Arial Narrow" w:hAnsi="Arial Narrow" w:cs="Calibri"/>
                <w:color w:val="000000"/>
                <w:spacing w:val="1"/>
                <w:sz w:val="20"/>
                <w:szCs w:val="20"/>
                <w:shd w:val="solid" w:color="000000" w:fill="000000"/>
                <w:fitText w:val="288" w:id="-1233481205"/>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45D187B1" w14:textId="21B97407"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Calibri"/>
                <w:color w:val="000000"/>
                <w:spacing w:val="202"/>
                <w:sz w:val="20"/>
                <w:szCs w:val="20"/>
                <w:shd w:val="solid" w:color="000000" w:fill="000000"/>
                <w:fitText w:val="288" w:id="-1233481204"/>
                <w:lang w:val="en-AU"/>
                <w14:textFill>
                  <w14:solidFill>
                    <w14:srgbClr w14:val="000000">
                      <w14:alpha w14:val="100000"/>
                    </w14:srgbClr>
                  </w14:solidFill>
                </w14:textFill>
              </w:rPr>
              <w:t>|</w:t>
            </w:r>
            <w:r w:rsidRPr="00093050">
              <w:rPr>
                <w:rFonts w:ascii="Arial Narrow" w:hAnsi="Arial Narrow" w:cs="Calibri"/>
                <w:color w:val="000000"/>
                <w:spacing w:val="1"/>
                <w:sz w:val="20"/>
                <w:szCs w:val="20"/>
                <w:shd w:val="solid" w:color="000000" w:fill="000000"/>
                <w:fitText w:val="288" w:id="-1233481204"/>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124F6094" w14:textId="0CAE89DF" w:rsidR="00F76E10" w:rsidRPr="006F283B" w:rsidRDefault="00093050" w:rsidP="00F76E10">
            <w:pPr>
              <w:widowControl w:val="0"/>
              <w:spacing w:before="0"/>
              <w:jc w:val="center"/>
              <w:rPr>
                <w:rFonts w:ascii="Arial Narrow" w:hAnsi="Arial Narrow"/>
                <w:sz w:val="20"/>
                <w:szCs w:val="20"/>
                <w:lang w:val="en-AU"/>
              </w:rPr>
            </w:pPr>
            <w:r w:rsidRPr="00093050">
              <w:rPr>
                <w:rFonts w:ascii="Arial Narrow" w:hAnsi="Arial Narrow" w:cs="Calibri"/>
                <w:color w:val="000000"/>
                <w:spacing w:val="202"/>
                <w:sz w:val="20"/>
                <w:szCs w:val="20"/>
                <w:shd w:val="solid" w:color="000000" w:fill="000000"/>
                <w:fitText w:val="288" w:id="-1233481203"/>
                <w:lang w:val="en-AU"/>
                <w14:textFill>
                  <w14:solidFill>
                    <w14:srgbClr w14:val="000000">
                      <w14:alpha w14:val="100000"/>
                    </w14:srgbClr>
                  </w14:solidFill>
                </w14:textFill>
              </w:rPr>
              <w:t>|</w:t>
            </w:r>
            <w:r w:rsidRPr="00093050">
              <w:rPr>
                <w:rFonts w:ascii="Arial Narrow" w:hAnsi="Arial Narrow" w:cs="Calibri"/>
                <w:color w:val="000000"/>
                <w:spacing w:val="1"/>
                <w:sz w:val="20"/>
                <w:szCs w:val="20"/>
                <w:shd w:val="solid" w:color="000000" w:fill="000000"/>
                <w:fitText w:val="288" w:id="-1233481203"/>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r>
      <w:tr w:rsidR="00F76E10" w:rsidRPr="006F283B" w14:paraId="0D4114F6"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3F5CED8E" w14:textId="3A7C1998" w:rsidR="00F76E10" w:rsidRPr="006F283B" w:rsidRDefault="001152C0" w:rsidP="00F76E10">
            <w:pPr>
              <w:widowControl w:val="0"/>
              <w:spacing w:before="0"/>
              <w:jc w:val="left"/>
              <w:rPr>
                <w:rFonts w:ascii="Arial Narrow" w:hAnsi="Arial Narrow"/>
                <w:sz w:val="20"/>
                <w:szCs w:val="20"/>
                <w:lang w:val="en-AU"/>
              </w:rPr>
            </w:pPr>
            <w:r w:rsidRPr="001152C0">
              <w:rPr>
                <w:rFonts w:ascii="Arial Narrow" w:hAnsi="Arial Narrow" w:cs="Times New Roman"/>
                <w:i/>
                <w:sz w:val="20"/>
                <w:szCs w:val="20"/>
                <w:lang w:val="en-AU"/>
              </w:rPr>
              <w:t>BRCAm</w:t>
            </w:r>
            <w:r w:rsidR="00F76E10" w:rsidRPr="006F283B">
              <w:rPr>
                <w:rFonts w:ascii="Arial Narrow" w:hAnsi="Arial Narrow" w:cs="Times New Roman"/>
                <w:sz w:val="20"/>
                <w:szCs w:val="20"/>
                <w:lang w:val="en-AU"/>
              </w:rPr>
              <w:t xml:space="preserve"> patients initiating niraparib post olaparib</w:t>
            </w:r>
            <w:r w:rsidR="00F76E10" w:rsidRPr="006F283B">
              <w:rPr>
                <w:rFonts w:ascii="Arial Narrow" w:hAnsi="Arial Narrow"/>
                <w:sz w:val="20"/>
                <w:szCs w:val="20"/>
                <w:vertAlign w:val="superscript"/>
                <w:lang w:val="en-AU"/>
              </w:rPr>
              <w:t xml:space="preserve"> </w:t>
            </w:r>
          </w:p>
        </w:tc>
        <w:tc>
          <w:tcPr>
            <w:tcW w:w="629" w:type="pct"/>
            <w:tcBorders>
              <w:top w:val="single" w:sz="4" w:space="0" w:color="auto"/>
              <w:left w:val="single" w:sz="4" w:space="0" w:color="auto"/>
              <w:bottom w:val="single" w:sz="4" w:space="0" w:color="auto"/>
              <w:right w:val="single" w:sz="4" w:space="0" w:color="auto"/>
            </w:tcBorders>
            <w:vAlign w:val="center"/>
          </w:tcPr>
          <w:p w14:paraId="6B1246B6" w14:textId="56C85000" w:rsidR="00F76E10" w:rsidRPr="006F283B" w:rsidRDefault="00093050" w:rsidP="00F76E10">
            <w:pPr>
              <w:widowControl w:val="0"/>
              <w:spacing w:before="0"/>
              <w:jc w:val="center"/>
              <w:rPr>
                <w:rFonts w:ascii="Arial Narrow" w:hAnsi="Arial Narrow"/>
                <w:color w:val="000000"/>
                <w:sz w:val="20"/>
                <w:szCs w:val="20"/>
                <w:lang w:val="en-AU"/>
              </w:rPr>
            </w:pPr>
            <w:r w:rsidRPr="00093050">
              <w:rPr>
                <w:rFonts w:ascii="Arial Narrow" w:hAnsi="Arial Narrow"/>
                <w:color w:val="000000"/>
                <w:spacing w:val="214"/>
                <w:sz w:val="20"/>
                <w:szCs w:val="20"/>
                <w:shd w:val="solid" w:color="000000" w:fill="000000"/>
                <w:fitText w:val="300" w:id="-1233481202"/>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300" w:id="-1233481202"/>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372FA410" w14:textId="103B5496" w:rsidR="00F76E10" w:rsidRPr="006F283B" w:rsidRDefault="00093050" w:rsidP="00F76E10">
            <w:pPr>
              <w:widowControl w:val="0"/>
              <w:spacing w:before="0"/>
              <w:jc w:val="center"/>
              <w:rPr>
                <w:rFonts w:ascii="Arial Narrow" w:hAnsi="Arial Narrow"/>
                <w:color w:val="000000"/>
                <w:sz w:val="20"/>
                <w:szCs w:val="20"/>
                <w:lang w:val="en-AU"/>
              </w:rPr>
            </w:pPr>
            <w:r w:rsidRPr="00093050">
              <w:rPr>
                <w:rFonts w:ascii="Arial Narrow" w:hAnsi="Arial Narrow"/>
                <w:color w:val="000000"/>
                <w:spacing w:val="51"/>
                <w:sz w:val="20"/>
                <w:szCs w:val="20"/>
                <w:shd w:val="solid" w:color="000000" w:fill="000000"/>
                <w:fitText w:val="325" w:id="-1233481201"/>
                <w:lang w:val="en-AU"/>
                <w14:textFill>
                  <w14:solidFill>
                    <w14:srgbClr w14:val="000000">
                      <w14:alpha w14:val="100000"/>
                    </w14:srgbClr>
                  </w14:solidFill>
                </w14:textFill>
              </w:rPr>
              <w:t>|||</w:t>
            </w:r>
            <w:r w:rsidRPr="00093050">
              <w:rPr>
                <w:rFonts w:ascii="Arial Narrow" w:hAnsi="Arial Narrow"/>
                <w:color w:val="000000"/>
                <w:spacing w:val="2"/>
                <w:sz w:val="20"/>
                <w:szCs w:val="20"/>
                <w:shd w:val="solid" w:color="000000" w:fill="000000"/>
                <w:fitText w:val="325" w:id="-1233481201"/>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39B5BBAD" w14:textId="39C10C44" w:rsidR="00F76E10" w:rsidRPr="006F283B" w:rsidRDefault="00093050" w:rsidP="00F76E10">
            <w:pPr>
              <w:widowControl w:val="0"/>
              <w:spacing w:before="0"/>
              <w:jc w:val="center"/>
              <w:rPr>
                <w:rFonts w:ascii="Arial Narrow" w:hAnsi="Arial Narrow"/>
                <w:color w:val="000000"/>
                <w:sz w:val="20"/>
                <w:szCs w:val="20"/>
                <w:lang w:val="en-AU"/>
              </w:rPr>
            </w:pPr>
            <w:r w:rsidRPr="00093050">
              <w:rPr>
                <w:rFonts w:ascii="Arial Narrow" w:hAnsi="Arial Narrow"/>
                <w:color w:val="000000"/>
                <w:spacing w:val="202"/>
                <w:sz w:val="20"/>
                <w:szCs w:val="20"/>
                <w:shd w:val="solid" w:color="000000" w:fill="000000"/>
                <w:fitText w:val="288" w:id="-1233481200"/>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00"/>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0BEDA8BA" w14:textId="1E37BE07" w:rsidR="00F76E10" w:rsidRPr="006F283B" w:rsidRDefault="00093050" w:rsidP="00F76E10">
            <w:pPr>
              <w:widowControl w:val="0"/>
              <w:spacing w:before="0"/>
              <w:jc w:val="center"/>
              <w:rPr>
                <w:rFonts w:ascii="Arial Narrow" w:hAnsi="Arial Narrow"/>
                <w:color w:val="000000"/>
                <w:sz w:val="20"/>
                <w:szCs w:val="20"/>
                <w:lang w:val="en-AU"/>
              </w:rPr>
            </w:pPr>
            <w:r w:rsidRPr="00093050">
              <w:rPr>
                <w:rFonts w:ascii="Arial Narrow" w:hAnsi="Arial Narrow"/>
                <w:color w:val="000000"/>
                <w:spacing w:val="202"/>
                <w:sz w:val="20"/>
                <w:szCs w:val="20"/>
                <w:shd w:val="solid" w:color="000000" w:fill="000000"/>
                <w:fitText w:val="288" w:id="-1233481216"/>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6"/>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376EA8FC" w14:textId="1C8C8A12" w:rsidR="00F76E10" w:rsidRPr="006F283B" w:rsidRDefault="00093050" w:rsidP="00F76E10">
            <w:pPr>
              <w:widowControl w:val="0"/>
              <w:spacing w:before="0"/>
              <w:jc w:val="center"/>
              <w:rPr>
                <w:rFonts w:ascii="Arial Narrow" w:hAnsi="Arial Narrow"/>
                <w:color w:val="000000"/>
                <w:sz w:val="20"/>
                <w:szCs w:val="20"/>
                <w:lang w:val="en-AU"/>
              </w:rPr>
            </w:pPr>
            <w:r w:rsidRPr="00093050">
              <w:rPr>
                <w:rFonts w:ascii="Arial Narrow" w:hAnsi="Arial Narrow"/>
                <w:color w:val="000000"/>
                <w:spacing w:val="202"/>
                <w:sz w:val="20"/>
                <w:szCs w:val="20"/>
                <w:shd w:val="solid" w:color="000000" w:fill="000000"/>
                <w:fitText w:val="288" w:id="-1233481215"/>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5"/>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2B5594FA" w14:textId="1E546725" w:rsidR="00F76E10" w:rsidRPr="006F283B" w:rsidRDefault="00093050" w:rsidP="00F76E10">
            <w:pPr>
              <w:widowControl w:val="0"/>
              <w:spacing w:before="0"/>
              <w:jc w:val="center"/>
              <w:rPr>
                <w:rFonts w:ascii="Arial Narrow" w:hAnsi="Arial Narrow"/>
                <w:color w:val="000000"/>
                <w:sz w:val="20"/>
                <w:szCs w:val="20"/>
                <w:lang w:val="en-AU"/>
              </w:rPr>
            </w:pPr>
            <w:r w:rsidRPr="00093050">
              <w:rPr>
                <w:rFonts w:ascii="Arial Narrow" w:hAnsi="Arial Narrow"/>
                <w:color w:val="000000"/>
                <w:spacing w:val="202"/>
                <w:sz w:val="20"/>
                <w:szCs w:val="20"/>
                <w:shd w:val="solid" w:color="000000" w:fill="000000"/>
                <w:fitText w:val="288" w:id="-1233481214"/>
                <w:lang w:val="en-AU"/>
                <w14:textFill>
                  <w14:solidFill>
                    <w14:srgbClr w14:val="000000">
                      <w14:alpha w14:val="100000"/>
                    </w14:srgbClr>
                  </w14:solidFill>
                </w14:textFill>
              </w:rPr>
              <w:t>|</w:t>
            </w:r>
            <w:r w:rsidRPr="00093050">
              <w:rPr>
                <w:rFonts w:ascii="Arial Narrow" w:hAnsi="Arial Narrow"/>
                <w:color w:val="000000"/>
                <w:spacing w:val="1"/>
                <w:sz w:val="20"/>
                <w:szCs w:val="20"/>
                <w:shd w:val="solid" w:color="000000" w:fill="000000"/>
                <w:fitText w:val="288" w:id="-1233481214"/>
                <w:lang w:val="en-AU"/>
                <w14:textFill>
                  <w14:solidFill>
                    <w14:srgbClr w14:val="000000">
                      <w14:alpha w14:val="100000"/>
                    </w14:srgbClr>
                  </w14:solidFill>
                </w14:textFill>
              </w:rPr>
              <w:t>|</w:t>
            </w:r>
            <w:r w:rsidR="004D5955" w:rsidRPr="004D5955">
              <w:rPr>
                <w:rFonts w:ascii="Arial Narrow" w:hAnsi="Arial Narrow"/>
                <w:sz w:val="20"/>
                <w:szCs w:val="20"/>
                <w:lang w:val="en-AU"/>
              </w:rPr>
              <w:t xml:space="preserve"> </w:t>
            </w:r>
            <w:r w:rsidR="004D5955" w:rsidRPr="004D5955">
              <w:rPr>
                <w:rFonts w:ascii="Arial Narrow" w:hAnsi="Arial Narrow"/>
                <w:sz w:val="20"/>
                <w:szCs w:val="20"/>
                <w:vertAlign w:val="superscript"/>
                <w:lang w:val="en-AU"/>
              </w:rPr>
              <w:t>1</w:t>
            </w:r>
          </w:p>
        </w:tc>
      </w:tr>
      <w:tr w:rsidR="00F76E10" w:rsidRPr="006F283B" w14:paraId="3A5F3221"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tcPr>
          <w:p w14:paraId="14CDE88D" w14:textId="54E0086B" w:rsidR="00F76E10" w:rsidRPr="006F283B" w:rsidRDefault="00F76E10" w:rsidP="00F76E10">
            <w:pPr>
              <w:keepNext/>
              <w:widowControl w:val="0"/>
              <w:spacing w:before="0"/>
              <w:jc w:val="left"/>
              <w:rPr>
                <w:rFonts w:ascii="Arial Narrow" w:hAnsi="Arial Narrow" w:cs="Times New Roman"/>
                <w:b/>
                <w:color w:val="000000"/>
                <w:sz w:val="20"/>
                <w:szCs w:val="20"/>
                <w:lang w:val="en-AU" w:eastAsia="zh-CN"/>
              </w:rPr>
            </w:pPr>
            <w:r w:rsidRPr="006F283B">
              <w:rPr>
                <w:rFonts w:ascii="Arial Narrow" w:hAnsi="Arial Narrow" w:cs="Times New Roman"/>
                <w:b/>
                <w:color w:val="000000"/>
                <w:sz w:val="20"/>
                <w:szCs w:val="20"/>
                <w:lang w:val="en-AU" w:eastAsia="zh-CN"/>
              </w:rPr>
              <w:t xml:space="preserve">TOTAL: HRD positive </w:t>
            </w:r>
            <w:r w:rsidR="001152C0" w:rsidRPr="001152C0">
              <w:rPr>
                <w:rFonts w:ascii="Arial Narrow" w:hAnsi="Arial Narrow" w:cs="Times New Roman"/>
                <w:b/>
                <w:i/>
                <w:color w:val="000000"/>
                <w:sz w:val="20"/>
                <w:szCs w:val="20"/>
                <w:lang w:val="en-AU" w:eastAsia="zh-CN"/>
              </w:rPr>
              <w:t>BRCAwt</w:t>
            </w:r>
            <w:r w:rsidRPr="006F283B">
              <w:rPr>
                <w:rFonts w:ascii="Arial Narrow" w:hAnsi="Arial Narrow" w:cs="Times New Roman"/>
                <w:b/>
                <w:color w:val="000000"/>
                <w:sz w:val="20"/>
                <w:szCs w:val="20"/>
                <w:lang w:val="en-AU" w:eastAsia="zh-CN"/>
              </w:rPr>
              <w:t xml:space="preserve"> + </w:t>
            </w:r>
            <w:r w:rsidR="001152C0" w:rsidRPr="001152C0">
              <w:rPr>
                <w:rFonts w:ascii="Arial Narrow" w:hAnsi="Arial Narrow" w:cs="Times New Roman"/>
                <w:b/>
                <w:i/>
                <w:color w:val="000000"/>
                <w:sz w:val="20"/>
                <w:szCs w:val="20"/>
                <w:lang w:val="en-AU" w:eastAsia="zh-CN"/>
              </w:rPr>
              <w:t>BRCAm</w:t>
            </w:r>
          </w:p>
        </w:tc>
      </w:tr>
      <w:tr w:rsidR="00F76E10" w:rsidRPr="006F283B" w14:paraId="2878CE10"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117F5D56" w14:textId="77777777"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Net cost to PBS/RPBS of niraparib (weighted price)</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2C566D" w14:textId="1C8AE830"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189"/>
                <w:sz w:val="20"/>
                <w:szCs w:val="20"/>
                <w:shd w:val="solid" w:color="000000" w:fill="000000"/>
                <w:fitText w:val="275" w:id="-1233481213"/>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75" w:id="-123348121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FC778D" w14:textId="51BACAD4"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202"/>
                <w:sz w:val="20"/>
                <w:szCs w:val="20"/>
                <w:shd w:val="solid" w:color="000000" w:fill="000000"/>
                <w:fitText w:val="288" w:id="-1233481212"/>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88" w:id="-123348121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4</w:t>
            </w:r>
          </w:p>
        </w:tc>
        <w:tc>
          <w:tcPr>
            <w:tcW w:w="6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341E7" w14:textId="38BBB099"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164"/>
                <w:sz w:val="20"/>
                <w:szCs w:val="20"/>
                <w:shd w:val="solid" w:color="000000" w:fill="000000"/>
                <w:fitText w:val="250" w:id="-1233481211"/>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50" w:id="-123348121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4</w:t>
            </w:r>
          </w:p>
        </w:tc>
        <w:tc>
          <w:tcPr>
            <w:tcW w:w="6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84010D" w14:textId="289E9992"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177"/>
                <w:sz w:val="20"/>
                <w:szCs w:val="20"/>
                <w:shd w:val="solid" w:color="000000" w:fill="000000"/>
                <w:fitText w:val="263" w:id="-1233481210"/>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63" w:id="-123348121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4</w:t>
            </w:r>
          </w:p>
        </w:tc>
        <w:tc>
          <w:tcPr>
            <w:tcW w:w="6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292A29" w14:textId="5E32B083"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164"/>
                <w:sz w:val="20"/>
                <w:szCs w:val="20"/>
                <w:shd w:val="solid" w:color="000000" w:fill="000000"/>
                <w:fitText w:val="250" w:id="-1233481209"/>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50" w:id="-1233481209"/>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4</w:t>
            </w:r>
          </w:p>
        </w:tc>
        <w:tc>
          <w:tcPr>
            <w:tcW w:w="64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4349F3" w14:textId="1A49CF3C"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165"/>
                <w:sz w:val="20"/>
                <w:szCs w:val="20"/>
                <w:shd w:val="solid" w:color="000000" w:fill="000000"/>
                <w:fitText w:val="251" w:id="-1233481208"/>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51" w:id="-1233481208"/>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4</w:t>
            </w:r>
          </w:p>
        </w:tc>
      </w:tr>
      <w:tr w:rsidR="00F76E10" w:rsidRPr="006F283B" w14:paraId="5AAEE836"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tcPr>
          <w:p w14:paraId="3D860D09" w14:textId="42310092" w:rsidR="00F76E10" w:rsidRPr="006F283B" w:rsidRDefault="00F76E10" w:rsidP="00F76E10">
            <w:pPr>
              <w:widowControl w:val="0"/>
              <w:spacing w:before="0"/>
              <w:jc w:val="left"/>
              <w:rPr>
                <w:rFonts w:ascii="Arial Narrow" w:hAnsi="Arial Narrow"/>
                <w:b/>
                <w:bCs/>
                <w:sz w:val="20"/>
                <w:szCs w:val="20"/>
                <w:lang w:val="en-AU"/>
              </w:rPr>
            </w:pPr>
            <w:r w:rsidRPr="006F283B">
              <w:rPr>
                <w:rFonts w:ascii="Arial Narrow" w:hAnsi="Arial Narrow"/>
                <w:b/>
                <w:bCs/>
                <w:sz w:val="20"/>
                <w:szCs w:val="20"/>
                <w:lang w:val="en-AU"/>
              </w:rPr>
              <w:t>Niraparib (</w:t>
            </w:r>
            <w:r w:rsidR="001152C0" w:rsidRPr="001152C0">
              <w:rPr>
                <w:rFonts w:ascii="Arial Narrow" w:hAnsi="Arial Narrow"/>
                <w:b/>
                <w:bCs/>
                <w:i/>
                <w:sz w:val="20"/>
                <w:szCs w:val="20"/>
                <w:lang w:val="en-AU"/>
              </w:rPr>
              <w:t>BRCAm</w:t>
            </w:r>
            <w:r w:rsidRPr="006F283B">
              <w:rPr>
                <w:rFonts w:ascii="Arial Narrow" w:hAnsi="Arial Narrow"/>
                <w:b/>
                <w:bCs/>
                <w:sz w:val="20"/>
                <w:szCs w:val="20"/>
                <w:lang w:val="en-AU"/>
              </w:rPr>
              <w:t>) listing at current price, cost saving</w:t>
            </w:r>
          </w:p>
        </w:tc>
      </w:tr>
      <w:tr w:rsidR="00F76E10" w:rsidRPr="006F283B" w14:paraId="0DA55233"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030F4693" w14:textId="77777777"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Net cost PBS / RPBS (current price)</w:t>
            </w:r>
          </w:p>
        </w:tc>
        <w:tc>
          <w:tcPr>
            <w:tcW w:w="629" w:type="pct"/>
            <w:tcBorders>
              <w:top w:val="single" w:sz="4" w:space="0" w:color="auto"/>
              <w:left w:val="single" w:sz="4" w:space="0" w:color="auto"/>
              <w:bottom w:val="single" w:sz="4" w:space="0" w:color="auto"/>
              <w:right w:val="single" w:sz="4" w:space="0" w:color="auto"/>
            </w:tcBorders>
          </w:tcPr>
          <w:p w14:paraId="7C13188A" w14:textId="555E977A"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8"/>
                <w:sz w:val="20"/>
                <w:szCs w:val="20"/>
                <w:shd w:val="solid" w:color="000000" w:fill="000000"/>
                <w:fitText w:val="376" w:id="-1233481207"/>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1207"/>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tcPr>
          <w:p w14:paraId="03A16D9C" w14:textId="4C44FE8D"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1"/>
                <w:sz w:val="20"/>
                <w:szCs w:val="20"/>
                <w:shd w:val="solid" w:color="000000" w:fill="000000"/>
                <w:fitText w:val="325" w:id="-1233481206"/>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120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53" w:type="pct"/>
            <w:tcBorders>
              <w:top w:val="single" w:sz="4" w:space="0" w:color="auto"/>
              <w:left w:val="single" w:sz="4" w:space="0" w:color="auto"/>
              <w:bottom w:val="single" w:sz="4" w:space="0" w:color="auto"/>
              <w:right w:val="single" w:sz="4" w:space="0" w:color="auto"/>
            </w:tcBorders>
            <w:tcMar>
              <w:left w:w="28" w:type="dxa"/>
              <w:right w:w="28" w:type="dxa"/>
            </w:tcMar>
          </w:tcPr>
          <w:p w14:paraId="62F6AD72" w14:textId="4C7B3EE2"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189"/>
                <w:sz w:val="20"/>
                <w:szCs w:val="20"/>
                <w:shd w:val="solid" w:color="000000" w:fill="000000"/>
                <w:fitText w:val="275" w:id="-1233481205"/>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75" w:id="-123348120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42" w:type="pct"/>
            <w:tcBorders>
              <w:top w:val="single" w:sz="4" w:space="0" w:color="auto"/>
              <w:left w:val="single" w:sz="4" w:space="0" w:color="auto"/>
              <w:bottom w:val="single" w:sz="4" w:space="0" w:color="auto"/>
              <w:right w:val="single" w:sz="4" w:space="0" w:color="auto"/>
            </w:tcBorders>
            <w:tcMar>
              <w:left w:w="28" w:type="dxa"/>
              <w:right w:w="28" w:type="dxa"/>
            </w:tcMar>
          </w:tcPr>
          <w:p w14:paraId="2C68DBF6" w14:textId="42B36BFF"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189"/>
                <w:sz w:val="20"/>
                <w:szCs w:val="20"/>
                <w:shd w:val="solid" w:color="000000" w:fill="000000"/>
                <w:fitText w:val="275" w:id="-1233481204"/>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75" w:id="-123348120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47" w:type="pct"/>
            <w:tcBorders>
              <w:top w:val="single" w:sz="4" w:space="0" w:color="auto"/>
              <w:left w:val="single" w:sz="4" w:space="0" w:color="auto"/>
              <w:bottom w:val="single" w:sz="4" w:space="0" w:color="auto"/>
              <w:right w:val="single" w:sz="4" w:space="0" w:color="auto"/>
            </w:tcBorders>
            <w:tcMar>
              <w:left w:w="28" w:type="dxa"/>
              <w:right w:w="28" w:type="dxa"/>
            </w:tcMar>
          </w:tcPr>
          <w:p w14:paraId="4DCB3546" w14:textId="525F9035"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189"/>
                <w:sz w:val="20"/>
                <w:szCs w:val="20"/>
                <w:shd w:val="solid" w:color="000000" w:fill="000000"/>
                <w:fitText w:val="275" w:id="-1233481203"/>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75" w:id="-123348120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47" w:type="pct"/>
            <w:tcBorders>
              <w:top w:val="single" w:sz="4" w:space="0" w:color="auto"/>
              <w:left w:val="single" w:sz="4" w:space="0" w:color="auto"/>
              <w:bottom w:val="single" w:sz="4" w:space="0" w:color="auto"/>
              <w:right w:val="single" w:sz="4" w:space="0" w:color="auto"/>
            </w:tcBorders>
            <w:tcMar>
              <w:left w:w="28" w:type="dxa"/>
              <w:right w:w="28" w:type="dxa"/>
            </w:tcMar>
          </w:tcPr>
          <w:p w14:paraId="07C78E28" w14:textId="7C1B9E21"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190"/>
                <w:sz w:val="20"/>
                <w:szCs w:val="20"/>
                <w:shd w:val="solid" w:color="000000" w:fill="000000"/>
                <w:fitText w:val="276" w:id="-1233481202"/>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276" w:id="-123348120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r>
      <w:tr w:rsidR="00F76E10" w:rsidRPr="006F283B" w14:paraId="215D8C48"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1A4F34D0" w14:textId="77777777" w:rsidR="00F76E10" w:rsidRPr="006F283B" w:rsidRDefault="00F76E10" w:rsidP="00F76E10">
            <w:pPr>
              <w:widowControl w:val="0"/>
              <w:spacing w:before="0"/>
              <w:jc w:val="left"/>
              <w:rPr>
                <w:rFonts w:ascii="Arial Narrow" w:hAnsi="Arial Narrow"/>
                <w:b/>
                <w:sz w:val="20"/>
                <w:szCs w:val="20"/>
                <w:lang w:val="en-AU"/>
              </w:rPr>
            </w:pPr>
            <w:r w:rsidRPr="006F283B">
              <w:rPr>
                <w:rFonts w:ascii="Arial Narrow" w:hAnsi="Arial Narrow"/>
                <w:b/>
                <w:sz w:val="20"/>
                <w:szCs w:val="20"/>
                <w:lang w:val="en-AU"/>
              </w:rPr>
              <w:t>Net cost PBS / RPBS</w:t>
            </w:r>
          </w:p>
        </w:tc>
        <w:tc>
          <w:tcPr>
            <w:tcW w:w="629" w:type="pct"/>
            <w:tcBorders>
              <w:top w:val="single" w:sz="4" w:space="0" w:color="auto"/>
              <w:left w:val="single" w:sz="4" w:space="0" w:color="auto"/>
              <w:bottom w:val="single" w:sz="4" w:space="0" w:color="auto"/>
              <w:right w:val="single" w:sz="4" w:space="0" w:color="auto"/>
            </w:tcBorders>
            <w:vAlign w:val="center"/>
          </w:tcPr>
          <w:p w14:paraId="6BA9D192" w14:textId="4F5A7FC2"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9"/>
                <w:sz w:val="20"/>
                <w:szCs w:val="20"/>
                <w:shd w:val="solid" w:color="000000" w:fill="000000"/>
                <w:fitText w:val="350" w:id="-1233481201"/>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120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6CD9CF37" w14:textId="178A4774"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68"/>
                <w:sz w:val="20"/>
                <w:szCs w:val="20"/>
                <w:shd w:val="solid" w:color="000000" w:fill="000000"/>
                <w:fitText w:val="376" w:id="-1233481200"/>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120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7AEF5083" w14:textId="187F4D50"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1"/>
                <w:sz w:val="20"/>
                <w:szCs w:val="20"/>
                <w:shd w:val="solid" w:color="000000" w:fill="000000"/>
                <w:fitText w:val="325" w:id="-1233481216"/>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121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49F0A235" w14:textId="6D5EFB9D"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5"/>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2F8BA565" w14:textId="3833B95C"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4"/>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1B54DAE0" w14:textId="765C5FBB"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3"/>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2A461CC5"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tcPr>
          <w:p w14:paraId="1CDB75E2" w14:textId="441D78B2" w:rsidR="00F76E10" w:rsidRPr="006F283B" w:rsidRDefault="00F76E10" w:rsidP="00F76E10">
            <w:pPr>
              <w:keepNext/>
              <w:widowControl w:val="0"/>
              <w:spacing w:before="0"/>
              <w:jc w:val="left"/>
              <w:rPr>
                <w:rFonts w:ascii="Arial Narrow" w:hAnsi="Arial Narrow" w:cs="Times New Roman"/>
                <w:b/>
                <w:color w:val="000000"/>
                <w:sz w:val="20"/>
                <w:szCs w:val="20"/>
                <w:lang w:val="en-AU" w:eastAsia="zh-CN"/>
              </w:rPr>
            </w:pPr>
            <w:r w:rsidRPr="006F283B">
              <w:rPr>
                <w:rFonts w:ascii="Arial Narrow" w:hAnsi="Arial Narrow" w:cs="Times New Roman"/>
                <w:b/>
                <w:color w:val="000000"/>
                <w:sz w:val="20"/>
                <w:szCs w:val="20"/>
                <w:lang w:val="en-AU" w:eastAsia="zh-CN"/>
              </w:rPr>
              <w:t xml:space="preserve">Estimated financial implications of HRD and </w:t>
            </w:r>
            <w:r w:rsidR="001152C0" w:rsidRPr="001152C0">
              <w:rPr>
                <w:rFonts w:ascii="Arial Narrow" w:hAnsi="Arial Narrow" w:cs="Times New Roman"/>
                <w:b/>
                <w:bCs/>
                <w:i/>
                <w:color w:val="000000"/>
                <w:sz w:val="20"/>
                <w:szCs w:val="20"/>
                <w:lang w:val="en-AU" w:eastAsia="zh-CN"/>
              </w:rPr>
              <w:t xml:space="preserve">BRCA </w:t>
            </w:r>
            <w:r w:rsidRPr="006F283B">
              <w:rPr>
                <w:rFonts w:ascii="Arial Narrow" w:hAnsi="Arial Narrow" w:cs="Times New Roman"/>
                <w:b/>
                <w:color w:val="000000"/>
                <w:sz w:val="20"/>
                <w:szCs w:val="20"/>
                <w:lang w:val="en-AU" w:eastAsia="zh-CN"/>
              </w:rPr>
              <w:t>tests to the MBS</w:t>
            </w:r>
          </w:p>
        </w:tc>
      </w:tr>
      <w:tr w:rsidR="00F76E10" w:rsidRPr="006F283B" w14:paraId="76976801"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5ECA77D9" w14:textId="77777777" w:rsidR="00F76E10" w:rsidRPr="006F283B" w:rsidRDefault="00F76E10" w:rsidP="00F76E10">
            <w:pPr>
              <w:widowControl w:val="0"/>
              <w:spacing w:before="0"/>
              <w:jc w:val="left"/>
              <w:rPr>
                <w:rFonts w:ascii="Arial Narrow" w:hAnsi="Arial Narrow" w:cs="Times New Roman"/>
                <w:sz w:val="20"/>
                <w:szCs w:val="20"/>
                <w:lang w:val="en-AU"/>
              </w:rPr>
            </w:pPr>
            <w:r w:rsidRPr="006F283B">
              <w:rPr>
                <w:rFonts w:ascii="Arial Narrow" w:hAnsi="Arial Narrow"/>
                <w:sz w:val="20"/>
                <w:szCs w:val="20"/>
                <w:lang w:val="en-AU"/>
              </w:rPr>
              <w:t>Total MBS services (HRD test)</w:t>
            </w:r>
          </w:p>
        </w:tc>
        <w:tc>
          <w:tcPr>
            <w:tcW w:w="629" w:type="pct"/>
            <w:tcBorders>
              <w:top w:val="single" w:sz="4" w:space="0" w:color="auto"/>
              <w:left w:val="single" w:sz="4" w:space="0" w:color="auto"/>
              <w:bottom w:val="single" w:sz="4" w:space="0" w:color="auto"/>
              <w:right w:val="single" w:sz="4" w:space="0" w:color="auto"/>
            </w:tcBorders>
            <w:vAlign w:val="center"/>
          </w:tcPr>
          <w:p w14:paraId="1864A836" w14:textId="4EDDD9A5"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14"/>
                <w:sz w:val="20"/>
                <w:szCs w:val="20"/>
                <w:shd w:val="solid" w:color="000000" w:fill="000000"/>
                <w:fitText w:val="300" w:id="-1233481212"/>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300" w:id="-1233481212"/>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6895D411" w14:textId="4498EA90"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51"/>
                <w:sz w:val="20"/>
                <w:szCs w:val="20"/>
                <w:shd w:val="solid" w:color="000000" w:fill="000000"/>
                <w:fitText w:val="325" w:id="-1233481211"/>
                <w:lang w:val="en-AU"/>
                <w14:textFill>
                  <w14:solidFill>
                    <w14:srgbClr w14:val="000000">
                      <w14:alpha w14:val="100000"/>
                    </w14:srgbClr>
                  </w14:solidFill>
                </w14:textFill>
              </w:rPr>
              <w:t>|||</w:t>
            </w:r>
            <w:r w:rsidRPr="00093050">
              <w:rPr>
                <w:rFonts w:ascii="Arial Narrow" w:hAnsi="Arial Narrow" w:cs="Times New Roman"/>
                <w:color w:val="000000"/>
                <w:spacing w:val="2"/>
                <w:sz w:val="20"/>
                <w:szCs w:val="20"/>
                <w:shd w:val="solid" w:color="000000" w:fill="000000"/>
                <w:fitText w:val="325" w:id="-1233481211"/>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56F56FB5" w14:textId="61F7CC7F"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10"/>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10"/>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20CB634C" w14:textId="27C4E142"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09"/>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09"/>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35AD2DB5" w14:textId="7D1B5025"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08"/>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08"/>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4FBF3D16" w14:textId="78CBBC12"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07"/>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07"/>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r>
      <w:tr w:rsidR="00F76E10" w:rsidRPr="006F283B" w14:paraId="50DE0CB5"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297DE799" w14:textId="19941E20" w:rsidR="00F76E10" w:rsidRPr="006F283B" w:rsidRDefault="00F76E10" w:rsidP="00F76E10">
            <w:pPr>
              <w:widowControl w:val="0"/>
              <w:spacing w:before="0"/>
              <w:jc w:val="left"/>
              <w:rPr>
                <w:rFonts w:ascii="Arial Narrow" w:hAnsi="Arial Narrow" w:cs="Times New Roman"/>
                <w:sz w:val="20"/>
                <w:szCs w:val="20"/>
                <w:lang w:val="en-AU"/>
              </w:rPr>
            </w:pPr>
            <w:r w:rsidRPr="006F283B">
              <w:rPr>
                <w:rFonts w:ascii="Arial Narrow" w:hAnsi="Arial Narrow"/>
                <w:sz w:val="20"/>
                <w:szCs w:val="20"/>
                <w:lang w:val="en-AU"/>
              </w:rPr>
              <w:t>Number of t</w:t>
            </w:r>
            <w:r w:rsidR="001152C0" w:rsidRPr="001152C0">
              <w:rPr>
                <w:rFonts w:ascii="Arial Narrow" w:hAnsi="Arial Narrow"/>
                <w:i/>
                <w:sz w:val="20"/>
                <w:szCs w:val="20"/>
                <w:lang w:val="en-AU"/>
              </w:rPr>
              <w:t xml:space="preserve">BRCA </w:t>
            </w:r>
            <w:r w:rsidRPr="006F283B">
              <w:rPr>
                <w:rFonts w:ascii="Arial Narrow" w:hAnsi="Arial Narrow"/>
                <w:sz w:val="20"/>
                <w:szCs w:val="20"/>
                <w:lang w:val="en-AU"/>
              </w:rPr>
              <w:t>testing services to be replaced</w:t>
            </w:r>
          </w:p>
        </w:tc>
        <w:tc>
          <w:tcPr>
            <w:tcW w:w="629" w:type="pct"/>
            <w:tcBorders>
              <w:top w:val="single" w:sz="4" w:space="0" w:color="auto"/>
              <w:left w:val="single" w:sz="4" w:space="0" w:color="auto"/>
              <w:bottom w:val="single" w:sz="4" w:space="0" w:color="auto"/>
              <w:right w:val="single" w:sz="4" w:space="0" w:color="auto"/>
            </w:tcBorders>
            <w:vAlign w:val="center"/>
          </w:tcPr>
          <w:p w14:paraId="5E2AAE86" w14:textId="12C1A741"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14"/>
                <w:sz w:val="20"/>
                <w:szCs w:val="20"/>
                <w:shd w:val="solid" w:color="000000" w:fill="000000"/>
                <w:fitText w:val="300" w:id="-1233481206"/>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300" w:id="-1233481206"/>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05" w:type="pct"/>
            <w:tcBorders>
              <w:top w:val="single" w:sz="4" w:space="0" w:color="auto"/>
              <w:left w:val="single" w:sz="4" w:space="0" w:color="auto"/>
              <w:bottom w:val="single" w:sz="4" w:space="0" w:color="auto"/>
              <w:right w:val="single" w:sz="4" w:space="0" w:color="auto"/>
            </w:tcBorders>
            <w:vAlign w:val="center"/>
          </w:tcPr>
          <w:p w14:paraId="267631A2" w14:textId="41A348C2"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51"/>
                <w:sz w:val="20"/>
                <w:szCs w:val="20"/>
                <w:shd w:val="solid" w:color="000000" w:fill="000000"/>
                <w:fitText w:val="325" w:id="-1233481205"/>
                <w:lang w:val="en-AU"/>
                <w14:textFill>
                  <w14:solidFill>
                    <w14:srgbClr w14:val="000000">
                      <w14:alpha w14:val="100000"/>
                    </w14:srgbClr>
                  </w14:solidFill>
                </w14:textFill>
              </w:rPr>
              <w:t>|||</w:t>
            </w:r>
            <w:r w:rsidRPr="00093050">
              <w:rPr>
                <w:rFonts w:ascii="Arial Narrow" w:hAnsi="Arial Narrow" w:cs="Times New Roman"/>
                <w:color w:val="000000"/>
                <w:spacing w:val="2"/>
                <w:sz w:val="20"/>
                <w:szCs w:val="20"/>
                <w:shd w:val="solid" w:color="000000" w:fill="000000"/>
                <w:fitText w:val="325" w:id="-1233481205"/>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53" w:type="pct"/>
            <w:tcBorders>
              <w:top w:val="single" w:sz="4" w:space="0" w:color="auto"/>
              <w:left w:val="single" w:sz="4" w:space="0" w:color="auto"/>
              <w:bottom w:val="single" w:sz="4" w:space="0" w:color="auto"/>
              <w:right w:val="single" w:sz="4" w:space="0" w:color="auto"/>
            </w:tcBorders>
            <w:vAlign w:val="center"/>
          </w:tcPr>
          <w:p w14:paraId="1F5ADD5C" w14:textId="1C46DA4A"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04"/>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04"/>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42" w:type="pct"/>
            <w:tcBorders>
              <w:top w:val="single" w:sz="4" w:space="0" w:color="auto"/>
              <w:left w:val="single" w:sz="4" w:space="0" w:color="auto"/>
              <w:bottom w:val="single" w:sz="4" w:space="0" w:color="auto"/>
              <w:right w:val="single" w:sz="4" w:space="0" w:color="auto"/>
            </w:tcBorders>
            <w:vAlign w:val="center"/>
          </w:tcPr>
          <w:p w14:paraId="7BEACD2A" w14:textId="39C501EF"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03"/>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03"/>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79CDADAE" w14:textId="3005F10C"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02"/>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02"/>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c>
          <w:tcPr>
            <w:tcW w:w="647" w:type="pct"/>
            <w:tcBorders>
              <w:top w:val="single" w:sz="4" w:space="0" w:color="auto"/>
              <w:left w:val="single" w:sz="4" w:space="0" w:color="auto"/>
              <w:bottom w:val="single" w:sz="4" w:space="0" w:color="auto"/>
              <w:right w:val="single" w:sz="4" w:space="0" w:color="auto"/>
            </w:tcBorders>
            <w:vAlign w:val="center"/>
          </w:tcPr>
          <w:p w14:paraId="628CDBED" w14:textId="566AC738" w:rsidR="00F76E10" w:rsidRPr="006F283B" w:rsidRDefault="00093050" w:rsidP="00F76E10">
            <w:pPr>
              <w:widowControl w:val="0"/>
              <w:spacing w:before="0"/>
              <w:jc w:val="center"/>
              <w:rPr>
                <w:rFonts w:ascii="Arial Narrow" w:hAnsi="Arial Narrow" w:cs="Calibri"/>
                <w:color w:val="000000"/>
                <w:sz w:val="20"/>
                <w:szCs w:val="20"/>
                <w:lang w:val="en-AU"/>
              </w:rPr>
            </w:pPr>
            <w:r w:rsidRPr="00093050">
              <w:rPr>
                <w:rFonts w:ascii="Arial Narrow" w:hAnsi="Arial Narrow" w:cs="Times New Roman"/>
                <w:color w:val="000000"/>
                <w:spacing w:val="202"/>
                <w:sz w:val="20"/>
                <w:szCs w:val="20"/>
                <w:shd w:val="solid" w:color="000000" w:fill="000000"/>
                <w:fitText w:val="288" w:id="-1233481201"/>
                <w:lang w:val="en-AU"/>
                <w14:textFill>
                  <w14:solidFill>
                    <w14:srgbClr w14:val="000000">
                      <w14:alpha w14:val="100000"/>
                    </w14:srgbClr>
                  </w14:solidFill>
                </w14:textFill>
              </w:rPr>
              <w:t>|</w:t>
            </w:r>
            <w:r w:rsidRPr="00093050">
              <w:rPr>
                <w:rFonts w:ascii="Arial Narrow" w:hAnsi="Arial Narrow" w:cs="Times New Roman"/>
                <w:color w:val="000000"/>
                <w:spacing w:val="1"/>
                <w:sz w:val="20"/>
                <w:szCs w:val="20"/>
                <w:shd w:val="solid" w:color="000000" w:fill="000000"/>
                <w:fitText w:val="288" w:id="-1233481201"/>
                <w:lang w:val="en-AU"/>
                <w14:textFill>
                  <w14:solidFill>
                    <w14:srgbClr w14:val="000000">
                      <w14:alpha w14:val="100000"/>
                    </w14:srgbClr>
                  </w14:solidFill>
                </w14:textFill>
              </w:rPr>
              <w:t>|</w:t>
            </w:r>
            <w:r w:rsidR="00C46E78">
              <w:rPr>
                <w:rFonts w:ascii="Arial Narrow" w:hAnsi="Arial Narrow"/>
                <w:sz w:val="20"/>
                <w:szCs w:val="20"/>
                <w:lang w:val="en-AU"/>
              </w:rPr>
              <w:t xml:space="preserve"> </w:t>
            </w:r>
            <w:r w:rsidR="00C46E78">
              <w:rPr>
                <w:rFonts w:ascii="Arial Narrow" w:hAnsi="Arial Narrow"/>
                <w:sz w:val="20"/>
                <w:szCs w:val="20"/>
                <w:vertAlign w:val="superscript"/>
                <w:lang w:val="en-AU"/>
              </w:rPr>
              <w:t>1</w:t>
            </w:r>
          </w:p>
        </w:tc>
      </w:tr>
      <w:tr w:rsidR="00F76E10" w:rsidRPr="006F283B" w14:paraId="1D61AFBF"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719A4E06" w14:textId="5E27008B"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t</w:t>
            </w:r>
            <w:r w:rsidR="001152C0" w:rsidRPr="001152C0">
              <w:rPr>
                <w:rFonts w:ascii="Arial Narrow" w:hAnsi="Arial Narrow"/>
                <w:i/>
                <w:sz w:val="20"/>
                <w:szCs w:val="20"/>
                <w:lang w:val="en-AU"/>
              </w:rPr>
              <w:t xml:space="preserve">BRCA </w:t>
            </w:r>
            <w:r w:rsidRPr="006F283B">
              <w:rPr>
                <w:rFonts w:ascii="Arial Narrow" w:hAnsi="Arial Narrow"/>
                <w:sz w:val="20"/>
                <w:szCs w:val="20"/>
                <w:lang w:val="en-AU"/>
              </w:rPr>
              <w:t xml:space="preserve">test offset (GPG) </w:t>
            </w:r>
            <w:r w:rsidRPr="006F283B">
              <w:rPr>
                <w:rFonts w:ascii="Arial Narrow" w:hAnsi="Arial Narrow"/>
                <w:sz w:val="20"/>
                <w:szCs w:val="20"/>
                <w:vertAlign w:val="superscript"/>
                <w:lang w:val="en-AU"/>
              </w:rPr>
              <w:t>a</w:t>
            </w:r>
          </w:p>
        </w:tc>
        <w:tc>
          <w:tcPr>
            <w:tcW w:w="629" w:type="pct"/>
            <w:tcBorders>
              <w:top w:val="single" w:sz="4" w:space="0" w:color="auto"/>
              <w:left w:val="single" w:sz="4" w:space="0" w:color="auto"/>
              <w:bottom w:val="single" w:sz="4" w:space="0" w:color="auto"/>
              <w:right w:val="single" w:sz="4" w:space="0" w:color="auto"/>
            </w:tcBorders>
            <w:vAlign w:val="center"/>
          </w:tcPr>
          <w:p w14:paraId="47B026F4" w14:textId="20D2AD40"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8"/>
                <w:sz w:val="20"/>
                <w:szCs w:val="20"/>
                <w:shd w:val="solid" w:color="000000" w:fill="000000"/>
                <w:fitText w:val="376" w:id="-1233481200"/>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120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05" w:type="pct"/>
            <w:tcBorders>
              <w:top w:val="single" w:sz="4" w:space="0" w:color="auto"/>
              <w:left w:val="single" w:sz="4" w:space="0" w:color="auto"/>
              <w:bottom w:val="single" w:sz="4" w:space="0" w:color="auto"/>
              <w:right w:val="single" w:sz="4" w:space="0" w:color="auto"/>
            </w:tcBorders>
            <w:vAlign w:val="center"/>
          </w:tcPr>
          <w:p w14:paraId="4BD33256" w14:textId="1B024DA8"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76"/>
                <w:sz w:val="20"/>
                <w:szCs w:val="20"/>
                <w:shd w:val="solid" w:color="000000" w:fill="000000"/>
                <w:fitText w:val="401" w:id="-1233481216"/>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401" w:id="-123348121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53" w:type="pct"/>
            <w:tcBorders>
              <w:top w:val="single" w:sz="4" w:space="0" w:color="auto"/>
              <w:left w:val="single" w:sz="4" w:space="0" w:color="auto"/>
              <w:bottom w:val="single" w:sz="4" w:space="0" w:color="auto"/>
              <w:right w:val="single" w:sz="4" w:space="0" w:color="auto"/>
            </w:tcBorders>
            <w:vAlign w:val="center"/>
          </w:tcPr>
          <w:p w14:paraId="003EE2F7" w14:textId="693C73D6"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9"/>
                <w:sz w:val="20"/>
                <w:szCs w:val="20"/>
                <w:shd w:val="solid" w:color="000000" w:fill="000000"/>
                <w:fitText w:val="350" w:id="-1233481215"/>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121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42" w:type="pct"/>
            <w:tcBorders>
              <w:top w:val="single" w:sz="4" w:space="0" w:color="auto"/>
              <w:left w:val="single" w:sz="4" w:space="0" w:color="auto"/>
              <w:bottom w:val="single" w:sz="4" w:space="0" w:color="auto"/>
              <w:right w:val="single" w:sz="4" w:space="0" w:color="auto"/>
            </w:tcBorders>
            <w:vAlign w:val="center"/>
          </w:tcPr>
          <w:p w14:paraId="0795C96B" w14:textId="545E19CC"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4"/>
                <w:sz w:val="20"/>
                <w:szCs w:val="20"/>
                <w:shd w:val="solid" w:color="000000" w:fill="000000"/>
                <w:fitText w:val="363" w:id="-1233481214"/>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363" w:id="-123348121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47" w:type="pct"/>
            <w:tcBorders>
              <w:top w:val="single" w:sz="4" w:space="0" w:color="auto"/>
              <w:left w:val="single" w:sz="4" w:space="0" w:color="auto"/>
              <w:bottom w:val="single" w:sz="4" w:space="0" w:color="auto"/>
              <w:right w:val="single" w:sz="4" w:space="0" w:color="auto"/>
            </w:tcBorders>
            <w:vAlign w:val="center"/>
          </w:tcPr>
          <w:p w14:paraId="185CBD61" w14:textId="01B292B1"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0"/>
                <w:sz w:val="20"/>
                <w:szCs w:val="20"/>
                <w:shd w:val="solid" w:color="000000" w:fill="000000"/>
                <w:fitText w:val="351" w:id="-1233481213"/>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351" w:id="-123348121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c>
          <w:tcPr>
            <w:tcW w:w="647" w:type="pct"/>
            <w:tcBorders>
              <w:top w:val="single" w:sz="4" w:space="0" w:color="auto"/>
              <w:left w:val="single" w:sz="4" w:space="0" w:color="auto"/>
              <w:bottom w:val="single" w:sz="4" w:space="0" w:color="auto"/>
              <w:right w:val="single" w:sz="4" w:space="0" w:color="auto"/>
            </w:tcBorders>
            <w:vAlign w:val="center"/>
          </w:tcPr>
          <w:p w14:paraId="38D9FA3C" w14:textId="767331AB"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0"/>
                <w:sz w:val="20"/>
                <w:szCs w:val="20"/>
                <w:shd w:val="solid" w:color="000000" w:fill="000000"/>
                <w:fitText w:val="351" w:id="-1233481212"/>
                <w:lang w:val="en-AU"/>
                <w14:textFill>
                  <w14:solidFill>
                    <w14:srgbClr w14:val="000000">
                      <w14:alpha w14:val="100000"/>
                    </w14:srgbClr>
                  </w14:solidFill>
                </w14:textFill>
              </w:rPr>
              <w:t>|||</w:t>
            </w:r>
            <w:r w:rsidR="00093050" w:rsidRPr="00093050">
              <w:rPr>
                <w:rFonts w:ascii="Arial Narrow" w:hAnsi="Arial Narrow"/>
                <w:color w:val="000000"/>
                <w:spacing w:val="1"/>
                <w:sz w:val="20"/>
                <w:szCs w:val="20"/>
                <w:shd w:val="solid" w:color="000000" w:fill="000000"/>
                <w:fitText w:val="351" w:id="-123348121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5</w:t>
            </w:r>
          </w:p>
        </w:tc>
      </w:tr>
      <w:tr w:rsidR="00F76E10" w:rsidRPr="006F283B" w14:paraId="2D5DFAEC"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479FE962" w14:textId="77777777" w:rsidR="00F76E10" w:rsidRPr="006F283B" w:rsidRDefault="00F76E10" w:rsidP="00F76E10">
            <w:pPr>
              <w:widowControl w:val="0"/>
              <w:spacing w:before="0"/>
              <w:jc w:val="left"/>
              <w:rPr>
                <w:rFonts w:ascii="Arial Narrow" w:hAnsi="Arial Narrow"/>
                <w:sz w:val="20"/>
                <w:szCs w:val="20"/>
                <w:vertAlign w:val="superscript"/>
                <w:lang w:val="en-AU"/>
              </w:rPr>
            </w:pPr>
            <w:r w:rsidRPr="006F283B">
              <w:rPr>
                <w:rFonts w:ascii="Arial Narrow" w:hAnsi="Arial Narrow"/>
                <w:sz w:val="20"/>
                <w:szCs w:val="20"/>
                <w:lang w:val="en-AU"/>
              </w:rPr>
              <w:t xml:space="preserve">HRD test cost to MBS (GPG) </w:t>
            </w:r>
            <w:r w:rsidRPr="006F283B">
              <w:rPr>
                <w:rFonts w:ascii="Arial Narrow" w:hAnsi="Arial Narrow"/>
                <w:sz w:val="20"/>
                <w:szCs w:val="20"/>
                <w:vertAlign w:val="superscript"/>
                <w:lang w:val="en-AU"/>
              </w:rPr>
              <w:t>a</w:t>
            </w:r>
          </w:p>
        </w:tc>
        <w:tc>
          <w:tcPr>
            <w:tcW w:w="629" w:type="pct"/>
            <w:tcBorders>
              <w:top w:val="single" w:sz="4" w:space="0" w:color="auto"/>
              <w:left w:val="single" w:sz="4" w:space="0" w:color="auto"/>
              <w:bottom w:val="single" w:sz="4" w:space="0" w:color="auto"/>
              <w:right w:val="single" w:sz="4" w:space="0" w:color="auto"/>
            </w:tcBorders>
            <w:vAlign w:val="center"/>
          </w:tcPr>
          <w:p w14:paraId="5CC93AE1" w14:textId="51E3F00D"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9"/>
                <w:sz w:val="20"/>
                <w:szCs w:val="20"/>
                <w:shd w:val="solid" w:color="000000" w:fill="000000"/>
                <w:fitText w:val="350" w:id="-1233481211"/>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121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2EE4A142" w14:textId="6B38BD98"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8"/>
                <w:sz w:val="20"/>
                <w:szCs w:val="20"/>
                <w:shd w:val="solid" w:color="000000" w:fill="000000"/>
                <w:fitText w:val="376" w:id="-1233481210"/>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121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140B1A73" w14:textId="6E964F26"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1"/>
                <w:sz w:val="20"/>
                <w:szCs w:val="20"/>
                <w:shd w:val="solid" w:color="000000" w:fill="000000"/>
                <w:fitText w:val="325" w:id="-1233481209"/>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1209"/>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09026D78" w14:textId="179C49C7"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1208"/>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08"/>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3D2E5735" w14:textId="0D407594"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1207"/>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07"/>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35D45217" w14:textId="35E51A96"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1206"/>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0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7A3C2B75"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096FFCEA" w14:textId="77777777" w:rsidR="00F76E10" w:rsidRPr="006F283B" w:rsidRDefault="00F76E10" w:rsidP="00F76E10">
            <w:pPr>
              <w:widowControl w:val="0"/>
              <w:spacing w:before="0"/>
              <w:jc w:val="left"/>
              <w:rPr>
                <w:rFonts w:ascii="Arial Narrow" w:hAnsi="Arial Narrow"/>
                <w:sz w:val="20"/>
                <w:szCs w:val="20"/>
                <w:vertAlign w:val="superscript"/>
                <w:lang w:val="en-AU"/>
              </w:rPr>
            </w:pPr>
            <w:r w:rsidRPr="006F283B">
              <w:rPr>
                <w:rFonts w:ascii="Arial Narrow" w:hAnsi="Arial Narrow"/>
                <w:sz w:val="20"/>
                <w:szCs w:val="20"/>
                <w:lang w:val="en-AU"/>
              </w:rPr>
              <w:t xml:space="preserve">Net testing cost to MBS (GPG) </w:t>
            </w:r>
            <w:r w:rsidRPr="006F283B">
              <w:rPr>
                <w:rFonts w:ascii="Arial Narrow" w:hAnsi="Arial Narrow"/>
                <w:sz w:val="20"/>
                <w:szCs w:val="20"/>
                <w:vertAlign w:val="superscript"/>
                <w:lang w:val="en-AU"/>
              </w:rPr>
              <w:t>a</w:t>
            </w:r>
          </w:p>
        </w:tc>
        <w:tc>
          <w:tcPr>
            <w:tcW w:w="629" w:type="pct"/>
            <w:tcBorders>
              <w:top w:val="single" w:sz="4" w:space="0" w:color="auto"/>
              <w:left w:val="single" w:sz="4" w:space="0" w:color="auto"/>
              <w:bottom w:val="single" w:sz="4" w:space="0" w:color="auto"/>
              <w:right w:val="single" w:sz="4" w:space="0" w:color="auto"/>
            </w:tcBorders>
            <w:vAlign w:val="center"/>
          </w:tcPr>
          <w:p w14:paraId="284653EF" w14:textId="03EB3537"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9"/>
                <w:sz w:val="20"/>
                <w:szCs w:val="20"/>
                <w:shd w:val="solid" w:color="000000" w:fill="000000"/>
                <w:fitText w:val="350" w:id="-1233481205"/>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120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2D0EB0C5" w14:textId="0FCB250C"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8"/>
                <w:sz w:val="20"/>
                <w:szCs w:val="20"/>
                <w:shd w:val="solid" w:color="000000" w:fill="000000"/>
                <w:fitText w:val="376" w:id="-1233481204"/>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120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27A05135" w14:textId="292CDAE6"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1"/>
                <w:sz w:val="20"/>
                <w:szCs w:val="20"/>
                <w:shd w:val="solid" w:color="000000" w:fill="000000"/>
                <w:fitText w:val="325" w:id="-1233481203"/>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120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4C581759" w14:textId="61CF51B7"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1202"/>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0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6A849AE7" w14:textId="794D636A"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1201"/>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0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7C378D7F" w14:textId="3B404CBA"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1200"/>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0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75FC2D0D"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15C1E1D" w14:textId="77777777" w:rsidR="00F76E10" w:rsidRPr="006F283B" w:rsidRDefault="00F76E10" w:rsidP="00F76E10">
            <w:pPr>
              <w:keepNext/>
              <w:widowControl w:val="0"/>
              <w:spacing w:before="0"/>
              <w:jc w:val="left"/>
              <w:rPr>
                <w:rFonts w:ascii="Arial Narrow" w:hAnsi="Arial Narrow" w:cs="Times New Roman"/>
                <w:b/>
                <w:color w:val="000000"/>
                <w:sz w:val="20"/>
                <w:szCs w:val="20"/>
                <w:lang w:val="en-AU" w:eastAsia="zh-CN"/>
              </w:rPr>
            </w:pPr>
            <w:r w:rsidRPr="006F283B">
              <w:rPr>
                <w:rFonts w:ascii="Arial Narrow" w:hAnsi="Arial Narrow" w:cs="Times New Roman"/>
                <w:b/>
                <w:color w:val="000000"/>
                <w:sz w:val="20"/>
                <w:szCs w:val="20"/>
                <w:lang w:val="en-AU" w:eastAsia="zh-CN"/>
              </w:rPr>
              <w:t>Financial impact of complete blood count</w:t>
            </w:r>
          </w:p>
        </w:tc>
      </w:tr>
      <w:tr w:rsidR="00F76E10" w:rsidRPr="006F283B" w14:paraId="79D34613"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665948ED" w14:textId="77777777"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Cost to MBS (85% rebate)</w:t>
            </w:r>
          </w:p>
        </w:tc>
        <w:tc>
          <w:tcPr>
            <w:tcW w:w="629" w:type="pct"/>
            <w:tcBorders>
              <w:top w:val="single" w:sz="4" w:space="0" w:color="auto"/>
              <w:left w:val="single" w:sz="4" w:space="0" w:color="auto"/>
              <w:bottom w:val="single" w:sz="4" w:space="0" w:color="auto"/>
              <w:right w:val="single" w:sz="4" w:space="0" w:color="auto"/>
            </w:tcBorders>
            <w:vAlign w:val="center"/>
          </w:tcPr>
          <w:p w14:paraId="0A4F9A05" w14:textId="5523C5BD"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9"/>
                <w:sz w:val="20"/>
                <w:szCs w:val="20"/>
                <w:shd w:val="solid" w:color="000000" w:fill="000000"/>
                <w:fitText w:val="350" w:id="-1233481216"/>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121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2AD47734" w14:textId="53A72436"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68"/>
                <w:sz w:val="20"/>
                <w:szCs w:val="20"/>
                <w:shd w:val="solid" w:color="000000" w:fill="000000"/>
                <w:fitText w:val="376" w:id="-1233481215"/>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121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33EDC103" w14:textId="2353F3F7"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1"/>
                <w:sz w:val="20"/>
                <w:szCs w:val="20"/>
                <w:shd w:val="solid" w:color="000000" w:fill="000000"/>
                <w:fitText w:val="325" w:id="-1233481214"/>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121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43124FA1" w14:textId="056A8B9B"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3"/>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3085AE87" w14:textId="0E8641DC"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2"/>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13853F1F" w14:textId="0110E2F9"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1211"/>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121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1013AE64"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3934417C" w14:textId="77777777"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bCs/>
                <w:sz w:val="20"/>
                <w:szCs w:val="20"/>
                <w:lang w:val="en-AU"/>
              </w:rPr>
              <w:t>Total net cost to MBS</w:t>
            </w:r>
          </w:p>
        </w:tc>
        <w:tc>
          <w:tcPr>
            <w:tcW w:w="629" w:type="pct"/>
            <w:tcBorders>
              <w:top w:val="single" w:sz="4" w:space="0" w:color="auto"/>
              <w:left w:val="single" w:sz="4" w:space="0" w:color="auto"/>
              <w:bottom w:val="single" w:sz="4" w:space="0" w:color="auto"/>
              <w:right w:val="single" w:sz="4" w:space="0" w:color="auto"/>
            </w:tcBorders>
            <w:vAlign w:val="center"/>
          </w:tcPr>
          <w:p w14:paraId="24C1122F" w14:textId="1BA3A329"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9"/>
                <w:sz w:val="20"/>
                <w:szCs w:val="20"/>
                <w:shd w:val="solid" w:color="000000" w:fill="000000"/>
                <w:fitText w:val="350" w:id="-1233481210"/>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50" w:id="-1233481210"/>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1DE34A47" w14:textId="5CFAFEAE"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68"/>
                <w:sz w:val="20"/>
                <w:szCs w:val="20"/>
                <w:shd w:val="solid" w:color="000000" w:fill="000000"/>
                <w:fitText w:val="376" w:id="-1233481209"/>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2"/>
                <w:sz w:val="20"/>
                <w:szCs w:val="20"/>
                <w:shd w:val="solid" w:color="000000" w:fill="000000"/>
                <w:fitText w:val="376" w:id="-1233481209"/>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33A537EC" w14:textId="273AE6B8"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1"/>
                <w:sz w:val="20"/>
                <w:szCs w:val="20"/>
                <w:shd w:val="solid" w:color="000000" w:fill="000000"/>
                <w:fitText w:val="325" w:id="-1233481208"/>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2"/>
                <w:sz w:val="20"/>
                <w:szCs w:val="20"/>
                <w:shd w:val="solid" w:color="000000" w:fill="000000"/>
                <w:fitText w:val="325" w:id="-1233481208"/>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645F2010" w14:textId="72EA07E6"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5"/>
                <w:sz w:val="20"/>
                <w:szCs w:val="20"/>
                <w:shd w:val="solid" w:color="000000" w:fill="000000"/>
                <w:fitText w:val="338" w:id="-1233481207"/>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38" w:id="-1233481207"/>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305E0305" w14:textId="5C39F49E"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5"/>
                <w:sz w:val="20"/>
                <w:szCs w:val="20"/>
                <w:shd w:val="solid" w:color="000000" w:fill="000000"/>
                <w:fitText w:val="338" w:id="-1233480960"/>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38" w:id="-1233480960"/>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21A69E4D" w14:textId="3A1D9C20" w:rsidR="00F76E10" w:rsidRPr="006F283B" w:rsidRDefault="00F76E10" w:rsidP="00F76E10">
            <w:pPr>
              <w:widowControl w:val="0"/>
              <w:spacing w:before="0"/>
              <w:jc w:val="center"/>
              <w:rPr>
                <w:rFonts w:ascii="Arial Narrow" w:hAnsi="Arial Narrow"/>
                <w:sz w:val="20"/>
                <w:szCs w:val="20"/>
                <w:lang w:val="en-AU"/>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5"/>
                <w:sz w:val="20"/>
                <w:szCs w:val="20"/>
                <w:shd w:val="solid" w:color="000000" w:fill="000000"/>
                <w:fitText w:val="338" w:id="-1233480959"/>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38" w:id="-1233480959"/>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0AE12D35" w14:textId="77777777" w:rsidTr="00372EA1">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E15F191" w14:textId="77777777" w:rsidR="00F76E10" w:rsidRPr="006F283B" w:rsidRDefault="00F76E10" w:rsidP="00F76E10">
            <w:pPr>
              <w:keepNext/>
              <w:widowControl w:val="0"/>
              <w:spacing w:before="0"/>
              <w:jc w:val="left"/>
              <w:rPr>
                <w:rFonts w:ascii="Arial Narrow" w:hAnsi="Arial Narrow" w:cs="Times New Roman"/>
                <w:b/>
                <w:color w:val="000000"/>
                <w:sz w:val="20"/>
                <w:szCs w:val="20"/>
                <w:lang w:val="en-AU" w:eastAsia="zh-CN"/>
              </w:rPr>
            </w:pPr>
            <w:r w:rsidRPr="006F283B">
              <w:rPr>
                <w:rFonts w:ascii="Arial Narrow" w:hAnsi="Arial Narrow" w:cs="Times New Roman"/>
                <w:b/>
                <w:color w:val="000000"/>
                <w:sz w:val="20"/>
                <w:szCs w:val="20"/>
                <w:lang w:val="en-AU" w:eastAsia="zh-CN"/>
              </w:rPr>
              <w:t>Net financial implications</w:t>
            </w:r>
          </w:p>
        </w:tc>
      </w:tr>
      <w:tr w:rsidR="00F76E10" w:rsidRPr="006F283B" w14:paraId="6C14EDB2" w14:textId="77777777" w:rsidTr="00372EA1">
        <w:tc>
          <w:tcPr>
            <w:tcW w:w="1177" w:type="pct"/>
            <w:tcBorders>
              <w:top w:val="single" w:sz="4" w:space="0" w:color="auto"/>
              <w:left w:val="single" w:sz="4" w:space="0" w:color="auto"/>
              <w:bottom w:val="single" w:sz="4" w:space="0" w:color="auto"/>
              <w:right w:val="single" w:sz="4" w:space="0" w:color="auto"/>
            </w:tcBorders>
            <w:vAlign w:val="center"/>
            <w:hideMark/>
          </w:tcPr>
          <w:p w14:paraId="7B900272" w14:textId="4E11B114" w:rsidR="00F76E10" w:rsidRPr="006F283B" w:rsidRDefault="00F76E10" w:rsidP="00F76E10">
            <w:pPr>
              <w:widowControl w:val="0"/>
              <w:spacing w:before="0"/>
              <w:jc w:val="left"/>
              <w:rPr>
                <w:rFonts w:ascii="Arial Narrow" w:hAnsi="Arial Narrow"/>
                <w:sz w:val="20"/>
                <w:szCs w:val="20"/>
                <w:lang w:val="en-AU"/>
              </w:rPr>
            </w:pPr>
            <w:r w:rsidRPr="006F283B">
              <w:rPr>
                <w:rFonts w:ascii="Arial Narrow" w:hAnsi="Arial Narrow"/>
                <w:sz w:val="20"/>
                <w:szCs w:val="20"/>
                <w:lang w:val="en-AU"/>
              </w:rPr>
              <w:t>Net cost to PBS</w:t>
            </w:r>
            <w:r w:rsidR="0049142C" w:rsidRPr="006F283B">
              <w:rPr>
                <w:rFonts w:ascii="Arial Narrow" w:hAnsi="Arial Narrow"/>
                <w:sz w:val="20"/>
                <w:szCs w:val="20"/>
                <w:lang w:val="en-AU"/>
              </w:rPr>
              <w:t>/RPBS</w:t>
            </w:r>
          </w:p>
        </w:tc>
        <w:tc>
          <w:tcPr>
            <w:tcW w:w="629" w:type="pct"/>
            <w:tcBorders>
              <w:top w:val="single" w:sz="4" w:space="0" w:color="auto"/>
              <w:left w:val="single" w:sz="4" w:space="0" w:color="auto"/>
              <w:bottom w:val="single" w:sz="4" w:space="0" w:color="auto"/>
              <w:right w:val="single" w:sz="4" w:space="0" w:color="auto"/>
            </w:tcBorders>
            <w:vAlign w:val="center"/>
          </w:tcPr>
          <w:p w14:paraId="5EBAD875" w14:textId="24DB52CD" w:rsidR="00F76E10" w:rsidRPr="006F283B" w:rsidRDefault="00F76E10" w:rsidP="00F76E10">
            <w:pPr>
              <w:keepNext/>
              <w:widowControl w:val="0"/>
              <w:spacing w:before="0"/>
              <w:jc w:val="center"/>
              <w:rPr>
                <w:rFonts w:ascii="Arial Narrow" w:hAnsi="Arial Narrow" w:cs="Times New Roman"/>
                <w:color w:val="000000"/>
                <w:sz w:val="20"/>
                <w:szCs w:val="20"/>
                <w:lang w:val="en-AU" w:eastAsia="zh-CN"/>
              </w:rPr>
            </w:pPr>
            <w:r w:rsidRPr="006F283B">
              <w:rPr>
                <w:rFonts w:ascii="Arial Narrow" w:hAnsi="Arial Narrow"/>
                <w:color w:val="000000"/>
                <w:sz w:val="20"/>
                <w:szCs w:val="20"/>
                <w:lang w:val="en-AU"/>
              </w:rPr>
              <w:t>$</w:t>
            </w:r>
            <w:r w:rsidR="00093050" w:rsidRPr="00093050">
              <w:rPr>
                <w:rFonts w:ascii="Arial Narrow" w:hAnsi="Arial Narrow"/>
                <w:color w:val="000000"/>
                <w:spacing w:val="59"/>
                <w:sz w:val="20"/>
                <w:szCs w:val="20"/>
                <w:shd w:val="solid" w:color="000000" w:fill="000000"/>
                <w:fitText w:val="350" w:id="-1233480958"/>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0958"/>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410EE2E3" w14:textId="23C7271A" w:rsidR="00F76E10" w:rsidRPr="006F283B" w:rsidRDefault="00F76E10" w:rsidP="00F76E10">
            <w:pPr>
              <w:keepNext/>
              <w:widowControl w:val="0"/>
              <w:spacing w:before="0"/>
              <w:jc w:val="center"/>
              <w:rPr>
                <w:rFonts w:ascii="Arial Narrow" w:hAnsi="Arial Narrow" w:cs="Times New Roman"/>
                <w:color w:val="000000"/>
                <w:sz w:val="20"/>
                <w:szCs w:val="20"/>
                <w:lang w:val="en-AU" w:eastAsia="zh-CN"/>
              </w:rPr>
            </w:pPr>
            <w:r w:rsidRPr="006F283B">
              <w:rPr>
                <w:rFonts w:ascii="Arial Narrow" w:hAnsi="Arial Narrow"/>
                <w:color w:val="000000"/>
                <w:sz w:val="20"/>
                <w:szCs w:val="20"/>
                <w:lang w:val="en-AU"/>
              </w:rPr>
              <w:t>$</w:t>
            </w:r>
            <w:r w:rsidR="00093050" w:rsidRPr="00093050">
              <w:rPr>
                <w:rFonts w:ascii="Arial Narrow" w:hAnsi="Arial Narrow"/>
                <w:color w:val="000000"/>
                <w:spacing w:val="68"/>
                <w:sz w:val="20"/>
                <w:szCs w:val="20"/>
                <w:shd w:val="solid" w:color="000000" w:fill="000000"/>
                <w:fitText w:val="376" w:id="-1233480957"/>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0957"/>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7322E4E5" w14:textId="094F6B80" w:rsidR="00F76E10" w:rsidRPr="006F283B" w:rsidRDefault="00F76E10" w:rsidP="00F76E10">
            <w:pPr>
              <w:keepNext/>
              <w:widowControl w:val="0"/>
              <w:spacing w:before="0"/>
              <w:jc w:val="center"/>
              <w:rPr>
                <w:rFonts w:ascii="Arial Narrow" w:hAnsi="Arial Narrow" w:cs="Times New Roman"/>
                <w:color w:val="000000"/>
                <w:sz w:val="20"/>
                <w:szCs w:val="20"/>
                <w:lang w:val="en-AU" w:eastAsia="zh-CN"/>
              </w:rPr>
            </w:pPr>
            <w:r w:rsidRPr="006F283B">
              <w:rPr>
                <w:rFonts w:ascii="Arial Narrow" w:hAnsi="Arial Narrow"/>
                <w:color w:val="000000"/>
                <w:sz w:val="20"/>
                <w:szCs w:val="20"/>
                <w:lang w:val="en-AU"/>
              </w:rPr>
              <w:t>$</w:t>
            </w:r>
            <w:r w:rsidR="00093050" w:rsidRPr="00093050">
              <w:rPr>
                <w:rFonts w:ascii="Arial Narrow" w:hAnsi="Arial Narrow"/>
                <w:color w:val="000000"/>
                <w:spacing w:val="51"/>
                <w:sz w:val="20"/>
                <w:szCs w:val="20"/>
                <w:shd w:val="solid" w:color="000000" w:fill="000000"/>
                <w:fitText w:val="325" w:id="-1233480956"/>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095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1CB41B81" w14:textId="74274998" w:rsidR="00F76E10" w:rsidRPr="006F283B" w:rsidRDefault="00F76E10" w:rsidP="00F76E10">
            <w:pPr>
              <w:keepNext/>
              <w:widowControl w:val="0"/>
              <w:spacing w:before="0"/>
              <w:jc w:val="center"/>
              <w:rPr>
                <w:rFonts w:ascii="Arial Narrow" w:hAnsi="Arial Narrow" w:cs="Times New Roman"/>
                <w:color w:val="000000"/>
                <w:sz w:val="20"/>
                <w:szCs w:val="20"/>
                <w:lang w:val="en-AU" w:eastAsia="zh-CN"/>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0955"/>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448FF682" w14:textId="1B945593" w:rsidR="00F76E10" w:rsidRPr="006F283B" w:rsidRDefault="00F76E10" w:rsidP="00F76E10">
            <w:pPr>
              <w:keepNext/>
              <w:widowControl w:val="0"/>
              <w:spacing w:before="0"/>
              <w:jc w:val="center"/>
              <w:rPr>
                <w:rFonts w:ascii="Arial Narrow" w:hAnsi="Arial Narrow" w:cs="Times New Roman"/>
                <w:color w:val="000000"/>
                <w:sz w:val="20"/>
                <w:szCs w:val="20"/>
                <w:lang w:val="en-AU" w:eastAsia="zh-CN"/>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0954"/>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61F0C07A" w14:textId="16B1AE03" w:rsidR="00F76E10" w:rsidRPr="006F283B" w:rsidRDefault="00F76E10" w:rsidP="00F76E10">
            <w:pPr>
              <w:keepNext/>
              <w:widowControl w:val="0"/>
              <w:spacing w:before="0"/>
              <w:jc w:val="center"/>
              <w:rPr>
                <w:rFonts w:ascii="Arial Narrow" w:hAnsi="Arial Narrow" w:cs="Times New Roman"/>
                <w:color w:val="000000"/>
                <w:sz w:val="20"/>
                <w:szCs w:val="20"/>
                <w:lang w:val="en-AU" w:eastAsia="zh-CN"/>
              </w:rPr>
            </w:pPr>
            <w:r w:rsidRPr="006F283B">
              <w:rPr>
                <w:rFonts w:ascii="Arial Narrow" w:hAnsi="Arial Narrow"/>
                <w:color w:val="000000"/>
                <w:sz w:val="20"/>
                <w:szCs w:val="20"/>
                <w:lang w:val="en-AU"/>
              </w:rPr>
              <w:t>$</w:t>
            </w:r>
            <w:r w:rsidR="00093050" w:rsidRPr="00093050">
              <w:rPr>
                <w:rFonts w:ascii="Arial Narrow" w:hAnsi="Arial Narrow"/>
                <w:color w:val="000000"/>
                <w:spacing w:val="55"/>
                <w:sz w:val="20"/>
                <w:szCs w:val="20"/>
                <w:shd w:val="solid" w:color="000000" w:fill="000000"/>
                <w:fitText w:val="338" w:id="-1233480953"/>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70B6C321"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79EFBCA6" w14:textId="77777777" w:rsidR="00F76E10" w:rsidRPr="006F283B" w:rsidRDefault="00F76E10" w:rsidP="00F76E10">
            <w:pPr>
              <w:widowControl w:val="0"/>
              <w:spacing w:before="0"/>
              <w:jc w:val="left"/>
              <w:rPr>
                <w:rFonts w:ascii="Arial Narrow" w:hAnsi="Arial Narrow"/>
                <w:bCs/>
                <w:sz w:val="20"/>
                <w:szCs w:val="20"/>
                <w:vertAlign w:val="superscript"/>
                <w:lang w:val="en-AU"/>
              </w:rPr>
            </w:pPr>
            <w:r w:rsidRPr="006F283B">
              <w:rPr>
                <w:rFonts w:ascii="Arial Narrow" w:hAnsi="Arial Narrow"/>
                <w:bCs/>
                <w:sz w:val="20"/>
                <w:szCs w:val="20"/>
                <w:lang w:val="en-AU"/>
              </w:rPr>
              <w:t xml:space="preserve">Net cost to MBS using GPG </w:t>
            </w:r>
            <w:r w:rsidRPr="006F283B">
              <w:rPr>
                <w:rFonts w:ascii="Arial Narrow" w:hAnsi="Arial Narrow"/>
                <w:bCs/>
                <w:sz w:val="20"/>
                <w:szCs w:val="20"/>
                <w:vertAlign w:val="superscript"/>
                <w:lang w:val="en-AU"/>
              </w:rPr>
              <w:t>a</w:t>
            </w:r>
          </w:p>
        </w:tc>
        <w:tc>
          <w:tcPr>
            <w:tcW w:w="629" w:type="pct"/>
            <w:tcBorders>
              <w:top w:val="single" w:sz="4" w:space="0" w:color="auto"/>
              <w:left w:val="single" w:sz="4" w:space="0" w:color="auto"/>
              <w:bottom w:val="single" w:sz="4" w:space="0" w:color="auto"/>
              <w:right w:val="single" w:sz="4" w:space="0" w:color="auto"/>
            </w:tcBorders>
            <w:vAlign w:val="center"/>
          </w:tcPr>
          <w:p w14:paraId="7D251739" w14:textId="1E475D24" w:rsidR="00F76E10" w:rsidRPr="006F283B" w:rsidRDefault="00F76E10" w:rsidP="00F76E10">
            <w:pPr>
              <w:keepNext/>
              <w:widowControl w:val="0"/>
              <w:spacing w:before="0"/>
              <w:jc w:val="center"/>
              <w:rPr>
                <w:rFonts w:ascii="Arial Narrow" w:hAnsi="Arial Narrow"/>
                <w:bCs/>
                <w:color w:val="000000"/>
                <w:sz w:val="20"/>
                <w:szCs w:val="20"/>
                <w:lang w:val="en-AU" w:eastAsia="zh-CN"/>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9"/>
                <w:sz w:val="20"/>
                <w:szCs w:val="20"/>
                <w:shd w:val="solid" w:color="000000" w:fill="000000"/>
                <w:fitText w:val="350" w:id="-1233480952"/>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50" w:id="-1233480952"/>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12F8EDB4" w14:textId="52F09F9D" w:rsidR="00F76E10" w:rsidRPr="006F283B" w:rsidRDefault="00F76E10" w:rsidP="00F76E10">
            <w:pPr>
              <w:keepNext/>
              <w:widowControl w:val="0"/>
              <w:spacing w:before="0"/>
              <w:jc w:val="center"/>
              <w:rPr>
                <w:rFonts w:ascii="Arial Narrow" w:hAnsi="Arial Narrow"/>
                <w:bCs/>
                <w:color w:val="000000"/>
                <w:sz w:val="20"/>
                <w:szCs w:val="20"/>
                <w:lang w:val="en-AU" w:eastAsia="zh-CN"/>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68"/>
                <w:sz w:val="20"/>
                <w:szCs w:val="20"/>
                <w:shd w:val="solid" w:color="000000" w:fill="000000"/>
                <w:fitText w:val="376" w:id="-1233480951"/>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2"/>
                <w:sz w:val="20"/>
                <w:szCs w:val="20"/>
                <w:shd w:val="solid" w:color="000000" w:fill="000000"/>
                <w:fitText w:val="376" w:id="-1233480951"/>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72C3DFF0" w14:textId="1AD1A181" w:rsidR="00F76E10" w:rsidRPr="006F283B" w:rsidRDefault="00F76E10" w:rsidP="00F76E10">
            <w:pPr>
              <w:keepNext/>
              <w:widowControl w:val="0"/>
              <w:spacing w:before="0"/>
              <w:jc w:val="center"/>
              <w:rPr>
                <w:rFonts w:ascii="Arial Narrow" w:hAnsi="Arial Narrow"/>
                <w:bCs/>
                <w:color w:val="000000"/>
                <w:sz w:val="20"/>
                <w:szCs w:val="20"/>
                <w:lang w:val="en-AU" w:eastAsia="zh-CN"/>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1"/>
                <w:sz w:val="20"/>
                <w:szCs w:val="20"/>
                <w:shd w:val="solid" w:color="000000" w:fill="000000"/>
                <w:fitText w:val="325" w:id="-1233480950"/>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2"/>
                <w:sz w:val="20"/>
                <w:szCs w:val="20"/>
                <w:shd w:val="solid" w:color="000000" w:fill="000000"/>
                <w:fitText w:val="325" w:id="-1233480950"/>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5F72FA50" w14:textId="51E663B4" w:rsidR="00F76E10" w:rsidRPr="006F283B" w:rsidRDefault="00F76E10" w:rsidP="00F76E10">
            <w:pPr>
              <w:keepNext/>
              <w:widowControl w:val="0"/>
              <w:spacing w:before="0"/>
              <w:jc w:val="center"/>
              <w:rPr>
                <w:rFonts w:ascii="Arial Narrow" w:hAnsi="Arial Narrow"/>
                <w:bCs/>
                <w:color w:val="000000"/>
                <w:sz w:val="20"/>
                <w:szCs w:val="20"/>
                <w:lang w:val="en-AU" w:eastAsia="zh-CN"/>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5"/>
                <w:sz w:val="20"/>
                <w:szCs w:val="20"/>
                <w:shd w:val="solid" w:color="000000" w:fill="000000"/>
                <w:fitText w:val="338" w:id="-1233480949"/>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38" w:id="-1233480949"/>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58F9C047" w14:textId="01343053" w:rsidR="00F76E10" w:rsidRPr="006F283B" w:rsidRDefault="00F76E10" w:rsidP="00F76E10">
            <w:pPr>
              <w:keepNext/>
              <w:widowControl w:val="0"/>
              <w:spacing w:before="0"/>
              <w:jc w:val="center"/>
              <w:rPr>
                <w:rFonts w:ascii="Arial Narrow" w:hAnsi="Arial Narrow"/>
                <w:bCs/>
                <w:color w:val="000000"/>
                <w:sz w:val="20"/>
                <w:szCs w:val="20"/>
                <w:lang w:val="en-AU" w:eastAsia="zh-CN"/>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5"/>
                <w:sz w:val="20"/>
                <w:szCs w:val="20"/>
                <w:shd w:val="solid" w:color="000000" w:fill="000000"/>
                <w:fitText w:val="338" w:id="-1233480948"/>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38" w:id="-1233480948"/>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00524F3F" w14:textId="4C7B9FDC" w:rsidR="00F76E10" w:rsidRPr="006F283B" w:rsidRDefault="00F76E10" w:rsidP="00F76E10">
            <w:pPr>
              <w:keepNext/>
              <w:widowControl w:val="0"/>
              <w:spacing w:before="0"/>
              <w:jc w:val="center"/>
              <w:rPr>
                <w:rFonts w:ascii="Arial Narrow" w:hAnsi="Arial Narrow"/>
                <w:bCs/>
                <w:color w:val="000000"/>
                <w:sz w:val="20"/>
                <w:szCs w:val="20"/>
                <w:lang w:val="en-AU" w:eastAsia="zh-CN"/>
              </w:rPr>
            </w:pPr>
            <w:r w:rsidRPr="006F283B">
              <w:rPr>
                <w:rFonts w:ascii="Arial Narrow" w:hAnsi="Arial Narrow" w:cs="Times New Roman"/>
                <w:bCs/>
                <w:color w:val="000000"/>
                <w:sz w:val="20"/>
                <w:szCs w:val="20"/>
                <w:lang w:val="en-AU" w:eastAsia="zh-CN"/>
              </w:rPr>
              <w:t>$</w:t>
            </w:r>
            <w:r w:rsidR="00093050" w:rsidRPr="00093050">
              <w:rPr>
                <w:rFonts w:ascii="Arial Narrow" w:hAnsi="Arial Narrow" w:cs="Times New Roman"/>
                <w:bCs/>
                <w:color w:val="000000"/>
                <w:spacing w:val="55"/>
                <w:sz w:val="20"/>
                <w:szCs w:val="20"/>
                <w:shd w:val="solid" w:color="000000" w:fill="000000"/>
                <w:fitText w:val="338" w:id="-1233480947"/>
                <w:lang w:val="en-AU" w:eastAsia="zh-CN"/>
                <w14:textFill>
                  <w14:solidFill>
                    <w14:srgbClr w14:val="000000">
                      <w14:alpha w14:val="100000"/>
                    </w14:srgbClr>
                  </w14:solidFill>
                </w14:textFill>
              </w:rPr>
              <w:t>|||</w:t>
            </w:r>
            <w:r w:rsidR="00093050" w:rsidRPr="00093050">
              <w:rPr>
                <w:rFonts w:ascii="Arial Narrow" w:hAnsi="Arial Narrow" w:cs="Times New Roman"/>
                <w:bCs/>
                <w:color w:val="000000"/>
                <w:spacing w:val="3"/>
                <w:sz w:val="20"/>
                <w:szCs w:val="20"/>
                <w:shd w:val="solid" w:color="000000" w:fill="000000"/>
                <w:fitText w:val="338" w:id="-1233480947"/>
                <w:lang w:val="en-AU" w:eastAsia="zh-CN"/>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F76E10" w:rsidRPr="006F283B" w14:paraId="56A96E27"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2E68BF61" w14:textId="2E756328" w:rsidR="00F76E10" w:rsidRPr="006F283B" w:rsidRDefault="00F76E10" w:rsidP="00F76E10">
            <w:pPr>
              <w:widowControl w:val="0"/>
              <w:spacing w:before="0"/>
              <w:jc w:val="left"/>
              <w:rPr>
                <w:rFonts w:ascii="Arial Narrow" w:hAnsi="Arial Narrow"/>
                <w:b/>
                <w:bCs/>
                <w:sz w:val="20"/>
                <w:szCs w:val="20"/>
                <w:lang w:val="en-AU"/>
              </w:rPr>
            </w:pPr>
            <w:r w:rsidRPr="006F283B">
              <w:rPr>
                <w:rFonts w:ascii="Arial Narrow" w:hAnsi="Arial Narrow"/>
                <w:b/>
                <w:bCs/>
                <w:sz w:val="20"/>
                <w:szCs w:val="20"/>
                <w:lang w:val="en-AU"/>
              </w:rPr>
              <w:t>Net cost health budget (GPG for t</w:t>
            </w:r>
            <w:r w:rsidR="001152C0" w:rsidRPr="001152C0">
              <w:rPr>
                <w:rFonts w:ascii="Arial Narrow" w:hAnsi="Arial Narrow"/>
                <w:b/>
                <w:bCs/>
                <w:i/>
                <w:sz w:val="20"/>
                <w:szCs w:val="20"/>
                <w:lang w:val="en-AU"/>
              </w:rPr>
              <w:t xml:space="preserve">BRCA </w:t>
            </w:r>
            <w:r w:rsidRPr="006F283B">
              <w:rPr>
                <w:rFonts w:ascii="Arial Narrow" w:hAnsi="Arial Narrow"/>
                <w:b/>
                <w:bCs/>
                <w:sz w:val="20"/>
                <w:szCs w:val="20"/>
                <w:lang w:val="en-AU"/>
              </w:rPr>
              <w:t>and HRD test)</w:t>
            </w:r>
          </w:p>
        </w:tc>
        <w:tc>
          <w:tcPr>
            <w:tcW w:w="629" w:type="pct"/>
            <w:tcBorders>
              <w:top w:val="single" w:sz="4" w:space="0" w:color="auto"/>
              <w:left w:val="single" w:sz="4" w:space="0" w:color="auto"/>
              <w:bottom w:val="single" w:sz="4" w:space="0" w:color="auto"/>
              <w:right w:val="single" w:sz="4" w:space="0" w:color="auto"/>
            </w:tcBorders>
            <w:vAlign w:val="center"/>
          </w:tcPr>
          <w:p w14:paraId="0382ADCE" w14:textId="2EFA0CF4" w:rsidR="00F76E10" w:rsidRPr="006F283B" w:rsidRDefault="00F76E10" w:rsidP="00F76E10">
            <w:pPr>
              <w:keepNext/>
              <w:widowControl w:val="0"/>
              <w:spacing w:before="0"/>
              <w:jc w:val="center"/>
              <w:rPr>
                <w:rFonts w:ascii="Arial Narrow" w:hAnsi="Arial Narrow"/>
                <w:b/>
                <w:bCs/>
                <w:color w:val="000000"/>
                <w:sz w:val="20"/>
                <w:szCs w:val="20"/>
                <w:lang w:val="en-AU" w:eastAsia="zh-CN"/>
              </w:rPr>
            </w:pPr>
            <w:r w:rsidRPr="006F283B">
              <w:rPr>
                <w:rFonts w:ascii="Arial Narrow" w:hAnsi="Arial Narrow"/>
                <w:b/>
                <w:bCs/>
                <w:color w:val="000000"/>
                <w:sz w:val="20"/>
                <w:szCs w:val="20"/>
                <w:lang w:val="en-AU"/>
              </w:rPr>
              <w:t>$</w:t>
            </w:r>
            <w:r w:rsidR="00093050" w:rsidRPr="00093050">
              <w:rPr>
                <w:rFonts w:ascii="Arial Narrow" w:hAnsi="Arial Narrow"/>
                <w:b/>
                <w:bCs/>
                <w:color w:val="000000"/>
                <w:spacing w:val="76"/>
                <w:sz w:val="20"/>
                <w:szCs w:val="20"/>
                <w:shd w:val="solid" w:color="000000" w:fill="000000"/>
                <w:fitText w:val="414" w:id="-1233480946"/>
                <w:lang w:val="en-AU"/>
                <w14:textFill>
                  <w14:solidFill>
                    <w14:srgbClr w14:val="000000">
                      <w14:alpha w14:val="100000"/>
                    </w14:srgbClr>
                  </w14:solidFill>
                </w14:textFill>
              </w:rPr>
              <w:t>|||</w:t>
            </w:r>
            <w:r w:rsidR="00093050" w:rsidRPr="00093050">
              <w:rPr>
                <w:rFonts w:ascii="Arial Narrow" w:hAnsi="Arial Narrow"/>
                <w:b/>
                <w:bCs/>
                <w:color w:val="000000"/>
                <w:spacing w:val="3"/>
                <w:sz w:val="20"/>
                <w:szCs w:val="20"/>
                <w:shd w:val="solid" w:color="000000" w:fill="000000"/>
                <w:fitText w:val="414" w:id="-123348094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475268D7" w14:textId="7F6F973B" w:rsidR="00F76E10" w:rsidRPr="006F283B" w:rsidRDefault="00F76E10" w:rsidP="00F76E10">
            <w:pPr>
              <w:keepNext/>
              <w:widowControl w:val="0"/>
              <w:spacing w:before="0"/>
              <w:jc w:val="center"/>
              <w:rPr>
                <w:rFonts w:ascii="Arial Narrow" w:hAnsi="Arial Narrow"/>
                <w:b/>
                <w:bCs/>
                <w:color w:val="000000"/>
                <w:sz w:val="20"/>
                <w:szCs w:val="20"/>
                <w:lang w:val="en-AU" w:eastAsia="zh-CN"/>
              </w:rPr>
            </w:pPr>
            <w:r w:rsidRPr="006F283B">
              <w:rPr>
                <w:rFonts w:ascii="Arial Narrow" w:hAnsi="Arial Narrow"/>
                <w:b/>
                <w:bCs/>
                <w:color w:val="000000"/>
                <w:sz w:val="20"/>
                <w:szCs w:val="20"/>
                <w:lang w:val="en-AU"/>
              </w:rPr>
              <w:t>$</w:t>
            </w:r>
            <w:r w:rsidR="00093050" w:rsidRPr="00093050">
              <w:rPr>
                <w:rFonts w:ascii="Arial Narrow" w:hAnsi="Arial Narrow"/>
                <w:b/>
                <w:bCs/>
                <w:color w:val="000000"/>
                <w:spacing w:val="32"/>
                <w:sz w:val="20"/>
                <w:szCs w:val="20"/>
                <w:shd w:val="solid" w:color="000000" w:fill="000000"/>
                <w:fitText w:val="438" w:id="-1233480945"/>
                <w:lang w:val="en-AU"/>
                <w14:textFill>
                  <w14:solidFill>
                    <w14:srgbClr w14:val="000000">
                      <w14:alpha w14:val="100000"/>
                    </w14:srgbClr>
                  </w14:solidFill>
                </w14:textFill>
              </w:rPr>
              <w:t>|||||</w:t>
            </w:r>
            <w:r w:rsidR="00093050" w:rsidRPr="00093050">
              <w:rPr>
                <w:rFonts w:ascii="Arial Narrow" w:hAnsi="Arial Narrow"/>
                <w:b/>
                <w:bCs/>
                <w:color w:val="000000"/>
                <w:spacing w:val="3"/>
                <w:sz w:val="20"/>
                <w:szCs w:val="20"/>
                <w:shd w:val="solid" w:color="000000" w:fill="000000"/>
                <w:fitText w:val="438" w:id="-123348094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3F8CD201" w14:textId="621B91DB" w:rsidR="00F76E10" w:rsidRPr="006F283B" w:rsidRDefault="00F76E10" w:rsidP="00F76E10">
            <w:pPr>
              <w:keepNext/>
              <w:widowControl w:val="0"/>
              <w:spacing w:before="0"/>
              <w:jc w:val="center"/>
              <w:rPr>
                <w:rFonts w:ascii="Arial Narrow" w:hAnsi="Arial Narrow"/>
                <w:b/>
                <w:bCs/>
                <w:color w:val="000000"/>
                <w:sz w:val="20"/>
                <w:szCs w:val="20"/>
                <w:lang w:val="en-AU" w:eastAsia="zh-CN"/>
              </w:rPr>
            </w:pPr>
            <w:r w:rsidRPr="006F283B">
              <w:rPr>
                <w:rFonts w:ascii="Arial Narrow" w:hAnsi="Arial Narrow"/>
                <w:b/>
                <w:bCs/>
                <w:color w:val="000000"/>
                <w:sz w:val="20"/>
                <w:szCs w:val="20"/>
                <w:lang w:val="en-AU"/>
              </w:rPr>
              <w:t>$</w:t>
            </w:r>
            <w:r w:rsidR="00093050" w:rsidRPr="00093050">
              <w:rPr>
                <w:rFonts w:ascii="Arial Narrow" w:hAnsi="Arial Narrow"/>
                <w:b/>
                <w:bCs/>
                <w:color w:val="000000"/>
                <w:spacing w:val="64"/>
                <w:sz w:val="20"/>
                <w:szCs w:val="20"/>
                <w:shd w:val="solid" w:color="000000" w:fill="000000"/>
                <w:fitText w:val="376" w:id="-1233480944"/>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376" w:id="-123348094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1861384C" w14:textId="2D3EBE98" w:rsidR="00F76E10" w:rsidRPr="006F283B" w:rsidRDefault="00F76E10" w:rsidP="00F76E10">
            <w:pPr>
              <w:keepNext/>
              <w:widowControl w:val="0"/>
              <w:spacing w:before="0"/>
              <w:jc w:val="center"/>
              <w:rPr>
                <w:rFonts w:ascii="Arial Narrow" w:hAnsi="Arial Narrow"/>
                <w:b/>
                <w:bCs/>
                <w:color w:val="000000"/>
                <w:sz w:val="20"/>
                <w:szCs w:val="20"/>
                <w:lang w:val="en-AU" w:eastAsia="zh-CN"/>
              </w:rPr>
            </w:pPr>
            <w:r w:rsidRPr="006F283B">
              <w:rPr>
                <w:rFonts w:ascii="Arial Narrow" w:hAnsi="Arial Narrow"/>
                <w:b/>
                <w:bCs/>
                <w:color w:val="000000"/>
                <w:sz w:val="20"/>
                <w:szCs w:val="20"/>
                <w:lang w:val="en-AU"/>
              </w:rPr>
              <w:t>$</w:t>
            </w:r>
            <w:r w:rsidR="00093050" w:rsidRPr="00093050">
              <w:rPr>
                <w:rFonts w:ascii="Arial Narrow" w:hAnsi="Arial Narrow"/>
                <w:b/>
                <w:bCs/>
                <w:color w:val="000000"/>
                <w:spacing w:val="72"/>
                <w:sz w:val="20"/>
                <w:szCs w:val="20"/>
                <w:shd w:val="solid" w:color="000000" w:fill="000000"/>
                <w:fitText w:val="400" w:id="-1233480960"/>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400" w:id="-123348096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64B97D78" w14:textId="14B9F934" w:rsidR="00F76E10" w:rsidRPr="006F283B" w:rsidRDefault="00F76E10" w:rsidP="00F76E10">
            <w:pPr>
              <w:keepNext/>
              <w:widowControl w:val="0"/>
              <w:spacing w:before="0"/>
              <w:jc w:val="center"/>
              <w:rPr>
                <w:rFonts w:ascii="Arial Narrow" w:hAnsi="Arial Narrow"/>
                <w:b/>
                <w:bCs/>
                <w:color w:val="000000"/>
                <w:sz w:val="20"/>
                <w:szCs w:val="20"/>
                <w:lang w:val="en-AU" w:eastAsia="zh-CN"/>
              </w:rPr>
            </w:pPr>
            <w:r w:rsidRPr="006F283B">
              <w:rPr>
                <w:rFonts w:ascii="Arial Narrow" w:hAnsi="Arial Narrow"/>
                <w:b/>
                <w:bCs/>
                <w:color w:val="000000"/>
                <w:sz w:val="20"/>
                <w:szCs w:val="20"/>
                <w:lang w:val="en-AU"/>
              </w:rPr>
              <w:t>$</w:t>
            </w:r>
            <w:r w:rsidR="00093050" w:rsidRPr="00093050">
              <w:rPr>
                <w:rFonts w:ascii="Arial Narrow" w:hAnsi="Arial Narrow"/>
                <w:b/>
                <w:bCs/>
                <w:color w:val="000000"/>
                <w:spacing w:val="68"/>
                <w:sz w:val="20"/>
                <w:szCs w:val="20"/>
                <w:shd w:val="solid" w:color="000000" w:fill="000000"/>
                <w:fitText w:val="388" w:id="-1233480959"/>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388" w:id="-1233480959"/>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3B0F57D6" w14:textId="21C23314" w:rsidR="00F76E10" w:rsidRPr="006F283B" w:rsidRDefault="00F76E10" w:rsidP="00F76E10">
            <w:pPr>
              <w:keepNext/>
              <w:widowControl w:val="0"/>
              <w:spacing w:before="0"/>
              <w:jc w:val="center"/>
              <w:rPr>
                <w:rFonts w:ascii="Arial Narrow" w:hAnsi="Arial Narrow"/>
                <w:b/>
                <w:bCs/>
                <w:color w:val="000000"/>
                <w:sz w:val="20"/>
                <w:szCs w:val="20"/>
                <w:lang w:val="en-AU" w:eastAsia="zh-CN"/>
              </w:rPr>
            </w:pPr>
            <w:r w:rsidRPr="006F283B">
              <w:rPr>
                <w:rFonts w:ascii="Arial Narrow" w:hAnsi="Arial Narrow"/>
                <w:b/>
                <w:bCs/>
                <w:color w:val="000000"/>
                <w:sz w:val="20"/>
                <w:szCs w:val="20"/>
                <w:lang w:val="en-AU"/>
              </w:rPr>
              <w:t>$</w:t>
            </w:r>
            <w:r w:rsidR="00093050" w:rsidRPr="00093050">
              <w:rPr>
                <w:rFonts w:ascii="Arial Narrow" w:hAnsi="Arial Narrow"/>
                <w:b/>
                <w:bCs/>
                <w:color w:val="000000"/>
                <w:spacing w:val="68"/>
                <w:sz w:val="20"/>
                <w:szCs w:val="20"/>
                <w:shd w:val="solid" w:color="000000" w:fill="000000"/>
                <w:fitText w:val="388" w:id="-1233480958"/>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388" w:id="-1233480958"/>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7B1FBF" w:rsidRPr="006F283B" w14:paraId="1C87DA11" w14:textId="77777777" w:rsidTr="007B1FBF">
        <w:tc>
          <w:tcPr>
            <w:tcW w:w="5000" w:type="pct"/>
            <w:gridSpan w:val="7"/>
            <w:tcBorders>
              <w:top w:val="single" w:sz="4" w:space="0" w:color="auto"/>
              <w:left w:val="single" w:sz="4" w:space="0" w:color="auto"/>
              <w:bottom w:val="single" w:sz="4" w:space="0" w:color="auto"/>
              <w:right w:val="single" w:sz="4" w:space="0" w:color="auto"/>
            </w:tcBorders>
            <w:vAlign w:val="center"/>
          </w:tcPr>
          <w:p w14:paraId="129295C1" w14:textId="24F2A437" w:rsidR="007B1FBF" w:rsidRPr="006F283B" w:rsidRDefault="007B1FBF" w:rsidP="007B1FBF">
            <w:pPr>
              <w:keepNext/>
              <w:widowControl w:val="0"/>
              <w:spacing w:before="0"/>
              <w:jc w:val="left"/>
              <w:rPr>
                <w:rFonts w:ascii="Arial Narrow" w:hAnsi="Arial Narrow"/>
                <w:b/>
                <w:bCs/>
                <w:color w:val="000000"/>
                <w:sz w:val="20"/>
                <w:szCs w:val="20"/>
                <w:lang w:val="en-AU"/>
              </w:rPr>
            </w:pPr>
            <w:r w:rsidRPr="006F283B">
              <w:rPr>
                <w:rFonts w:ascii="Arial Narrow" w:hAnsi="Arial Narrow"/>
                <w:b/>
                <w:bCs/>
                <w:color w:val="000000"/>
                <w:sz w:val="20"/>
                <w:szCs w:val="20"/>
                <w:lang w:val="en-AU"/>
              </w:rPr>
              <w:t>Updated estimates provided in pre-PBAC response</w:t>
            </w:r>
          </w:p>
        </w:tc>
      </w:tr>
      <w:tr w:rsidR="00C226BE" w:rsidRPr="006F283B" w14:paraId="6F00B5B3" w14:textId="77777777" w:rsidTr="00C226BE">
        <w:tc>
          <w:tcPr>
            <w:tcW w:w="1177" w:type="pct"/>
            <w:tcBorders>
              <w:top w:val="single" w:sz="4" w:space="0" w:color="auto"/>
              <w:left w:val="single" w:sz="4" w:space="0" w:color="auto"/>
              <w:bottom w:val="single" w:sz="4" w:space="0" w:color="auto"/>
              <w:right w:val="single" w:sz="4" w:space="0" w:color="auto"/>
            </w:tcBorders>
            <w:vAlign w:val="center"/>
          </w:tcPr>
          <w:p w14:paraId="212910ED" w14:textId="125D7852" w:rsidR="00C226BE" w:rsidRPr="006F283B" w:rsidRDefault="00C226BE" w:rsidP="00C226BE">
            <w:pPr>
              <w:widowControl w:val="0"/>
              <w:spacing w:before="0"/>
              <w:jc w:val="left"/>
              <w:rPr>
                <w:rFonts w:ascii="Arial Narrow" w:hAnsi="Arial Narrow"/>
                <w:b/>
                <w:bCs/>
                <w:sz w:val="20"/>
                <w:szCs w:val="20"/>
                <w:lang w:val="en-AU"/>
              </w:rPr>
            </w:pPr>
            <w:r w:rsidRPr="006F283B">
              <w:rPr>
                <w:rFonts w:ascii="Arial Narrow" w:eastAsia="Times New Roman" w:hAnsi="Arial Narrow"/>
                <w:color w:val="000000"/>
                <w:sz w:val="20"/>
                <w:szCs w:val="20"/>
                <w:lang w:val="en-AU" w:eastAsia="en-AU"/>
              </w:rPr>
              <w:t xml:space="preserve">Net </w:t>
            </w:r>
            <w:r w:rsidR="0049142C" w:rsidRPr="006F283B">
              <w:rPr>
                <w:rFonts w:ascii="Arial Narrow" w:eastAsia="Times New Roman" w:hAnsi="Arial Narrow"/>
                <w:color w:val="000000"/>
                <w:sz w:val="20"/>
                <w:szCs w:val="20"/>
                <w:lang w:val="en-AU" w:eastAsia="en-AU"/>
              </w:rPr>
              <w:t>cost to</w:t>
            </w:r>
            <w:r w:rsidRPr="006F283B">
              <w:rPr>
                <w:rFonts w:ascii="Arial Narrow" w:eastAsia="Times New Roman" w:hAnsi="Arial Narrow"/>
                <w:color w:val="000000"/>
                <w:sz w:val="20"/>
                <w:szCs w:val="20"/>
                <w:lang w:val="en-AU" w:eastAsia="en-AU"/>
              </w:rPr>
              <w:t xml:space="preserve"> PBS/RPBS</w:t>
            </w:r>
          </w:p>
        </w:tc>
        <w:tc>
          <w:tcPr>
            <w:tcW w:w="629" w:type="pct"/>
            <w:tcBorders>
              <w:top w:val="single" w:sz="4" w:space="0" w:color="auto"/>
              <w:left w:val="single" w:sz="4" w:space="0" w:color="auto"/>
              <w:bottom w:val="single" w:sz="4" w:space="0" w:color="auto"/>
              <w:right w:val="single" w:sz="4" w:space="0" w:color="auto"/>
            </w:tcBorders>
            <w:vAlign w:val="center"/>
          </w:tcPr>
          <w:p w14:paraId="3F7B26AB" w14:textId="3D882AF9"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9"/>
                <w:sz w:val="20"/>
                <w:szCs w:val="20"/>
                <w:shd w:val="solid" w:color="000000" w:fill="000000"/>
                <w:fitText w:val="350" w:id="-1233480957"/>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0957"/>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72874E67" w14:textId="2D160CBA"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8"/>
                <w:sz w:val="20"/>
                <w:szCs w:val="20"/>
                <w:shd w:val="solid" w:color="000000" w:fill="000000"/>
                <w:fitText w:val="376" w:id="-1233480956"/>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095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4BD7AEEB" w14:textId="0644DD49"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1"/>
                <w:sz w:val="20"/>
                <w:szCs w:val="20"/>
                <w:shd w:val="solid" w:color="000000" w:fill="000000"/>
                <w:fitText w:val="325" w:id="-1233480955"/>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095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2C5E3D9F" w14:textId="5638FDED"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54"/>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366EC4D8" w14:textId="0752CF4F"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53"/>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52826244" w14:textId="2B4BD873"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52"/>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C226BE" w:rsidRPr="006F283B" w14:paraId="7AB765ED" w14:textId="77777777" w:rsidTr="00C226BE">
        <w:tc>
          <w:tcPr>
            <w:tcW w:w="1177" w:type="pct"/>
            <w:tcBorders>
              <w:top w:val="single" w:sz="4" w:space="0" w:color="auto"/>
              <w:left w:val="single" w:sz="4" w:space="0" w:color="auto"/>
              <w:bottom w:val="single" w:sz="4" w:space="0" w:color="auto"/>
              <w:right w:val="single" w:sz="4" w:space="0" w:color="auto"/>
            </w:tcBorders>
            <w:vAlign w:val="center"/>
          </w:tcPr>
          <w:p w14:paraId="0AF21189" w14:textId="2A9C5BBB" w:rsidR="00C226BE" w:rsidRPr="006F283B" w:rsidRDefault="00C226BE" w:rsidP="00C226BE">
            <w:pPr>
              <w:widowControl w:val="0"/>
              <w:spacing w:before="0"/>
              <w:jc w:val="left"/>
              <w:rPr>
                <w:rFonts w:ascii="Arial Narrow" w:hAnsi="Arial Narrow"/>
                <w:b/>
                <w:bCs/>
                <w:sz w:val="20"/>
                <w:szCs w:val="20"/>
                <w:lang w:val="en-AU"/>
              </w:rPr>
            </w:pPr>
            <w:r w:rsidRPr="006F283B">
              <w:rPr>
                <w:rFonts w:ascii="Arial Narrow" w:eastAsia="Times New Roman" w:hAnsi="Arial Narrow"/>
                <w:color w:val="000000"/>
                <w:sz w:val="20"/>
                <w:szCs w:val="20"/>
                <w:lang w:val="en-AU" w:eastAsia="en-AU"/>
              </w:rPr>
              <w:lastRenderedPageBreak/>
              <w:t xml:space="preserve">Net </w:t>
            </w:r>
            <w:r w:rsidR="00631B16" w:rsidRPr="006F283B">
              <w:rPr>
                <w:rFonts w:ascii="Arial Narrow" w:eastAsia="Times New Roman" w:hAnsi="Arial Narrow"/>
                <w:color w:val="000000"/>
                <w:sz w:val="20"/>
                <w:szCs w:val="20"/>
                <w:lang w:val="en-AU" w:eastAsia="en-AU"/>
              </w:rPr>
              <w:t>cost</w:t>
            </w:r>
            <w:r w:rsidRPr="006F283B">
              <w:rPr>
                <w:rFonts w:ascii="Arial Narrow" w:eastAsia="Times New Roman" w:hAnsi="Arial Narrow"/>
                <w:color w:val="000000"/>
                <w:sz w:val="20"/>
                <w:szCs w:val="20"/>
                <w:lang w:val="en-AU" w:eastAsia="en-AU"/>
              </w:rPr>
              <w:t xml:space="preserve"> of HRD testing for MBS</w:t>
            </w:r>
          </w:p>
        </w:tc>
        <w:tc>
          <w:tcPr>
            <w:tcW w:w="629" w:type="pct"/>
            <w:tcBorders>
              <w:top w:val="single" w:sz="4" w:space="0" w:color="auto"/>
              <w:left w:val="single" w:sz="4" w:space="0" w:color="auto"/>
              <w:bottom w:val="single" w:sz="4" w:space="0" w:color="auto"/>
              <w:right w:val="single" w:sz="4" w:space="0" w:color="auto"/>
            </w:tcBorders>
            <w:vAlign w:val="center"/>
          </w:tcPr>
          <w:p w14:paraId="039767F3" w14:textId="04BB01CE"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9"/>
                <w:sz w:val="20"/>
                <w:szCs w:val="20"/>
                <w:shd w:val="solid" w:color="000000" w:fill="000000"/>
                <w:fitText w:val="350" w:id="-1233480951"/>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095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627B8B13" w14:textId="5BC57F0B"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8"/>
                <w:sz w:val="20"/>
                <w:szCs w:val="20"/>
                <w:shd w:val="solid" w:color="000000" w:fill="000000"/>
                <w:fitText w:val="376" w:id="-1233480950"/>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095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389341C7" w14:textId="3382C28F"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1"/>
                <w:sz w:val="20"/>
                <w:szCs w:val="20"/>
                <w:shd w:val="solid" w:color="000000" w:fill="000000"/>
                <w:fitText w:val="325" w:id="-1233480949"/>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0949"/>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044F3C06" w14:textId="2EE92D49"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48"/>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48"/>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6EBE65A7" w14:textId="35EB32F0"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47"/>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47"/>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194EAFB5" w14:textId="1320BC2A"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46"/>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4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C226BE" w:rsidRPr="006F283B" w14:paraId="1671F5E5" w14:textId="77777777" w:rsidTr="00C226BE">
        <w:tc>
          <w:tcPr>
            <w:tcW w:w="1177" w:type="pct"/>
            <w:tcBorders>
              <w:top w:val="single" w:sz="4" w:space="0" w:color="auto"/>
              <w:left w:val="single" w:sz="4" w:space="0" w:color="auto"/>
              <w:bottom w:val="single" w:sz="4" w:space="0" w:color="auto"/>
              <w:right w:val="single" w:sz="4" w:space="0" w:color="auto"/>
            </w:tcBorders>
            <w:vAlign w:val="center"/>
          </w:tcPr>
          <w:p w14:paraId="0A6E73A3" w14:textId="3754302E" w:rsidR="00C226BE" w:rsidRPr="006F283B" w:rsidRDefault="00C226BE" w:rsidP="00C226BE">
            <w:pPr>
              <w:widowControl w:val="0"/>
              <w:spacing w:before="0"/>
              <w:jc w:val="left"/>
              <w:rPr>
                <w:rFonts w:ascii="Arial Narrow" w:hAnsi="Arial Narrow"/>
                <w:b/>
                <w:bCs/>
                <w:sz w:val="20"/>
                <w:szCs w:val="20"/>
                <w:lang w:val="en-AU"/>
              </w:rPr>
            </w:pPr>
            <w:r w:rsidRPr="006F283B">
              <w:rPr>
                <w:rFonts w:ascii="Arial Narrow" w:eastAsia="Times New Roman" w:hAnsi="Arial Narrow"/>
                <w:color w:val="000000"/>
                <w:sz w:val="20"/>
                <w:szCs w:val="20"/>
                <w:lang w:val="en-AU" w:eastAsia="en-AU"/>
              </w:rPr>
              <w:t xml:space="preserve">Net </w:t>
            </w:r>
            <w:r w:rsidR="00631B16" w:rsidRPr="006F283B">
              <w:rPr>
                <w:rFonts w:ascii="Arial Narrow" w:eastAsia="Times New Roman" w:hAnsi="Arial Narrow"/>
                <w:color w:val="000000"/>
                <w:sz w:val="20"/>
                <w:szCs w:val="20"/>
                <w:lang w:val="en-AU" w:eastAsia="en-AU"/>
              </w:rPr>
              <w:t xml:space="preserve">cost </w:t>
            </w:r>
            <w:r w:rsidRPr="006F283B">
              <w:rPr>
                <w:rFonts w:ascii="Arial Narrow" w:eastAsia="Times New Roman" w:hAnsi="Arial Narrow"/>
                <w:color w:val="000000"/>
                <w:sz w:val="20"/>
                <w:szCs w:val="20"/>
                <w:lang w:val="en-AU" w:eastAsia="en-AU"/>
              </w:rPr>
              <w:t>of changes to other MBS items</w:t>
            </w:r>
          </w:p>
        </w:tc>
        <w:tc>
          <w:tcPr>
            <w:tcW w:w="629" w:type="pct"/>
            <w:tcBorders>
              <w:top w:val="single" w:sz="4" w:space="0" w:color="auto"/>
              <w:left w:val="single" w:sz="4" w:space="0" w:color="auto"/>
              <w:bottom w:val="single" w:sz="4" w:space="0" w:color="auto"/>
              <w:right w:val="single" w:sz="4" w:space="0" w:color="auto"/>
            </w:tcBorders>
            <w:vAlign w:val="center"/>
          </w:tcPr>
          <w:p w14:paraId="4A56E824" w14:textId="3C08BD3F"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9"/>
                <w:sz w:val="20"/>
                <w:szCs w:val="20"/>
                <w:shd w:val="solid" w:color="000000" w:fill="000000"/>
                <w:fitText w:val="350" w:id="-1233480945"/>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50" w:id="-123348094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vAlign w:val="center"/>
          </w:tcPr>
          <w:p w14:paraId="03148233" w14:textId="7BB63032"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68"/>
                <w:sz w:val="20"/>
                <w:szCs w:val="20"/>
                <w:shd w:val="solid" w:color="000000" w:fill="000000"/>
                <w:fitText w:val="376" w:id="-1233480944"/>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76" w:id="-123348094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vAlign w:val="center"/>
          </w:tcPr>
          <w:p w14:paraId="44D39F31" w14:textId="65FE129A"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1"/>
                <w:sz w:val="20"/>
                <w:szCs w:val="20"/>
                <w:shd w:val="solid" w:color="000000" w:fill="000000"/>
                <w:fitText w:val="325" w:id="-1233480960"/>
                <w:lang w:val="en-AU"/>
                <w14:textFill>
                  <w14:solidFill>
                    <w14:srgbClr w14:val="000000">
                      <w14:alpha w14:val="100000"/>
                    </w14:srgbClr>
                  </w14:solidFill>
                </w14:textFill>
              </w:rPr>
              <w:t>|||</w:t>
            </w:r>
            <w:r w:rsidR="00093050" w:rsidRPr="00093050">
              <w:rPr>
                <w:rFonts w:ascii="Arial Narrow" w:hAnsi="Arial Narrow"/>
                <w:color w:val="000000"/>
                <w:spacing w:val="2"/>
                <w:sz w:val="20"/>
                <w:szCs w:val="20"/>
                <w:shd w:val="solid" w:color="000000" w:fill="000000"/>
                <w:fitText w:val="325" w:id="-1233480960"/>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vAlign w:val="center"/>
          </w:tcPr>
          <w:p w14:paraId="058EEB48" w14:textId="7EA4F5A2"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59"/>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9"/>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56E4D06B" w14:textId="2A2BB216"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58"/>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8"/>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vAlign w:val="center"/>
          </w:tcPr>
          <w:p w14:paraId="231C799B" w14:textId="6B9315C9" w:rsidR="00C226BE" w:rsidRPr="006F283B" w:rsidRDefault="00C226BE" w:rsidP="00C226BE">
            <w:pPr>
              <w:keepNext/>
              <w:widowControl w:val="0"/>
              <w:spacing w:before="0"/>
              <w:jc w:val="center"/>
              <w:rPr>
                <w:rFonts w:ascii="Arial Narrow" w:hAnsi="Arial Narrow"/>
                <w:b/>
                <w:bCs/>
                <w:color w:val="000000"/>
                <w:sz w:val="20"/>
                <w:szCs w:val="20"/>
                <w:lang w:val="en-AU"/>
              </w:rPr>
            </w:pPr>
            <w:r w:rsidRPr="006F283B">
              <w:rPr>
                <w:rFonts w:ascii="Arial Narrow" w:hAnsi="Arial Narrow"/>
                <w:sz w:val="20"/>
                <w:szCs w:val="20"/>
                <w:lang w:val="en-AU"/>
              </w:rPr>
              <w:t>$</w:t>
            </w:r>
            <w:r w:rsidR="00093050" w:rsidRPr="00093050">
              <w:rPr>
                <w:rFonts w:ascii="Arial Narrow" w:hAnsi="Arial Narrow"/>
                <w:color w:val="000000"/>
                <w:spacing w:val="55"/>
                <w:sz w:val="20"/>
                <w:szCs w:val="20"/>
                <w:shd w:val="solid" w:color="000000" w:fill="000000"/>
                <w:fitText w:val="338" w:id="-1233480957"/>
                <w:lang w:val="en-AU"/>
                <w14:textFill>
                  <w14:solidFill>
                    <w14:srgbClr w14:val="000000">
                      <w14:alpha w14:val="100000"/>
                    </w14:srgbClr>
                  </w14:solidFill>
                </w14:textFill>
              </w:rPr>
              <w:t>|||</w:t>
            </w:r>
            <w:r w:rsidR="00093050" w:rsidRPr="00093050">
              <w:rPr>
                <w:rFonts w:ascii="Arial Narrow" w:hAnsi="Arial Narrow"/>
                <w:color w:val="000000"/>
                <w:spacing w:val="3"/>
                <w:sz w:val="20"/>
                <w:szCs w:val="20"/>
                <w:shd w:val="solid" w:color="000000" w:fill="000000"/>
                <w:fitText w:val="338" w:id="-1233480957"/>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r w:rsidR="00C226BE" w:rsidRPr="006F283B" w14:paraId="230B84AD" w14:textId="77777777" w:rsidTr="00372EA1">
        <w:tc>
          <w:tcPr>
            <w:tcW w:w="1177" w:type="pct"/>
            <w:tcBorders>
              <w:top w:val="single" w:sz="4" w:space="0" w:color="auto"/>
              <w:left w:val="single" w:sz="4" w:space="0" w:color="auto"/>
              <w:bottom w:val="single" w:sz="4" w:space="0" w:color="auto"/>
              <w:right w:val="single" w:sz="4" w:space="0" w:color="auto"/>
            </w:tcBorders>
            <w:vAlign w:val="center"/>
          </w:tcPr>
          <w:p w14:paraId="70586CA9" w14:textId="0BEDA243" w:rsidR="00C226BE" w:rsidRPr="006F283B" w:rsidRDefault="00C226BE" w:rsidP="00C226BE">
            <w:pPr>
              <w:widowControl w:val="0"/>
              <w:spacing w:before="0"/>
              <w:jc w:val="left"/>
              <w:rPr>
                <w:rFonts w:ascii="Arial Narrow" w:eastAsia="Times New Roman" w:hAnsi="Arial Narrow"/>
                <w:b/>
                <w:bCs/>
                <w:color w:val="000000"/>
                <w:sz w:val="20"/>
                <w:szCs w:val="20"/>
                <w:lang w:val="en-AU" w:eastAsia="en-AU"/>
              </w:rPr>
            </w:pPr>
            <w:r w:rsidRPr="006F283B">
              <w:rPr>
                <w:rFonts w:ascii="Arial Narrow" w:eastAsia="Times New Roman" w:hAnsi="Arial Narrow"/>
                <w:b/>
                <w:bCs/>
                <w:color w:val="000000"/>
                <w:sz w:val="20"/>
                <w:szCs w:val="20"/>
                <w:lang w:val="en-AU" w:eastAsia="en-AU"/>
              </w:rPr>
              <w:t>Overall net cost to government health budgets</w:t>
            </w:r>
          </w:p>
        </w:tc>
        <w:tc>
          <w:tcPr>
            <w:tcW w:w="629" w:type="pct"/>
            <w:tcBorders>
              <w:top w:val="single" w:sz="4" w:space="0" w:color="auto"/>
              <w:left w:val="single" w:sz="4" w:space="0" w:color="auto"/>
              <w:bottom w:val="single" w:sz="4" w:space="0" w:color="auto"/>
              <w:right w:val="single" w:sz="4" w:space="0" w:color="auto"/>
            </w:tcBorders>
          </w:tcPr>
          <w:p w14:paraId="0B4D81D0" w14:textId="4AF111F1" w:rsidR="00C226BE" w:rsidRPr="006F283B" w:rsidRDefault="00C226BE" w:rsidP="00C226BE">
            <w:pPr>
              <w:keepNext/>
              <w:widowControl w:val="0"/>
              <w:spacing w:before="0"/>
              <w:jc w:val="center"/>
              <w:rPr>
                <w:rFonts w:ascii="Arial Narrow" w:hAnsi="Arial Narrow"/>
                <w:b/>
                <w:bCs/>
                <w:sz w:val="20"/>
                <w:szCs w:val="20"/>
                <w:lang w:val="en-AU"/>
              </w:rPr>
            </w:pPr>
            <w:r w:rsidRPr="006F283B">
              <w:rPr>
                <w:rFonts w:ascii="Arial Narrow" w:hAnsi="Arial Narrow"/>
                <w:b/>
                <w:bCs/>
                <w:sz w:val="20"/>
                <w:szCs w:val="20"/>
                <w:lang w:val="en-AU"/>
              </w:rPr>
              <w:t>$</w:t>
            </w:r>
            <w:r w:rsidR="00093050" w:rsidRPr="00093050">
              <w:rPr>
                <w:rFonts w:ascii="Arial Narrow" w:hAnsi="Arial Narrow"/>
                <w:b/>
                <w:bCs/>
                <w:color w:val="000000"/>
                <w:spacing w:val="76"/>
                <w:sz w:val="20"/>
                <w:szCs w:val="20"/>
                <w:shd w:val="solid" w:color="000000" w:fill="000000"/>
                <w:fitText w:val="414" w:id="-1233480956"/>
                <w:lang w:val="en-AU"/>
                <w14:textFill>
                  <w14:solidFill>
                    <w14:srgbClr w14:val="000000">
                      <w14:alpha w14:val="100000"/>
                    </w14:srgbClr>
                  </w14:solidFill>
                </w14:textFill>
              </w:rPr>
              <w:t>|||</w:t>
            </w:r>
            <w:r w:rsidR="00093050" w:rsidRPr="00093050">
              <w:rPr>
                <w:rFonts w:ascii="Arial Narrow" w:hAnsi="Arial Narrow"/>
                <w:b/>
                <w:bCs/>
                <w:color w:val="000000"/>
                <w:spacing w:val="3"/>
                <w:sz w:val="20"/>
                <w:szCs w:val="20"/>
                <w:shd w:val="solid" w:color="000000" w:fill="000000"/>
                <w:fitText w:val="414" w:id="-1233480956"/>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05" w:type="pct"/>
            <w:tcBorders>
              <w:top w:val="single" w:sz="4" w:space="0" w:color="auto"/>
              <w:left w:val="single" w:sz="4" w:space="0" w:color="auto"/>
              <w:bottom w:val="single" w:sz="4" w:space="0" w:color="auto"/>
              <w:right w:val="single" w:sz="4" w:space="0" w:color="auto"/>
            </w:tcBorders>
          </w:tcPr>
          <w:p w14:paraId="3779CA20" w14:textId="17312C5F" w:rsidR="00C226BE" w:rsidRPr="006F283B" w:rsidRDefault="00C226BE" w:rsidP="00C226BE">
            <w:pPr>
              <w:keepNext/>
              <w:widowControl w:val="0"/>
              <w:spacing w:before="0"/>
              <w:jc w:val="center"/>
              <w:rPr>
                <w:rFonts w:ascii="Arial Narrow" w:hAnsi="Arial Narrow"/>
                <w:b/>
                <w:bCs/>
                <w:sz w:val="20"/>
                <w:szCs w:val="20"/>
                <w:lang w:val="en-AU"/>
              </w:rPr>
            </w:pPr>
            <w:r w:rsidRPr="006F283B">
              <w:rPr>
                <w:rFonts w:ascii="Arial Narrow" w:hAnsi="Arial Narrow"/>
                <w:b/>
                <w:bCs/>
                <w:sz w:val="20"/>
                <w:szCs w:val="20"/>
                <w:lang w:val="en-AU"/>
              </w:rPr>
              <w:t>$</w:t>
            </w:r>
            <w:r w:rsidR="00093050" w:rsidRPr="00093050">
              <w:rPr>
                <w:rFonts w:ascii="Arial Narrow" w:hAnsi="Arial Narrow"/>
                <w:b/>
                <w:bCs/>
                <w:color w:val="000000"/>
                <w:spacing w:val="32"/>
                <w:sz w:val="20"/>
                <w:szCs w:val="20"/>
                <w:shd w:val="solid" w:color="000000" w:fill="000000"/>
                <w:fitText w:val="438" w:id="-1233480955"/>
                <w:lang w:val="en-AU"/>
                <w14:textFill>
                  <w14:solidFill>
                    <w14:srgbClr w14:val="000000">
                      <w14:alpha w14:val="100000"/>
                    </w14:srgbClr>
                  </w14:solidFill>
                </w14:textFill>
              </w:rPr>
              <w:t>|||||</w:t>
            </w:r>
            <w:r w:rsidR="00093050" w:rsidRPr="00093050">
              <w:rPr>
                <w:rFonts w:ascii="Arial Narrow" w:hAnsi="Arial Narrow"/>
                <w:b/>
                <w:bCs/>
                <w:color w:val="000000"/>
                <w:spacing w:val="3"/>
                <w:sz w:val="20"/>
                <w:szCs w:val="20"/>
                <w:shd w:val="solid" w:color="000000" w:fill="000000"/>
                <w:fitText w:val="438" w:id="-1233480955"/>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53" w:type="pct"/>
            <w:tcBorders>
              <w:top w:val="single" w:sz="4" w:space="0" w:color="auto"/>
              <w:left w:val="single" w:sz="4" w:space="0" w:color="auto"/>
              <w:bottom w:val="single" w:sz="4" w:space="0" w:color="auto"/>
              <w:right w:val="single" w:sz="4" w:space="0" w:color="auto"/>
            </w:tcBorders>
          </w:tcPr>
          <w:p w14:paraId="564C04FE" w14:textId="7E67B42D" w:rsidR="00C226BE" w:rsidRPr="006F283B" w:rsidRDefault="00C226BE" w:rsidP="00C226BE">
            <w:pPr>
              <w:keepNext/>
              <w:widowControl w:val="0"/>
              <w:spacing w:before="0"/>
              <w:jc w:val="center"/>
              <w:rPr>
                <w:rFonts w:ascii="Arial Narrow" w:hAnsi="Arial Narrow"/>
                <w:b/>
                <w:bCs/>
                <w:sz w:val="20"/>
                <w:szCs w:val="20"/>
                <w:lang w:val="en-AU"/>
              </w:rPr>
            </w:pPr>
            <w:r w:rsidRPr="006F283B">
              <w:rPr>
                <w:rFonts w:ascii="Arial Narrow" w:hAnsi="Arial Narrow"/>
                <w:b/>
                <w:bCs/>
                <w:sz w:val="20"/>
                <w:szCs w:val="20"/>
                <w:lang w:val="en-AU"/>
              </w:rPr>
              <w:t>$</w:t>
            </w:r>
            <w:r w:rsidR="00093050" w:rsidRPr="00093050">
              <w:rPr>
                <w:rFonts w:ascii="Arial Narrow" w:hAnsi="Arial Narrow"/>
                <w:b/>
                <w:bCs/>
                <w:color w:val="000000"/>
                <w:spacing w:val="64"/>
                <w:sz w:val="20"/>
                <w:szCs w:val="20"/>
                <w:shd w:val="solid" w:color="000000" w:fill="000000"/>
                <w:fitText w:val="376" w:id="-1233480954"/>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376" w:id="-1233480954"/>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2" w:type="pct"/>
            <w:tcBorders>
              <w:top w:val="single" w:sz="4" w:space="0" w:color="auto"/>
              <w:left w:val="single" w:sz="4" w:space="0" w:color="auto"/>
              <w:bottom w:val="single" w:sz="4" w:space="0" w:color="auto"/>
              <w:right w:val="single" w:sz="4" w:space="0" w:color="auto"/>
            </w:tcBorders>
          </w:tcPr>
          <w:p w14:paraId="3D68562C" w14:textId="444848AA" w:rsidR="00C226BE" w:rsidRPr="006F283B" w:rsidRDefault="00C226BE" w:rsidP="00C226BE">
            <w:pPr>
              <w:keepNext/>
              <w:widowControl w:val="0"/>
              <w:spacing w:before="0"/>
              <w:jc w:val="center"/>
              <w:rPr>
                <w:rFonts w:ascii="Arial Narrow" w:hAnsi="Arial Narrow"/>
                <w:b/>
                <w:bCs/>
                <w:sz w:val="20"/>
                <w:szCs w:val="20"/>
                <w:lang w:val="en-AU"/>
              </w:rPr>
            </w:pPr>
            <w:r w:rsidRPr="006F283B">
              <w:rPr>
                <w:rFonts w:ascii="Arial Narrow" w:hAnsi="Arial Narrow"/>
                <w:b/>
                <w:bCs/>
                <w:sz w:val="20"/>
                <w:szCs w:val="20"/>
                <w:lang w:val="en-AU"/>
              </w:rPr>
              <w:t>$</w:t>
            </w:r>
            <w:r w:rsidR="00093050" w:rsidRPr="00093050">
              <w:rPr>
                <w:rFonts w:ascii="Arial Narrow" w:hAnsi="Arial Narrow"/>
                <w:b/>
                <w:bCs/>
                <w:color w:val="000000"/>
                <w:spacing w:val="72"/>
                <w:sz w:val="20"/>
                <w:szCs w:val="20"/>
                <w:shd w:val="solid" w:color="000000" w:fill="000000"/>
                <w:fitText w:val="400" w:id="-1233480953"/>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400" w:id="-1233480953"/>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tcPr>
          <w:p w14:paraId="66BE9DEA" w14:textId="2158C632" w:rsidR="00C226BE" w:rsidRPr="006F283B" w:rsidRDefault="00C226BE" w:rsidP="00C226BE">
            <w:pPr>
              <w:keepNext/>
              <w:widowControl w:val="0"/>
              <w:spacing w:before="0"/>
              <w:jc w:val="center"/>
              <w:rPr>
                <w:rFonts w:ascii="Arial Narrow" w:hAnsi="Arial Narrow"/>
                <w:b/>
                <w:bCs/>
                <w:sz w:val="20"/>
                <w:szCs w:val="20"/>
                <w:lang w:val="en-AU"/>
              </w:rPr>
            </w:pPr>
            <w:r w:rsidRPr="006F283B">
              <w:rPr>
                <w:rFonts w:ascii="Arial Narrow" w:hAnsi="Arial Narrow"/>
                <w:b/>
                <w:bCs/>
                <w:sz w:val="20"/>
                <w:szCs w:val="20"/>
                <w:lang w:val="en-AU"/>
              </w:rPr>
              <w:t>$</w:t>
            </w:r>
            <w:r w:rsidR="00093050" w:rsidRPr="00093050">
              <w:rPr>
                <w:rFonts w:ascii="Arial Narrow" w:hAnsi="Arial Narrow"/>
                <w:b/>
                <w:bCs/>
                <w:color w:val="000000"/>
                <w:spacing w:val="68"/>
                <w:sz w:val="20"/>
                <w:szCs w:val="20"/>
                <w:shd w:val="solid" w:color="000000" w:fill="000000"/>
                <w:fitText w:val="388" w:id="-1233480952"/>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388" w:id="-1233480952"/>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c>
          <w:tcPr>
            <w:tcW w:w="647" w:type="pct"/>
            <w:tcBorders>
              <w:top w:val="single" w:sz="4" w:space="0" w:color="auto"/>
              <w:left w:val="single" w:sz="4" w:space="0" w:color="auto"/>
              <w:bottom w:val="single" w:sz="4" w:space="0" w:color="auto"/>
              <w:right w:val="single" w:sz="4" w:space="0" w:color="auto"/>
            </w:tcBorders>
          </w:tcPr>
          <w:p w14:paraId="39BD023C" w14:textId="6E91A65A" w:rsidR="00C226BE" w:rsidRPr="006F283B" w:rsidRDefault="00C226BE" w:rsidP="00C226BE">
            <w:pPr>
              <w:keepNext/>
              <w:widowControl w:val="0"/>
              <w:spacing w:before="0"/>
              <w:jc w:val="center"/>
              <w:rPr>
                <w:rFonts w:ascii="Arial Narrow" w:hAnsi="Arial Narrow"/>
                <w:b/>
                <w:bCs/>
                <w:sz w:val="20"/>
                <w:szCs w:val="20"/>
                <w:lang w:val="en-AU"/>
              </w:rPr>
            </w:pPr>
            <w:r w:rsidRPr="006F283B">
              <w:rPr>
                <w:rFonts w:ascii="Arial Narrow" w:hAnsi="Arial Narrow"/>
                <w:b/>
                <w:bCs/>
                <w:sz w:val="20"/>
                <w:szCs w:val="20"/>
                <w:lang w:val="en-AU"/>
              </w:rPr>
              <w:t>$</w:t>
            </w:r>
            <w:r w:rsidR="00093050" w:rsidRPr="00093050">
              <w:rPr>
                <w:rFonts w:ascii="Arial Narrow" w:hAnsi="Arial Narrow"/>
                <w:b/>
                <w:bCs/>
                <w:color w:val="000000"/>
                <w:spacing w:val="68"/>
                <w:sz w:val="20"/>
                <w:szCs w:val="20"/>
                <w:shd w:val="solid" w:color="000000" w:fill="000000"/>
                <w:fitText w:val="388" w:id="-1233480951"/>
                <w:lang w:val="en-AU"/>
                <w14:textFill>
                  <w14:solidFill>
                    <w14:srgbClr w14:val="000000">
                      <w14:alpha w14:val="100000"/>
                    </w14:srgbClr>
                  </w14:solidFill>
                </w14:textFill>
              </w:rPr>
              <w:t>|||</w:t>
            </w:r>
            <w:r w:rsidR="00093050" w:rsidRPr="00093050">
              <w:rPr>
                <w:rFonts w:ascii="Arial Narrow" w:hAnsi="Arial Narrow"/>
                <w:b/>
                <w:bCs/>
                <w:color w:val="000000"/>
                <w:spacing w:val="1"/>
                <w:sz w:val="20"/>
                <w:szCs w:val="20"/>
                <w:shd w:val="solid" w:color="000000" w:fill="000000"/>
                <w:fitText w:val="388" w:id="-1233480951"/>
                <w:lang w:val="en-AU"/>
                <w14:textFill>
                  <w14:solidFill>
                    <w14:srgbClr w14:val="000000">
                      <w14:alpha w14:val="100000"/>
                    </w14:srgbClr>
                  </w14:solidFill>
                </w14:textFill>
              </w:rPr>
              <w:t>|</w:t>
            </w:r>
            <w:r w:rsidR="00C46E78">
              <w:rPr>
                <w:rFonts w:ascii="Arial Narrow" w:hAnsi="Arial Narrow" w:cs="Times New Roman"/>
                <w:bCs/>
                <w:sz w:val="20"/>
                <w:szCs w:val="20"/>
                <w:lang w:val="en-AU"/>
              </w:rPr>
              <w:t xml:space="preserve"> </w:t>
            </w:r>
            <w:r w:rsidR="00C46E78">
              <w:rPr>
                <w:rFonts w:ascii="Arial Narrow" w:hAnsi="Arial Narrow" w:cs="Times New Roman"/>
                <w:bCs/>
                <w:sz w:val="20"/>
                <w:szCs w:val="20"/>
                <w:vertAlign w:val="superscript"/>
                <w:lang w:val="en-AU"/>
              </w:rPr>
              <w:t>3</w:t>
            </w:r>
          </w:p>
        </w:tc>
      </w:tr>
    </w:tbl>
    <w:p w14:paraId="05664234" w14:textId="6CAAEEE6" w:rsidR="003B2DDC" w:rsidRPr="006F283B" w:rsidRDefault="003B2DDC" w:rsidP="00F76E10">
      <w:pPr>
        <w:pStyle w:val="TableFooter"/>
      </w:pPr>
      <w:r w:rsidRPr="006F283B">
        <w:t>Source: Table 2, DUSC Advice, Niraparib March 2023.</w:t>
      </w:r>
      <w:r w:rsidR="008E34C5">
        <w:t xml:space="preserve"> </w:t>
      </w:r>
      <w:r w:rsidRPr="006F283B">
        <w:t>Includes updates from the PSCR and following DUSC (</w:t>
      </w:r>
      <w:bookmarkStart w:id="172" w:name="_Hlk127182601"/>
      <w:r w:rsidRPr="006F283B">
        <w:t>updating co-payments and changing the reference of ‘5. Impact – net</w:t>
      </w:r>
      <w:proofErr w:type="gramStart"/>
      <w:r w:rsidRPr="006F283B">
        <w:t>’!D66:H66</w:t>
      </w:r>
      <w:proofErr w:type="gramEnd"/>
      <w:r w:rsidRPr="006F283B">
        <w:t xml:space="preserve"> from '3c. Impact - proposed (eff)'!I303:N303 to ='3c. Impact - proposed (eff)'!I301:N301</w:t>
      </w:r>
      <w:bookmarkEnd w:id="172"/>
      <w:r w:rsidRPr="006F283B">
        <w:t>).</w:t>
      </w:r>
    </w:p>
    <w:p w14:paraId="3CF3BDF6" w14:textId="3BA49F72" w:rsidR="00F76E10" w:rsidRPr="006F283B" w:rsidRDefault="00F76E10" w:rsidP="00F76E10">
      <w:pPr>
        <w:pStyle w:val="TableFooter"/>
      </w:pPr>
      <w:proofErr w:type="gramStart"/>
      <w:r w:rsidRPr="006F283B">
        <w:rPr>
          <w:vertAlign w:val="superscript"/>
        </w:rPr>
        <w:t>a</w:t>
      </w:r>
      <w:proofErr w:type="gramEnd"/>
      <w:r w:rsidRPr="006F283B">
        <w:t xml:space="preserve"> 85% benefit reflects the 1 November 2022 Greatest Permissible Gap (GPG) of $93.20. All out-of-hospital Medicare services that have an MBS fee of $621.50 or more will attract a benefit that is greater than 85% of the MBS fee – being the schedule fee less the GPG amount. The GPG amount is indexed annually on 1 November in line with the Consumer Price Index (CPI) (June quarter). Rebate per HRD test set to $2,906.80 and rebate per </w:t>
      </w:r>
      <w:r w:rsidR="001152C0" w:rsidRPr="001152C0">
        <w:rPr>
          <w:i/>
        </w:rPr>
        <w:t xml:space="preserve">BRCA </w:t>
      </w:r>
      <w:r w:rsidRPr="006F283B">
        <w:t xml:space="preserve">test set to $906.80. </w:t>
      </w:r>
    </w:p>
    <w:p w14:paraId="42349CF5" w14:textId="4ABA1C82" w:rsidR="00F76E10" w:rsidRDefault="00F76E10" w:rsidP="00C07F3A">
      <w:pPr>
        <w:pStyle w:val="TableFooter"/>
        <w:spacing w:after="120"/>
      </w:pPr>
      <w:r w:rsidRPr="006F283B">
        <w:t>t</w:t>
      </w:r>
      <w:r w:rsidR="001152C0" w:rsidRPr="001152C0">
        <w:rPr>
          <w:i/>
        </w:rPr>
        <w:t xml:space="preserve">BRCA </w:t>
      </w:r>
      <w:r w:rsidRPr="006F283B">
        <w:t>= tumour BReast CAncer gene expression</w:t>
      </w:r>
    </w:p>
    <w:p w14:paraId="73C21379" w14:textId="77777777" w:rsidR="00C46E78" w:rsidRPr="00C46E78" w:rsidRDefault="00C46E78" w:rsidP="00C46E78">
      <w:pPr>
        <w:pStyle w:val="TableFooter"/>
        <w:spacing w:after="120"/>
        <w:rPr>
          <w:i/>
        </w:rPr>
      </w:pPr>
      <w:bookmarkStart w:id="173" w:name="_Hlk135208134"/>
      <w:r w:rsidRPr="00C46E78">
        <w:rPr>
          <w:i/>
        </w:rPr>
        <w:t xml:space="preserve">The redacted values correspond to the following ranges: </w:t>
      </w:r>
    </w:p>
    <w:p w14:paraId="7771EF28" w14:textId="303818E3" w:rsidR="00C46E78" w:rsidRPr="00C46E78" w:rsidRDefault="00C46E78" w:rsidP="00C46E78">
      <w:pPr>
        <w:pStyle w:val="TableFooter"/>
        <w:spacing w:after="120"/>
        <w:rPr>
          <w:i/>
        </w:rPr>
      </w:pPr>
      <w:r w:rsidRPr="00C46E78">
        <w:rPr>
          <w:i/>
          <w:vertAlign w:val="superscript"/>
        </w:rPr>
        <w:t>1</w:t>
      </w:r>
      <w:r w:rsidRPr="00C46E78">
        <w:rPr>
          <w:i/>
        </w:rPr>
        <w:t xml:space="preserve"> </w:t>
      </w:r>
      <w:r w:rsidR="004D5955" w:rsidRPr="00555B0D">
        <w:rPr>
          <w:i/>
        </w:rPr>
        <w:t>&lt; 500</w:t>
      </w:r>
      <w:r w:rsidR="004D5955">
        <w:rPr>
          <w:i/>
        </w:rPr>
        <w:t xml:space="preserve"> </w:t>
      </w:r>
    </w:p>
    <w:p w14:paraId="68F0C871" w14:textId="731F9900" w:rsidR="00C46E78" w:rsidRPr="00C46E78" w:rsidRDefault="00C46E78" w:rsidP="00C46E78">
      <w:pPr>
        <w:pStyle w:val="TableFooter"/>
        <w:spacing w:after="120"/>
        <w:rPr>
          <w:i/>
        </w:rPr>
      </w:pPr>
      <w:r w:rsidRPr="00C46E78">
        <w:rPr>
          <w:i/>
          <w:vertAlign w:val="superscript"/>
        </w:rPr>
        <w:t>2</w:t>
      </w:r>
      <w:r w:rsidRPr="00C46E78">
        <w:rPr>
          <w:i/>
        </w:rPr>
        <w:t xml:space="preserve"> </w:t>
      </w:r>
      <w:r w:rsidR="004D5955" w:rsidRPr="00555B0D">
        <w:rPr>
          <w:i/>
        </w:rPr>
        <w:t>500 to &lt; 5,000</w:t>
      </w:r>
    </w:p>
    <w:p w14:paraId="78467B14" w14:textId="64C60EF0" w:rsidR="00C46E78" w:rsidRPr="00C46E78" w:rsidRDefault="00C46E78" w:rsidP="00C46E78">
      <w:pPr>
        <w:pStyle w:val="TableFooter"/>
        <w:spacing w:after="120"/>
        <w:rPr>
          <w:i/>
        </w:rPr>
      </w:pPr>
      <w:r w:rsidRPr="00C46E78">
        <w:rPr>
          <w:i/>
          <w:vertAlign w:val="superscript"/>
        </w:rPr>
        <w:t>3</w:t>
      </w:r>
      <w:r w:rsidRPr="00C46E78">
        <w:rPr>
          <w:i/>
        </w:rPr>
        <w:t xml:space="preserve"> </w:t>
      </w:r>
      <w:r w:rsidR="00555B0D" w:rsidRPr="00555B0D">
        <w:rPr>
          <w:i/>
        </w:rPr>
        <w:t>$0 to &lt; $10 million</w:t>
      </w:r>
    </w:p>
    <w:p w14:paraId="42EC9AE9" w14:textId="72E15A9F" w:rsidR="00C46E78" w:rsidRPr="00C46E78" w:rsidRDefault="00C46E78" w:rsidP="00C46E78">
      <w:pPr>
        <w:pStyle w:val="TableFooter"/>
        <w:spacing w:after="120"/>
        <w:rPr>
          <w:i/>
        </w:rPr>
      </w:pPr>
      <w:r w:rsidRPr="00C46E78">
        <w:rPr>
          <w:i/>
          <w:vertAlign w:val="superscript"/>
        </w:rPr>
        <w:t>4</w:t>
      </w:r>
      <w:r w:rsidRPr="00C46E78">
        <w:rPr>
          <w:i/>
        </w:rPr>
        <w:t xml:space="preserve"> </w:t>
      </w:r>
      <w:r w:rsidR="00555B0D" w:rsidRPr="00555B0D">
        <w:rPr>
          <w:i/>
        </w:rPr>
        <w:t>$10 million to &lt; $20 million</w:t>
      </w:r>
    </w:p>
    <w:p w14:paraId="60E47394" w14:textId="349B136E" w:rsidR="00C46E78" w:rsidRPr="00C46E78" w:rsidRDefault="00C46E78" w:rsidP="00C07F3A">
      <w:pPr>
        <w:pStyle w:val="TableFooter"/>
        <w:spacing w:after="120"/>
        <w:rPr>
          <w:i/>
        </w:rPr>
      </w:pPr>
      <w:r w:rsidRPr="00C46E78">
        <w:rPr>
          <w:i/>
          <w:vertAlign w:val="superscript"/>
        </w:rPr>
        <w:t>5</w:t>
      </w:r>
      <w:r w:rsidRPr="00C46E78">
        <w:rPr>
          <w:i/>
        </w:rPr>
        <w:t xml:space="preserve"> </w:t>
      </w:r>
      <w:bookmarkEnd w:id="173"/>
      <w:r w:rsidR="00555B0D" w:rsidRPr="00555B0D">
        <w:rPr>
          <w:i/>
        </w:rPr>
        <w:t>net cost saving</w:t>
      </w:r>
    </w:p>
    <w:p w14:paraId="6DB6C59B" w14:textId="26B610E5" w:rsidR="006C35C7" w:rsidRPr="006F283B" w:rsidRDefault="006C35C7" w:rsidP="00C07F3A">
      <w:pPr>
        <w:pStyle w:val="ListParagraph"/>
        <w:spacing w:before="0" w:after="120"/>
        <w:rPr>
          <w:color w:val="auto"/>
        </w:rPr>
      </w:pPr>
      <w:bookmarkStart w:id="174" w:name="_Ref130550585"/>
      <w:r w:rsidRPr="006F283B">
        <w:rPr>
          <w:color w:val="auto"/>
        </w:rPr>
        <w:t xml:space="preserve">The pre-PBAC response provided revised estimates in response to feedback from DUSC as shown in </w:t>
      </w:r>
      <w:r w:rsidRPr="006F283B">
        <w:rPr>
          <w:color w:val="auto"/>
        </w:rPr>
        <w:fldChar w:fldCharType="begin" w:fldLock="1"/>
      </w:r>
      <w:r w:rsidRPr="006F283B">
        <w:rPr>
          <w:color w:val="auto"/>
        </w:rPr>
        <w:instrText xml:space="preserve"> REF _Ref130507872 \h </w:instrText>
      </w:r>
      <w:r w:rsidRPr="006F283B">
        <w:rPr>
          <w:color w:val="auto"/>
        </w:rPr>
      </w:r>
      <w:r w:rsidRPr="006F283B">
        <w:rPr>
          <w:color w:val="auto"/>
        </w:rPr>
        <w:fldChar w:fldCharType="separate"/>
      </w:r>
      <w:r w:rsidR="00305654" w:rsidRPr="006F283B">
        <w:t xml:space="preserve">Table </w:t>
      </w:r>
      <w:r w:rsidR="00305654">
        <w:rPr>
          <w:noProof/>
        </w:rPr>
        <w:t>24</w:t>
      </w:r>
      <w:r w:rsidRPr="006F283B">
        <w:rPr>
          <w:color w:val="auto"/>
        </w:rPr>
        <w:fldChar w:fldCharType="end"/>
      </w:r>
      <w:r w:rsidRPr="006F283B">
        <w:rPr>
          <w:color w:val="auto"/>
        </w:rPr>
        <w:t xml:space="preserve">. The assumed proportions of patients with a viable tissue sample were increased, and the assumed uptake rate for niraparib was increased (see </w:t>
      </w:r>
      <w:r w:rsidRPr="006F283B">
        <w:rPr>
          <w:color w:val="auto"/>
        </w:rPr>
        <w:fldChar w:fldCharType="begin" w:fldLock="1"/>
      </w:r>
      <w:r w:rsidRPr="006F283B">
        <w:rPr>
          <w:color w:val="auto"/>
        </w:rPr>
        <w:instrText xml:space="preserve"> REF _Ref130508955 \h </w:instrText>
      </w:r>
      <w:r w:rsidRPr="006F283B">
        <w:rPr>
          <w:color w:val="auto"/>
        </w:rPr>
      </w:r>
      <w:r w:rsidRPr="006F283B">
        <w:rPr>
          <w:color w:val="auto"/>
        </w:rPr>
        <w:fldChar w:fldCharType="separate"/>
      </w:r>
      <w:r w:rsidR="00305654" w:rsidRPr="006F283B">
        <w:t xml:space="preserve">Table </w:t>
      </w:r>
      <w:r w:rsidR="00305654">
        <w:rPr>
          <w:noProof/>
        </w:rPr>
        <w:t>23</w:t>
      </w:r>
      <w:r w:rsidRPr="006F283B">
        <w:rPr>
          <w:color w:val="auto"/>
        </w:rPr>
        <w:fldChar w:fldCharType="end"/>
      </w:r>
      <w:r w:rsidRPr="006F283B">
        <w:rPr>
          <w:color w:val="auto"/>
        </w:rPr>
        <w:t>).</w:t>
      </w:r>
      <w:bookmarkEnd w:id="174"/>
    </w:p>
    <w:p w14:paraId="6C1F950E" w14:textId="10C9E201" w:rsidR="006E5C8F" w:rsidRPr="006F283B" w:rsidRDefault="006E5C8F" w:rsidP="00C07F3A">
      <w:pPr>
        <w:pStyle w:val="ListParagraph"/>
        <w:spacing w:before="0" w:after="120"/>
        <w:rPr>
          <w:color w:val="auto"/>
        </w:rPr>
      </w:pPr>
      <w:r w:rsidRPr="006F283B">
        <w:rPr>
          <w:color w:val="auto"/>
        </w:rPr>
        <w:t xml:space="preserve">The total cost to the PBS/RPBS of listing niraparib was estimated to be </w:t>
      </w:r>
      <w:bookmarkStart w:id="175" w:name="_Hlk135214766"/>
      <w:r w:rsidR="00555B0D" w:rsidRPr="00555B0D">
        <w:rPr>
          <w:color w:val="auto"/>
        </w:rPr>
        <w:t>$0 to &lt; $10 million</w:t>
      </w:r>
      <w:bookmarkEnd w:id="175"/>
      <w:r w:rsidR="00555B0D" w:rsidRPr="00555B0D" w:rsidDel="00555B0D">
        <w:rPr>
          <w:color w:val="auto"/>
        </w:rPr>
        <w:t xml:space="preserve"> </w:t>
      </w:r>
      <w:r w:rsidRPr="006F283B">
        <w:rPr>
          <w:color w:val="auto"/>
        </w:rPr>
        <w:t xml:space="preserve">in year 1 and </w:t>
      </w:r>
      <w:r w:rsidR="00555B0D" w:rsidRPr="00555B0D">
        <w:rPr>
          <w:color w:val="auto"/>
        </w:rPr>
        <w:t>$0 to &lt; $10 million</w:t>
      </w:r>
      <w:r w:rsidR="00555B0D" w:rsidRPr="00555B0D" w:rsidDel="00555B0D">
        <w:rPr>
          <w:color w:val="auto"/>
        </w:rPr>
        <w:t xml:space="preserve"> </w:t>
      </w:r>
      <w:r w:rsidRPr="006F283B">
        <w:rPr>
          <w:color w:val="auto"/>
        </w:rPr>
        <w:t xml:space="preserve">in Year 6, and a total of </w:t>
      </w:r>
      <w:r w:rsidR="00555B0D" w:rsidRPr="00555B0D">
        <w:rPr>
          <w:color w:val="auto"/>
        </w:rPr>
        <w:t>$30 million to &lt; $40 million</w:t>
      </w:r>
      <w:r w:rsidR="00555B0D" w:rsidRPr="00555B0D" w:rsidDel="00555B0D">
        <w:rPr>
          <w:color w:val="auto"/>
        </w:rPr>
        <w:t xml:space="preserve"> </w:t>
      </w:r>
      <w:r w:rsidRPr="006F283B">
        <w:rPr>
          <w:color w:val="auto"/>
        </w:rPr>
        <w:t>in the first 6 years of listing</w:t>
      </w:r>
      <w:r w:rsidR="00D66D2A" w:rsidRPr="006F283B">
        <w:rPr>
          <w:color w:val="auto"/>
        </w:rPr>
        <w:t xml:space="preserve"> based on the estimates and price proposed in the pre-PBAC response</w:t>
      </w:r>
      <w:r w:rsidRPr="006F283B">
        <w:rPr>
          <w:color w:val="auto"/>
        </w:rPr>
        <w:t xml:space="preserve">. </w:t>
      </w:r>
    </w:p>
    <w:p w14:paraId="12A61C05" w14:textId="5BC87131" w:rsidR="006E5C8F" w:rsidRPr="006F283B" w:rsidRDefault="006E5C8F" w:rsidP="00C07F3A">
      <w:pPr>
        <w:pStyle w:val="ListParagraph"/>
        <w:spacing w:before="0" w:after="120"/>
        <w:rPr>
          <w:iCs/>
          <w:color w:val="auto"/>
        </w:rPr>
      </w:pPr>
      <w:r w:rsidRPr="006F283B">
        <w:rPr>
          <w:iCs/>
          <w:color w:val="auto"/>
        </w:rPr>
        <w:t xml:space="preserve">Retesting was not included in the financial analysis. Throughout the submission it was assumed that if a patient has an inconclusive HRD test result, they are not able to have another HRD test under the proposed </w:t>
      </w:r>
      <w:proofErr w:type="gramStart"/>
      <w:r w:rsidRPr="006F283B">
        <w:rPr>
          <w:iCs/>
          <w:color w:val="auto"/>
        </w:rPr>
        <w:t>restriction, but</w:t>
      </w:r>
      <w:proofErr w:type="gramEnd"/>
      <w:r w:rsidRPr="006F283B">
        <w:rPr>
          <w:iCs/>
          <w:color w:val="auto"/>
        </w:rPr>
        <w:t xml:space="preserve"> were eligible for a germline </w:t>
      </w:r>
      <w:r w:rsidR="001152C0" w:rsidRPr="001152C0">
        <w:rPr>
          <w:i/>
          <w:iCs/>
          <w:color w:val="auto"/>
        </w:rPr>
        <w:t xml:space="preserve">BRCA </w:t>
      </w:r>
      <w:r w:rsidRPr="006F283B">
        <w:rPr>
          <w:iCs/>
          <w:color w:val="auto"/>
        </w:rPr>
        <w:t xml:space="preserve">test to potentially access treatment with niraparib or olaparib. The omission of germline </w:t>
      </w:r>
      <w:r w:rsidR="001152C0" w:rsidRPr="001152C0">
        <w:rPr>
          <w:i/>
          <w:iCs/>
          <w:color w:val="auto"/>
        </w:rPr>
        <w:t xml:space="preserve">BRCA </w:t>
      </w:r>
      <w:r w:rsidRPr="006F283B">
        <w:rPr>
          <w:iCs/>
          <w:color w:val="auto"/>
        </w:rPr>
        <w:t xml:space="preserve">test in patients in whom HRD testing was inconclusive would have led to an underestimate of the net MBS cost. </w:t>
      </w:r>
    </w:p>
    <w:p w14:paraId="71D3F220" w14:textId="2A537202" w:rsidR="00E4583F" w:rsidRPr="006F283B" w:rsidRDefault="006E5C8F" w:rsidP="00C07F3A">
      <w:pPr>
        <w:pStyle w:val="ListParagraph"/>
        <w:spacing w:before="0" w:after="120"/>
        <w:rPr>
          <w:iCs/>
          <w:color w:val="auto"/>
        </w:rPr>
      </w:pPr>
      <w:r w:rsidRPr="006F283B">
        <w:rPr>
          <w:iCs/>
          <w:color w:val="auto"/>
        </w:rPr>
        <w:t xml:space="preserve">The proposed price </w:t>
      </w:r>
      <w:r w:rsidR="00221C7D" w:rsidRPr="006F283B">
        <w:rPr>
          <w:iCs/>
          <w:color w:val="auto"/>
        </w:rPr>
        <w:t>was</w:t>
      </w:r>
      <w:r w:rsidRPr="006F283B">
        <w:rPr>
          <w:iCs/>
          <w:color w:val="auto"/>
        </w:rPr>
        <w:t xml:space="preserve"> based on a weighted price of niraparib for the treatment of </w:t>
      </w:r>
      <w:r w:rsidR="001152C0" w:rsidRPr="001152C0">
        <w:rPr>
          <w:i/>
          <w:iCs/>
          <w:color w:val="auto"/>
        </w:rPr>
        <w:t>BRCAm</w:t>
      </w:r>
      <w:r w:rsidRPr="006F283B">
        <w:rPr>
          <w:iCs/>
          <w:color w:val="auto"/>
        </w:rPr>
        <w:t xml:space="preserve"> (current) and HRD positive </w:t>
      </w:r>
      <w:r w:rsidR="001152C0" w:rsidRPr="001152C0">
        <w:rPr>
          <w:i/>
          <w:iCs/>
          <w:color w:val="auto"/>
        </w:rPr>
        <w:t>BRCAwt</w:t>
      </w:r>
      <w:r w:rsidRPr="006F283B">
        <w:rPr>
          <w:iCs/>
          <w:color w:val="auto"/>
        </w:rPr>
        <w:t xml:space="preserve"> (proposed additional listing) patients. This method relies on a ratio of total packs used for </w:t>
      </w:r>
      <w:r w:rsidR="001152C0" w:rsidRPr="001152C0">
        <w:rPr>
          <w:i/>
          <w:iCs/>
          <w:color w:val="auto"/>
        </w:rPr>
        <w:t>BRCAm</w:t>
      </w:r>
      <w:r w:rsidRPr="006F283B">
        <w:rPr>
          <w:iCs/>
          <w:color w:val="auto"/>
        </w:rPr>
        <w:t xml:space="preserve">/HRD positive </w:t>
      </w:r>
      <w:r w:rsidR="001152C0" w:rsidRPr="001152C0">
        <w:rPr>
          <w:i/>
          <w:iCs/>
          <w:color w:val="auto"/>
        </w:rPr>
        <w:t>BRCAwt</w:t>
      </w:r>
      <w:r w:rsidRPr="006F283B">
        <w:rPr>
          <w:iCs/>
          <w:color w:val="auto"/>
        </w:rPr>
        <w:t xml:space="preserve">, based on the estimated proportion of drug utilisation in the respective cohorts. </w:t>
      </w:r>
      <w:r w:rsidR="00C41263" w:rsidRPr="006F283B">
        <w:rPr>
          <w:iCs/>
          <w:color w:val="auto"/>
        </w:rPr>
        <w:t xml:space="preserve">The submission assumed the proportions to be 55.9% and 44.1% for </w:t>
      </w:r>
      <w:r w:rsidR="001152C0" w:rsidRPr="001152C0">
        <w:rPr>
          <w:i/>
          <w:iCs/>
          <w:color w:val="auto"/>
        </w:rPr>
        <w:t>BRCAm</w:t>
      </w:r>
      <w:r w:rsidR="00C41263" w:rsidRPr="006F283B">
        <w:rPr>
          <w:iCs/>
          <w:color w:val="auto"/>
        </w:rPr>
        <w:t xml:space="preserve"> and HRD positive </w:t>
      </w:r>
      <w:r w:rsidR="001152C0" w:rsidRPr="001152C0">
        <w:rPr>
          <w:i/>
          <w:iCs/>
          <w:color w:val="auto"/>
        </w:rPr>
        <w:t>BRCAwt</w:t>
      </w:r>
      <w:r w:rsidR="00C41263" w:rsidRPr="006F283B">
        <w:rPr>
          <w:iCs/>
          <w:color w:val="auto"/>
        </w:rPr>
        <w:t>, respectively.</w:t>
      </w:r>
      <w:r w:rsidR="008E34C5">
        <w:rPr>
          <w:iCs/>
          <w:color w:val="auto"/>
        </w:rPr>
        <w:t xml:space="preserve"> </w:t>
      </w:r>
      <w:r w:rsidRPr="006F283B">
        <w:rPr>
          <w:iCs/>
          <w:color w:val="auto"/>
        </w:rPr>
        <w:t>This calculation was based on the post-PBAC budget impact model (</w:t>
      </w:r>
      <w:r w:rsidR="001152C0" w:rsidRPr="001152C0">
        <w:rPr>
          <w:i/>
          <w:iCs/>
          <w:color w:val="auto"/>
        </w:rPr>
        <w:t>BRCAm</w:t>
      </w:r>
      <w:r w:rsidRPr="006F283B">
        <w:rPr>
          <w:iCs/>
          <w:color w:val="auto"/>
        </w:rPr>
        <w:t xml:space="preserve">) and Section 4 of the current submission (HRD positive </w:t>
      </w:r>
      <w:r w:rsidR="001152C0" w:rsidRPr="001152C0">
        <w:rPr>
          <w:i/>
          <w:iCs/>
          <w:color w:val="auto"/>
        </w:rPr>
        <w:t>BRCAwt</w:t>
      </w:r>
      <w:r w:rsidRPr="006F283B">
        <w:rPr>
          <w:iCs/>
          <w:color w:val="auto"/>
        </w:rPr>
        <w:t xml:space="preserve">), both of which are estimations and may therefore not prove to be accurate. For example, the proportion of niraparib utilisation by the different patient cohorts will vary depending on whether olaparib is PBS listed for patients with HRD positive HGEOC, and the number of HRD positive </w:t>
      </w:r>
      <w:r w:rsidR="001152C0" w:rsidRPr="001152C0">
        <w:rPr>
          <w:i/>
          <w:iCs/>
          <w:color w:val="auto"/>
        </w:rPr>
        <w:t>BRCAwt</w:t>
      </w:r>
      <w:r w:rsidRPr="006F283B">
        <w:rPr>
          <w:iCs/>
          <w:color w:val="auto"/>
        </w:rPr>
        <w:t xml:space="preserve"> patients treated with niraparib was estimated to be higher than </w:t>
      </w:r>
      <w:r w:rsidR="001152C0" w:rsidRPr="001152C0">
        <w:rPr>
          <w:i/>
          <w:iCs/>
          <w:color w:val="auto"/>
        </w:rPr>
        <w:t>BRCAm</w:t>
      </w:r>
      <w:r w:rsidRPr="006F283B">
        <w:rPr>
          <w:iCs/>
          <w:color w:val="auto"/>
        </w:rPr>
        <w:t xml:space="preserve"> patients. Should the ratio of </w:t>
      </w:r>
      <w:r w:rsidR="001152C0" w:rsidRPr="001152C0">
        <w:rPr>
          <w:i/>
          <w:iCs/>
          <w:color w:val="auto"/>
        </w:rPr>
        <w:t>BRCAm</w:t>
      </w:r>
      <w:r w:rsidRPr="006F283B">
        <w:rPr>
          <w:iCs/>
          <w:color w:val="auto"/>
        </w:rPr>
        <w:t xml:space="preserve"> and HRD positive </w:t>
      </w:r>
      <w:r w:rsidR="001152C0" w:rsidRPr="001152C0">
        <w:rPr>
          <w:i/>
          <w:iCs/>
          <w:color w:val="auto"/>
        </w:rPr>
        <w:t>BRCAwt</w:t>
      </w:r>
      <w:r w:rsidRPr="006F283B">
        <w:rPr>
          <w:iCs/>
          <w:color w:val="auto"/>
        </w:rPr>
        <w:t xml:space="preserve"> be different than what was estimated, then the weighted price and </w:t>
      </w:r>
      <w:r w:rsidRPr="006F283B">
        <w:rPr>
          <w:iCs/>
          <w:color w:val="auto"/>
        </w:rPr>
        <w:lastRenderedPageBreak/>
        <w:t xml:space="preserve">subsequently the financial estimates become unreliable. Cost savings from </w:t>
      </w:r>
      <w:r w:rsidR="001152C0" w:rsidRPr="001152C0">
        <w:rPr>
          <w:i/>
          <w:iCs/>
          <w:color w:val="auto"/>
        </w:rPr>
        <w:t>BRCAm</w:t>
      </w:r>
      <w:r w:rsidRPr="006F283B">
        <w:rPr>
          <w:iCs/>
          <w:color w:val="auto"/>
        </w:rPr>
        <w:t xml:space="preserve"> patients in the financial estimates arose from the weighted price being lower than the current effective price for niraparib in </w:t>
      </w:r>
      <w:r w:rsidR="001152C0" w:rsidRPr="001152C0">
        <w:rPr>
          <w:i/>
          <w:iCs/>
          <w:color w:val="auto"/>
        </w:rPr>
        <w:t>BRCAm</w:t>
      </w:r>
      <w:r w:rsidRPr="006F283B">
        <w:rPr>
          <w:iCs/>
          <w:color w:val="auto"/>
        </w:rPr>
        <w:t xml:space="preserve">, although this may be balanced by the weighted price being higher than the requested price in the HRD positive </w:t>
      </w:r>
      <w:r w:rsidR="001152C0" w:rsidRPr="001152C0">
        <w:rPr>
          <w:i/>
          <w:iCs/>
          <w:color w:val="auto"/>
        </w:rPr>
        <w:t>BRCAwt</w:t>
      </w:r>
      <w:r w:rsidRPr="006F283B">
        <w:rPr>
          <w:iCs/>
          <w:color w:val="auto"/>
        </w:rPr>
        <w:t xml:space="preserve"> population.</w:t>
      </w:r>
      <w:r w:rsidR="008E34C5">
        <w:rPr>
          <w:iCs/>
          <w:color w:val="auto"/>
        </w:rPr>
        <w:t xml:space="preserve"> </w:t>
      </w:r>
      <w:r w:rsidR="00221C7D" w:rsidRPr="006F283B">
        <w:rPr>
          <w:iCs/>
          <w:color w:val="auto"/>
        </w:rPr>
        <w:t xml:space="preserve">The </w:t>
      </w:r>
      <w:r w:rsidR="00C41263" w:rsidRPr="006F283B">
        <w:rPr>
          <w:iCs/>
          <w:color w:val="auto"/>
        </w:rPr>
        <w:t xml:space="preserve">proposed weighting between </w:t>
      </w:r>
      <w:r w:rsidR="001152C0" w:rsidRPr="001152C0">
        <w:rPr>
          <w:i/>
          <w:iCs/>
          <w:color w:val="auto"/>
        </w:rPr>
        <w:t>BRCAm</w:t>
      </w:r>
      <w:r w:rsidR="00C41263" w:rsidRPr="006F283B">
        <w:rPr>
          <w:iCs/>
          <w:color w:val="auto"/>
        </w:rPr>
        <w:t xml:space="preserve"> and HRD positive </w:t>
      </w:r>
      <w:r w:rsidR="001152C0" w:rsidRPr="001152C0">
        <w:rPr>
          <w:i/>
          <w:iCs/>
          <w:color w:val="auto"/>
        </w:rPr>
        <w:t>BRCAwt</w:t>
      </w:r>
      <w:r w:rsidR="00C41263" w:rsidRPr="006F283B">
        <w:rPr>
          <w:iCs/>
          <w:color w:val="auto"/>
        </w:rPr>
        <w:t xml:space="preserve"> packs was updated in the PSCR (55.2% and 44.8%, respectively) and pre-PBAC response (48.0% and 52.0%, respectively). The PSCR and pre-PBAC response both amended the proposed</w:t>
      </w:r>
      <w:r w:rsidR="000C0F91" w:rsidRPr="006F283B">
        <w:rPr>
          <w:iCs/>
          <w:color w:val="auto"/>
        </w:rPr>
        <w:t xml:space="preserve"> weighted</w:t>
      </w:r>
      <w:r w:rsidR="00C41263" w:rsidRPr="006F283B">
        <w:rPr>
          <w:iCs/>
          <w:color w:val="auto"/>
        </w:rPr>
        <w:t xml:space="preserve"> DPMQ (see paragraph </w:t>
      </w:r>
      <w:r w:rsidR="00C41263" w:rsidRPr="006F283B">
        <w:rPr>
          <w:iCs/>
        </w:rPr>
        <w:fldChar w:fldCharType="begin" w:fldLock="1"/>
      </w:r>
      <w:r w:rsidR="00C41263" w:rsidRPr="006F283B">
        <w:rPr>
          <w:iCs/>
          <w:color w:val="auto"/>
        </w:rPr>
        <w:instrText xml:space="preserve"> REF _Ref130551594 \r \h </w:instrText>
      </w:r>
      <w:r w:rsidR="00E4583F" w:rsidRPr="006F283B">
        <w:rPr>
          <w:iCs/>
          <w:color w:val="auto"/>
        </w:rPr>
        <w:instrText xml:space="preserve"> \* MERGEFORMAT </w:instrText>
      </w:r>
      <w:r w:rsidR="00C41263" w:rsidRPr="006F283B">
        <w:rPr>
          <w:iCs/>
        </w:rPr>
      </w:r>
      <w:r w:rsidR="00C41263" w:rsidRPr="006F283B">
        <w:rPr>
          <w:iCs/>
        </w:rPr>
        <w:fldChar w:fldCharType="separate"/>
      </w:r>
      <w:r w:rsidR="00305654">
        <w:rPr>
          <w:iCs/>
          <w:color w:val="auto"/>
        </w:rPr>
        <w:t>6.85</w:t>
      </w:r>
      <w:r w:rsidR="00C41263" w:rsidRPr="006F283B">
        <w:rPr>
          <w:iCs/>
        </w:rPr>
        <w:fldChar w:fldCharType="end"/>
      </w:r>
      <w:r w:rsidR="00C41263" w:rsidRPr="006F283B">
        <w:rPr>
          <w:iCs/>
          <w:color w:val="auto"/>
        </w:rPr>
        <w:t>).</w:t>
      </w:r>
      <w:r w:rsidR="008E34C5">
        <w:rPr>
          <w:iCs/>
          <w:color w:val="auto"/>
        </w:rPr>
        <w:t xml:space="preserve"> </w:t>
      </w:r>
    </w:p>
    <w:p w14:paraId="0F082955" w14:textId="77777777" w:rsidR="00843998" w:rsidRPr="006F283B" w:rsidRDefault="00843998" w:rsidP="00F029F7">
      <w:pPr>
        <w:pStyle w:val="4-SubsectionHeading"/>
      </w:pPr>
      <w:bookmarkStart w:id="176" w:name="_Toc413139285"/>
      <w:bookmarkStart w:id="177" w:name="_Toc95298232"/>
      <w:bookmarkStart w:id="178" w:name="_Toc123646841"/>
      <w:bookmarkStart w:id="179" w:name="_Toc123646942"/>
      <w:bookmarkStart w:id="180" w:name="_Toc123647177"/>
      <w:bookmarkStart w:id="181" w:name="_Toc124937101"/>
      <w:bookmarkStart w:id="182" w:name="_Toc413139286"/>
      <w:r w:rsidRPr="006F283B">
        <w:t>Quality use of medicines</w:t>
      </w:r>
      <w:bookmarkEnd w:id="176"/>
      <w:bookmarkEnd w:id="177"/>
      <w:bookmarkEnd w:id="178"/>
      <w:bookmarkEnd w:id="179"/>
      <w:bookmarkEnd w:id="180"/>
      <w:bookmarkEnd w:id="181"/>
    </w:p>
    <w:p w14:paraId="47264B64" w14:textId="44277507" w:rsidR="00843998" w:rsidRPr="006F283B" w:rsidRDefault="00843998" w:rsidP="00C07F3A">
      <w:pPr>
        <w:pStyle w:val="ListParagraph"/>
        <w:spacing w:before="0" w:after="120"/>
        <w:rPr>
          <w:color w:val="auto"/>
        </w:rPr>
      </w:pPr>
      <w:r w:rsidRPr="006F283B">
        <w:t>Additional pharmacovigilance activities beyond adverse reaction reporting and signal detection, t</w:t>
      </w:r>
      <w:r w:rsidRPr="006F283B">
        <w:rPr>
          <w:color w:val="auto"/>
        </w:rPr>
        <w:t>he sponsor stated that they were conducting adverse event follow-up questionnaires and planning to conduct a meta-analysis of Acute Myeloid Leukaemia/Myelodysplastic Syndrome and other Second Primary Malignancies in patients with ovarian cancer who received niraparib.</w:t>
      </w:r>
    </w:p>
    <w:p w14:paraId="232706EF" w14:textId="49FBE8EB" w:rsidR="00843998" w:rsidRPr="006F283B" w:rsidRDefault="00843998" w:rsidP="00C07F3A">
      <w:pPr>
        <w:pStyle w:val="ListParagraph"/>
        <w:spacing w:before="0" w:after="120"/>
      </w:pPr>
      <w:r w:rsidRPr="006F283B">
        <w:t>The sponsor is also developing the following activities to support the appropriate prescribing of niraparib for NDA HGEOC: Niraparib patient access program, symposia, advisory boards and HCP and patient brochures.</w:t>
      </w:r>
    </w:p>
    <w:p w14:paraId="6023546A" w14:textId="5AAAB2DE" w:rsidR="00B443D6" w:rsidRPr="006F283B" w:rsidRDefault="00B443D6" w:rsidP="00C07F3A">
      <w:pPr>
        <w:pStyle w:val="ListParagraph"/>
        <w:spacing w:before="0" w:after="120"/>
      </w:pPr>
      <w:r w:rsidRPr="006F283B">
        <w:t xml:space="preserve">The PBAC noted the </w:t>
      </w:r>
      <w:r w:rsidR="004B4143" w:rsidRPr="006F283B">
        <w:t xml:space="preserve">DUSC </w:t>
      </w:r>
      <w:r w:rsidRPr="006F283B">
        <w:t xml:space="preserve">advice that clinicians </w:t>
      </w:r>
      <w:r w:rsidR="004B4143" w:rsidRPr="006F283B">
        <w:t xml:space="preserve">are likely to </w:t>
      </w:r>
      <w:r w:rsidRPr="006F283B">
        <w:t xml:space="preserve">seek </w:t>
      </w:r>
      <w:r w:rsidR="004B4143" w:rsidRPr="006F283B">
        <w:t xml:space="preserve">out </w:t>
      </w:r>
      <w:r w:rsidRPr="006F283B">
        <w:t xml:space="preserve">HRD </w:t>
      </w:r>
      <w:r w:rsidR="004B4143" w:rsidRPr="006F283B">
        <w:t>testing for</w:t>
      </w:r>
      <w:r w:rsidRPr="006F283B">
        <w:t xml:space="preserve"> </w:t>
      </w:r>
      <w:r w:rsidR="001152C0" w:rsidRPr="001152C0">
        <w:rPr>
          <w:i/>
        </w:rPr>
        <w:t>BRCAwt</w:t>
      </w:r>
      <w:r w:rsidRPr="006F283B">
        <w:t xml:space="preserve"> patients to determine the best treatment pathway</w:t>
      </w:r>
      <w:r w:rsidR="004B4143" w:rsidRPr="006F283B">
        <w:t xml:space="preserve"> before prescribing a PARPi, </w:t>
      </w:r>
      <w:proofErr w:type="gramStart"/>
      <w:r w:rsidR="004B4143" w:rsidRPr="006F283B">
        <w:t>e.g.</w:t>
      </w:r>
      <w:proofErr w:type="gramEnd"/>
      <w:r w:rsidR="004B4143" w:rsidRPr="006F283B">
        <w:t xml:space="preserve"> where the patient is able to self-fund the HRD test. I</w:t>
      </w:r>
      <w:r w:rsidRPr="006F283B">
        <w:t xml:space="preserve">f niraparib is PBS listed for </w:t>
      </w:r>
      <w:r w:rsidR="001152C0" w:rsidRPr="001152C0">
        <w:rPr>
          <w:i/>
        </w:rPr>
        <w:t>BRCAwt</w:t>
      </w:r>
      <w:r w:rsidRPr="006F283B">
        <w:t xml:space="preserve"> patients without HRD testing being MBS listed, it may create an</w:t>
      </w:r>
      <w:r w:rsidR="000C0F91" w:rsidRPr="006F283B">
        <w:t xml:space="preserve"> equity of</w:t>
      </w:r>
      <w:r w:rsidRPr="006F283B">
        <w:t xml:space="preserve"> access issue.</w:t>
      </w:r>
    </w:p>
    <w:p w14:paraId="2B41BCDE" w14:textId="74AA4B81" w:rsidR="00843998" w:rsidRPr="006F283B" w:rsidRDefault="00843998" w:rsidP="00F029F7">
      <w:pPr>
        <w:pStyle w:val="4-SubsectionHeading"/>
      </w:pPr>
      <w:bookmarkStart w:id="183" w:name="_Toc95298233"/>
      <w:bookmarkStart w:id="184" w:name="_Toc123646842"/>
      <w:bookmarkStart w:id="185" w:name="_Toc123646943"/>
      <w:bookmarkStart w:id="186" w:name="_Toc123647178"/>
      <w:bookmarkStart w:id="187" w:name="_Toc124937102"/>
      <w:r w:rsidRPr="006F283B">
        <w:t xml:space="preserve">Financial management – risk sharing </w:t>
      </w:r>
      <w:proofErr w:type="gramStart"/>
      <w:r w:rsidRPr="006F283B">
        <w:t>arrangements</w:t>
      </w:r>
      <w:bookmarkEnd w:id="182"/>
      <w:bookmarkEnd w:id="183"/>
      <w:bookmarkEnd w:id="184"/>
      <w:bookmarkEnd w:id="185"/>
      <w:bookmarkEnd w:id="186"/>
      <w:bookmarkEnd w:id="187"/>
      <w:proofErr w:type="gramEnd"/>
    </w:p>
    <w:p w14:paraId="13F7536A" w14:textId="04E58237" w:rsidR="00843998" w:rsidRPr="006F283B" w:rsidRDefault="00843998" w:rsidP="00C07F3A">
      <w:pPr>
        <w:pStyle w:val="ListParagraph"/>
        <w:spacing w:before="0" w:after="120"/>
        <w:rPr>
          <w:color w:val="auto"/>
        </w:rPr>
      </w:pPr>
      <w:bookmarkStart w:id="188" w:name="_Ref131598103"/>
      <w:r w:rsidRPr="006F283B">
        <w:rPr>
          <w:color w:val="auto"/>
        </w:rPr>
        <w:t xml:space="preserve">The submission stated that the sponsor recognises that a risk-sharing arrangement (RSA), informed by the budget impact analyses, will be required for the expanded PBS listing of niraparib. The submission elaborated that if the PBAC were to consider maintaining the administration of a joint cap with olaparib, the Sponsor proposed the expansion of the existing RSA arrangement (niraparib 1L </w:t>
      </w:r>
      <w:r w:rsidR="001152C0" w:rsidRPr="001152C0">
        <w:rPr>
          <w:i/>
          <w:iCs/>
          <w:color w:val="auto"/>
        </w:rPr>
        <w:t>BRCAm</w:t>
      </w:r>
      <w:r w:rsidRPr="006F283B">
        <w:rPr>
          <w:color w:val="auto"/>
        </w:rPr>
        <w:t xml:space="preserve"> and olaparib 1L and 2L </w:t>
      </w:r>
      <w:r w:rsidR="001152C0" w:rsidRPr="001152C0">
        <w:rPr>
          <w:i/>
          <w:iCs/>
          <w:color w:val="auto"/>
        </w:rPr>
        <w:t>BRCAm</w:t>
      </w:r>
      <w:r w:rsidRPr="006F283B">
        <w:rPr>
          <w:color w:val="auto"/>
        </w:rPr>
        <w:t xml:space="preserve">) with the estimated expenditure from the HRD positive </w:t>
      </w:r>
      <w:r w:rsidR="001152C0" w:rsidRPr="001152C0">
        <w:rPr>
          <w:i/>
          <w:iCs/>
          <w:color w:val="auto"/>
        </w:rPr>
        <w:t>BRCAwt</w:t>
      </w:r>
      <w:r w:rsidRPr="006F283B">
        <w:rPr>
          <w:color w:val="auto"/>
        </w:rPr>
        <w:t xml:space="preserve"> cohort for niraparib 1L</w:t>
      </w:r>
      <w:r w:rsidR="000C0F91" w:rsidRPr="006F283B">
        <w:rPr>
          <w:color w:val="auto"/>
        </w:rPr>
        <w:t xml:space="preserve"> (</w:t>
      </w:r>
      <w:r w:rsidR="000C0F91" w:rsidRPr="006F283B">
        <w:rPr>
          <w:color w:val="auto"/>
        </w:rPr>
        <w:fldChar w:fldCharType="begin" w:fldLock="1"/>
      </w:r>
      <w:r w:rsidR="000C0F91" w:rsidRPr="006F283B">
        <w:rPr>
          <w:color w:val="auto"/>
        </w:rPr>
        <w:instrText xml:space="preserve"> REF _Ref130507872 \h </w:instrText>
      </w:r>
      <w:r w:rsidR="000C0F91" w:rsidRPr="006F283B">
        <w:rPr>
          <w:color w:val="auto"/>
        </w:rPr>
      </w:r>
      <w:r w:rsidR="000C0F91" w:rsidRPr="006F283B">
        <w:rPr>
          <w:color w:val="auto"/>
        </w:rPr>
        <w:fldChar w:fldCharType="separate"/>
      </w:r>
      <w:r w:rsidR="00305654" w:rsidRPr="006F283B">
        <w:t xml:space="preserve">Table </w:t>
      </w:r>
      <w:r w:rsidR="00305654">
        <w:rPr>
          <w:noProof/>
        </w:rPr>
        <w:t>24</w:t>
      </w:r>
      <w:r w:rsidR="000C0F91" w:rsidRPr="006F283B">
        <w:rPr>
          <w:color w:val="auto"/>
        </w:rPr>
        <w:fldChar w:fldCharType="end"/>
      </w:r>
      <w:r w:rsidR="000C0F91" w:rsidRPr="006F283B">
        <w:rPr>
          <w:color w:val="auto"/>
        </w:rPr>
        <w:t>).</w:t>
      </w:r>
      <w:bookmarkEnd w:id="188"/>
      <w:r w:rsidRPr="006F283B">
        <w:rPr>
          <w:color w:val="auto"/>
        </w:rPr>
        <w:t xml:space="preserve"> </w:t>
      </w:r>
    </w:p>
    <w:p w14:paraId="117E896C" w14:textId="1B522993" w:rsidR="00FF5BDD" w:rsidRPr="006F283B" w:rsidRDefault="00FF5BDD" w:rsidP="00FF5BDD">
      <w:pPr>
        <w:pStyle w:val="ListParagraph"/>
        <w:numPr>
          <w:ilvl w:val="0"/>
          <w:numId w:val="0"/>
        </w:numPr>
        <w:ind w:left="720"/>
        <w:rPr>
          <w:i/>
          <w:iCs/>
          <w:color w:val="auto"/>
        </w:rPr>
      </w:pPr>
      <w:r w:rsidRPr="006F283B">
        <w:rPr>
          <w:i/>
          <w:iCs/>
          <w:color w:val="auto"/>
        </w:rPr>
        <w:t>For more detail on PBAC’s view, see section 7 PBAC outcome.</w:t>
      </w:r>
    </w:p>
    <w:p w14:paraId="0A3E5B34" w14:textId="77777777" w:rsidR="00B23F82" w:rsidRPr="00361B70" w:rsidRDefault="00B23F82" w:rsidP="00DA1692">
      <w:pPr>
        <w:pStyle w:val="3-BodyText"/>
        <w:ind w:left="0" w:firstLine="0"/>
      </w:pPr>
    </w:p>
    <w:p w14:paraId="051E50F1" w14:textId="290580AF" w:rsidR="00BD07C0" w:rsidRPr="006F283B" w:rsidRDefault="00DA1692" w:rsidP="00DA1692">
      <w:pPr>
        <w:spacing w:before="0" w:line="259" w:lineRule="auto"/>
        <w:jc w:val="left"/>
        <w:rPr>
          <w:rFonts w:ascii="Calibri" w:eastAsia="Calibri" w:hAnsi="Calibri"/>
        </w:rPr>
      </w:pPr>
      <w:bookmarkStart w:id="189" w:name="_Hlk103934877"/>
      <w:r>
        <w:rPr>
          <w:rFonts w:ascii="Calibri" w:eastAsia="Calibri" w:hAnsi="Calibri"/>
        </w:rPr>
        <w:br w:type="page"/>
      </w:r>
    </w:p>
    <w:p w14:paraId="168A6103" w14:textId="77777777" w:rsidR="00BD07C0" w:rsidRPr="006F283B" w:rsidRDefault="00BD07C0" w:rsidP="00957EC3">
      <w:pPr>
        <w:pStyle w:val="PBACESHeading1"/>
      </w:pPr>
      <w:bookmarkStart w:id="190" w:name="_Hlk76381249"/>
      <w:bookmarkStart w:id="191" w:name="_Hlk76377955"/>
      <w:r w:rsidRPr="006F283B">
        <w:lastRenderedPageBreak/>
        <w:t>PBAC Outcome</w:t>
      </w:r>
    </w:p>
    <w:p w14:paraId="2B328816" w14:textId="374E9E5B" w:rsidR="00F25DD6" w:rsidRPr="006F283B" w:rsidRDefault="00F25DD6" w:rsidP="00152220">
      <w:pPr>
        <w:pStyle w:val="ListParagraph"/>
        <w:spacing w:before="0" w:after="120"/>
        <w:rPr>
          <w:lang w:eastAsia="en-AU"/>
        </w:rPr>
      </w:pPr>
      <w:bookmarkStart w:id="192" w:name="_Hlk111543188"/>
      <w:r w:rsidRPr="006F283B">
        <w:t xml:space="preserve">The PBAC deferred making a recommendation regarding niraparib for maintenance therapy in patients with newly diagnosed homologous recombination deficiency (HRD) positive </w:t>
      </w:r>
      <w:r w:rsidR="001152C0" w:rsidRPr="001152C0">
        <w:rPr>
          <w:i/>
        </w:rPr>
        <w:t xml:space="preserve">BRCA </w:t>
      </w:r>
      <w:r w:rsidRPr="006F283B">
        <w:t>wild type (</w:t>
      </w:r>
      <w:r w:rsidR="001152C0" w:rsidRPr="001152C0">
        <w:rPr>
          <w:i/>
        </w:rPr>
        <w:t>BRCAwt</w:t>
      </w:r>
      <w:r w:rsidRPr="006F283B">
        <w:t xml:space="preserve">) advanced epithelial ovarian, fallopian tube or primary peritoneal cancer. The PBAC noted that the integrated codependent submission sought MBS funding of HRD testing to determine eligibility for niraparib under the proposed PBS listing. The PBAC considered niraparib was superior to standard medical management (SMM) in terms of progression free survival in the proposed population of patients with </w:t>
      </w:r>
      <w:r w:rsidR="007B562D">
        <w:t>HRD positive</w:t>
      </w:r>
      <w:r w:rsidRPr="006F283B">
        <w:t xml:space="preserve"> </w:t>
      </w:r>
      <w:r w:rsidR="001152C0" w:rsidRPr="001152C0">
        <w:rPr>
          <w:i/>
        </w:rPr>
        <w:t>BRCAwt</w:t>
      </w:r>
      <w:r w:rsidRPr="006F283B">
        <w:t xml:space="preserve"> tumours, though overall survival data were immature. Consistent with </w:t>
      </w:r>
      <w:r w:rsidR="00C36790" w:rsidRPr="006F283B">
        <w:t xml:space="preserve">its </w:t>
      </w:r>
      <w:r w:rsidRPr="006F283B">
        <w:t xml:space="preserve">previous advice, the PBAC considered that the benefit of niraparib treatment in the HRD-negative subgroup was uncertain and on this </w:t>
      </w:r>
      <w:proofErr w:type="gramStart"/>
      <w:r w:rsidRPr="006F283B">
        <w:t>basis</w:t>
      </w:r>
      <w:proofErr w:type="gramEnd"/>
      <w:r w:rsidRPr="006F283B">
        <w:t xml:space="preserve"> it was appropriate to require HRD testing to determine PBS eligibility for niraparib. The PBAC considered that the economic model presented was n</w:t>
      </w:r>
      <w:r w:rsidRPr="006F283B">
        <w:rPr>
          <w:lang w:eastAsia="en-AU"/>
        </w:rPr>
        <w:t xml:space="preserve">ot reliable for decision-making. However, the PBAC considered that niraparib is likely to be non-inferior to olaparib in the HRD positive </w:t>
      </w:r>
      <w:r w:rsidR="001152C0" w:rsidRPr="001152C0">
        <w:rPr>
          <w:i/>
          <w:lang w:eastAsia="en-AU"/>
        </w:rPr>
        <w:t>BRCAwt</w:t>
      </w:r>
      <w:r w:rsidRPr="006F283B">
        <w:rPr>
          <w:lang w:eastAsia="en-AU"/>
        </w:rPr>
        <w:t xml:space="preserve"> setting, as previously accepted in the </w:t>
      </w:r>
      <w:r w:rsidR="001152C0" w:rsidRPr="001152C0">
        <w:rPr>
          <w:i/>
          <w:lang w:eastAsia="en-AU"/>
        </w:rPr>
        <w:t>BRCAm</w:t>
      </w:r>
      <w:r w:rsidRPr="006F283B">
        <w:rPr>
          <w:lang w:eastAsia="en-AU"/>
        </w:rPr>
        <w:t xml:space="preserve"> setting and therefore could be recommended </w:t>
      </w:r>
      <w:proofErr w:type="gramStart"/>
      <w:r w:rsidRPr="006F283B">
        <w:rPr>
          <w:lang w:eastAsia="en-AU"/>
        </w:rPr>
        <w:t>on the basis of</w:t>
      </w:r>
      <w:proofErr w:type="gramEnd"/>
      <w:r w:rsidRPr="006F283B">
        <w:rPr>
          <w:lang w:eastAsia="en-AU"/>
        </w:rPr>
        <w:t xml:space="preserve"> cost-minimisation versus olaparib in the event that olaparib is listed on the PBS for patients with </w:t>
      </w:r>
      <w:r w:rsidR="007B562D">
        <w:rPr>
          <w:lang w:eastAsia="en-AU"/>
        </w:rPr>
        <w:t>HRD positive</w:t>
      </w:r>
      <w:r w:rsidRPr="006F283B">
        <w:rPr>
          <w:lang w:eastAsia="en-AU"/>
        </w:rPr>
        <w:t xml:space="preserve"> </w:t>
      </w:r>
      <w:r w:rsidR="001152C0" w:rsidRPr="001152C0">
        <w:rPr>
          <w:i/>
          <w:lang w:eastAsia="en-AU"/>
        </w:rPr>
        <w:t>BRCAwt</w:t>
      </w:r>
      <w:r w:rsidRPr="006F283B">
        <w:rPr>
          <w:lang w:eastAsia="en-AU"/>
        </w:rPr>
        <w:t xml:space="preserve"> ovarian cancer.</w:t>
      </w:r>
    </w:p>
    <w:p w14:paraId="3EEFB26F" w14:textId="0535C24E" w:rsidR="003E6D8E" w:rsidRPr="006F283B" w:rsidRDefault="002E1F23" w:rsidP="00152220">
      <w:pPr>
        <w:pStyle w:val="ListParagraph"/>
        <w:spacing w:before="0" w:after="120"/>
        <w:rPr>
          <w:szCs w:val="24"/>
        </w:rPr>
      </w:pPr>
      <w:bookmarkStart w:id="193" w:name="_Ref109859288"/>
      <w:r w:rsidRPr="006F283B">
        <w:rPr>
          <w:snapToGrid w:val="0"/>
        </w:rPr>
        <w:t xml:space="preserve">The PBAC noted that the proposed clinical place for PARP inhibitors in patients without </w:t>
      </w:r>
      <w:r w:rsidR="001152C0" w:rsidRPr="001152C0">
        <w:rPr>
          <w:i/>
          <w:iCs/>
          <w:snapToGrid w:val="0"/>
        </w:rPr>
        <w:t>BRCAm</w:t>
      </w:r>
      <w:r w:rsidRPr="006F283B">
        <w:rPr>
          <w:snapToGrid w:val="0"/>
        </w:rPr>
        <w:t xml:space="preserve"> was reliant on access to </w:t>
      </w:r>
      <w:r w:rsidR="00BA4B4A" w:rsidRPr="006F283B">
        <w:rPr>
          <w:snapToGrid w:val="0"/>
        </w:rPr>
        <w:t>a publicly funded</w:t>
      </w:r>
      <w:r w:rsidRPr="006F283B">
        <w:rPr>
          <w:snapToGrid w:val="0"/>
        </w:rPr>
        <w:t xml:space="preserve"> HRD test. </w:t>
      </w:r>
      <w:bookmarkEnd w:id="193"/>
      <w:r w:rsidR="003E6D8E" w:rsidRPr="006F283B">
        <w:rPr>
          <w:szCs w:val="24"/>
        </w:rPr>
        <w:t xml:space="preserve">The PBAC recalled that in November 2022 it had been of a mind to recommend olaparib </w:t>
      </w:r>
      <w:r w:rsidR="003E6D8E" w:rsidRPr="006F283B">
        <w:rPr>
          <w:color w:val="auto"/>
          <w:szCs w:val="24"/>
        </w:rPr>
        <w:t xml:space="preserve">for the same population and had </w:t>
      </w:r>
      <w:r w:rsidR="003E6D8E" w:rsidRPr="006F283B">
        <w:rPr>
          <w:szCs w:val="24"/>
        </w:rPr>
        <w:t>deferred making a recommendation pending MSAC advice concerning the HRD test component.</w:t>
      </w:r>
    </w:p>
    <w:p w14:paraId="2F09399B" w14:textId="53BA13FF" w:rsidR="00520C06" w:rsidRPr="006F283B" w:rsidRDefault="000203B0" w:rsidP="00152220">
      <w:pPr>
        <w:pStyle w:val="ListParagraph"/>
        <w:spacing w:before="0" w:after="120"/>
      </w:pPr>
      <w:r w:rsidRPr="006F283B">
        <w:t xml:space="preserve">Noting </w:t>
      </w:r>
      <w:r w:rsidR="00C30678" w:rsidRPr="006F283B">
        <w:t>MSAC’s</w:t>
      </w:r>
      <w:r w:rsidR="00FB7663" w:rsidRPr="006F283B">
        <w:t xml:space="preserve"> previous</w:t>
      </w:r>
      <w:r w:rsidR="00C30678" w:rsidRPr="006F283B">
        <w:t xml:space="preserve"> advice </w:t>
      </w:r>
      <w:r w:rsidRPr="006F283B">
        <w:t>that measures of GI are continuous, making it difficult to determine a robust cut off for HRD positivity, the</w:t>
      </w:r>
      <w:r w:rsidR="00520C06" w:rsidRPr="006F283B">
        <w:t xml:space="preserve"> PBAC </w:t>
      </w:r>
      <w:r w:rsidRPr="006F283B">
        <w:t>considered it may be appropriate to simplify</w:t>
      </w:r>
      <w:r w:rsidR="00520C06" w:rsidRPr="006F283B">
        <w:t xml:space="preserve"> the proposed restriction to require evidence</w:t>
      </w:r>
      <w:r w:rsidRPr="006F283B">
        <w:t xml:space="preserve"> (in the absence of </w:t>
      </w:r>
      <w:r w:rsidR="001152C0" w:rsidRPr="001152C0">
        <w:rPr>
          <w:i/>
        </w:rPr>
        <w:t>BRCAm</w:t>
      </w:r>
      <w:r w:rsidRPr="006F283B">
        <w:t>)</w:t>
      </w:r>
      <w:r w:rsidR="00520C06" w:rsidRPr="006F283B">
        <w:t xml:space="preserve"> that the condition is associated with </w:t>
      </w:r>
      <w:r w:rsidR="00AF11FB" w:rsidRPr="006F283B">
        <w:t>HRD</w:t>
      </w:r>
      <w:r w:rsidR="00520C06" w:rsidRPr="006F283B">
        <w:t xml:space="preserve">, </w:t>
      </w:r>
      <w:r w:rsidRPr="006F283B">
        <w:t>without</w:t>
      </w:r>
      <w:r w:rsidR="00520C06" w:rsidRPr="006F283B">
        <w:t xml:space="preserve"> stat</w:t>
      </w:r>
      <w:r w:rsidRPr="006F283B">
        <w:t>ing</w:t>
      </w:r>
      <w:r w:rsidR="00520C06" w:rsidRPr="006F283B">
        <w:t xml:space="preserve"> a specific threshold of </w:t>
      </w:r>
      <w:r w:rsidR="00AF11FB" w:rsidRPr="006F283B">
        <w:t>GI</w:t>
      </w:r>
      <w:r w:rsidR="00520C06" w:rsidRPr="006F283B">
        <w:t xml:space="preserve"> corresponding to HRD positivity.</w:t>
      </w:r>
      <w:r w:rsidR="00AF11FB" w:rsidRPr="006F283B">
        <w:t xml:space="preserve"> The PBAC also considered that, consistent with its previous advice, it would be appropriate for the restriction to allow flexibility regarding concomitant use of bevacizumab (paragraph 7.3, olaparib PSD, July 2022 PBAC meeting).</w:t>
      </w:r>
      <w:r w:rsidR="008E34C5">
        <w:t xml:space="preserve"> </w:t>
      </w:r>
    </w:p>
    <w:p w14:paraId="6A60586C" w14:textId="1602EA77" w:rsidR="00F27286" w:rsidRPr="006F283B" w:rsidRDefault="00F27286" w:rsidP="00152220">
      <w:pPr>
        <w:pStyle w:val="ListParagraph"/>
        <w:spacing w:before="0" w:after="120"/>
      </w:pPr>
      <w:r w:rsidRPr="006F283B">
        <w:t>The PBAC noted the input from individuals, and organisations and acknowledged that the Medical Oncology Group of Australia (MOGA) had expressed its strong support for the niraparib submission</w:t>
      </w:r>
      <w:r w:rsidR="00A952CA" w:rsidRPr="006F283B">
        <w:t xml:space="preserve">. </w:t>
      </w:r>
      <w:r w:rsidR="00A90BD6" w:rsidRPr="006F283B">
        <w:t xml:space="preserve">The PBAC noted that consumer comments reflected a clinical need for effective treatments for patients without a confirmed </w:t>
      </w:r>
      <w:r w:rsidR="001152C0" w:rsidRPr="001152C0">
        <w:rPr>
          <w:i/>
        </w:rPr>
        <w:t>BRCA1/2</w:t>
      </w:r>
      <w:r w:rsidR="00A90BD6" w:rsidRPr="006F283B">
        <w:t xml:space="preserve"> patho</w:t>
      </w:r>
      <w:r w:rsidR="00782BE3" w:rsidRPr="006F283B">
        <w:t>genic</w:t>
      </w:r>
      <w:r w:rsidR="00A90BD6" w:rsidRPr="006F283B">
        <w:t xml:space="preserve"> variant</w:t>
      </w:r>
      <w:r w:rsidR="00C6663D" w:rsidRPr="006F283B">
        <w:t xml:space="preserve">, and that </w:t>
      </w:r>
      <w:r w:rsidR="004E02BD" w:rsidRPr="006F283B">
        <w:t xml:space="preserve">fear of recurrence is a significant concern for </w:t>
      </w:r>
      <w:r w:rsidR="00C6663D" w:rsidRPr="006F283B">
        <w:t xml:space="preserve">patients. </w:t>
      </w:r>
      <w:r w:rsidRPr="006F283B">
        <w:t xml:space="preserve">The PBAC noted that HRD testing was recommended to guide prescribing of PARPi in </w:t>
      </w:r>
      <w:r w:rsidRPr="006F283B">
        <w:lastRenderedPageBreak/>
        <w:t>other countries as reflected by clinical guidelines in Europe</w:t>
      </w:r>
      <w:r w:rsidRPr="006F283B">
        <w:rPr>
          <w:rStyle w:val="FootnoteReference"/>
          <w:color w:val="auto"/>
        </w:rPr>
        <w:footnoteReference w:id="11"/>
      </w:r>
      <w:r w:rsidRPr="006F283B">
        <w:t>, the United Kingdom</w:t>
      </w:r>
      <w:r w:rsidRPr="006F283B">
        <w:rPr>
          <w:rStyle w:val="FootnoteReference"/>
          <w:color w:val="auto"/>
        </w:rPr>
        <w:footnoteReference w:id="12"/>
      </w:r>
      <w:r w:rsidRPr="006F283B">
        <w:t xml:space="preserve"> and the United States</w:t>
      </w:r>
      <w:r w:rsidRPr="006F283B">
        <w:rPr>
          <w:rStyle w:val="FootnoteReference"/>
          <w:color w:val="auto"/>
        </w:rPr>
        <w:footnoteReference w:id="13"/>
      </w:r>
      <w:r w:rsidRPr="006F283B">
        <w:t>.</w:t>
      </w:r>
    </w:p>
    <w:p w14:paraId="67D571E3" w14:textId="362D2523" w:rsidR="00A366B6" w:rsidRPr="006F283B" w:rsidRDefault="00F27286" w:rsidP="00152220">
      <w:pPr>
        <w:pStyle w:val="ListParagraph"/>
        <w:spacing w:before="0" w:after="120"/>
      </w:pPr>
      <w:r w:rsidRPr="006F283B">
        <w:t xml:space="preserve">The PBAC considered that the nomination of SMM as the main comparator, and </w:t>
      </w:r>
      <w:r w:rsidR="00A366B6" w:rsidRPr="006F283B">
        <w:t xml:space="preserve">olaparib as a near market comparator </w:t>
      </w:r>
      <w:r w:rsidRPr="006F283B">
        <w:t>was appropriate</w:t>
      </w:r>
      <w:r w:rsidR="00A366B6" w:rsidRPr="006F283B">
        <w:t xml:space="preserve">. The PBAC considered that the comparison with olaparib was relevant, while noting that it had not yet been recommended for PBS listing. The PBAC recalled that it had been of a mind to recommend olaparib in the proposed population at the November 2022 PBAC meeting, pending MSAC consideration of HRD testing. </w:t>
      </w:r>
      <w:r w:rsidR="00C92B07" w:rsidRPr="006F283B">
        <w:t xml:space="preserve">The PBAC considered that olaparib would become the most relevant comparator, in the event </w:t>
      </w:r>
      <w:r w:rsidR="007A4D0C" w:rsidRPr="006F283B">
        <w:t xml:space="preserve">it is PBS </w:t>
      </w:r>
      <w:r w:rsidR="00C92B07" w:rsidRPr="006F283B">
        <w:t xml:space="preserve">listed </w:t>
      </w:r>
      <w:r w:rsidR="007A4D0C" w:rsidRPr="006F283B">
        <w:t xml:space="preserve">in </w:t>
      </w:r>
      <w:r w:rsidR="007B562D">
        <w:t>HRD positive</w:t>
      </w:r>
      <w:r w:rsidR="00C92B07" w:rsidRPr="006F283B">
        <w:t xml:space="preserve"> </w:t>
      </w:r>
      <w:r w:rsidR="001152C0" w:rsidRPr="001152C0">
        <w:rPr>
          <w:i/>
        </w:rPr>
        <w:t>BRCAwt</w:t>
      </w:r>
      <w:r w:rsidR="00C92B07" w:rsidRPr="006F283B">
        <w:t xml:space="preserve"> ovarian cancer.</w:t>
      </w:r>
    </w:p>
    <w:p w14:paraId="42525E46" w14:textId="18362099" w:rsidR="00982F68" w:rsidRPr="006F283B" w:rsidRDefault="004C00C0" w:rsidP="00152220">
      <w:pPr>
        <w:pStyle w:val="ListParagraph"/>
        <w:spacing w:before="0" w:after="120"/>
      </w:pPr>
      <w:bookmarkStart w:id="194" w:name="_Ref130573342"/>
      <w:r w:rsidRPr="006F283B">
        <w:t xml:space="preserve">The PBAC noted that the primary clinical evidence supporting the clinical claim was </w:t>
      </w:r>
      <w:r w:rsidR="00A952CA" w:rsidRPr="006F283B">
        <w:t xml:space="preserve">from </w:t>
      </w:r>
      <w:r w:rsidR="00FB2A33" w:rsidRPr="006F283B">
        <w:t xml:space="preserve">PRIMA, a </w:t>
      </w:r>
      <w:r w:rsidR="007A0C10" w:rsidRPr="006F283B">
        <w:t xml:space="preserve">phase 3, randomised, double-blind, placebo-controlled, multicentre study </w:t>
      </w:r>
      <w:r w:rsidRPr="006F283B">
        <w:t xml:space="preserve">of </w:t>
      </w:r>
      <w:r w:rsidR="007A0C10" w:rsidRPr="006F283B">
        <w:t xml:space="preserve">niraparib maintenance treatment compared to placebo in </w:t>
      </w:r>
      <w:r w:rsidR="00786BD6" w:rsidRPr="006F283B">
        <w:t>p</w:t>
      </w:r>
      <w:r w:rsidR="007A0C10" w:rsidRPr="006F283B">
        <w:t xml:space="preserve">atients with advanced ovarian cancer following response to front-line platinum-based chemotherapy. </w:t>
      </w:r>
      <w:r w:rsidR="00581B78" w:rsidRPr="006F283B">
        <w:t>The PBAC recalled it had previously considered data from PRIMA at the primary data cut-off (DCO) of May 2019 (median follow-up ~</w:t>
      </w:r>
      <w:r w:rsidR="00555B0D" w:rsidRPr="006F283B">
        <w:t>15</w:t>
      </w:r>
      <w:r w:rsidR="00555B0D">
        <w:t> </w:t>
      </w:r>
      <w:r w:rsidR="00581B78" w:rsidRPr="006F283B">
        <w:t>months</w:t>
      </w:r>
      <w:r w:rsidR="00C6312D" w:rsidRPr="006F283B">
        <w:t>)</w:t>
      </w:r>
      <w:r w:rsidR="00581B78" w:rsidRPr="006F283B">
        <w:t xml:space="preserve">. Additional PFS data were presented in the current submission from an interim November 2021 DCO (median follow up ~3.5 years) which had not previously been considered by the PBAC. </w:t>
      </w:r>
      <w:r w:rsidR="00982F68" w:rsidRPr="006F283B">
        <w:t>The PBAC noted that a second head to-head trial, PRIME (n=384) was included as supplementary evidence</w:t>
      </w:r>
      <w:r w:rsidR="00C6312D" w:rsidRPr="006F283B">
        <w:t xml:space="preserve"> because it was less applicable to the proposed PBS population in terms of the population and the HRD test used</w:t>
      </w:r>
      <w:r w:rsidR="00982F68" w:rsidRPr="006F283B">
        <w:t>. The PBAC considered this was reasonable.</w:t>
      </w:r>
    </w:p>
    <w:p w14:paraId="04131C20" w14:textId="58F3B4BB" w:rsidR="00675CD7" w:rsidRPr="006F283B" w:rsidDel="00DC1076" w:rsidRDefault="00581B78" w:rsidP="00152220">
      <w:pPr>
        <w:pStyle w:val="ListParagraph"/>
        <w:spacing w:before="0" w:after="120"/>
      </w:pPr>
      <w:bookmarkStart w:id="195" w:name="_Ref131514422"/>
      <w:r w:rsidRPr="006F283B">
        <w:t xml:space="preserve">The PBAC noted that at the May 2019 DCO of PRIMA, there was a statistically significant improvement in PFS associated with niraparib versus SMM in </w:t>
      </w:r>
      <w:r w:rsidR="001152C0" w:rsidRPr="001152C0">
        <w:rPr>
          <w:i/>
        </w:rPr>
        <w:t>BRCAwt</w:t>
      </w:r>
      <w:r w:rsidRPr="006F283B">
        <w:t xml:space="preserve"> patients (HR for PFS: 0.69 [0.54, 0.88]). The PBAC noted the PFS benefit was greater for patients with </w:t>
      </w:r>
      <w:r w:rsidR="001152C0" w:rsidRPr="001152C0">
        <w:rPr>
          <w:i/>
        </w:rPr>
        <w:t>BRCAwt</w:t>
      </w:r>
      <w:r w:rsidRPr="006F283B">
        <w:t xml:space="preserve"> HRD positive tumours (HR= 0.50, 95% CI: 0.31, 0.83) compared to patients in the HRD negative subgroup (HR= 0.68, 95% CI: 0.49, 0.94) and the difference in median PFS </w:t>
      </w:r>
      <w:r w:rsidR="000F017A" w:rsidRPr="006F283B">
        <w:t>(</w:t>
      </w:r>
      <w:r w:rsidRPr="006F283B">
        <w:t>BICR</w:t>
      </w:r>
      <w:r w:rsidR="000F017A" w:rsidRPr="006F283B">
        <w:t>)</w:t>
      </w:r>
      <w:r w:rsidRPr="006F283B">
        <w:t xml:space="preserve"> was substantially greater in the HRD positive </w:t>
      </w:r>
      <w:r w:rsidR="001152C0" w:rsidRPr="001152C0">
        <w:rPr>
          <w:i/>
          <w:iCs/>
        </w:rPr>
        <w:t>BRCAwt</w:t>
      </w:r>
      <w:r w:rsidRPr="006F283B">
        <w:t xml:space="preserve"> subgroup compared to the HRD negative subgroup (11.4 vs 2.7 months, respectively</w:t>
      </w:r>
      <w:r w:rsidR="000F017A" w:rsidRPr="006F283B">
        <w:t>)</w:t>
      </w:r>
      <w:r w:rsidRPr="006F283B">
        <w:t xml:space="preserve">. </w:t>
      </w:r>
      <w:r w:rsidR="00397D2B" w:rsidRPr="006F283B">
        <w:t>The PBAC noted that</w:t>
      </w:r>
      <w:r w:rsidR="003B108D" w:rsidRPr="006F283B">
        <w:t xml:space="preserve"> in</w:t>
      </w:r>
      <w:r w:rsidR="00397D2B" w:rsidRPr="006F283B">
        <w:t xml:space="preserve"> the </w:t>
      </w:r>
      <w:r w:rsidR="00D45AA5" w:rsidRPr="006F283B">
        <w:t>November 2021 DCO the PFS</w:t>
      </w:r>
      <w:r w:rsidR="007C3C67">
        <w:t xml:space="preserve"> (</w:t>
      </w:r>
      <w:r w:rsidR="007C3C67" w:rsidRPr="007C3C67">
        <w:t>per investigator assessed</w:t>
      </w:r>
      <w:r w:rsidR="007C3C67">
        <w:t>)</w:t>
      </w:r>
      <w:r w:rsidR="00D45AA5" w:rsidRPr="006F283B">
        <w:t xml:space="preserve"> </w:t>
      </w:r>
      <w:proofErr w:type="gramStart"/>
      <w:r w:rsidR="00D45AA5" w:rsidRPr="006F283B">
        <w:t>benefit</w:t>
      </w:r>
      <w:r w:rsidR="007C3C67">
        <w:t xml:space="preserve"> </w:t>
      </w:r>
      <w:r w:rsidR="00D45AA5" w:rsidRPr="006F283B">
        <w:t xml:space="preserve"> </w:t>
      </w:r>
      <w:r w:rsidR="003B108D" w:rsidRPr="006F283B">
        <w:t>remained</w:t>
      </w:r>
      <w:proofErr w:type="gramEnd"/>
      <w:r w:rsidR="003B108D" w:rsidRPr="006F283B">
        <w:t xml:space="preserve"> similar</w:t>
      </w:r>
      <w:r w:rsidR="00D45AA5" w:rsidRPr="006F283B">
        <w:t xml:space="preserve"> in the HRD positive </w:t>
      </w:r>
      <w:r w:rsidR="001152C0" w:rsidRPr="001152C0">
        <w:rPr>
          <w:i/>
          <w:iCs/>
        </w:rPr>
        <w:t>BRCAwt</w:t>
      </w:r>
      <w:r w:rsidR="00D45AA5" w:rsidRPr="006F283B">
        <w:t xml:space="preserve"> subgroup (</w:t>
      </w:r>
      <w:r w:rsidR="003B108D" w:rsidRPr="006F283B">
        <w:t>HR for PFS: 0.66, 95% CI: 0.437, 0.999</w:t>
      </w:r>
      <w:r w:rsidR="00370550" w:rsidRPr="006F283B">
        <w:t>; compared with 0.60, 95% CI: 0.374 0.954, in the May 2019 DCO</w:t>
      </w:r>
      <w:r w:rsidR="00D45AA5" w:rsidRPr="006F283B">
        <w:t>)</w:t>
      </w:r>
      <w:r w:rsidR="003B108D" w:rsidRPr="006F283B">
        <w:t xml:space="preserve">. </w:t>
      </w:r>
      <w:r w:rsidR="003B108D" w:rsidRPr="006F283B">
        <w:rPr>
          <w:color w:val="auto"/>
        </w:rPr>
        <w:t xml:space="preserve">The </w:t>
      </w:r>
      <w:r w:rsidR="00E13E96" w:rsidRPr="006F283B">
        <w:rPr>
          <w:color w:val="auto"/>
        </w:rPr>
        <w:t xml:space="preserve">PBAC noted that the </w:t>
      </w:r>
      <w:r w:rsidR="003B108D" w:rsidRPr="006F283B">
        <w:rPr>
          <w:color w:val="auto"/>
        </w:rPr>
        <w:t xml:space="preserve">submission did not provide any OS </w:t>
      </w:r>
      <w:r w:rsidR="003B108D" w:rsidRPr="006F283B">
        <w:rPr>
          <w:color w:val="auto"/>
        </w:rPr>
        <w:lastRenderedPageBreak/>
        <w:t>results for the November</w:t>
      </w:r>
      <w:r w:rsidR="00555B0D">
        <w:rPr>
          <w:color w:val="auto"/>
        </w:rPr>
        <w:t> </w:t>
      </w:r>
      <w:r w:rsidR="003B108D" w:rsidRPr="006F283B">
        <w:rPr>
          <w:color w:val="auto"/>
        </w:rPr>
        <w:t xml:space="preserve">2021 </w:t>
      </w:r>
      <w:proofErr w:type="gramStart"/>
      <w:r w:rsidR="003B108D" w:rsidRPr="006F283B">
        <w:rPr>
          <w:color w:val="auto"/>
        </w:rPr>
        <w:t>DCO</w:t>
      </w:r>
      <w:proofErr w:type="gramEnd"/>
      <w:r w:rsidR="003B108D" w:rsidRPr="006F283B">
        <w:rPr>
          <w:color w:val="auto"/>
        </w:rPr>
        <w:t xml:space="preserve"> and the OS data remain</w:t>
      </w:r>
      <w:r w:rsidR="00E13E96" w:rsidRPr="006F283B">
        <w:rPr>
          <w:color w:val="auto"/>
        </w:rPr>
        <w:t xml:space="preserve"> immature</w:t>
      </w:r>
      <w:r w:rsidR="003B108D" w:rsidRPr="006F283B">
        <w:rPr>
          <w:color w:val="auto"/>
        </w:rPr>
        <w:t>.</w:t>
      </w:r>
      <w:r w:rsidR="000F017A" w:rsidRPr="006F283B">
        <w:rPr>
          <w:color w:val="auto"/>
        </w:rPr>
        <w:t xml:space="preserve"> The PBAC considered the claim of superior effectiveness for </w:t>
      </w:r>
      <w:r w:rsidR="000F017A" w:rsidRPr="006F283B">
        <w:t xml:space="preserve">patients with </w:t>
      </w:r>
      <w:r w:rsidR="001152C0" w:rsidRPr="001152C0">
        <w:rPr>
          <w:i/>
        </w:rPr>
        <w:t>BRCAwt</w:t>
      </w:r>
      <w:r w:rsidR="000F017A" w:rsidRPr="006F283B">
        <w:t xml:space="preserve"> HRD positive tumours </w:t>
      </w:r>
      <w:r w:rsidR="000F017A" w:rsidRPr="006F283B">
        <w:rPr>
          <w:color w:val="auto"/>
        </w:rPr>
        <w:t>was supported by the improvement in PFS for niraparib compared to SMM demonstrated in PRIMA.</w:t>
      </w:r>
      <w:bookmarkEnd w:id="195"/>
      <w:r w:rsidR="000F017A" w:rsidRPr="006F283B">
        <w:rPr>
          <w:color w:val="auto"/>
        </w:rPr>
        <w:t xml:space="preserve"> </w:t>
      </w:r>
      <w:bookmarkEnd w:id="194"/>
    </w:p>
    <w:p w14:paraId="44BD4BCE" w14:textId="0B2E7E10" w:rsidR="00BE083D" w:rsidRPr="006F283B" w:rsidRDefault="00BE083D" w:rsidP="00152220">
      <w:pPr>
        <w:pStyle w:val="ListParagraph"/>
        <w:spacing w:before="0" w:after="120"/>
      </w:pPr>
      <w:r w:rsidRPr="006F283B">
        <w:rPr>
          <w:iCs/>
          <w:color w:val="auto"/>
        </w:rPr>
        <w:t xml:space="preserve">The PBAC noted that a statistically </w:t>
      </w:r>
      <w:r w:rsidR="00DC1076" w:rsidRPr="006F283B">
        <w:rPr>
          <w:iCs/>
          <w:color w:val="auto"/>
        </w:rPr>
        <w:t xml:space="preserve">significant </w:t>
      </w:r>
      <w:r w:rsidRPr="006F283B">
        <w:t>benefit had been reported for niraparib in the HRD negative subgroup (see paragraph</w:t>
      </w:r>
      <w:r w:rsidR="00370550" w:rsidRPr="006F283B">
        <w:t xml:space="preserve"> </w:t>
      </w:r>
      <w:r w:rsidR="00370550" w:rsidRPr="006F283B">
        <w:fldChar w:fldCharType="begin" w:fldLock="1"/>
      </w:r>
      <w:r w:rsidR="00370550" w:rsidRPr="006F283B">
        <w:instrText xml:space="preserve"> REF _Ref131514422 \r \h </w:instrText>
      </w:r>
      <w:r w:rsidR="00370550" w:rsidRPr="006F283B">
        <w:fldChar w:fldCharType="separate"/>
      </w:r>
      <w:r w:rsidR="00305654">
        <w:t>7.7</w:t>
      </w:r>
      <w:r w:rsidR="00370550" w:rsidRPr="006F283B">
        <w:fldChar w:fldCharType="end"/>
      </w:r>
      <w:r w:rsidRPr="006F283B">
        <w:t xml:space="preserve">) however considered that treatment of these patients may not be clinically appropriate because the PFS benefit </w:t>
      </w:r>
      <w:r w:rsidR="002938BA" w:rsidRPr="006F283B">
        <w:t xml:space="preserve">was small, </w:t>
      </w:r>
      <w:r w:rsidRPr="006F283B">
        <w:t xml:space="preserve">uncertain and may not translate to overall survival benefit. The PBAC considered it was appropriate to require HRD testing to determine PBS eligibility for niraparib, because this would identify patients more likely to benefit </w:t>
      </w:r>
      <w:r w:rsidR="006927DA" w:rsidRPr="006F283B">
        <w:t xml:space="preserve">from </w:t>
      </w:r>
      <w:r w:rsidRPr="006F283B">
        <w:t xml:space="preserve">treatment, and noted this was consistent with the proposed PBS listing of olaparib considered in </w:t>
      </w:r>
      <w:r w:rsidR="00555B0D" w:rsidRPr="006F283B">
        <w:t>July</w:t>
      </w:r>
      <w:r w:rsidR="00555B0D">
        <w:t> </w:t>
      </w:r>
      <w:r w:rsidRPr="006F283B">
        <w:t>2022 and November 2022.</w:t>
      </w:r>
    </w:p>
    <w:p w14:paraId="50E6F68A" w14:textId="45DDE735" w:rsidR="002938BA" w:rsidRPr="006F283B" w:rsidRDefault="002938BA" w:rsidP="00152220">
      <w:pPr>
        <w:pStyle w:val="ListParagraph"/>
        <w:spacing w:before="0" w:after="120"/>
      </w:pPr>
      <w:r w:rsidRPr="006F283B">
        <w:rPr>
          <w:color w:val="auto"/>
        </w:rPr>
        <w:t xml:space="preserve">The PBAC considered the claim of inferior safety of niraparib in comparison with placebo was supported by the data presented. The incidence of TEAEs, Grade </w:t>
      </w:r>
      <w:r w:rsidR="00555B0D" w:rsidRPr="006F283B">
        <w:rPr>
          <w:color w:val="auto"/>
        </w:rPr>
        <w:t>≥</w:t>
      </w:r>
      <w:r w:rsidR="00555B0D">
        <w:rPr>
          <w:color w:val="auto"/>
        </w:rPr>
        <w:t> </w:t>
      </w:r>
      <w:r w:rsidRPr="006F283B">
        <w:rPr>
          <w:color w:val="auto"/>
        </w:rPr>
        <w:t xml:space="preserve">3 TEAEs, and SAEs, were significantly higher in </w:t>
      </w:r>
      <w:r w:rsidRPr="006F283B">
        <w:t xml:space="preserve">HRD positive </w:t>
      </w:r>
      <w:r w:rsidR="001152C0" w:rsidRPr="001152C0">
        <w:rPr>
          <w:i/>
          <w:iCs/>
        </w:rPr>
        <w:t>BRCAwt</w:t>
      </w:r>
      <w:r w:rsidRPr="006F283B">
        <w:t xml:space="preserve"> </w:t>
      </w:r>
      <w:r w:rsidRPr="006F283B">
        <w:rPr>
          <w:color w:val="auto"/>
        </w:rPr>
        <w:t>patients who received niraparib than those treated with placebo (</w:t>
      </w:r>
      <w:r w:rsidRPr="006F283B">
        <w:rPr>
          <w:color w:val="auto"/>
        </w:rPr>
        <w:fldChar w:fldCharType="begin" w:fldLock="1"/>
      </w:r>
      <w:r w:rsidRPr="006F283B">
        <w:rPr>
          <w:color w:val="auto"/>
        </w:rPr>
        <w:instrText xml:space="preserve"> REF _Ref130485532 \h </w:instrText>
      </w:r>
      <w:r w:rsidRPr="006F283B">
        <w:rPr>
          <w:color w:val="auto"/>
        </w:rPr>
      </w:r>
      <w:r w:rsidRPr="006F283B">
        <w:rPr>
          <w:color w:val="auto"/>
        </w:rPr>
        <w:fldChar w:fldCharType="separate"/>
      </w:r>
      <w:r w:rsidR="00305654" w:rsidRPr="006F283B">
        <w:t xml:space="preserve">Table </w:t>
      </w:r>
      <w:r w:rsidR="00305654">
        <w:rPr>
          <w:noProof/>
        </w:rPr>
        <w:t>11</w:t>
      </w:r>
      <w:r w:rsidRPr="006F283B">
        <w:rPr>
          <w:color w:val="auto"/>
        </w:rPr>
        <w:fldChar w:fldCharType="end"/>
      </w:r>
      <w:r w:rsidRPr="006F283B">
        <w:rPr>
          <w:color w:val="auto"/>
        </w:rPr>
        <w:t xml:space="preserve">). The PBAC </w:t>
      </w:r>
      <w:r w:rsidR="00D82543" w:rsidRPr="006F283B">
        <w:rPr>
          <w:color w:val="auto"/>
        </w:rPr>
        <w:t xml:space="preserve">recalled </w:t>
      </w:r>
      <w:r w:rsidRPr="006F283B">
        <w:rPr>
          <w:color w:val="auto"/>
        </w:rPr>
        <w:t xml:space="preserve">it </w:t>
      </w:r>
      <w:r w:rsidRPr="006F283B">
        <w:t xml:space="preserve">had previously considered that niraparib was inferior to placebo in terms of safety in PRIMA based on the ITT population (paragraph 6.37, niraparib PSD, July 2021 PBAC meeting). </w:t>
      </w:r>
    </w:p>
    <w:p w14:paraId="11FCEDA9" w14:textId="45D81FAF" w:rsidR="006525DF" w:rsidRPr="006F283B" w:rsidRDefault="00E61BA8" w:rsidP="00152220">
      <w:pPr>
        <w:pStyle w:val="ListParagraph"/>
        <w:spacing w:before="0" w:after="120"/>
        <w:rPr>
          <w:color w:val="auto"/>
        </w:rPr>
      </w:pPr>
      <w:r w:rsidRPr="006F283B">
        <w:rPr>
          <w:color w:val="auto"/>
        </w:rPr>
        <w:t xml:space="preserve">The PBAC noted that limited evidence was available to assess the comparative clinical efficacy and safety of niraparib and olaparib in the </w:t>
      </w:r>
      <w:r w:rsidR="001152C0" w:rsidRPr="001152C0">
        <w:rPr>
          <w:i/>
          <w:color w:val="auto"/>
        </w:rPr>
        <w:t>BRCAwt</w:t>
      </w:r>
      <w:r w:rsidRPr="006F283B">
        <w:rPr>
          <w:color w:val="auto"/>
        </w:rPr>
        <w:t xml:space="preserve"> HRD+ population</w:t>
      </w:r>
      <w:r w:rsidR="00D95B3C" w:rsidRPr="006F283B">
        <w:rPr>
          <w:color w:val="auto"/>
        </w:rPr>
        <w:t>, particularly as olaparib was used in combination with bevacizumab in the pivotal trial</w:t>
      </w:r>
      <w:r w:rsidRPr="006F283B">
        <w:rPr>
          <w:color w:val="auto"/>
        </w:rPr>
        <w:t xml:space="preserve">. </w:t>
      </w:r>
      <w:r w:rsidRPr="006F283B">
        <w:t xml:space="preserve">The submission presented an unanchored side-by-side comparison of niraparib (from PRIMA) with olaparib + bevacizumab (from PAOLA-1), to inform the relative efficacy compared with olaparib. </w:t>
      </w:r>
      <w:r w:rsidR="006525DF" w:rsidRPr="006F283B">
        <w:t>Th</w:t>
      </w:r>
      <w:r w:rsidR="00996E05" w:rsidRPr="006F283B">
        <w:t xml:space="preserve">is comparison </w:t>
      </w:r>
      <w:r w:rsidRPr="006F283B">
        <w:t xml:space="preserve">suggested the median PFS was similar for niraparib (19.4 months) and olaparib + bevacizumab (20.3 months) in the HRD positive </w:t>
      </w:r>
      <w:r w:rsidR="001152C0" w:rsidRPr="001152C0">
        <w:rPr>
          <w:i/>
        </w:rPr>
        <w:t>BRCAwt</w:t>
      </w:r>
      <w:r w:rsidRPr="006F283B">
        <w:t xml:space="preserve"> subgroup, when patients with stage III R0 PDS were excluded from PAOLA-1 (to improve comparability with the PRIMA population). </w:t>
      </w:r>
      <w:r w:rsidR="00DC1076" w:rsidRPr="006F283B">
        <w:t xml:space="preserve">The PBAC noted that the HRD positive </w:t>
      </w:r>
      <w:r w:rsidR="001152C0" w:rsidRPr="001152C0">
        <w:rPr>
          <w:i/>
        </w:rPr>
        <w:t>BRCAwt</w:t>
      </w:r>
      <w:r w:rsidR="00DC1076" w:rsidRPr="006F283B">
        <w:t xml:space="preserve"> subgroups were relatively small in both PRIMA (n=150, compared to 733 in ITT population) and PAOLA-1 (n=152, compared to 806 in ITT population</w:t>
      </w:r>
      <w:r w:rsidR="002938BA" w:rsidRPr="006F283B">
        <w:t>, reduced to n=10</w:t>
      </w:r>
      <w:r w:rsidR="00600877">
        <w:t>1</w:t>
      </w:r>
      <w:r w:rsidR="002938BA" w:rsidRPr="006F283B">
        <w:t xml:space="preserve"> once patients with PDS Stage III R0 were excluded</w:t>
      </w:r>
      <w:r w:rsidR="00DC1076" w:rsidRPr="006F283B">
        <w:t>).</w:t>
      </w:r>
      <w:r w:rsidR="002938BA" w:rsidRPr="006F283B">
        <w:t xml:space="preserve"> </w:t>
      </w:r>
    </w:p>
    <w:p w14:paraId="42144472" w14:textId="6339B50F" w:rsidR="00E61BA8" w:rsidRPr="006F283B" w:rsidRDefault="006525DF" w:rsidP="00152220">
      <w:pPr>
        <w:pStyle w:val="ListParagraph"/>
        <w:spacing w:before="0" w:after="120"/>
        <w:rPr>
          <w:color w:val="auto"/>
        </w:rPr>
      </w:pPr>
      <w:r w:rsidRPr="006F283B">
        <w:t xml:space="preserve">The submission also presented a population adjusted indirect comparison (PAIC) of HRD positive patients from PRIMA and PAOLA-1 (Hettle 2021). </w:t>
      </w:r>
      <w:r w:rsidR="00C13A53" w:rsidRPr="006F283B">
        <w:t>In the PAIC</w:t>
      </w:r>
      <w:r w:rsidR="00E61BA8" w:rsidRPr="006F283B">
        <w:t xml:space="preserve"> </w:t>
      </w:r>
      <w:r w:rsidR="00C13A53" w:rsidRPr="006F283B">
        <w:t>there was a statistically significant difference in PF</w:t>
      </w:r>
      <w:r w:rsidR="0096032F">
        <w:t>S</w:t>
      </w:r>
      <w:r w:rsidR="00C13A53" w:rsidRPr="006F283B">
        <w:t xml:space="preserve"> HR favouring treatment with olaparib + bevacizumab versus niraparib (PFS HR 0.57, 95% CI: 0.41, 0.79)</w:t>
      </w:r>
      <w:r w:rsidR="00E61BA8" w:rsidRPr="006F283B">
        <w:t>. However,</w:t>
      </w:r>
      <w:r w:rsidR="00C13A53" w:rsidRPr="006F283B">
        <w:t xml:space="preserve"> the PBAC </w:t>
      </w:r>
      <w:r w:rsidR="00996E05" w:rsidRPr="006F283B">
        <w:t>considered</w:t>
      </w:r>
      <w:r w:rsidR="00C13A53" w:rsidRPr="006F283B">
        <w:t xml:space="preserve"> that </w:t>
      </w:r>
      <w:r w:rsidR="00E61BA8" w:rsidRPr="006F283B">
        <w:t xml:space="preserve">this analysis </w:t>
      </w:r>
      <w:r w:rsidR="00F0342E" w:rsidRPr="006F283B">
        <w:rPr>
          <w:color w:val="auto"/>
        </w:rPr>
        <w:t>had significant limitations as it</w:t>
      </w:r>
      <w:r w:rsidR="00996E05" w:rsidRPr="006F283B">
        <w:t xml:space="preserve"> </w:t>
      </w:r>
      <w:r w:rsidR="00E61BA8" w:rsidRPr="006F283B">
        <w:t xml:space="preserve">presented results for the </w:t>
      </w:r>
      <w:r w:rsidR="00F0342E" w:rsidRPr="006F283B">
        <w:t xml:space="preserve">overall </w:t>
      </w:r>
      <w:r w:rsidR="00E61BA8" w:rsidRPr="006F283B">
        <w:t xml:space="preserve">HRD positive population (including </w:t>
      </w:r>
      <w:r w:rsidR="001152C0" w:rsidRPr="001152C0">
        <w:rPr>
          <w:i/>
          <w:iCs/>
        </w:rPr>
        <w:t>BRCAm</w:t>
      </w:r>
      <w:r w:rsidR="00E61BA8" w:rsidRPr="006F283B">
        <w:t xml:space="preserve">) and </w:t>
      </w:r>
      <w:r w:rsidR="00C13A53" w:rsidRPr="006F283B">
        <w:t xml:space="preserve">outcomes for the control arms were </w:t>
      </w:r>
      <w:r w:rsidR="00F0342E" w:rsidRPr="006F283B">
        <w:t xml:space="preserve">substantially </w:t>
      </w:r>
      <w:r w:rsidR="00C13A53" w:rsidRPr="006F283B">
        <w:t>different</w:t>
      </w:r>
      <w:r w:rsidRPr="006F283B">
        <w:t>,</w:t>
      </w:r>
      <w:r w:rsidR="00C13A53" w:rsidRPr="006F283B">
        <w:t xml:space="preserve"> </w:t>
      </w:r>
      <w:r w:rsidR="00E61BA8" w:rsidRPr="006F283B">
        <w:t>suggesting it was</w:t>
      </w:r>
      <w:r w:rsidR="00B74764" w:rsidRPr="006F283B">
        <w:t xml:space="preserve"> unlikely </w:t>
      </w:r>
      <w:r w:rsidR="00675CD7" w:rsidRPr="006F283B">
        <w:t xml:space="preserve">to have adjusted for </w:t>
      </w:r>
      <w:r w:rsidR="00F0342E" w:rsidRPr="006F283B">
        <w:t xml:space="preserve">all </w:t>
      </w:r>
      <w:r w:rsidR="00B74764" w:rsidRPr="006F283B">
        <w:t>prognostic and effect modifiers</w:t>
      </w:r>
      <w:r w:rsidR="00C13A53" w:rsidRPr="006F283B">
        <w:t xml:space="preserve">. </w:t>
      </w:r>
    </w:p>
    <w:p w14:paraId="281F8963" w14:textId="5F1FB936" w:rsidR="00DC1076" w:rsidRPr="006F283B" w:rsidRDefault="002938BA" w:rsidP="00152220">
      <w:pPr>
        <w:pStyle w:val="ListParagraph"/>
        <w:spacing w:before="0" w:after="120"/>
        <w:rPr>
          <w:color w:val="auto"/>
        </w:rPr>
      </w:pPr>
      <w:bookmarkStart w:id="196" w:name="_Ref131159425"/>
      <w:r w:rsidRPr="006F283B">
        <w:rPr>
          <w:color w:val="auto"/>
        </w:rPr>
        <w:t xml:space="preserve">The PBAC considered that on balance, a conclusion of non-inferior efficacy for niraparib compared with olaparib was sufficiently supported by the evidence </w:t>
      </w:r>
      <w:r w:rsidRPr="006F283B">
        <w:rPr>
          <w:color w:val="auto"/>
        </w:rPr>
        <w:lastRenderedPageBreak/>
        <w:t>presented, despite the limitations of the comparison</w:t>
      </w:r>
      <w:r w:rsidR="00E61BA8" w:rsidRPr="006F283B">
        <w:rPr>
          <w:color w:val="auto"/>
        </w:rPr>
        <w:t>s</w:t>
      </w:r>
      <w:r w:rsidRPr="006F283B">
        <w:rPr>
          <w:color w:val="auto"/>
        </w:rPr>
        <w:t>. The PBAC noted this conclusion was consistent with its previous consideration in March 2022, in which a claim of non</w:t>
      </w:r>
      <w:r w:rsidRPr="006F283B">
        <w:rPr>
          <w:color w:val="auto"/>
        </w:rPr>
        <w:noBreakHyphen/>
        <w:t xml:space="preserve">inferior efficacy and safety was accepted for </w:t>
      </w:r>
      <w:r w:rsidRPr="006F283B">
        <w:t xml:space="preserve">niraparib compared with olaparib in </w:t>
      </w:r>
      <w:r w:rsidRPr="006F283B">
        <w:rPr>
          <w:color w:val="auto"/>
        </w:rPr>
        <w:t xml:space="preserve">the </w:t>
      </w:r>
      <w:r w:rsidR="001152C0" w:rsidRPr="001152C0">
        <w:rPr>
          <w:i/>
          <w:color w:val="auto"/>
        </w:rPr>
        <w:t>BRCAm</w:t>
      </w:r>
      <w:r w:rsidRPr="006F283B">
        <w:rPr>
          <w:color w:val="auto"/>
        </w:rPr>
        <w:t xml:space="preserve"> population</w:t>
      </w:r>
      <w:r w:rsidRPr="006F283B">
        <w:t xml:space="preserve"> (</w:t>
      </w:r>
      <w:r w:rsidR="00420A62" w:rsidRPr="006F283B">
        <w:t>p</w:t>
      </w:r>
      <w:r w:rsidRPr="006F283B">
        <w:t>aragraphs 7.8 and 7.9, niraparib PSD, March 2022</w:t>
      </w:r>
      <w:r w:rsidR="00420A62" w:rsidRPr="006F283B">
        <w:t xml:space="preserve"> PBAC meeting</w:t>
      </w:r>
      <w:r w:rsidRPr="006F283B">
        <w:t xml:space="preserve">). The PBAC considered there were </w:t>
      </w:r>
      <w:r w:rsidRPr="006F283B">
        <w:rPr>
          <w:color w:val="auto"/>
        </w:rPr>
        <w:t xml:space="preserve">no reliable data to suggest a different therapeutic conclusion in the </w:t>
      </w:r>
      <w:r w:rsidR="001152C0" w:rsidRPr="001152C0">
        <w:rPr>
          <w:i/>
          <w:color w:val="auto"/>
        </w:rPr>
        <w:t>BRCAm</w:t>
      </w:r>
      <w:r w:rsidRPr="006F283B">
        <w:rPr>
          <w:color w:val="auto"/>
        </w:rPr>
        <w:t xml:space="preserve"> HRDwt population.</w:t>
      </w:r>
      <w:bookmarkEnd w:id="196"/>
    </w:p>
    <w:p w14:paraId="1B2E32E2" w14:textId="6A6D98EA" w:rsidR="00F0342E" w:rsidRPr="002028E9" w:rsidRDefault="00F0342E" w:rsidP="00152220">
      <w:pPr>
        <w:pStyle w:val="ListParagraph"/>
        <w:spacing w:before="0" w:after="120"/>
        <w:rPr>
          <w:color w:val="auto"/>
        </w:rPr>
      </w:pPr>
      <w:r w:rsidRPr="002028E9">
        <w:rPr>
          <w:color w:val="auto"/>
        </w:rPr>
        <w:t xml:space="preserve">The PBAC noted that the PAIC also included comparison of safety outcomes between olaparib and niraparib, however the comparison was limited due to the use of bevacizumab in the olaparib trial. </w:t>
      </w:r>
      <w:r w:rsidR="00065DDD" w:rsidRPr="002028E9">
        <w:rPr>
          <w:color w:val="auto"/>
        </w:rPr>
        <w:t xml:space="preserve">The PBAC noted that there was an increase in grade 3-4 haematological adverse events with niraparib compared to olaparib, consistent with </w:t>
      </w:r>
      <w:r w:rsidR="00D95B3C" w:rsidRPr="002028E9">
        <w:rPr>
          <w:color w:val="auto"/>
        </w:rPr>
        <w:t xml:space="preserve">the comparison between </w:t>
      </w:r>
      <w:r w:rsidR="00AE0FB8" w:rsidRPr="002028E9">
        <w:rPr>
          <w:color w:val="auto"/>
        </w:rPr>
        <w:t>the PRIMA and SOLO-1 trials (in the ITT population)</w:t>
      </w:r>
      <w:r w:rsidR="00065DDD" w:rsidRPr="002028E9">
        <w:rPr>
          <w:color w:val="auto"/>
        </w:rPr>
        <w:t xml:space="preserve">. </w:t>
      </w:r>
      <w:r w:rsidRPr="002028E9">
        <w:rPr>
          <w:color w:val="auto"/>
        </w:rPr>
        <w:t>Overall, the PBAC considered that on balance, a conclusion of non-inferior safety for niraparib compared with olaparib was sufficiently supported by the evidence presented.</w:t>
      </w:r>
      <w:r w:rsidR="00AE0FB8" w:rsidRPr="002028E9">
        <w:rPr>
          <w:color w:val="auto"/>
        </w:rPr>
        <w:t xml:space="preserve"> </w:t>
      </w:r>
      <w:r w:rsidRPr="002028E9">
        <w:rPr>
          <w:color w:val="auto"/>
        </w:rPr>
        <w:t xml:space="preserve">The PBAC noted this conclusion was consistent with its previous consideration in March 2022, </w:t>
      </w:r>
      <w:r w:rsidR="00AE0FB8" w:rsidRPr="006F283B">
        <w:t>that “TEAEs for niraparib appeared to be generally manageable with dose interruptions and likely to be sufficiently similar for niraparib and olaparib”</w:t>
      </w:r>
      <w:r w:rsidR="00AE0FB8" w:rsidRPr="002028E9">
        <w:rPr>
          <w:color w:val="auto"/>
        </w:rPr>
        <w:t xml:space="preserve"> </w:t>
      </w:r>
      <w:r w:rsidRPr="006F283B">
        <w:t xml:space="preserve">in </w:t>
      </w:r>
      <w:r w:rsidRPr="002028E9">
        <w:rPr>
          <w:color w:val="auto"/>
        </w:rPr>
        <w:t xml:space="preserve">the </w:t>
      </w:r>
      <w:r w:rsidR="001152C0" w:rsidRPr="001152C0">
        <w:rPr>
          <w:i/>
          <w:color w:val="auto"/>
        </w:rPr>
        <w:t>BRCAm</w:t>
      </w:r>
      <w:r w:rsidRPr="002028E9">
        <w:rPr>
          <w:color w:val="auto"/>
        </w:rPr>
        <w:t xml:space="preserve"> population</w:t>
      </w:r>
      <w:r w:rsidRPr="006F283B">
        <w:t xml:space="preserve"> (</w:t>
      </w:r>
      <w:r w:rsidR="00AE0FB8" w:rsidRPr="006F283B">
        <w:t>p</w:t>
      </w:r>
      <w:r w:rsidRPr="006F283B">
        <w:t xml:space="preserve">ara 7.9, niraparib PSD, March 2022). The PBAC considered there were </w:t>
      </w:r>
      <w:r w:rsidRPr="002028E9">
        <w:rPr>
          <w:color w:val="auto"/>
        </w:rPr>
        <w:t xml:space="preserve">no reliable data to suggest a different therapeutic conclusion in the </w:t>
      </w:r>
      <w:r w:rsidR="001152C0" w:rsidRPr="001152C0">
        <w:rPr>
          <w:i/>
          <w:color w:val="auto"/>
        </w:rPr>
        <w:t>BRCAm</w:t>
      </w:r>
      <w:r w:rsidR="002028E9" w:rsidRPr="002028E9">
        <w:rPr>
          <w:color w:val="auto"/>
        </w:rPr>
        <w:t xml:space="preserve"> population compared with the</w:t>
      </w:r>
      <w:r w:rsidRPr="002028E9">
        <w:rPr>
          <w:color w:val="auto"/>
        </w:rPr>
        <w:t xml:space="preserve"> </w:t>
      </w:r>
      <w:r w:rsidR="002028E9" w:rsidRPr="002028E9">
        <w:rPr>
          <w:iCs/>
        </w:rPr>
        <w:t xml:space="preserve">HRD positive </w:t>
      </w:r>
      <w:r w:rsidR="001152C0" w:rsidRPr="001152C0">
        <w:rPr>
          <w:i/>
          <w:iCs/>
        </w:rPr>
        <w:t>BRCAwt</w:t>
      </w:r>
      <w:r w:rsidR="008E34C5">
        <w:rPr>
          <w:iCs/>
        </w:rPr>
        <w:t xml:space="preserve"> </w:t>
      </w:r>
      <w:r w:rsidRPr="002028E9">
        <w:rPr>
          <w:color w:val="auto"/>
        </w:rPr>
        <w:t>population.</w:t>
      </w:r>
    </w:p>
    <w:p w14:paraId="338F7909" w14:textId="140634B6" w:rsidR="00CE40D7" w:rsidRPr="006F283B" w:rsidRDefault="00CE40D7" w:rsidP="00152220">
      <w:pPr>
        <w:pStyle w:val="ListParagraph"/>
        <w:spacing w:before="0" w:after="120"/>
      </w:pPr>
      <w:r w:rsidRPr="006F283B">
        <w:rPr>
          <w:color w:val="auto"/>
        </w:rPr>
        <w:t>The submission presented a modelled economic evaluation</w:t>
      </w:r>
      <w:r w:rsidR="00AE0FB8" w:rsidRPr="006F283B">
        <w:t xml:space="preserve"> (cost utility analysis (CUA))</w:t>
      </w:r>
      <w:r w:rsidRPr="006F283B">
        <w:rPr>
          <w:color w:val="auto"/>
        </w:rPr>
        <w:t xml:space="preserve">, based on subgroup results from PRIMA. </w:t>
      </w:r>
      <w:r w:rsidR="0026436A" w:rsidRPr="006F283B">
        <w:t xml:space="preserve">The submission stated that as there was an absence of mature OS data for PRIMA, data from </w:t>
      </w:r>
      <w:r w:rsidR="00AE0FB8" w:rsidRPr="006F283B">
        <w:t>the</w:t>
      </w:r>
      <w:r w:rsidR="0026436A" w:rsidRPr="006F283B">
        <w:t xml:space="preserve"> olaparib trial </w:t>
      </w:r>
      <w:r w:rsidR="00AE0FB8" w:rsidRPr="006F283B">
        <w:t xml:space="preserve">(SOLO-1) </w:t>
      </w:r>
      <w:r w:rsidR="0026436A" w:rsidRPr="006F283B">
        <w:t xml:space="preserve">in the </w:t>
      </w:r>
      <w:r w:rsidR="001152C0" w:rsidRPr="001152C0">
        <w:rPr>
          <w:i/>
          <w:iCs/>
        </w:rPr>
        <w:t>BRCAm</w:t>
      </w:r>
      <w:r w:rsidR="0026436A" w:rsidRPr="006F283B">
        <w:t xml:space="preserve"> population were used in the estimation of OS for the niraparib arm, while PRIMA OS data were used for the SMM arm. </w:t>
      </w:r>
      <w:r w:rsidRPr="006F283B">
        <w:t>In addition to the CUA, a cost minimisation approach (CMA) for niraparib versus the near-market comparator olaparib was presented for the scenario where a positive PBAC recommendation for olaparib was received.</w:t>
      </w:r>
    </w:p>
    <w:p w14:paraId="6302817B" w14:textId="2F9D6424" w:rsidR="00FD36E6" w:rsidRPr="006F283B" w:rsidRDefault="00FD36E6" w:rsidP="00152220">
      <w:pPr>
        <w:pStyle w:val="ListParagraph"/>
        <w:spacing w:before="0" w:after="120"/>
        <w:rPr>
          <w:iCs/>
          <w:color w:val="auto"/>
        </w:rPr>
      </w:pPr>
      <w:bookmarkStart w:id="197" w:name="_Ref130507169"/>
      <w:r w:rsidRPr="006F283B">
        <w:rPr>
          <w:iCs/>
          <w:color w:val="auto"/>
        </w:rPr>
        <w:t xml:space="preserve">The </w:t>
      </w:r>
      <w:r w:rsidRPr="006F283B">
        <w:rPr>
          <w:iCs/>
        </w:rPr>
        <w:t xml:space="preserve">PBAC considered that the </w:t>
      </w:r>
      <w:r w:rsidR="00CE40D7" w:rsidRPr="006F283B">
        <w:rPr>
          <w:iCs/>
        </w:rPr>
        <w:t xml:space="preserve">CUA </w:t>
      </w:r>
      <w:r w:rsidRPr="006F283B">
        <w:rPr>
          <w:iCs/>
        </w:rPr>
        <w:t>was not reliable for decision-making. In particular</w:t>
      </w:r>
      <w:r w:rsidR="00AE0FB8" w:rsidRPr="006F283B">
        <w:rPr>
          <w:iCs/>
        </w:rPr>
        <w:t>,</w:t>
      </w:r>
      <w:r w:rsidRPr="006F283B">
        <w:rPr>
          <w:iCs/>
        </w:rPr>
        <w:t xml:space="preserve"> the method of estimating OS in the niraparib arm based on results from the olaparib SOLO-1 trial (</w:t>
      </w:r>
      <w:r w:rsidR="001152C0" w:rsidRPr="001152C0">
        <w:rPr>
          <w:i/>
          <w:iCs/>
        </w:rPr>
        <w:t>BRCAm</w:t>
      </w:r>
      <w:r w:rsidRPr="006F283B">
        <w:rPr>
          <w:iCs/>
        </w:rPr>
        <w:t xml:space="preserve"> population)</w:t>
      </w:r>
      <w:r w:rsidR="00C14BF7" w:rsidRPr="006F283B">
        <w:rPr>
          <w:iCs/>
        </w:rPr>
        <w:t xml:space="preserve"> </w:t>
      </w:r>
      <w:r w:rsidRPr="006F283B">
        <w:rPr>
          <w:iCs/>
        </w:rPr>
        <w:t>introduced a high degree of uncertainty (</w:t>
      </w:r>
      <w:r w:rsidR="00CE40D7" w:rsidRPr="006F283B">
        <w:rPr>
          <w:iCs/>
        </w:rPr>
        <w:t xml:space="preserve">paragraph </w:t>
      </w:r>
      <w:r w:rsidR="00CE40D7" w:rsidRPr="006F283B">
        <w:rPr>
          <w:iCs/>
        </w:rPr>
        <w:fldChar w:fldCharType="begin" w:fldLock="1"/>
      </w:r>
      <w:r w:rsidR="00CE40D7" w:rsidRPr="006F283B">
        <w:rPr>
          <w:iCs/>
        </w:rPr>
        <w:instrText xml:space="preserve"> REF _Ref121208485 \r \h </w:instrText>
      </w:r>
      <w:r w:rsidR="00CE40D7" w:rsidRPr="006F283B">
        <w:rPr>
          <w:iCs/>
        </w:rPr>
      </w:r>
      <w:r w:rsidR="00CE40D7" w:rsidRPr="006F283B">
        <w:rPr>
          <w:iCs/>
        </w:rPr>
        <w:fldChar w:fldCharType="separate"/>
      </w:r>
      <w:r w:rsidR="00305654">
        <w:rPr>
          <w:iCs/>
        </w:rPr>
        <w:t>6.66</w:t>
      </w:r>
      <w:r w:rsidR="00CE40D7" w:rsidRPr="006F283B">
        <w:rPr>
          <w:iCs/>
        </w:rPr>
        <w:fldChar w:fldCharType="end"/>
      </w:r>
      <w:r w:rsidRPr="006F283B">
        <w:rPr>
          <w:iCs/>
        </w:rPr>
        <w:t xml:space="preserve">). The PBAC considered this method was likely to be unreliable since it assumes that the ratio of a single measure of PFS and OS from a different trial of a different drug in a different biomarker population would apply to niraparib. In the base case, the model estimated </w:t>
      </w:r>
      <w:r w:rsidR="00410EDB" w:rsidRPr="006F283B">
        <w:rPr>
          <w:iCs/>
        </w:rPr>
        <w:t>1.27</w:t>
      </w:r>
      <w:r w:rsidRPr="006F283B">
        <w:rPr>
          <w:iCs/>
        </w:rPr>
        <w:t xml:space="preserve"> life year</w:t>
      </w:r>
      <w:r w:rsidR="00410EDB" w:rsidRPr="006F283B">
        <w:rPr>
          <w:iCs/>
        </w:rPr>
        <w:t>s</w:t>
      </w:r>
      <w:r w:rsidRPr="006F283B">
        <w:rPr>
          <w:iCs/>
        </w:rPr>
        <w:t xml:space="preserve"> gain</w:t>
      </w:r>
      <w:r w:rsidR="00410EDB" w:rsidRPr="006F283B">
        <w:rPr>
          <w:iCs/>
        </w:rPr>
        <w:t>ed</w:t>
      </w:r>
      <w:r w:rsidRPr="006F283B">
        <w:rPr>
          <w:iCs/>
        </w:rPr>
        <w:t xml:space="preserve"> (LYG</w:t>
      </w:r>
      <w:r w:rsidR="00410EDB" w:rsidRPr="006F283B">
        <w:rPr>
          <w:iCs/>
        </w:rPr>
        <w:t>, undiscounted</w:t>
      </w:r>
      <w:r w:rsidRPr="006F283B">
        <w:rPr>
          <w:iCs/>
        </w:rPr>
        <w:t xml:space="preserve">) even though </w:t>
      </w:r>
      <w:r w:rsidR="000F422A" w:rsidRPr="006F283B">
        <w:rPr>
          <w:iCs/>
        </w:rPr>
        <w:t xml:space="preserve">PRIMA had not demonstrated a significant improvement in </w:t>
      </w:r>
      <w:r w:rsidRPr="006F283B">
        <w:rPr>
          <w:iCs/>
        </w:rPr>
        <w:t xml:space="preserve">OS in HRD positive </w:t>
      </w:r>
      <w:r w:rsidR="001152C0" w:rsidRPr="001152C0">
        <w:rPr>
          <w:i/>
          <w:iCs/>
        </w:rPr>
        <w:t>BRCAwt</w:t>
      </w:r>
      <w:r w:rsidRPr="006F283B">
        <w:rPr>
          <w:iCs/>
        </w:rPr>
        <w:t xml:space="preserve"> patients (</w:t>
      </w:r>
      <w:r w:rsidR="000F422A" w:rsidRPr="006F283B">
        <w:rPr>
          <w:iCs/>
        </w:rPr>
        <w:fldChar w:fldCharType="begin" w:fldLock="1"/>
      </w:r>
      <w:r w:rsidR="000F422A" w:rsidRPr="006F283B">
        <w:rPr>
          <w:iCs/>
        </w:rPr>
        <w:instrText xml:space="preserve"> REF _Ref130549260 \h </w:instrText>
      </w:r>
      <w:r w:rsidR="000F422A" w:rsidRPr="006F283B">
        <w:rPr>
          <w:iCs/>
        </w:rPr>
      </w:r>
      <w:r w:rsidR="000F422A" w:rsidRPr="006F283B">
        <w:rPr>
          <w:iCs/>
        </w:rPr>
        <w:fldChar w:fldCharType="separate"/>
      </w:r>
      <w:r w:rsidR="00305654" w:rsidRPr="006F283B">
        <w:t xml:space="preserve">Table </w:t>
      </w:r>
      <w:r w:rsidR="00305654">
        <w:rPr>
          <w:noProof/>
        </w:rPr>
        <w:t>8</w:t>
      </w:r>
      <w:r w:rsidR="000F422A" w:rsidRPr="006F283B">
        <w:rPr>
          <w:iCs/>
        </w:rPr>
        <w:fldChar w:fldCharType="end"/>
      </w:r>
      <w:r w:rsidRPr="006F283B">
        <w:rPr>
          <w:iCs/>
        </w:rPr>
        <w:t>).</w:t>
      </w:r>
      <w:bookmarkEnd w:id="197"/>
    </w:p>
    <w:p w14:paraId="707EEA8C" w14:textId="0EB04159" w:rsidR="00FD36E6" w:rsidRPr="006F283B" w:rsidRDefault="00FD36E6" w:rsidP="00152220">
      <w:pPr>
        <w:pStyle w:val="ListParagraph"/>
        <w:spacing w:before="0" w:after="120"/>
      </w:pPr>
      <w:r w:rsidRPr="006F283B">
        <w:t xml:space="preserve">The PBAC noted that the base case ICER was </w:t>
      </w:r>
      <w:r w:rsidR="00DC3D7E" w:rsidRPr="00DC3D7E">
        <w:t>$55,000 to &lt; $75,000</w:t>
      </w:r>
      <w:r w:rsidRPr="006F283B">
        <w:t xml:space="preserve">/QALY (after correction during the evaluation). </w:t>
      </w:r>
      <w:r w:rsidR="00DA1692">
        <w:t>T</w:t>
      </w:r>
      <w:r w:rsidRPr="006F283B">
        <w:t>he PSCR provided a revised base case</w:t>
      </w:r>
      <w:r w:rsidRPr="006F283B">
        <w:rPr>
          <w:iCs/>
        </w:rPr>
        <w:t xml:space="preserve">, which accepted the revisions raised in the commentary and made additional changes based on the early re-entry criteria for olaparib, which reduced the ICER from </w:t>
      </w:r>
      <w:r w:rsidR="00DC3D7E" w:rsidRPr="00DC3D7E">
        <w:rPr>
          <w:iCs/>
        </w:rPr>
        <w:t>$55,000 to &lt; $75,000</w:t>
      </w:r>
      <w:r w:rsidRPr="006F283B">
        <w:rPr>
          <w:iCs/>
        </w:rPr>
        <w:t xml:space="preserve">/QALY to </w:t>
      </w:r>
      <w:r w:rsidR="00DC3D7E" w:rsidRPr="00DC3D7E">
        <w:rPr>
          <w:iCs/>
        </w:rPr>
        <w:t>$55,000 to &lt; $75,000</w:t>
      </w:r>
      <w:r w:rsidRPr="006F283B">
        <w:rPr>
          <w:iCs/>
        </w:rPr>
        <w:t xml:space="preserve">/QALY. The PSCR proposed a </w:t>
      </w:r>
      <w:r w:rsidRPr="006F283B">
        <w:rPr>
          <w:iCs/>
        </w:rPr>
        <w:lastRenderedPageBreak/>
        <w:t xml:space="preserve">reduction in the niraparib effective </w:t>
      </w:r>
      <w:r w:rsidR="006375B5" w:rsidRPr="006F283B">
        <w:rPr>
          <w:iCs/>
        </w:rPr>
        <w:t xml:space="preserve">AEMP </w:t>
      </w:r>
      <w:r w:rsidRPr="006F283B">
        <w:rPr>
          <w:iCs/>
        </w:rPr>
        <w:t>from $</w:t>
      </w:r>
      <w:proofErr w:type="gramStart"/>
      <w:r w:rsidR="00093050" w:rsidRPr="00091054">
        <w:rPr>
          <w:iCs/>
          <w:w w:val="15"/>
          <w:shd w:val="solid" w:color="000000" w:fill="000000"/>
          <w:fitText w:val="-20" w:id="-1233480950"/>
          <w14:textFill>
            <w14:solidFill>
              <w14:schemeClr w14:val="tx1">
                <w14:alpha w14:val="100000"/>
              </w14:schemeClr>
            </w14:solidFill>
          </w14:textFill>
        </w:rPr>
        <w:t xml:space="preserve">|  </w:t>
      </w:r>
      <w:r w:rsidR="00093050" w:rsidRPr="00091054">
        <w:rPr>
          <w:iCs/>
          <w:spacing w:val="-69"/>
          <w:w w:val="15"/>
          <w:shd w:val="solid" w:color="000000" w:fill="000000"/>
          <w:fitText w:val="-20" w:id="-1233480950"/>
          <w14:textFill>
            <w14:solidFill>
              <w14:schemeClr w14:val="tx1">
                <w14:alpha w14:val="100000"/>
              </w14:schemeClr>
            </w14:solidFill>
          </w14:textFill>
        </w:rPr>
        <w:t>|</w:t>
      </w:r>
      <w:proofErr w:type="gramEnd"/>
      <w:r w:rsidRPr="006F283B">
        <w:rPr>
          <w:iCs/>
        </w:rPr>
        <w:t xml:space="preserve"> to $</w:t>
      </w:r>
      <w:r w:rsidR="00093050" w:rsidRPr="00091054">
        <w:rPr>
          <w:iCs/>
          <w:w w:val="15"/>
          <w:shd w:val="solid" w:color="000000" w:fill="000000"/>
          <w:fitText w:val="-20" w:id="-1233480949"/>
          <w14:textFill>
            <w14:solidFill>
              <w14:schemeClr w14:val="tx1">
                <w14:alpha w14:val="100000"/>
              </w14:schemeClr>
            </w14:solidFill>
          </w14:textFill>
        </w:rPr>
        <w:t xml:space="preserve">|  </w:t>
      </w:r>
      <w:r w:rsidR="00093050" w:rsidRPr="00091054">
        <w:rPr>
          <w:iCs/>
          <w:spacing w:val="-69"/>
          <w:w w:val="15"/>
          <w:shd w:val="solid" w:color="000000" w:fill="000000"/>
          <w:fitText w:val="-20" w:id="-1233480949"/>
          <w14:textFill>
            <w14:solidFill>
              <w14:schemeClr w14:val="tx1">
                <w14:alpha w14:val="100000"/>
              </w14:schemeClr>
            </w14:solidFill>
          </w14:textFill>
        </w:rPr>
        <w:t>|</w:t>
      </w:r>
      <w:r w:rsidRPr="006F283B">
        <w:rPr>
          <w:iCs/>
        </w:rPr>
        <w:t xml:space="preserve"> per 56 capsules for the HRD positive </w:t>
      </w:r>
      <w:r w:rsidR="001152C0" w:rsidRPr="001152C0">
        <w:rPr>
          <w:i/>
          <w:iCs/>
        </w:rPr>
        <w:t>BRCAwt</w:t>
      </w:r>
      <w:r w:rsidRPr="006F283B">
        <w:rPr>
          <w:iCs/>
        </w:rPr>
        <w:t xml:space="preserve"> cohort </w:t>
      </w:r>
      <w:r w:rsidR="00C14BF7" w:rsidRPr="006F283B">
        <w:rPr>
          <w:iCs/>
        </w:rPr>
        <w:t>which reduced the</w:t>
      </w:r>
      <w:r w:rsidRPr="006F283B">
        <w:rPr>
          <w:iCs/>
        </w:rPr>
        <w:t xml:space="preserve"> ICER </w:t>
      </w:r>
      <w:r w:rsidR="00C14BF7" w:rsidRPr="006F283B">
        <w:rPr>
          <w:iCs/>
        </w:rPr>
        <w:t>to</w:t>
      </w:r>
      <w:r w:rsidRPr="006F283B">
        <w:rPr>
          <w:iCs/>
        </w:rPr>
        <w:t xml:space="preserve"> </w:t>
      </w:r>
      <w:r w:rsidR="00DC3D7E" w:rsidRPr="00DC3D7E">
        <w:rPr>
          <w:iCs/>
        </w:rPr>
        <w:t>$45,000 to &lt; $55,000</w:t>
      </w:r>
      <w:r w:rsidRPr="006F283B">
        <w:rPr>
          <w:iCs/>
        </w:rPr>
        <w:t xml:space="preserve">/QALY (paragraph </w:t>
      </w:r>
      <w:r w:rsidRPr="006F283B">
        <w:rPr>
          <w:iCs/>
        </w:rPr>
        <w:fldChar w:fldCharType="begin" w:fldLock="1"/>
      </w:r>
      <w:r w:rsidRPr="006F283B">
        <w:rPr>
          <w:iCs/>
        </w:rPr>
        <w:instrText xml:space="preserve"> REF _Ref130504955 \r \h </w:instrText>
      </w:r>
      <w:r w:rsidRPr="006F283B">
        <w:rPr>
          <w:iCs/>
        </w:rPr>
      </w:r>
      <w:r w:rsidRPr="006F283B">
        <w:rPr>
          <w:iCs/>
        </w:rPr>
        <w:fldChar w:fldCharType="separate"/>
      </w:r>
      <w:r w:rsidR="00305654">
        <w:rPr>
          <w:iCs/>
        </w:rPr>
        <w:t>6.85</w:t>
      </w:r>
      <w:r w:rsidRPr="006F283B">
        <w:rPr>
          <w:iCs/>
        </w:rPr>
        <w:fldChar w:fldCharType="end"/>
      </w:r>
      <w:r w:rsidRPr="006F283B">
        <w:rPr>
          <w:iCs/>
        </w:rPr>
        <w:t xml:space="preserve">). </w:t>
      </w:r>
      <w:r w:rsidR="00EE67CE" w:rsidRPr="006F283B">
        <w:rPr>
          <w:iCs/>
        </w:rPr>
        <w:t>T</w:t>
      </w:r>
      <w:r w:rsidRPr="006F283B">
        <w:rPr>
          <w:iCs/>
        </w:rPr>
        <w:t>he PBAC noted that several issues relating to the economic evaluation remained unresolved</w:t>
      </w:r>
      <w:r w:rsidR="00EE67CE" w:rsidRPr="006F283B">
        <w:rPr>
          <w:iCs/>
        </w:rPr>
        <w:t xml:space="preserve"> for the PSCR base case</w:t>
      </w:r>
      <w:r w:rsidRPr="006F283B">
        <w:rPr>
          <w:iCs/>
        </w:rPr>
        <w:t xml:space="preserve">, such as derivation of OS HR (see paragraph </w:t>
      </w:r>
      <w:r w:rsidRPr="006F283B">
        <w:rPr>
          <w:iCs/>
        </w:rPr>
        <w:fldChar w:fldCharType="begin" w:fldLock="1"/>
      </w:r>
      <w:r w:rsidRPr="006F283B">
        <w:rPr>
          <w:iCs/>
        </w:rPr>
        <w:instrText xml:space="preserve"> REF _Ref130507169 \r \h </w:instrText>
      </w:r>
      <w:r w:rsidRPr="006F283B">
        <w:rPr>
          <w:iCs/>
        </w:rPr>
      </w:r>
      <w:r w:rsidRPr="006F283B">
        <w:rPr>
          <w:iCs/>
        </w:rPr>
        <w:fldChar w:fldCharType="separate"/>
      </w:r>
      <w:r w:rsidR="00305654">
        <w:rPr>
          <w:iCs/>
        </w:rPr>
        <w:t>7.15</w:t>
      </w:r>
      <w:r w:rsidRPr="006F283B">
        <w:rPr>
          <w:iCs/>
        </w:rPr>
        <w:fldChar w:fldCharType="end"/>
      </w:r>
      <w:r w:rsidRPr="006F283B">
        <w:rPr>
          <w:iCs/>
        </w:rPr>
        <w:t xml:space="preserve">), source of utility values, omission of disutility for AE, time horizon, assumption of benefit in HRD negative patients (paragraph </w:t>
      </w:r>
      <w:r w:rsidRPr="006F283B">
        <w:rPr>
          <w:iCs/>
        </w:rPr>
        <w:fldChar w:fldCharType="begin" w:fldLock="1"/>
      </w:r>
      <w:r w:rsidRPr="006F283B">
        <w:rPr>
          <w:iCs/>
        </w:rPr>
        <w:instrText xml:space="preserve"> REF _Ref130505111 \r \h </w:instrText>
      </w:r>
      <w:r w:rsidRPr="006F283B">
        <w:rPr>
          <w:iCs/>
        </w:rPr>
      </w:r>
      <w:r w:rsidRPr="006F283B">
        <w:rPr>
          <w:iCs/>
        </w:rPr>
        <w:fldChar w:fldCharType="separate"/>
      </w:r>
      <w:r w:rsidR="00305654">
        <w:rPr>
          <w:iCs/>
        </w:rPr>
        <w:t>6.86</w:t>
      </w:r>
      <w:r w:rsidRPr="006F283B">
        <w:rPr>
          <w:iCs/>
        </w:rPr>
        <w:fldChar w:fldCharType="end"/>
      </w:r>
      <w:r w:rsidRPr="006F283B">
        <w:rPr>
          <w:iCs/>
        </w:rPr>
        <w:t xml:space="preserve">). </w:t>
      </w:r>
      <w:r w:rsidRPr="006F283B">
        <w:t xml:space="preserve">The PBAC </w:t>
      </w:r>
      <w:r w:rsidR="00C14BF7" w:rsidRPr="006F283B">
        <w:t xml:space="preserve">also </w:t>
      </w:r>
      <w:r w:rsidRPr="006F283B">
        <w:t xml:space="preserve">noted that the median </w:t>
      </w:r>
      <w:proofErr w:type="gramStart"/>
      <w:r w:rsidRPr="006F283B">
        <w:t>follow</w:t>
      </w:r>
      <w:proofErr w:type="gramEnd"/>
      <w:r w:rsidRPr="006F283B">
        <w:t xml:space="preserve"> up for the olaparib trial was considerably longer at the time of PBAC consideration than for PRIMA (</w:t>
      </w:r>
      <w:r w:rsidR="00DC3D7E" w:rsidRPr="006F283B">
        <w:t>38</w:t>
      </w:r>
      <w:r w:rsidR="00DC3D7E">
        <w:t> </w:t>
      </w:r>
      <w:r w:rsidRPr="006F283B">
        <w:t>months in PAOLA-1 compared with 13-15 months in PRIMA)</w:t>
      </w:r>
      <w:r w:rsidR="00E97C3A" w:rsidRPr="006F283B">
        <w:t>, making the modelled outcomes for niraparib more uncertain</w:t>
      </w:r>
      <w:r w:rsidRPr="006F283B">
        <w:t>.</w:t>
      </w:r>
    </w:p>
    <w:p w14:paraId="7998985F" w14:textId="7B0905D4" w:rsidR="00E9463E" w:rsidRPr="006F283B" w:rsidRDefault="00E9463E" w:rsidP="00152220">
      <w:pPr>
        <w:pStyle w:val="ListParagraph"/>
        <w:spacing w:before="0" w:after="120"/>
        <w:rPr>
          <w:color w:val="auto"/>
        </w:rPr>
      </w:pPr>
      <w:bookmarkStart w:id="198" w:name="_Ref131160885"/>
      <w:r w:rsidRPr="00A84CC5">
        <w:rPr>
          <w:rFonts w:cs="Arial"/>
          <w:snapToGrid w:val="0"/>
        </w:rPr>
        <w:t>While noting the limitations of the evidence available to support the non-inferiority claim (paragraph</w:t>
      </w:r>
      <w:r w:rsidR="00C14BF7" w:rsidRPr="00A84CC5">
        <w:rPr>
          <w:rFonts w:cs="Arial"/>
          <w:snapToGrid w:val="0"/>
        </w:rPr>
        <w:t xml:space="preserve"> </w:t>
      </w:r>
      <w:r w:rsidR="00C14BF7" w:rsidRPr="00A84CC5">
        <w:rPr>
          <w:rFonts w:cs="Arial"/>
          <w:snapToGrid w:val="0"/>
        </w:rPr>
        <w:fldChar w:fldCharType="begin" w:fldLock="1"/>
      </w:r>
      <w:r w:rsidR="00C14BF7" w:rsidRPr="00A84CC5">
        <w:rPr>
          <w:rFonts w:cs="Arial"/>
          <w:snapToGrid w:val="0"/>
        </w:rPr>
        <w:instrText xml:space="preserve"> REF _Ref131159425 \r \h </w:instrText>
      </w:r>
      <w:r w:rsidR="00C14BF7" w:rsidRPr="00A84CC5">
        <w:rPr>
          <w:rFonts w:cs="Arial"/>
          <w:snapToGrid w:val="0"/>
        </w:rPr>
      </w:r>
      <w:r w:rsidR="00C14BF7" w:rsidRPr="00A84CC5">
        <w:rPr>
          <w:rFonts w:cs="Arial"/>
          <w:snapToGrid w:val="0"/>
        </w:rPr>
        <w:fldChar w:fldCharType="separate"/>
      </w:r>
      <w:r w:rsidR="00305654">
        <w:rPr>
          <w:rFonts w:cs="Arial"/>
          <w:snapToGrid w:val="0"/>
        </w:rPr>
        <w:t>7.12</w:t>
      </w:r>
      <w:r w:rsidR="00C14BF7" w:rsidRPr="00A84CC5">
        <w:rPr>
          <w:rFonts w:cs="Arial"/>
          <w:snapToGrid w:val="0"/>
        </w:rPr>
        <w:fldChar w:fldCharType="end"/>
      </w:r>
      <w:r w:rsidRPr="00A84CC5">
        <w:rPr>
          <w:rFonts w:cs="Arial"/>
          <w:snapToGrid w:val="0"/>
        </w:rPr>
        <w:t>), t</w:t>
      </w:r>
      <w:r w:rsidRPr="006F283B">
        <w:t>he PBAC considered that</w:t>
      </w:r>
      <w:r w:rsidRPr="006F283B">
        <w:rPr>
          <w:lang w:eastAsia="en-AU"/>
        </w:rPr>
        <w:t xml:space="preserve"> a </w:t>
      </w:r>
      <w:r w:rsidRPr="006F283B">
        <w:t xml:space="preserve">cost minimisation approach (CMA) could be supported for niraparib versus olaparib </w:t>
      </w:r>
      <w:r w:rsidR="00CE7A98" w:rsidRPr="006F283B">
        <w:rPr>
          <w:lang w:eastAsia="en-AU"/>
        </w:rPr>
        <w:t xml:space="preserve">for </w:t>
      </w:r>
      <w:r w:rsidRPr="006F283B">
        <w:rPr>
          <w:lang w:eastAsia="en-AU"/>
        </w:rPr>
        <w:t xml:space="preserve">HRD positive </w:t>
      </w:r>
      <w:r w:rsidR="001152C0" w:rsidRPr="00A84CC5">
        <w:rPr>
          <w:i/>
          <w:lang w:eastAsia="en-AU"/>
        </w:rPr>
        <w:t>BRCAwt</w:t>
      </w:r>
      <w:r w:rsidRPr="006F283B">
        <w:rPr>
          <w:lang w:eastAsia="en-AU"/>
        </w:rPr>
        <w:t xml:space="preserve"> </w:t>
      </w:r>
      <w:r w:rsidR="00CE7A98" w:rsidRPr="006F283B">
        <w:rPr>
          <w:lang w:eastAsia="en-AU"/>
        </w:rPr>
        <w:t xml:space="preserve">disease </w:t>
      </w:r>
      <w:r w:rsidR="005C0647" w:rsidRPr="006F283B">
        <w:rPr>
          <w:lang w:eastAsia="en-AU"/>
        </w:rPr>
        <w:t xml:space="preserve">in the event that olaparib is listed on the PBS for patients with </w:t>
      </w:r>
      <w:r w:rsidR="007B562D">
        <w:rPr>
          <w:lang w:eastAsia="en-AU"/>
        </w:rPr>
        <w:t>HRD positive</w:t>
      </w:r>
      <w:r w:rsidR="005C0647" w:rsidRPr="006F283B">
        <w:rPr>
          <w:lang w:eastAsia="en-AU"/>
        </w:rPr>
        <w:t xml:space="preserve"> </w:t>
      </w:r>
      <w:r w:rsidR="001152C0" w:rsidRPr="00A84CC5">
        <w:rPr>
          <w:i/>
          <w:lang w:eastAsia="en-AU"/>
        </w:rPr>
        <w:t>BRCAwt</w:t>
      </w:r>
      <w:r w:rsidR="005C0647" w:rsidRPr="006F283B">
        <w:rPr>
          <w:lang w:eastAsia="en-AU"/>
        </w:rPr>
        <w:t xml:space="preserve"> ovarian cancer. </w:t>
      </w:r>
      <w:r w:rsidRPr="00644A27">
        <w:rPr>
          <w:rFonts w:cs="Arial"/>
          <w:snapToGrid w:val="0"/>
        </w:rPr>
        <w:t xml:space="preserve">The </w:t>
      </w:r>
      <w:r w:rsidR="00ED4122" w:rsidRPr="00644A27">
        <w:rPr>
          <w:rFonts w:cs="Arial"/>
          <w:snapToGrid w:val="0"/>
        </w:rPr>
        <w:t>submission</w:t>
      </w:r>
      <w:r w:rsidR="00ED4122" w:rsidRPr="00A84CC5">
        <w:rPr>
          <w:rFonts w:cs="Arial"/>
          <w:snapToGrid w:val="0"/>
        </w:rPr>
        <w:t xml:space="preserve"> estimated the </w:t>
      </w:r>
      <w:r w:rsidRPr="00A84CC5">
        <w:rPr>
          <w:rFonts w:cs="Arial"/>
          <w:snapToGrid w:val="0"/>
        </w:rPr>
        <w:t>equi-effective doses as niraparib 162.1</w:t>
      </w:r>
      <w:r w:rsidR="008332D0">
        <w:rPr>
          <w:rFonts w:cs="Arial"/>
          <w:snapToGrid w:val="0"/>
        </w:rPr>
        <w:t> </w:t>
      </w:r>
      <w:r w:rsidRPr="00A84CC5">
        <w:rPr>
          <w:rFonts w:cs="Arial"/>
          <w:snapToGrid w:val="0"/>
        </w:rPr>
        <w:t xml:space="preserve">mg/day for </w:t>
      </w:r>
      <w:r w:rsidR="009967E3" w:rsidRPr="00A84CC5">
        <w:rPr>
          <w:rFonts w:cs="Arial"/>
          <w:snapToGrid w:val="0"/>
        </w:rPr>
        <w:t xml:space="preserve">16.87 </w:t>
      </w:r>
      <w:r w:rsidRPr="00A84CC5">
        <w:rPr>
          <w:rFonts w:cs="Arial"/>
          <w:snapToGrid w:val="0"/>
        </w:rPr>
        <w:t>months and a fixed daily cost of any olaparib daily dose (600</w:t>
      </w:r>
      <w:r w:rsidR="008332D0">
        <w:rPr>
          <w:rFonts w:cs="Arial"/>
          <w:snapToGrid w:val="0"/>
        </w:rPr>
        <w:t> </w:t>
      </w:r>
      <w:r w:rsidRPr="00A84CC5">
        <w:rPr>
          <w:rFonts w:cs="Arial"/>
          <w:snapToGrid w:val="0"/>
        </w:rPr>
        <w:t xml:space="preserve">mg/day, 500 mg/day or 400 mg/day) for </w:t>
      </w:r>
      <w:r w:rsidR="009967E3" w:rsidRPr="00A84CC5">
        <w:rPr>
          <w:rFonts w:cs="Arial"/>
          <w:snapToGrid w:val="0"/>
        </w:rPr>
        <w:t>15.66</w:t>
      </w:r>
      <w:r w:rsidRPr="00A84CC5">
        <w:rPr>
          <w:rFonts w:cs="Arial"/>
          <w:snapToGrid w:val="0"/>
        </w:rPr>
        <w:t xml:space="preserve"> months at 9</w:t>
      </w:r>
      <w:r w:rsidR="009967E3" w:rsidRPr="00A84CC5">
        <w:rPr>
          <w:rFonts w:cs="Arial"/>
          <w:snapToGrid w:val="0"/>
        </w:rPr>
        <w:t>6</w:t>
      </w:r>
      <w:r w:rsidRPr="00A84CC5">
        <w:rPr>
          <w:rFonts w:cs="Arial"/>
          <w:snapToGrid w:val="0"/>
        </w:rPr>
        <w:t xml:space="preserve">% compliance. </w:t>
      </w:r>
      <w:r w:rsidR="009967E3" w:rsidRPr="006F283B">
        <w:rPr>
          <w:lang w:eastAsia="en-AU"/>
        </w:rPr>
        <w:t xml:space="preserve">The </w:t>
      </w:r>
      <w:r w:rsidR="00C14BF7" w:rsidRPr="006F283B">
        <w:rPr>
          <w:lang w:eastAsia="en-AU"/>
        </w:rPr>
        <w:t xml:space="preserve">PBAC noted </w:t>
      </w:r>
      <w:r w:rsidR="009967E3" w:rsidRPr="006F283B">
        <w:rPr>
          <w:lang w:eastAsia="en-AU"/>
        </w:rPr>
        <w:t xml:space="preserve">that the equi-effective doses differed from those accepted for the </w:t>
      </w:r>
      <w:r w:rsidR="001152C0" w:rsidRPr="00A84CC5">
        <w:rPr>
          <w:i/>
          <w:iCs/>
          <w:lang w:eastAsia="en-AU"/>
        </w:rPr>
        <w:t>BRCAm</w:t>
      </w:r>
      <w:r w:rsidR="009967E3" w:rsidRPr="006F283B">
        <w:rPr>
          <w:lang w:eastAsia="en-AU"/>
        </w:rPr>
        <w:t xml:space="preserve"> population and </w:t>
      </w:r>
      <w:r w:rsidR="00460B2B">
        <w:rPr>
          <w:lang w:eastAsia="en-AU"/>
        </w:rPr>
        <w:t>resulted in a higher relative price for niraparib due to the increase in the treatment duration</w:t>
      </w:r>
      <w:r w:rsidR="00E40F83">
        <w:rPr>
          <w:lang w:eastAsia="en-AU"/>
        </w:rPr>
        <w:t xml:space="preserve"> with niraparib</w:t>
      </w:r>
      <w:r w:rsidR="00460B2B">
        <w:rPr>
          <w:lang w:eastAsia="en-AU"/>
        </w:rPr>
        <w:t xml:space="preserve"> being smaller (16.87 vs 15.66 months for </w:t>
      </w:r>
      <w:r w:rsidR="007B562D">
        <w:rPr>
          <w:lang w:eastAsia="en-AU"/>
        </w:rPr>
        <w:t>HRD positive</w:t>
      </w:r>
      <w:r w:rsidR="00460B2B">
        <w:rPr>
          <w:lang w:eastAsia="en-AU"/>
        </w:rPr>
        <w:t xml:space="preserve"> </w:t>
      </w:r>
      <w:r w:rsidR="00460B2B" w:rsidRPr="0006475C">
        <w:rPr>
          <w:i/>
          <w:iCs/>
          <w:lang w:eastAsia="en-AU"/>
        </w:rPr>
        <w:t>BRCAwt</w:t>
      </w:r>
      <w:r w:rsidR="00460B2B">
        <w:rPr>
          <w:lang w:eastAsia="en-AU"/>
        </w:rPr>
        <w:t xml:space="preserve">; 25.0 vs 20.9 months for </w:t>
      </w:r>
      <w:r w:rsidR="00460B2B" w:rsidRPr="0006475C">
        <w:rPr>
          <w:i/>
          <w:iCs/>
          <w:lang w:eastAsia="en-AU"/>
        </w:rPr>
        <w:t>BRCAm</w:t>
      </w:r>
      <w:r w:rsidR="00460B2B">
        <w:rPr>
          <w:lang w:eastAsia="en-AU"/>
        </w:rPr>
        <w:t xml:space="preserve">). The PBAC </w:t>
      </w:r>
      <w:r w:rsidR="009967E3" w:rsidRPr="006F283B">
        <w:rPr>
          <w:lang w:eastAsia="en-AU"/>
        </w:rPr>
        <w:t xml:space="preserve">considered that </w:t>
      </w:r>
      <w:r w:rsidR="00460B2B">
        <w:rPr>
          <w:lang w:eastAsia="en-AU"/>
        </w:rPr>
        <w:t>given the</w:t>
      </w:r>
      <w:r w:rsidR="009967E3" w:rsidRPr="006F283B">
        <w:rPr>
          <w:lang w:eastAsia="en-AU"/>
        </w:rPr>
        <w:t xml:space="preserve"> inputs for time on treatment for </w:t>
      </w:r>
      <w:r w:rsidR="007B562D">
        <w:rPr>
          <w:lang w:eastAsia="en-AU"/>
        </w:rPr>
        <w:t>HRD positive</w:t>
      </w:r>
      <w:r w:rsidR="009967E3" w:rsidRPr="006F283B">
        <w:rPr>
          <w:lang w:eastAsia="en-AU"/>
        </w:rPr>
        <w:t xml:space="preserve"> </w:t>
      </w:r>
      <w:r w:rsidR="001152C0" w:rsidRPr="00A84CC5">
        <w:rPr>
          <w:i/>
          <w:iCs/>
          <w:lang w:eastAsia="en-AU"/>
        </w:rPr>
        <w:t>BRCAwt</w:t>
      </w:r>
      <w:r w:rsidR="003B1675">
        <w:rPr>
          <w:lang w:eastAsia="en-AU"/>
        </w:rPr>
        <w:t xml:space="preserve"> </w:t>
      </w:r>
      <w:r w:rsidR="00E40F83">
        <w:rPr>
          <w:lang w:eastAsia="en-AU"/>
        </w:rPr>
        <w:t>were</w:t>
      </w:r>
      <w:r w:rsidR="003B1675">
        <w:rPr>
          <w:lang w:eastAsia="en-AU"/>
        </w:rPr>
        <w:t xml:space="preserve"> comparatively immature compared with that </w:t>
      </w:r>
      <w:r w:rsidR="00E40F83">
        <w:rPr>
          <w:lang w:eastAsia="en-AU"/>
        </w:rPr>
        <w:t>for the</w:t>
      </w:r>
      <w:r w:rsidR="003B1675">
        <w:rPr>
          <w:lang w:eastAsia="en-AU"/>
        </w:rPr>
        <w:t xml:space="preserve"> </w:t>
      </w:r>
      <w:r w:rsidR="001152C0" w:rsidRPr="00A84CC5">
        <w:rPr>
          <w:i/>
          <w:lang w:eastAsia="en-AU"/>
        </w:rPr>
        <w:t>BRCAm</w:t>
      </w:r>
      <w:r w:rsidR="003B1675">
        <w:rPr>
          <w:lang w:eastAsia="en-AU"/>
        </w:rPr>
        <w:t xml:space="preserve"> population</w:t>
      </w:r>
      <w:r w:rsidR="00A84CC5">
        <w:rPr>
          <w:lang w:eastAsia="en-AU"/>
        </w:rPr>
        <w:t xml:space="preserve">, </w:t>
      </w:r>
      <w:r w:rsidR="00460B2B">
        <w:rPr>
          <w:lang w:eastAsia="en-AU"/>
        </w:rPr>
        <w:t xml:space="preserve">it may be appropriate in the CMA to apply the same relative treatment duration as accepted for </w:t>
      </w:r>
      <w:r w:rsidR="00460B2B" w:rsidRPr="0006475C">
        <w:rPr>
          <w:i/>
          <w:iCs/>
          <w:lang w:eastAsia="en-AU"/>
        </w:rPr>
        <w:t>BRCAm</w:t>
      </w:r>
      <w:r w:rsidR="00460B2B">
        <w:rPr>
          <w:lang w:eastAsia="en-AU"/>
        </w:rPr>
        <w:t xml:space="preserve"> (</w:t>
      </w:r>
      <w:proofErr w:type="gramStart"/>
      <w:r w:rsidR="00E40F83">
        <w:rPr>
          <w:lang w:eastAsia="en-AU"/>
        </w:rPr>
        <w:t>i.e.</w:t>
      </w:r>
      <w:proofErr w:type="gramEnd"/>
      <w:r w:rsidR="00E40F83">
        <w:rPr>
          <w:lang w:eastAsia="en-AU"/>
        </w:rPr>
        <w:t xml:space="preserve"> </w:t>
      </w:r>
      <w:r w:rsidR="00460B2B">
        <w:rPr>
          <w:lang w:eastAsia="en-AU"/>
        </w:rPr>
        <w:t>18.7</w:t>
      </w:r>
      <w:r w:rsidR="00E40F83">
        <w:rPr>
          <w:lang w:eastAsia="en-AU"/>
        </w:rPr>
        <w:t xml:space="preserve"> [25.0/20.9 x 15.66]</w:t>
      </w:r>
      <w:r w:rsidR="00460B2B">
        <w:rPr>
          <w:lang w:eastAsia="en-AU"/>
        </w:rPr>
        <w:t xml:space="preserve"> vs 15.66 months</w:t>
      </w:r>
      <w:r w:rsidR="00E40F83">
        <w:rPr>
          <w:lang w:eastAsia="en-AU"/>
        </w:rPr>
        <w:t>)</w:t>
      </w:r>
      <w:r w:rsidR="009967E3" w:rsidRPr="00A84CC5">
        <w:rPr>
          <w:lang w:eastAsia="en-AU"/>
        </w:rPr>
        <w:t>.</w:t>
      </w:r>
      <w:r w:rsidR="00A84CC5">
        <w:rPr>
          <w:lang w:eastAsia="en-AU"/>
        </w:rPr>
        <w:t xml:space="preserve"> </w:t>
      </w:r>
      <w:r w:rsidR="009967E3" w:rsidRPr="006F283B">
        <w:rPr>
          <w:lang w:eastAsia="en-AU"/>
        </w:rPr>
        <w:t xml:space="preserve">The PBAC recalled </w:t>
      </w:r>
      <w:r w:rsidR="00C14BF7" w:rsidRPr="006F283B">
        <w:rPr>
          <w:lang w:eastAsia="en-AU"/>
        </w:rPr>
        <w:t xml:space="preserve">it had previously recommended </w:t>
      </w:r>
      <w:r w:rsidR="009D36AA" w:rsidRPr="006F283B">
        <w:rPr>
          <w:lang w:eastAsia="en-AU"/>
        </w:rPr>
        <w:t xml:space="preserve">the CMA for </w:t>
      </w:r>
      <w:r w:rsidR="00C14BF7" w:rsidRPr="006F283B">
        <w:rPr>
          <w:lang w:eastAsia="en-AU"/>
        </w:rPr>
        <w:t xml:space="preserve">niraparib </w:t>
      </w:r>
      <w:r w:rsidR="009D36AA" w:rsidRPr="006F283B">
        <w:rPr>
          <w:lang w:eastAsia="en-AU"/>
        </w:rPr>
        <w:t>compared with olaparib (</w:t>
      </w:r>
      <w:r w:rsidR="001152C0" w:rsidRPr="00A84CC5">
        <w:rPr>
          <w:i/>
          <w:iCs/>
          <w:lang w:eastAsia="en-AU"/>
        </w:rPr>
        <w:t>BRCAm</w:t>
      </w:r>
      <w:r w:rsidR="009D36AA" w:rsidRPr="006F283B">
        <w:rPr>
          <w:lang w:eastAsia="en-AU"/>
        </w:rPr>
        <w:t xml:space="preserve">) </w:t>
      </w:r>
      <w:r w:rsidR="009D36AA" w:rsidRPr="00A84CC5">
        <w:rPr>
          <w:rFonts w:cs="Arial"/>
          <w:snapToGrid w:val="0"/>
        </w:rPr>
        <w:t>should include</w:t>
      </w:r>
      <w:r w:rsidR="00C14BF7" w:rsidRPr="00A84CC5">
        <w:rPr>
          <w:rFonts w:cs="Arial"/>
          <w:snapToGrid w:val="0"/>
        </w:rPr>
        <w:t xml:space="preserve"> cost offsets for hospitalisations due to thrombocytopenia and anaemia and monitoring of CBC and BP</w:t>
      </w:r>
      <w:r w:rsidR="009967E3" w:rsidRPr="00A84CC5">
        <w:rPr>
          <w:rFonts w:cs="Arial"/>
          <w:snapToGrid w:val="0"/>
        </w:rPr>
        <w:t xml:space="preserve"> </w:t>
      </w:r>
      <w:r w:rsidR="009967E3" w:rsidRPr="00A84CC5">
        <w:rPr>
          <w:bCs/>
        </w:rPr>
        <w:t>(para 7.12 niraparib PSD, March 2022 PBAC meeting)</w:t>
      </w:r>
      <w:r w:rsidR="00C14BF7" w:rsidRPr="00A84CC5">
        <w:rPr>
          <w:rFonts w:cs="Arial"/>
          <w:snapToGrid w:val="0"/>
        </w:rPr>
        <w:t>.</w:t>
      </w:r>
      <w:r w:rsidR="009967E3" w:rsidRPr="00A84CC5">
        <w:rPr>
          <w:rFonts w:cs="Arial"/>
          <w:snapToGrid w:val="0"/>
        </w:rPr>
        <w:t xml:space="preserve"> The PBAC considered that the application of offsets for monitoring of CBC and BP in the submission’s CMA ($399.52) were appropriate. </w:t>
      </w:r>
      <w:r w:rsidR="009967E3" w:rsidRPr="00A84CC5">
        <w:rPr>
          <w:bCs/>
        </w:rPr>
        <w:t xml:space="preserve">The PBAC noted that no safety costs were included in the CMA in this submission on the basis that an </w:t>
      </w:r>
      <w:r w:rsidR="009967E3" w:rsidRPr="006F283B">
        <w:t xml:space="preserve">increased toxicity burden was associated with olaparib + bevacizumab when compared to niraparib. The PBAC </w:t>
      </w:r>
      <w:r w:rsidR="009D36AA" w:rsidRPr="006F283B">
        <w:t xml:space="preserve">noted that </w:t>
      </w:r>
      <w:r w:rsidR="009967E3" w:rsidRPr="006F283B">
        <w:t xml:space="preserve">the </w:t>
      </w:r>
      <w:r w:rsidR="009D36AA" w:rsidRPr="006F283B">
        <w:t xml:space="preserve">CMA relied on the claim of non-inferiority of niraparib compared with </w:t>
      </w:r>
      <w:proofErr w:type="gramStart"/>
      <w:r w:rsidR="009D36AA" w:rsidRPr="006F283B">
        <w:t>olaparib, and</w:t>
      </w:r>
      <w:proofErr w:type="gramEnd"/>
      <w:r w:rsidR="009D36AA" w:rsidRPr="006F283B">
        <w:t xml:space="preserve"> considered that utilisation of bevacizumab is likely to be limited. As such, the PBAC considered that it would be appropriate for the CMA to apply </w:t>
      </w:r>
      <w:r w:rsidR="009D36AA" w:rsidRPr="00A84CC5">
        <w:rPr>
          <w:rFonts w:cs="Arial"/>
          <w:snapToGrid w:val="0"/>
        </w:rPr>
        <w:t xml:space="preserve">cost offsets for hospitalisations due to thrombocytopenia and anaemia, consistent with the CMA in the </w:t>
      </w:r>
      <w:r w:rsidR="001152C0" w:rsidRPr="00A84CC5">
        <w:rPr>
          <w:rFonts w:cs="Arial"/>
          <w:i/>
          <w:iCs/>
          <w:snapToGrid w:val="0"/>
        </w:rPr>
        <w:t>BRCAm</w:t>
      </w:r>
      <w:r w:rsidR="009D36AA" w:rsidRPr="00A84CC5">
        <w:rPr>
          <w:rFonts w:cs="Arial"/>
          <w:snapToGrid w:val="0"/>
        </w:rPr>
        <w:t xml:space="preserve"> population.</w:t>
      </w:r>
      <w:bookmarkEnd w:id="198"/>
    </w:p>
    <w:p w14:paraId="2F301A56" w14:textId="69B327C7" w:rsidR="005D300C" w:rsidRPr="006F283B" w:rsidRDefault="00220EBB" w:rsidP="00152220">
      <w:pPr>
        <w:pStyle w:val="ListParagraph"/>
        <w:spacing w:before="0" w:after="120"/>
        <w:rPr>
          <w:rFonts w:cs="Arial"/>
          <w:snapToGrid w:val="0"/>
        </w:rPr>
      </w:pPr>
      <w:bookmarkStart w:id="199" w:name="_Ref130584147"/>
      <w:r w:rsidRPr="006F283B">
        <w:t xml:space="preserve">Regarding the financial estimates, the submission used an epidemiological approach to estimate the number of patients who would be eligible for the proposed HRD test, likely uptake of the test and the estimated number of patients with HRD positive </w:t>
      </w:r>
      <w:r w:rsidR="001152C0" w:rsidRPr="001152C0">
        <w:rPr>
          <w:i/>
        </w:rPr>
        <w:t>BRCAwt</w:t>
      </w:r>
      <w:r w:rsidRPr="006F283B">
        <w:t xml:space="preserve"> tumours. Only patients who then subsequently receive treatment with and have a response to 1L PBC were considered eligible for niraparib maintenance </w:t>
      </w:r>
      <w:r w:rsidRPr="006F283B">
        <w:lastRenderedPageBreak/>
        <w:t xml:space="preserve">treatment. </w:t>
      </w:r>
      <w:r w:rsidR="005C0647" w:rsidRPr="006F283B">
        <w:rPr>
          <w:rFonts w:cs="Arial"/>
          <w:snapToGrid w:val="0"/>
        </w:rPr>
        <w:t xml:space="preserve">The PBAC </w:t>
      </w:r>
      <w:r w:rsidR="0026436A" w:rsidRPr="006F283B">
        <w:rPr>
          <w:rFonts w:cs="Arial"/>
          <w:snapToGrid w:val="0"/>
        </w:rPr>
        <w:t>considered</w:t>
      </w:r>
      <w:r w:rsidR="005C0647" w:rsidRPr="006F283B">
        <w:rPr>
          <w:rFonts w:cs="Arial"/>
          <w:snapToGrid w:val="0"/>
        </w:rPr>
        <w:t xml:space="preserve"> that if niraparib were to be listed </w:t>
      </w:r>
      <w:r w:rsidRPr="006F283B">
        <w:rPr>
          <w:rFonts w:cs="Arial"/>
          <w:snapToGrid w:val="0"/>
        </w:rPr>
        <w:t xml:space="preserve">on a cost minimisation basis, the listing should be </w:t>
      </w:r>
      <w:r w:rsidR="005C0647" w:rsidRPr="006F283B">
        <w:rPr>
          <w:rFonts w:cs="Arial"/>
          <w:snapToGrid w:val="0"/>
        </w:rPr>
        <w:t>cost-neutral overall, with a small reduction in the cost to the PBS/RPBS due to inclusion of AE and monitoring costs in the CMA.</w:t>
      </w:r>
      <w:bookmarkEnd w:id="199"/>
      <w:r w:rsidR="005C0647" w:rsidRPr="006F283B">
        <w:rPr>
          <w:rFonts w:cs="Arial"/>
          <w:snapToGrid w:val="0"/>
        </w:rPr>
        <w:t xml:space="preserve"> </w:t>
      </w:r>
      <w:bookmarkStart w:id="200" w:name="_Hlk130582977"/>
      <w:bookmarkEnd w:id="192"/>
    </w:p>
    <w:p w14:paraId="734F4AEA" w14:textId="58B3C535" w:rsidR="005C0647" w:rsidRPr="006F283B" w:rsidRDefault="005D300C" w:rsidP="00152220">
      <w:pPr>
        <w:pStyle w:val="ListParagraph"/>
        <w:spacing w:before="0" w:after="120"/>
        <w:rPr>
          <w:color w:val="auto"/>
        </w:rPr>
      </w:pPr>
      <w:bookmarkStart w:id="201" w:name="_Ref130583093"/>
      <w:bookmarkEnd w:id="200"/>
      <w:r w:rsidRPr="006F283B">
        <w:rPr>
          <w:rFonts w:cs="Arial"/>
          <w:snapToGrid w:val="0"/>
        </w:rPr>
        <w:t>T</w:t>
      </w:r>
      <w:r w:rsidR="005C0647" w:rsidRPr="006F283B">
        <w:t>he PBAC considered that</w:t>
      </w:r>
      <w:r w:rsidR="005C0647" w:rsidRPr="006F283B">
        <w:rPr>
          <w:lang w:eastAsia="en-AU"/>
        </w:rPr>
        <w:t xml:space="preserve"> a </w:t>
      </w:r>
      <w:r w:rsidR="005C0647" w:rsidRPr="006F283B">
        <w:t xml:space="preserve">cost minimisation approach (CMA) could be supported for niraparib versus olaparib </w:t>
      </w:r>
      <w:r w:rsidR="002B4B23" w:rsidRPr="006F283B">
        <w:rPr>
          <w:lang w:eastAsia="en-AU"/>
        </w:rPr>
        <w:t xml:space="preserve">for </w:t>
      </w:r>
      <w:r w:rsidR="005C0647" w:rsidRPr="006F283B">
        <w:rPr>
          <w:lang w:eastAsia="en-AU"/>
        </w:rPr>
        <w:t xml:space="preserve">HRD positive </w:t>
      </w:r>
      <w:r w:rsidR="001152C0" w:rsidRPr="001152C0">
        <w:rPr>
          <w:i/>
          <w:lang w:eastAsia="en-AU"/>
        </w:rPr>
        <w:t>BRCAwt</w:t>
      </w:r>
      <w:r w:rsidR="005C0647" w:rsidRPr="006F283B">
        <w:rPr>
          <w:lang w:eastAsia="en-AU"/>
        </w:rPr>
        <w:t xml:space="preserve"> </w:t>
      </w:r>
      <w:r w:rsidR="002B4B23" w:rsidRPr="006F283B">
        <w:rPr>
          <w:lang w:eastAsia="en-AU"/>
        </w:rPr>
        <w:t xml:space="preserve">disease </w:t>
      </w:r>
      <w:proofErr w:type="gramStart"/>
      <w:r w:rsidR="005C0647" w:rsidRPr="006F283B">
        <w:rPr>
          <w:lang w:eastAsia="en-AU"/>
        </w:rPr>
        <w:t>in the event that</w:t>
      </w:r>
      <w:proofErr w:type="gramEnd"/>
      <w:r w:rsidR="005C0647" w:rsidRPr="006F283B">
        <w:rPr>
          <w:lang w:eastAsia="en-AU"/>
        </w:rPr>
        <w:t xml:space="preserve"> olaparib is listed on the PBS for patients with </w:t>
      </w:r>
      <w:r w:rsidR="007B562D">
        <w:rPr>
          <w:lang w:eastAsia="en-AU"/>
        </w:rPr>
        <w:t>HRD positive</w:t>
      </w:r>
      <w:r w:rsidR="005C0647" w:rsidRPr="006F283B">
        <w:rPr>
          <w:lang w:eastAsia="en-AU"/>
        </w:rPr>
        <w:t xml:space="preserve"> </w:t>
      </w:r>
      <w:r w:rsidR="001152C0" w:rsidRPr="001152C0">
        <w:rPr>
          <w:i/>
          <w:lang w:eastAsia="en-AU"/>
        </w:rPr>
        <w:t>BRCAwt</w:t>
      </w:r>
      <w:r w:rsidR="005C0647" w:rsidRPr="006F283B">
        <w:rPr>
          <w:lang w:eastAsia="en-AU"/>
        </w:rPr>
        <w:t xml:space="preserve"> ovarian cancer. </w:t>
      </w:r>
      <w:r w:rsidR="005C0647" w:rsidRPr="006F283B">
        <w:rPr>
          <w:color w:val="auto"/>
        </w:rPr>
        <w:t xml:space="preserve">The PBAC considered </w:t>
      </w:r>
      <w:r w:rsidRPr="006F283B">
        <w:rPr>
          <w:color w:val="auto"/>
        </w:rPr>
        <w:t xml:space="preserve">that </w:t>
      </w:r>
      <w:r w:rsidR="005C0647" w:rsidRPr="006F283B">
        <w:rPr>
          <w:color w:val="auto"/>
        </w:rPr>
        <w:t>the following additional information would be required to support the consideration of niraparib</w:t>
      </w:r>
      <w:r w:rsidRPr="006F283B">
        <w:rPr>
          <w:color w:val="auto"/>
        </w:rPr>
        <w:t xml:space="preserve"> in that scenario</w:t>
      </w:r>
      <w:r w:rsidR="005C0647" w:rsidRPr="006F283B">
        <w:rPr>
          <w:color w:val="auto"/>
        </w:rPr>
        <w:t>:</w:t>
      </w:r>
      <w:bookmarkEnd w:id="201"/>
    </w:p>
    <w:p w14:paraId="2A895A02" w14:textId="523CEC1D" w:rsidR="005D300C" w:rsidRPr="006F283B" w:rsidRDefault="005D300C" w:rsidP="00152220">
      <w:pPr>
        <w:pStyle w:val="ListParagraph"/>
        <w:numPr>
          <w:ilvl w:val="0"/>
          <w:numId w:val="29"/>
        </w:numPr>
        <w:spacing w:before="0" w:after="120"/>
        <w:ind w:left="1134" w:hanging="425"/>
      </w:pPr>
      <w:r w:rsidRPr="006F283B">
        <w:t xml:space="preserve">Advice from the MSAC concerning its consideration of </w:t>
      </w:r>
      <w:r w:rsidRPr="006F283B">
        <w:rPr>
          <w:szCs w:val="24"/>
        </w:rPr>
        <w:t>Application 1726 regarding “</w:t>
      </w:r>
      <w:r w:rsidRPr="006F283B">
        <w:t>Testing of tumour tissue to determine a positive homologous recombination deficiency status in women newly diagnosed with advanced (FIGO stage III-IV) high grade epithelial ovarian, fallopian tube or primary peritoneal cancer, for access to PBS niraparib”</w:t>
      </w:r>
      <w:r w:rsidR="00C32E24" w:rsidRPr="006F283B">
        <w:t>.</w:t>
      </w:r>
    </w:p>
    <w:p w14:paraId="34A1A88F" w14:textId="67DAD253" w:rsidR="00D873F6" w:rsidRPr="006F283B" w:rsidRDefault="00D873F6" w:rsidP="00152220">
      <w:pPr>
        <w:pStyle w:val="ListParagraph"/>
        <w:numPr>
          <w:ilvl w:val="0"/>
          <w:numId w:val="29"/>
        </w:numPr>
        <w:spacing w:before="0" w:after="120"/>
        <w:ind w:left="1134" w:hanging="425"/>
      </w:pPr>
      <w:r w:rsidRPr="006F283B">
        <w:rPr>
          <w:color w:val="auto"/>
        </w:rPr>
        <w:t>Sponsor to provide updated restriction, consistent with MSAC advice concerning the HRD test.</w:t>
      </w:r>
    </w:p>
    <w:p w14:paraId="11370F8E" w14:textId="1E8D6662" w:rsidR="005C0647" w:rsidRPr="006F283B" w:rsidRDefault="00F83D66" w:rsidP="00152220">
      <w:pPr>
        <w:pStyle w:val="ListParagraph"/>
        <w:numPr>
          <w:ilvl w:val="0"/>
          <w:numId w:val="29"/>
        </w:numPr>
        <w:spacing w:before="0" w:after="120"/>
        <w:ind w:left="1134" w:hanging="425"/>
      </w:pPr>
      <w:r w:rsidRPr="006F283B">
        <w:rPr>
          <w:color w:val="auto"/>
        </w:rPr>
        <w:t>Sponsor to provide</w:t>
      </w:r>
      <w:r w:rsidR="00C32E24" w:rsidRPr="006F283B">
        <w:rPr>
          <w:color w:val="auto"/>
        </w:rPr>
        <w:t xml:space="preserve"> a </w:t>
      </w:r>
      <w:r w:rsidRPr="006F283B">
        <w:rPr>
          <w:color w:val="auto"/>
        </w:rPr>
        <w:t xml:space="preserve">recalculated </w:t>
      </w:r>
      <w:r w:rsidR="005C0647" w:rsidRPr="006F283B">
        <w:rPr>
          <w:color w:val="auto"/>
        </w:rPr>
        <w:t xml:space="preserve">CMA </w:t>
      </w:r>
      <w:r w:rsidRPr="006F283B">
        <w:rPr>
          <w:color w:val="auto"/>
        </w:rPr>
        <w:t>a</w:t>
      </w:r>
      <w:r w:rsidR="005C0647" w:rsidRPr="006F283B">
        <w:rPr>
          <w:color w:val="auto"/>
        </w:rPr>
        <w:t>ccording to the methodology described in paragraph</w:t>
      </w:r>
      <w:r w:rsidR="009D36AA" w:rsidRPr="006F283B">
        <w:rPr>
          <w:color w:val="auto"/>
        </w:rPr>
        <w:t xml:space="preserve"> </w:t>
      </w:r>
      <w:r w:rsidR="009D36AA" w:rsidRPr="006F283B">
        <w:rPr>
          <w:color w:val="auto"/>
        </w:rPr>
        <w:fldChar w:fldCharType="begin" w:fldLock="1"/>
      </w:r>
      <w:r w:rsidR="009D36AA" w:rsidRPr="006F283B">
        <w:rPr>
          <w:color w:val="auto"/>
        </w:rPr>
        <w:instrText xml:space="preserve"> REF _Ref131160885 \r \h  \* MERGEFORMAT </w:instrText>
      </w:r>
      <w:r w:rsidR="009D36AA" w:rsidRPr="006F283B">
        <w:rPr>
          <w:color w:val="auto"/>
        </w:rPr>
      </w:r>
      <w:r w:rsidR="009D36AA" w:rsidRPr="006F283B">
        <w:rPr>
          <w:color w:val="auto"/>
        </w:rPr>
        <w:fldChar w:fldCharType="separate"/>
      </w:r>
      <w:r w:rsidR="00305654">
        <w:rPr>
          <w:color w:val="auto"/>
        </w:rPr>
        <w:t>7.17</w:t>
      </w:r>
      <w:r w:rsidR="009D36AA" w:rsidRPr="006F283B">
        <w:rPr>
          <w:color w:val="auto"/>
        </w:rPr>
        <w:fldChar w:fldCharType="end"/>
      </w:r>
      <w:r w:rsidRPr="006F283B">
        <w:rPr>
          <w:color w:val="auto"/>
        </w:rPr>
        <w:t>.</w:t>
      </w:r>
    </w:p>
    <w:p w14:paraId="58931A1F" w14:textId="04888A15" w:rsidR="005C0647" w:rsidRPr="006F283B" w:rsidRDefault="00F83D66" w:rsidP="00152220">
      <w:pPr>
        <w:pStyle w:val="ListParagraph"/>
        <w:numPr>
          <w:ilvl w:val="0"/>
          <w:numId w:val="29"/>
        </w:numPr>
        <w:spacing w:before="0" w:after="120"/>
        <w:ind w:left="1134" w:hanging="425"/>
      </w:pPr>
      <w:r w:rsidRPr="006F283B">
        <w:t>Sponsor to provide recalculated</w:t>
      </w:r>
      <w:r w:rsidR="005C0647" w:rsidRPr="006F283B">
        <w:t xml:space="preserve"> financial implications using the revised </w:t>
      </w:r>
      <w:r w:rsidR="00C32E24" w:rsidRPr="006F283B">
        <w:t>niraparib</w:t>
      </w:r>
      <w:r w:rsidR="005C0647" w:rsidRPr="006F283B">
        <w:t xml:space="preserve"> price</w:t>
      </w:r>
      <w:r w:rsidR="00C32E24" w:rsidRPr="006F283B">
        <w:t xml:space="preserve"> and any other changes to parameters arising from the revised CMA</w:t>
      </w:r>
      <w:r w:rsidR="00220EBB" w:rsidRPr="006F283B">
        <w:t xml:space="preserve"> as discussed in paragraph </w:t>
      </w:r>
      <w:r w:rsidR="00220EBB" w:rsidRPr="006F283B">
        <w:fldChar w:fldCharType="begin" w:fldLock="1"/>
      </w:r>
      <w:r w:rsidR="00220EBB" w:rsidRPr="006F283B">
        <w:instrText xml:space="preserve"> REF _Ref130584147 \r \h </w:instrText>
      </w:r>
      <w:r w:rsidR="00220EBB" w:rsidRPr="006F283B">
        <w:fldChar w:fldCharType="separate"/>
      </w:r>
      <w:r w:rsidR="00305654">
        <w:t>7.18</w:t>
      </w:r>
      <w:r w:rsidR="00220EBB" w:rsidRPr="006F283B">
        <w:fldChar w:fldCharType="end"/>
      </w:r>
      <w:r w:rsidR="005C0647" w:rsidRPr="006F283B">
        <w:t>.</w:t>
      </w:r>
    </w:p>
    <w:p w14:paraId="3FDAF29D" w14:textId="1C9DB24D" w:rsidR="00C32E24" w:rsidRPr="006F283B" w:rsidRDefault="00C32E24" w:rsidP="00152220">
      <w:pPr>
        <w:pStyle w:val="ListParagraph"/>
        <w:spacing w:before="0" w:after="120"/>
      </w:pPr>
      <w:r w:rsidRPr="006F283B">
        <w:t xml:space="preserve">If the option </w:t>
      </w:r>
      <w:r w:rsidRPr="006F283B">
        <w:rPr>
          <w:rFonts w:cs="Arial"/>
          <w:snapToGrid w:val="0"/>
        </w:rPr>
        <w:t xml:space="preserve">outlined in </w:t>
      </w:r>
      <w:r w:rsidRPr="006F283B">
        <w:t xml:space="preserve">paragraph </w:t>
      </w:r>
      <w:r w:rsidRPr="006F283B">
        <w:fldChar w:fldCharType="begin" w:fldLock="1"/>
      </w:r>
      <w:r w:rsidRPr="006F283B">
        <w:instrText xml:space="preserve"> REF _Ref130583093 \r \h </w:instrText>
      </w:r>
      <w:r w:rsidRPr="006F283B">
        <w:fldChar w:fldCharType="separate"/>
      </w:r>
      <w:r w:rsidR="00305654">
        <w:t>7.19</w:t>
      </w:r>
      <w:r w:rsidRPr="006F283B">
        <w:fldChar w:fldCharType="end"/>
      </w:r>
      <w:r w:rsidRPr="006F283B">
        <w:rPr>
          <w:rFonts w:cs="Arial"/>
          <w:snapToGrid w:val="0"/>
        </w:rPr>
        <w:t xml:space="preserve"> is not acceptable to the sponsor</w:t>
      </w:r>
      <w:r w:rsidRPr="006F283B">
        <w:t>, a standard re-entry pathway is available</w:t>
      </w:r>
      <w:r w:rsidR="003B1675">
        <w:t xml:space="preserve">, noting </w:t>
      </w:r>
      <w:r w:rsidR="00763AF1">
        <w:t>this would necessitate</w:t>
      </w:r>
      <w:r w:rsidR="003B1675">
        <w:t xml:space="preserve"> a </w:t>
      </w:r>
      <w:r w:rsidR="00763AF1">
        <w:t>different</w:t>
      </w:r>
      <w:r w:rsidR="003B1675">
        <w:t xml:space="preserve"> economic model</w:t>
      </w:r>
      <w:r w:rsidR="00BD5C7A" w:rsidRPr="006F283B">
        <w:t>.</w:t>
      </w:r>
    </w:p>
    <w:p w14:paraId="01A0CE02" w14:textId="77777777" w:rsidR="00BD07C0" w:rsidRPr="006F283B" w:rsidRDefault="00BD07C0" w:rsidP="00152220">
      <w:pPr>
        <w:spacing w:before="0" w:after="120"/>
        <w:rPr>
          <w:rFonts w:cs="Arial"/>
          <w:b/>
          <w:bCs/>
          <w:snapToGrid w:val="0"/>
        </w:rPr>
      </w:pPr>
      <w:r w:rsidRPr="006F283B">
        <w:rPr>
          <w:rFonts w:cs="Arial"/>
          <w:b/>
          <w:bCs/>
          <w:snapToGrid w:val="0"/>
        </w:rPr>
        <w:t>Outcome:</w:t>
      </w:r>
    </w:p>
    <w:p w14:paraId="1CD9C741" w14:textId="2D9FF13D" w:rsidR="00916FF9" w:rsidRDefault="00916FF9" w:rsidP="00152220">
      <w:pPr>
        <w:spacing w:before="0" w:after="120"/>
        <w:rPr>
          <w:rFonts w:cs="Arial"/>
          <w:bCs/>
          <w:snapToGrid w:val="0"/>
        </w:rPr>
      </w:pPr>
      <w:r w:rsidRPr="006F283B">
        <w:rPr>
          <w:rFonts w:cs="Arial"/>
          <w:bCs/>
          <w:snapToGrid w:val="0"/>
        </w:rPr>
        <w:t>Deferred</w:t>
      </w:r>
      <w:bookmarkEnd w:id="189"/>
      <w:bookmarkEnd w:id="190"/>
      <w:bookmarkEnd w:id="191"/>
    </w:p>
    <w:p w14:paraId="39EED3A0" w14:textId="01C24B1B" w:rsidR="008E34C5" w:rsidRPr="008E34C5" w:rsidRDefault="008E34C5" w:rsidP="00152220">
      <w:pPr>
        <w:pStyle w:val="PBACESHeading1"/>
      </w:pPr>
      <w:r w:rsidRPr="00C07617">
        <w:t>Context for Decision</w:t>
      </w:r>
    </w:p>
    <w:p w14:paraId="1A3971E6" w14:textId="77777777" w:rsidR="008E34C5" w:rsidRPr="007129F2" w:rsidRDefault="008E34C5" w:rsidP="00152220">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8D3570D" w14:textId="05C4840B" w:rsidR="008E34C5" w:rsidRPr="008E34C5" w:rsidRDefault="008E34C5" w:rsidP="00152220">
      <w:pPr>
        <w:pStyle w:val="PBACESHeading1"/>
      </w:pPr>
      <w:r>
        <w:t>Sponsor’s Comment</w:t>
      </w:r>
    </w:p>
    <w:p w14:paraId="4F19F936" w14:textId="3832AE10" w:rsidR="00C26073" w:rsidRDefault="008E34C5" w:rsidP="009654DF">
      <w:pPr>
        <w:spacing w:after="120"/>
        <w:ind w:left="426" w:firstLine="294"/>
        <w:rPr>
          <w:rFonts w:cs="Arial"/>
          <w:bCs/>
        </w:rPr>
      </w:pPr>
      <w:r w:rsidRPr="00C07617">
        <w:rPr>
          <w:rFonts w:cs="Arial"/>
          <w:bCs/>
        </w:rPr>
        <w:t>The sponsor had no comment.</w:t>
      </w:r>
      <w:r w:rsidR="00C26073">
        <w:rPr>
          <w:rFonts w:cs="Arial"/>
          <w:bCs/>
        </w:rPr>
        <w:br w:type="page"/>
      </w:r>
    </w:p>
    <w:p w14:paraId="1C9F8958" w14:textId="7A0FA427" w:rsidR="00C26073" w:rsidRPr="005B4162" w:rsidRDefault="00C26073" w:rsidP="00C26073">
      <w:pPr>
        <w:spacing w:before="0" w:after="120"/>
        <w:ind w:left="1134" w:hanging="1134"/>
        <w:jc w:val="left"/>
        <w:outlineLvl w:val="0"/>
        <w:rPr>
          <w:rFonts w:ascii="Calibri" w:eastAsia="Calibri" w:hAnsi="Calibri" w:cs="Times New Roman"/>
          <w:b/>
          <w:color w:val="FF0000"/>
          <w:spacing w:val="5"/>
          <w:kern w:val="28"/>
          <w:sz w:val="28"/>
          <w:szCs w:val="28"/>
        </w:rPr>
      </w:pPr>
      <w:r w:rsidRPr="00863A3C">
        <w:rPr>
          <w:rFonts w:ascii="Calibri" w:eastAsia="Calibri" w:hAnsi="Calibri" w:cs="Times New Roman"/>
          <w:b/>
          <w:color w:val="FF0000"/>
          <w:spacing w:val="5"/>
          <w:kern w:val="28"/>
          <w:sz w:val="28"/>
          <w:szCs w:val="28"/>
        </w:rPr>
        <w:lastRenderedPageBreak/>
        <w:t xml:space="preserve">Addendum to the March 2023 PBAC </w:t>
      </w:r>
      <w:r>
        <w:rPr>
          <w:rFonts w:ascii="Calibri" w:eastAsia="Calibri" w:hAnsi="Calibri" w:cs="Times New Roman"/>
          <w:b/>
          <w:color w:val="FF0000"/>
          <w:spacing w:val="5"/>
          <w:kern w:val="28"/>
          <w:sz w:val="28"/>
          <w:szCs w:val="28"/>
        </w:rPr>
        <w:t>Public Summary Document</w:t>
      </w:r>
      <w:r w:rsidRPr="00863A3C">
        <w:rPr>
          <w:rFonts w:ascii="Calibri" w:eastAsia="Calibri" w:hAnsi="Calibri" w:cs="Times New Roman"/>
          <w:b/>
          <w:color w:val="FF0000"/>
          <w:spacing w:val="5"/>
          <w:kern w:val="28"/>
          <w:sz w:val="28"/>
          <w:szCs w:val="28"/>
        </w:rPr>
        <w:t>:</w:t>
      </w:r>
    </w:p>
    <w:p w14:paraId="5DF351CD" w14:textId="77777777" w:rsidR="00C26073" w:rsidRPr="005B4162" w:rsidRDefault="00C26073" w:rsidP="00C26073">
      <w:pPr>
        <w:pStyle w:val="OutlineHeading1"/>
        <w:tabs>
          <w:tab w:val="left" w:pos="1134"/>
        </w:tabs>
        <w:spacing w:before="0" w:after="0" w:line="240" w:lineRule="auto"/>
        <w:ind w:left="1134" w:hanging="1134"/>
        <w:rPr>
          <w:rFonts w:cstheme="minorHAnsi"/>
          <w:sz w:val="36"/>
          <w:szCs w:val="36"/>
        </w:rPr>
      </w:pPr>
      <w:r w:rsidRPr="00863A3C">
        <w:rPr>
          <w:rFonts w:cstheme="minorHAnsi"/>
          <w:sz w:val="36"/>
          <w:szCs w:val="36"/>
        </w:rPr>
        <w:t>4.07</w:t>
      </w:r>
      <w:r w:rsidRPr="00863A3C">
        <w:rPr>
          <w:rFonts w:cstheme="minorHAnsi"/>
          <w:sz w:val="36"/>
          <w:szCs w:val="36"/>
        </w:rPr>
        <w:tab/>
        <w:t>NIRAPARIB,</w:t>
      </w:r>
      <w:r>
        <w:rPr>
          <w:rFonts w:cstheme="minorHAnsi"/>
          <w:sz w:val="36"/>
          <w:szCs w:val="36"/>
        </w:rPr>
        <w:br/>
      </w:r>
      <w:r w:rsidRPr="00863A3C">
        <w:rPr>
          <w:rFonts w:cstheme="minorHAnsi"/>
          <w:sz w:val="36"/>
          <w:szCs w:val="36"/>
        </w:rPr>
        <w:t>Capsule 100 mg,</w:t>
      </w:r>
      <w:r>
        <w:rPr>
          <w:rFonts w:cstheme="minorHAnsi"/>
          <w:sz w:val="36"/>
          <w:szCs w:val="36"/>
        </w:rPr>
        <w:br/>
      </w:r>
      <w:r w:rsidRPr="00863A3C">
        <w:rPr>
          <w:rFonts w:cstheme="minorHAnsi"/>
          <w:sz w:val="36"/>
          <w:szCs w:val="36"/>
        </w:rPr>
        <w:t>Zejula®,</w:t>
      </w:r>
      <w:r>
        <w:rPr>
          <w:rFonts w:cstheme="minorHAnsi"/>
          <w:sz w:val="36"/>
          <w:szCs w:val="36"/>
        </w:rPr>
        <w:br/>
      </w:r>
      <w:r w:rsidRPr="00863A3C">
        <w:rPr>
          <w:rFonts w:cstheme="minorHAnsi"/>
          <w:sz w:val="36"/>
          <w:szCs w:val="36"/>
        </w:rPr>
        <w:t>GlaxoSmithKline Australia Pty Ltd.</w:t>
      </w:r>
    </w:p>
    <w:p w14:paraId="5A9606BA" w14:textId="77777777" w:rsidR="00C26073" w:rsidRPr="00863A3C" w:rsidRDefault="00C26073" w:rsidP="00C26073">
      <w:pPr>
        <w:pStyle w:val="PBACESHeading1"/>
        <w:rPr>
          <w:rFonts w:eastAsia="Calibri"/>
        </w:rPr>
      </w:pPr>
      <w:r w:rsidRPr="00863A3C">
        <w:rPr>
          <w:rFonts w:eastAsia="Calibri"/>
        </w:rPr>
        <w:t xml:space="preserve">Background </w:t>
      </w:r>
    </w:p>
    <w:p w14:paraId="488D04EE" w14:textId="77777777" w:rsidR="00C26073" w:rsidRPr="00863A3C" w:rsidRDefault="00C26073" w:rsidP="00C26073">
      <w:pPr>
        <w:pStyle w:val="ListParagraph"/>
        <w:spacing w:before="0" w:after="120"/>
        <w:rPr>
          <w:lang w:eastAsia="en-AU"/>
        </w:rPr>
      </w:pPr>
      <w:r w:rsidRPr="00863A3C">
        <w:t xml:space="preserve">In March 2023, the PBAC deferred its decision on whether to recommend niraparib for maintenance therapy in patients with newly diagnosed homologous recombination deficiency (HRD) positive </w:t>
      </w:r>
      <w:r w:rsidRPr="00863A3C">
        <w:rPr>
          <w:i/>
        </w:rPr>
        <w:t xml:space="preserve">BRCA </w:t>
      </w:r>
      <w:r w:rsidRPr="00863A3C">
        <w:t>wild type (</w:t>
      </w:r>
      <w:r w:rsidRPr="00863A3C">
        <w:rPr>
          <w:i/>
        </w:rPr>
        <w:t>BRCA</w:t>
      </w:r>
      <w:r w:rsidRPr="00863A3C">
        <w:rPr>
          <w:iCs/>
        </w:rPr>
        <w:t>wt</w:t>
      </w:r>
      <w:r w:rsidRPr="00863A3C">
        <w:t xml:space="preserve">) advanced epithelial ovarian, fallopian tube or primary peritoneal cancer. </w:t>
      </w:r>
      <w:r w:rsidRPr="00863A3C">
        <w:rPr>
          <w:lang w:eastAsia="en-AU"/>
        </w:rPr>
        <w:t xml:space="preserve">However, the PBAC considered that niraparib is likely to be non-inferior to olaparib in the HRD positive </w:t>
      </w:r>
      <w:r w:rsidRPr="00863A3C">
        <w:rPr>
          <w:i/>
          <w:lang w:eastAsia="en-AU"/>
        </w:rPr>
        <w:t>BRCA</w:t>
      </w:r>
      <w:r w:rsidRPr="00863A3C">
        <w:rPr>
          <w:iCs/>
          <w:lang w:eastAsia="en-AU"/>
        </w:rPr>
        <w:t>wt</w:t>
      </w:r>
      <w:r w:rsidRPr="00863A3C">
        <w:rPr>
          <w:lang w:eastAsia="en-AU"/>
        </w:rPr>
        <w:t xml:space="preserve"> setting, as previously accepted in the </w:t>
      </w:r>
      <w:r w:rsidRPr="00863A3C">
        <w:rPr>
          <w:i/>
          <w:lang w:eastAsia="en-AU"/>
        </w:rPr>
        <w:t>BRCA</w:t>
      </w:r>
      <w:r w:rsidRPr="00863A3C">
        <w:rPr>
          <w:iCs/>
          <w:lang w:eastAsia="en-AU"/>
        </w:rPr>
        <w:t>m</w:t>
      </w:r>
      <w:r w:rsidRPr="00863A3C">
        <w:rPr>
          <w:lang w:eastAsia="en-AU"/>
        </w:rPr>
        <w:t xml:space="preserve"> setting and therefore could be recommended on the basis of cost-minimisation versus olaparib in the event that olaparib is listed on the PBS for patients with HRD positive </w:t>
      </w:r>
      <w:r w:rsidRPr="00863A3C">
        <w:rPr>
          <w:i/>
          <w:lang w:eastAsia="en-AU"/>
        </w:rPr>
        <w:t>BRCA</w:t>
      </w:r>
      <w:r w:rsidRPr="00863A3C">
        <w:rPr>
          <w:iCs/>
          <w:lang w:eastAsia="en-AU"/>
        </w:rPr>
        <w:t xml:space="preserve">wt </w:t>
      </w:r>
      <w:r w:rsidRPr="00863A3C">
        <w:rPr>
          <w:lang w:eastAsia="en-AU"/>
        </w:rPr>
        <w:t xml:space="preserve">ovarian cancer (see paragraph </w:t>
      </w:r>
      <w:r w:rsidRPr="00863A3C">
        <w:rPr>
          <w:lang w:eastAsia="en-AU"/>
        </w:rPr>
        <w:fldChar w:fldCharType="begin" w:fldLock="1"/>
      </w:r>
      <w:r w:rsidRPr="00863A3C">
        <w:rPr>
          <w:lang w:eastAsia="en-AU"/>
        </w:rPr>
        <w:instrText xml:space="preserve"> REF _Ref140491601 \r \h </w:instrText>
      </w:r>
      <w:r w:rsidRPr="00863A3C">
        <w:rPr>
          <w:lang w:eastAsia="en-AU"/>
        </w:rPr>
      </w:r>
      <w:r w:rsidRPr="00863A3C">
        <w:rPr>
          <w:lang w:eastAsia="en-AU"/>
        </w:rPr>
        <w:fldChar w:fldCharType="separate"/>
      </w:r>
      <w:r w:rsidRPr="00863A3C">
        <w:rPr>
          <w:lang w:eastAsia="en-AU"/>
        </w:rPr>
        <w:t>7.1</w:t>
      </w:r>
      <w:r w:rsidRPr="00863A3C">
        <w:rPr>
          <w:lang w:eastAsia="en-AU"/>
        </w:rPr>
        <w:fldChar w:fldCharType="end"/>
      </w:r>
      <w:r w:rsidRPr="00863A3C">
        <w:rPr>
          <w:lang w:eastAsia="en-AU"/>
        </w:rPr>
        <w:t>).</w:t>
      </w:r>
    </w:p>
    <w:p w14:paraId="650305DC" w14:textId="552D92F4" w:rsidR="00C26073" w:rsidRPr="00863A3C" w:rsidRDefault="00C26073" w:rsidP="00C26073">
      <w:pPr>
        <w:pStyle w:val="ListParagraph"/>
        <w:spacing w:before="0" w:after="120"/>
      </w:pPr>
      <w:r w:rsidRPr="00863A3C">
        <w:t xml:space="preserve">In March 2023, the Medical Services Advisory Committee (MSAC) supported the creation of a new Medicare Benefits Schedule (MBS) item to test tumour tissue for genomic instability (GI) to determine homologous recombination deficiency (HRD) status (including </w:t>
      </w:r>
      <w:r w:rsidRPr="00863A3C">
        <w:rPr>
          <w:i/>
          <w:iCs/>
        </w:rPr>
        <w:t>BRCA1/2</w:t>
      </w:r>
      <w:r w:rsidRPr="00863A3C">
        <w:t xml:space="preserve"> status) to define eligibility for treatment with a poly-ADP ribose polymerase (PARP) inhibitor for patients with advanced (FIGO stage III-IV), high grade serous or other non-mucinous high grade ovarian, fallopian tube or primary peritoneal carcinoma (see </w:t>
      </w:r>
      <w:r w:rsidRPr="00863A3C">
        <w:fldChar w:fldCharType="begin" w:fldLock="1"/>
      </w:r>
      <w:r w:rsidRPr="00863A3C">
        <w:instrText xml:space="preserve"> REF _Ref140245867 \h  \* MERGEFORMAT </w:instrText>
      </w:r>
      <w:r w:rsidRPr="00863A3C">
        <w:fldChar w:fldCharType="separate"/>
      </w:r>
      <w:r w:rsidRPr="00863A3C">
        <w:t>Table 25</w:t>
      </w:r>
      <w:r w:rsidRPr="00863A3C">
        <w:fldChar w:fldCharType="end"/>
      </w:r>
      <w:r w:rsidRPr="00863A3C">
        <w:t>). It was noted that the sponsor had notified the Department that NATA accreditation had been granted for HRD testing by at least one pathology provider (</w:t>
      </w:r>
      <w:proofErr w:type="gramStart"/>
      <w:r w:rsidR="000D3685" w:rsidRPr="00091054">
        <w:rPr>
          <w:w w:val="15"/>
          <w:shd w:val="solid" w:color="000000" w:fill="000000"/>
          <w:fitText w:val="-20" w:id="-1167902208"/>
          <w14:textFill>
            <w14:solidFill>
              <w14:schemeClr w14:val="tx1">
                <w14:alpha w14:val="100000"/>
              </w14:schemeClr>
            </w14:solidFill>
          </w14:textFill>
        </w:rPr>
        <w:t xml:space="preserve">|  </w:t>
      </w:r>
      <w:r w:rsidR="000D3685" w:rsidRPr="00091054">
        <w:rPr>
          <w:spacing w:val="-69"/>
          <w:w w:val="15"/>
          <w:shd w:val="solid" w:color="000000" w:fill="000000"/>
          <w:fitText w:val="-20" w:id="-1167902208"/>
          <w14:textFill>
            <w14:solidFill>
              <w14:schemeClr w14:val="tx1">
                <w14:alpha w14:val="100000"/>
              </w14:schemeClr>
            </w14:solidFill>
          </w14:textFill>
        </w:rPr>
        <w:t>|</w:t>
      </w:r>
      <w:proofErr w:type="gramEnd"/>
      <w:r w:rsidRPr="00863A3C">
        <w:t xml:space="preserve"> for the TSO500 HRD test).</w:t>
      </w:r>
    </w:p>
    <w:p w14:paraId="4004BC3D" w14:textId="77777777" w:rsidR="00C26073" w:rsidRPr="00863A3C" w:rsidRDefault="00C26073" w:rsidP="00C26073">
      <w:pPr>
        <w:spacing w:before="0" w:after="0"/>
      </w:pPr>
      <w:bookmarkStart w:id="202" w:name="_Ref140245867"/>
      <w:r w:rsidRPr="00863A3C">
        <w:rPr>
          <w:rFonts w:ascii="Arial Narrow" w:hAnsi="Arial Narrow"/>
          <w:b/>
          <w:bCs/>
          <w:sz w:val="20"/>
          <w:szCs w:val="20"/>
        </w:rPr>
        <w:t xml:space="preserve">Table </w:t>
      </w:r>
      <w:r w:rsidRPr="00863A3C">
        <w:fldChar w:fldCharType="begin" w:fldLock="1"/>
      </w:r>
      <w:r w:rsidRPr="00863A3C">
        <w:rPr>
          <w:rFonts w:ascii="Arial Narrow" w:hAnsi="Arial Narrow"/>
          <w:b/>
          <w:bCs/>
          <w:sz w:val="20"/>
          <w:szCs w:val="20"/>
        </w:rPr>
        <w:instrText xml:space="preserve"> SEQ Table \* ARABIC </w:instrText>
      </w:r>
      <w:r w:rsidRPr="00863A3C">
        <w:fldChar w:fldCharType="separate"/>
      </w:r>
      <w:r w:rsidRPr="00863A3C">
        <w:rPr>
          <w:rFonts w:ascii="Arial Narrow" w:hAnsi="Arial Narrow"/>
          <w:b/>
          <w:bCs/>
          <w:sz w:val="20"/>
          <w:szCs w:val="20"/>
        </w:rPr>
        <w:t>25</w:t>
      </w:r>
      <w:r w:rsidRPr="00863A3C">
        <w:fldChar w:fldCharType="end"/>
      </w:r>
      <w:bookmarkEnd w:id="202"/>
      <w:r w:rsidRPr="00863A3C">
        <w:rPr>
          <w:rFonts w:ascii="Arial Narrow" w:hAnsi="Arial Narrow"/>
          <w:b/>
          <w:bCs/>
          <w:sz w:val="20"/>
          <w:szCs w:val="20"/>
        </w:rPr>
        <w:t>: MSAC’s supported item descriptor (applies to MSAC Application 1726)</w:t>
      </w:r>
    </w:p>
    <w:tbl>
      <w:tblPr>
        <w:tblStyle w:val="TableGrid"/>
        <w:tblW w:w="9020" w:type="dxa"/>
        <w:tblLook w:val="04A0" w:firstRow="1" w:lastRow="0" w:firstColumn="1" w:lastColumn="0" w:noHBand="0" w:noVBand="1"/>
        <w:tblDescription w:val="Consumer summary of MSAC consideration"/>
      </w:tblPr>
      <w:tblGrid>
        <w:gridCol w:w="9020"/>
      </w:tblGrid>
      <w:tr w:rsidR="00C26073" w:rsidRPr="00863A3C" w14:paraId="39A3F1CE" w14:textId="77777777" w:rsidTr="003370CF">
        <w:trPr>
          <w:cnfStyle w:val="100000000000" w:firstRow="1" w:lastRow="0" w:firstColumn="0" w:lastColumn="0" w:oddVBand="0" w:evenVBand="0" w:oddHBand="0" w:evenHBand="0" w:firstRowFirstColumn="0" w:firstRowLastColumn="0" w:lastRowFirstColumn="0" w:lastRowLastColumn="0"/>
        </w:trPr>
        <w:tc>
          <w:tcPr>
            <w:tcW w:w="9020" w:type="dxa"/>
            <w:tcBorders>
              <w:top w:val="single" w:sz="4" w:space="0" w:color="auto"/>
              <w:left w:val="single" w:sz="4" w:space="0" w:color="auto"/>
              <w:bottom w:val="single" w:sz="4" w:space="0" w:color="auto"/>
              <w:right w:val="single" w:sz="4" w:space="0" w:color="auto"/>
            </w:tcBorders>
            <w:hideMark/>
          </w:tcPr>
          <w:p w14:paraId="10B6388B" w14:textId="77777777" w:rsidR="00C26073" w:rsidRPr="00863A3C" w:rsidRDefault="00C26073" w:rsidP="003370CF">
            <w:pPr>
              <w:spacing w:before="0"/>
              <w:jc w:val="right"/>
              <w:rPr>
                <w:rFonts w:ascii="Arial Narrow" w:hAnsi="Arial Narrow"/>
                <w:sz w:val="20"/>
                <w:szCs w:val="20"/>
                <w:lang w:val="en-AU"/>
              </w:rPr>
            </w:pPr>
            <w:r w:rsidRPr="00863A3C">
              <w:rPr>
                <w:rFonts w:ascii="Arial Narrow" w:hAnsi="Arial Narrow"/>
                <w:sz w:val="20"/>
                <w:szCs w:val="20"/>
                <w:lang w:val="en-AU"/>
              </w:rPr>
              <w:t>Category 6 – Pathology Services   Group P7 - Genetics</w:t>
            </w:r>
          </w:p>
        </w:tc>
      </w:tr>
      <w:tr w:rsidR="00C26073" w:rsidRPr="00863A3C" w14:paraId="1117AE5C" w14:textId="77777777" w:rsidTr="003370CF">
        <w:tc>
          <w:tcPr>
            <w:tcW w:w="9020" w:type="dxa"/>
            <w:tcBorders>
              <w:top w:val="single" w:sz="4" w:space="0" w:color="auto"/>
              <w:left w:val="single" w:sz="4" w:space="0" w:color="auto"/>
              <w:bottom w:val="single" w:sz="4" w:space="0" w:color="auto"/>
              <w:right w:val="single" w:sz="4" w:space="0" w:color="auto"/>
            </w:tcBorders>
            <w:hideMark/>
          </w:tcPr>
          <w:p w14:paraId="61804659" w14:textId="77777777" w:rsidR="00C26073" w:rsidRPr="00863A3C" w:rsidRDefault="00C26073" w:rsidP="003370CF">
            <w:pPr>
              <w:spacing w:before="0"/>
              <w:rPr>
                <w:rFonts w:ascii="Arial Narrow" w:hAnsi="Arial Narrow"/>
                <w:sz w:val="20"/>
                <w:szCs w:val="20"/>
                <w:lang w:val="en-AU"/>
              </w:rPr>
            </w:pPr>
            <w:r w:rsidRPr="00863A3C">
              <w:rPr>
                <w:rFonts w:ascii="Arial Narrow" w:hAnsi="Arial Narrow"/>
                <w:sz w:val="20"/>
                <w:szCs w:val="20"/>
                <w:lang w:val="en-AU"/>
              </w:rPr>
              <w:t>MBS item XXXXX </w:t>
            </w:r>
          </w:p>
        </w:tc>
      </w:tr>
      <w:tr w:rsidR="00C26073" w:rsidRPr="00863A3C" w14:paraId="4C922788" w14:textId="77777777" w:rsidTr="003370CF">
        <w:tc>
          <w:tcPr>
            <w:tcW w:w="9020" w:type="dxa"/>
            <w:tcBorders>
              <w:top w:val="single" w:sz="4" w:space="0" w:color="auto"/>
              <w:left w:val="single" w:sz="4" w:space="0" w:color="auto"/>
              <w:bottom w:val="single" w:sz="4" w:space="0" w:color="auto"/>
              <w:right w:val="single" w:sz="4" w:space="0" w:color="auto"/>
            </w:tcBorders>
            <w:vAlign w:val="center"/>
            <w:hideMark/>
          </w:tcPr>
          <w:p w14:paraId="5488B3B9" w14:textId="77777777" w:rsidR="00C26073" w:rsidRPr="00863A3C" w:rsidRDefault="00C26073" w:rsidP="003370CF">
            <w:pPr>
              <w:spacing w:before="0"/>
              <w:rPr>
                <w:rFonts w:ascii="Arial Narrow" w:hAnsi="Arial Narrow"/>
                <w:sz w:val="20"/>
                <w:szCs w:val="20"/>
                <w:lang w:val="en-AU"/>
              </w:rPr>
            </w:pPr>
            <w:r w:rsidRPr="00863A3C">
              <w:rPr>
                <w:rFonts w:ascii="Arial Narrow" w:hAnsi="Arial Narrow"/>
                <w:sz w:val="20"/>
                <w:szCs w:val="20"/>
                <w:lang w:val="en-AU"/>
              </w:rPr>
              <w:t xml:space="preserve">A test of tumour tissue from a patient with advanced (FIGO III–IV), high-grade serous or other high-grade ovarian, fallopian tube or primary peritoneal carcinoma, requested by a specialist or consultant physician, to determine eligibility with respect to homologous recombination deficiency (HRD) status, including </w:t>
            </w:r>
            <w:r w:rsidRPr="00863A3C">
              <w:rPr>
                <w:rFonts w:ascii="Arial Narrow" w:hAnsi="Arial Narrow"/>
                <w:i/>
                <w:iCs/>
                <w:sz w:val="20"/>
                <w:szCs w:val="20"/>
                <w:lang w:val="en-AU"/>
              </w:rPr>
              <w:t>BRCA1/2</w:t>
            </w:r>
            <w:r w:rsidRPr="00863A3C">
              <w:rPr>
                <w:rFonts w:ascii="Arial Narrow" w:hAnsi="Arial Narrow"/>
                <w:sz w:val="20"/>
                <w:szCs w:val="20"/>
                <w:lang w:val="en-AU"/>
              </w:rPr>
              <w:t xml:space="preserve"> status, for access to PARP inhibitor therapy under the Pharmaceutical Benefits Scheme (PBS).</w:t>
            </w:r>
          </w:p>
          <w:p w14:paraId="1B6391CE" w14:textId="77777777" w:rsidR="00C26073" w:rsidRPr="00863A3C" w:rsidRDefault="00C26073" w:rsidP="003370CF">
            <w:pPr>
              <w:spacing w:before="0"/>
              <w:rPr>
                <w:rFonts w:ascii="Arial Narrow" w:hAnsi="Arial Narrow"/>
                <w:sz w:val="20"/>
                <w:szCs w:val="20"/>
                <w:lang w:val="en-AU"/>
              </w:rPr>
            </w:pPr>
            <w:r w:rsidRPr="00863A3C">
              <w:rPr>
                <w:rFonts w:ascii="Arial Narrow" w:hAnsi="Arial Narrow"/>
                <w:sz w:val="20"/>
                <w:szCs w:val="20"/>
                <w:lang w:val="en-AU"/>
              </w:rPr>
              <w:t>Evidence of homologous recombination deficiency must be derived through a test that has been validated against the Myriad MyChoice</w:t>
            </w:r>
            <w:r w:rsidRPr="00863A3C">
              <w:rPr>
                <w:rFonts w:ascii="Arial Narrow" w:hAnsi="Arial Narrow"/>
                <w:sz w:val="20"/>
                <w:szCs w:val="20"/>
                <w:vertAlign w:val="superscript"/>
                <w:lang w:val="en-AU"/>
              </w:rPr>
              <w:t>®</w:t>
            </w:r>
            <w:r w:rsidRPr="00863A3C">
              <w:rPr>
                <w:rFonts w:ascii="Arial Narrow" w:hAnsi="Arial Narrow"/>
                <w:sz w:val="20"/>
                <w:szCs w:val="20"/>
                <w:lang w:val="en-AU"/>
              </w:rPr>
              <w:t xml:space="preserve"> HRD assay.</w:t>
            </w:r>
          </w:p>
          <w:p w14:paraId="55DD5E42" w14:textId="77777777" w:rsidR="00C26073" w:rsidRPr="00863A3C" w:rsidRDefault="00C26073" w:rsidP="003370CF">
            <w:pPr>
              <w:spacing w:before="0"/>
              <w:rPr>
                <w:rFonts w:ascii="Arial Narrow" w:hAnsi="Arial Narrow"/>
                <w:sz w:val="20"/>
                <w:szCs w:val="20"/>
                <w:lang w:val="en-AU"/>
              </w:rPr>
            </w:pPr>
            <w:r w:rsidRPr="00863A3C">
              <w:rPr>
                <w:rFonts w:ascii="Arial Narrow" w:hAnsi="Arial Narrow"/>
                <w:sz w:val="20"/>
                <w:szCs w:val="20"/>
                <w:lang w:val="en-AU"/>
              </w:rPr>
              <w:t>Applicable once per primary tumour diagnosis. Not applicable to a service to which 73295 or 73301 applies.</w:t>
            </w:r>
          </w:p>
          <w:p w14:paraId="2875DC53" w14:textId="77777777" w:rsidR="00C26073" w:rsidRPr="00863A3C" w:rsidRDefault="00C26073" w:rsidP="003370CF">
            <w:pPr>
              <w:spacing w:before="0"/>
              <w:rPr>
                <w:rFonts w:ascii="Arial Narrow" w:hAnsi="Arial Narrow"/>
                <w:sz w:val="20"/>
                <w:szCs w:val="20"/>
                <w:lang w:val="en-AU"/>
              </w:rPr>
            </w:pPr>
            <w:r w:rsidRPr="00863A3C">
              <w:rPr>
                <w:rFonts w:ascii="Arial Narrow" w:hAnsi="Arial Narrow"/>
                <w:sz w:val="20"/>
                <w:szCs w:val="20"/>
                <w:lang w:val="en-AU"/>
              </w:rPr>
              <w:t>Fee: $3,000.00 Benefit: 75% = $2,250.00 85% = $2,906.80</w:t>
            </w:r>
          </w:p>
        </w:tc>
      </w:tr>
      <w:tr w:rsidR="00C26073" w:rsidRPr="00863A3C" w14:paraId="01E9A269" w14:textId="77777777" w:rsidTr="003370CF">
        <w:trPr>
          <w:trHeight w:val="546"/>
        </w:trPr>
        <w:tc>
          <w:tcPr>
            <w:tcW w:w="9020" w:type="dxa"/>
            <w:tcBorders>
              <w:top w:val="single" w:sz="4" w:space="0" w:color="auto"/>
              <w:left w:val="single" w:sz="4" w:space="0" w:color="auto"/>
              <w:bottom w:val="single" w:sz="4" w:space="0" w:color="auto"/>
              <w:right w:val="single" w:sz="4" w:space="0" w:color="auto"/>
            </w:tcBorders>
            <w:vAlign w:val="center"/>
            <w:hideMark/>
          </w:tcPr>
          <w:p w14:paraId="1E035BE8" w14:textId="77777777" w:rsidR="00C26073" w:rsidRPr="00863A3C" w:rsidRDefault="00C26073" w:rsidP="003370CF">
            <w:pPr>
              <w:spacing w:before="0"/>
              <w:rPr>
                <w:rFonts w:ascii="Arial Narrow" w:hAnsi="Arial Narrow"/>
                <w:sz w:val="20"/>
                <w:szCs w:val="20"/>
                <w:lang w:val="en-AU"/>
              </w:rPr>
            </w:pPr>
            <w:r w:rsidRPr="00863A3C">
              <w:rPr>
                <w:rFonts w:ascii="Arial Narrow" w:hAnsi="Arial Narrow"/>
                <w:sz w:val="20"/>
                <w:szCs w:val="20"/>
                <w:lang w:val="en-AU"/>
              </w:rPr>
              <w:t xml:space="preserve">Practice </w:t>
            </w:r>
            <w:proofErr w:type="gramStart"/>
            <w:r w:rsidRPr="00863A3C">
              <w:rPr>
                <w:rFonts w:ascii="Arial Narrow" w:hAnsi="Arial Narrow"/>
                <w:sz w:val="20"/>
                <w:szCs w:val="20"/>
                <w:lang w:val="en-AU"/>
              </w:rPr>
              <w:t>note</w:t>
            </w:r>
            <w:proofErr w:type="gramEnd"/>
            <w:r w:rsidRPr="00863A3C">
              <w:rPr>
                <w:rFonts w:ascii="Arial Narrow" w:hAnsi="Arial Narrow"/>
                <w:sz w:val="20"/>
                <w:szCs w:val="20"/>
                <w:lang w:val="en-AU"/>
              </w:rPr>
              <w:t>: Validation against the Myriad MyChoice</w:t>
            </w:r>
            <w:r w:rsidRPr="00863A3C">
              <w:rPr>
                <w:rFonts w:ascii="Arial Narrow" w:hAnsi="Arial Narrow"/>
                <w:sz w:val="20"/>
                <w:szCs w:val="20"/>
                <w:vertAlign w:val="superscript"/>
                <w:lang w:val="en-AU"/>
              </w:rPr>
              <w:t>®</w:t>
            </w:r>
            <w:r w:rsidRPr="00863A3C">
              <w:rPr>
                <w:rFonts w:ascii="Arial Narrow" w:hAnsi="Arial Narrow"/>
                <w:sz w:val="20"/>
                <w:szCs w:val="20"/>
                <w:lang w:val="en-AU"/>
              </w:rPr>
              <w:t xml:space="preserve"> HRD assay should use a score of 42 or greater as the threshold for HRD (genomic instability) positivity.</w:t>
            </w:r>
          </w:p>
        </w:tc>
      </w:tr>
    </w:tbl>
    <w:p w14:paraId="7B08426D" w14:textId="77777777" w:rsidR="00C26073" w:rsidRPr="00BB03D6" w:rsidRDefault="00C26073" w:rsidP="00C26073">
      <w:pPr>
        <w:spacing w:before="0" w:after="120"/>
        <w:rPr>
          <w:rFonts w:ascii="Arial Narrow" w:eastAsia="Arial Narrow" w:hAnsi="Arial Narrow" w:cs="Arial Narrow"/>
          <w:sz w:val="18"/>
          <w:szCs w:val="18"/>
        </w:rPr>
      </w:pPr>
      <w:r w:rsidRPr="00863A3C">
        <w:rPr>
          <w:rFonts w:ascii="Arial Narrow" w:eastAsia="Arial Narrow" w:hAnsi="Arial Narrow" w:cs="Arial Narrow"/>
          <w:sz w:val="18"/>
          <w:szCs w:val="18"/>
        </w:rPr>
        <w:t>85% benefit reflects the 1 November 2022 Greatest Permissible Gap (GPG) of $93.20. All out-of-hospital Medicare services that have an MBS fee of $621.50 or more will attract a benefit that is greater than 85% of the MBS fee – being the schedule fee less the GPG amount. The GPG amount is indexed annually on 1 November in line with the Consumer Price Index (CPI) (June quarter).</w:t>
      </w:r>
    </w:p>
    <w:p w14:paraId="06E936DB" w14:textId="77777777" w:rsidR="00C26073" w:rsidRPr="00863A3C" w:rsidRDefault="00C26073" w:rsidP="00C26073">
      <w:pPr>
        <w:pStyle w:val="ListParagraph"/>
        <w:spacing w:before="0" w:after="120"/>
      </w:pPr>
      <w:r w:rsidRPr="00863A3C">
        <w:lastRenderedPageBreak/>
        <w:t xml:space="preserve">The sponsor provided additional information for PBAC consideration after receipt of the MSAC Public Summary Document for Application No. 1726. A summary of the additional information and issues addressed is provided in </w:t>
      </w:r>
      <w:r w:rsidRPr="00863A3C">
        <w:fldChar w:fldCharType="begin" w:fldLock="1"/>
      </w:r>
      <w:r w:rsidRPr="00863A3C">
        <w:instrText xml:space="preserve"> REF _Ref133512724 \h </w:instrText>
      </w:r>
      <w:r w:rsidRPr="00863A3C">
        <w:fldChar w:fldCharType="separate"/>
      </w:r>
      <w:r w:rsidRPr="00863A3C">
        <w:t>Table 26</w:t>
      </w:r>
      <w:r w:rsidRPr="00863A3C">
        <w:fldChar w:fldCharType="end"/>
      </w:r>
      <w:r w:rsidRPr="00863A3C">
        <w:t xml:space="preserve">. </w:t>
      </w:r>
    </w:p>
    <w:p w14:paraId="3BEA1F4A" w14:textId="77777777" w:rsidR="00C26073" w:rsidRPr="00863A3C" w:rsidRDefault="00C26073" w:rsidP="00C26073">
      <w:pPr>
        <w:pStyle w:val="Caption"/>
        <w:rPr>
          <w:bCs/>
          <w:szCs w:val="20"/>
        </w:rPr>
      </w:pPr>
      <w:bookmarkStart w:id="203" w:name="_Ref133512724"/>
      <w:r w:rsidRPr="00863A3C">
        <w:t xml:space="preserve">Table </w:t>
      </w:r>
      <w:r w:rsidR="00091054">
        <w:fldChar w:fldCharType="begin" w:fldLock="1"/>
      </w:r>
      <w:r w:rsidR="00091054">
        <w:instrText xml:space="preserve"> SEQ Table \* ARABIC </w:instrText>
      </w:r>
      <w:r w:rsidR="00091054">
        <w:fldChar w:fldCharType="separate"/>
      </w:r>
      <w:r w:rsidRPr="00863A3C">
        <w:t>26</w:t>
      </w:r>
      <w:r w:rsidR="00091054">
        <w:fldChar w:fldCharType="end"/>
      </w:r>
      <w:bookmarkEnd w:id="203"/>
      <w:r w:rsidRPr="00863A3C">
        <w:rPr>
          <w:szCs w:val="20"/>
        </w:rPr>
        <w:t xml:space="preserve">: Issues to be </w:t>
      </w:r>
      <w:proofErr w:type="gramStart"/>
      <w:r w:rsidRPr="00863A3C">
        <w:rPr>
          <w:szCs w:val="20"/>
        </w:rPr>
        <w:t>addressed</w:t>
      </w:r>
      <w:proofErr w:type="gramEnd"/>
    </w:p>
    <w:tbl>
      <w:tblPr>
        <w:tblStyle w:val="ASDTable1"/>
        <w:tblW w:w="0" w:type="auto"/>
        <w:tblLook w:val="04A0" w:firstRow="1" w:lastRow="0" w:firstColumn="1" w:lastColumn="0" w:noHBand="0" w:noVBand="1"/>
      </w:tblPr>
      <w:tblGrid>
        <w:gridCol w:w="308"/>
        <w:gridCol w:w="3088"/>
        <w:gridCol w:w="5620"/>
      </w:tblGrid>
      <w:tr w:rsidR="00C26073" w:rsidRPr="00863A3C" w14:paraId="14A248A4" w14:textId="77777777" w:rsidTr="00584B37">
        <w:trPr>
          <w:trHeight w:val="20"/>
        </w:trPr>
        <w:tc>
          <w:tcPr>
            <w:tcW w:w="3396" w:type="dxa"/>
            <w:gridSpan w:val="2"/>
            <w:shd w:val="clear" w:color="auto" w:fill="E7E6E6" w:themeFill="background2"/>
          </w:tcPr>
          <w:p w14:paraId="1FBF2869" w14:textId="77777777" w:rsidR="00C26073" w:rsidRPr="00863A3C" w:rsidRDefault="00C26073" w:rsidP="003370CF">
            <w:pPr>
              <w:pStyle w:val="COMtablefigcaption"/>
              <w:rPr>
                <w:b w:val="0"/>
                <w:bCs w:val="0"/>
                <w:szCs w:val="20"/>
              </w:rPr>
            </w:pPr>
            <w:r w:rsidRPr="00863A3C">
              <w:rPr>
                <w:bCs w:val="0"/>
                <w:szCs w:val="20"/>
              </w:rPr>
              <w:t>Matter of Concern</w:t>
            </w:r>
          </w:p>
        </w:tc>
        <w:tc>
          <w:tcPr>
            <w:tcW w:w="0" w:type="auto"/>
            <w:shd w:val="clear" w:color="auto" w:fill="E7E6E6" w:themeFill="background2"/>
          </w:tcPr>
          <w:p w14:paraId="037E0569" w14:textId="77777777" w:rsidR="00C26073" w:rsidRPr="00863A3C" w:rsidRDefault="00C26073" w:rsidP="003370CF">
            <w:pPr>
              <w:pStyle w:val="COMtablefigcaption"/>
              <w:rPr>
                <w:b w:val="0"/>
                <w:bCs w:val="0"/>
                <w:szCs w:val="20"/>
              </w:rPr>
            </w:pPr>
            <w:r w:rsidRPr="00863A3C">
              <w:rPr>
                <w:bCs w:val="0"/>
                <w:szCs w:val="20"/>
              </w:rPr>
              <w:t xml:space="preserve">Additional information from sponsor </w:t>
            </w:r>
          </w:p>
        </w:tc>
      </w:tr>
      <w:tr w:rsidR="00C26073" w:rsidRPr="00863A3C" w14:paraId="433DD239" w14:textId="77777777" w:rsidTr="00584B37">
        <w:trPr>
          <w:trHeight w:val="20"/>
        </w:trPr>
        <w:tc>
          <w:tcPr>
            <w:tcW w:w="0" w:type="auto"/>
          </w:tcPr>
          <w:p w14:paraId="30C97799" w14:textId="77777777" w:rsidR="00C26073" w:rsidRPr="00863A3C" w:rsidRDefault="00C26073" w:rsidP="003370CF">
            <w:pPr>
              <w:pStyle w:val="COMTabletext"/>
              <w:rPr>
                <w:szCs w:val="20"/>
              </w:rPr>
            </w:pPr>
            <w:r w:rsidRPr="00863A3C">
              <w:rPr>
                <w:szCs w:val="20"/>
              </w:rPr>
              <w:t>1</w:t>
            </w:r>
          </w:p>
        </w:tc>
        <w:tc>
          <w:tcPr>
            <w:tcW w:w="3088" w:type="dxa"/>
          </w:tcPr>
          <w:p w14:paraId="3BFDEF04" w14:textId="77777777" w:rsidR="00C26073" w:rsidRPr="00863A3C" w:rsidRDefault="00C26073" w:rsidP="00B4602B">
            <w:pPr>
              <w:pStyle w:val="COMTabletext"/>
              <w:jc w:val="both"/>
              <w:rPr>
                <w:szCs w:val="20"/>
              </w:rPr>
            </w:pPr>
            <w:r w:rsidRPr="00863A3C">
              <w:rPr>
                <w:szCs w:val="20"/>
              </w:rPr>
              <w:t>Sponsor to provide a recalculated CMA according to the methodology described in paragraph 7.17, March 2023 PSD.</w:t>
            </w:r>
          </w:p>
        </w:tc>
        <w:tc>
          <w:tcPr>
            <w:tcW w:w="0" w:type="auto"/>
          </w:tcPr>
          <w:p w14:paraId="17C73C68" w14:textId="77777777" w:rsidR="00C26073" w:rsidRPr="00863A3C" w:rsidRDefault="00C26073" w:rsidP="00B4602B">
            <w:pPr>
              <w:pStyle w:val="COMTabletext"/>
              <w:jc w:val="both"/>
              <w:rPr>
                <w:szCs w:val="20"/>
              </w:rPr>
            </w:pPr>
            <w:r w:rsidRPr="00863A3C">
              <w:rPr>
                <w:szCs w:val="20"/>
              </w:rPr>
              <w:t>Consistent with PBAC advice, the sponsor proposed the following parameters for the CMA:</w:t>
            </w:r>
          </w:p>
          <w:p w14:paraId="51650DFD" w14:textId="77777777" w:rsidR="00C26073" w:rsidRPr="00863A3C" w:rsidRDefault="00C26073" w:rsidP="00B4602B">
            <w:pPr>
              <w:pStyle w:val="ListParagraph"/>
              <w:numPr>
                <w:ilvl w:val="0"/>
                <w:numId w:val="36"/>
              </w:numPr>
              <w:spacing w:before="0"/>
              <w:contextualSpacing/>
              <w:rPr>
                <w:rFonts w:ascii="Arial Narrow" w:hAnsi="Arial Narrow"/>
                <w:sz w:val="20"/>
              </w:rPr>
            </w:pPr>
            <w:r w:rsidRPr="00863A3C">
              <w:rPr>
                <w:rFonts w:ascii="Arial Narrow" w:hAnsi="Arial Narrow"/>
                <w:sz w:val="20"/>
              </w:rPr>
              <w:t>Equi-effective doses were estimated as niraparib 162.1 mg/day for 15.66 months and a fixed daily cost of any olaparib daily dose (600 mg/day, 500 mg/day or 400 mg/day) for 18.7 months at 96% compliance.</w:t>
            </w:r>
          </w:p>
          <w:p w14:paraId="2CD68332" w14:textId="77777777" w:rsidR="00C26073" w:rsidRPr="00BB03D6" w:rsidRDefault="00C26073" w:rsidP="003176A5">
            <w:pPr>
              <w:pStyle w:val="ListParagraph"/>
              <w:numPr>
                <w:ilvl w:val="0"/>
                <w:numId w:val="36"/>
              </w:numPr>
              <w:spacing w:before="0"/>
              <w:contextualSpacing/>
              <w:rPr>
                <w:rFonts w:ascii="Arial Narrow" w:hAnsi="Arial Narrow"/>
                <w:sz w:val="20"/>
              </w:rPr>
            </w:pPr>
            <w:r w:rsidRPr="00863A3C">
              <w:rPr>
                <w:rFonts w:ascii="Arial Narrow" w:hAnsi="Arial Narrow"/>
                <w:sz w:val="20"/>
              </w:rPr>
              <w:t xml:space="preserve">Cost offsets for hospitalisations due to adverse events, thrombocytopenia and anaemia ($209.55) and monitoring of CBC and BP ($399.52).  </w:t>
            </w:r>
          </w:p>
          <w:p w14:paraId="3C73D84D" w14:textId="77777777" w:rsidR="00C26073" w:rsidRPr="00863A3C" w:rsidRDefault="00C26073" w:rsidP="00B4602B">
            <w:pPr>
              <w:pStyle w:val="COMTabletext"/>
              <w:jc w:val="both"/>
              <w:rPr>
                <w:szCs w:val="20"/>
              </w:rPr>
            </w:pPr>
            <w:r w:rsidRPr="00863A3C">
              <w:rPr>
                <w:szCs w:val="20"/>
              </w:rPr>
              <w:t>The CMA applying the published price for olaparib results in a niraparib price of $6,378.14 (56 capsules) and $9,567.21 (84 capsules) for niraparib (</w:t>
            </w:r>
            <w:r w:rsidRPr="00863A3C">
              <w:rPr>
                <w:szCs w:val="20"/>
              </w:rPr>
              <w:fldChar w:fldCharType="begin" w:fldLock="1"/>
            </w:r>
            <w:r w:rsidRPr="00863A3C">
              <w:rPr>
                <w:szCs w:val="20"/>
              </w:rPr>
              <w:instrText xml:space="preserve"> REF _Ref133512755 \h  \* MERGEFORMAT </w:instrText>
            </w:r>
            <w:r w:rsidRPr="00863A3C">
              <w:rPr>
                <w:szCs w:val="20"/>
              </w:rPr>
            </w:r>
            <w:r w:rsidRPr="00863A3C">
              <w:rPr>
                <w:szCs w:val="20"/>
              </w:rPr>
              <w:fldChar w:fldCharType="separate"/>
            </w:r>
            <w:r w:rsidRPr="00863A3C">
              <w:rPr>
                <w:szCs w:val="20"/>
              </w:rPr>
              <w:t>Table 27</w:t>
            </w:r>
            <w:r w:rsidRPr="00863A3C">
              <w:rPr>
                <w:szCs w:val="20"/>
              </w:rPr>
              <w:fldChar w:fldCharType="end"/>
            </w:r>
            <w:r w:rsidRPr="00863A3C">
              <w:rPr>
                <w:szCs w:val="20"/>
              </w:rPr>
              <w:t>), however the sponsor noted that the niraparib price would be recalculated after the confidential olaparib price is available.</w:t>
            </w:r>
          </w:p>
        </w:tc>
      </w:tr>
      <w:tr w:rsidR="00C26073" w:rsidRPr="00863A3C" w14:paraId="68266BEF" w14:textId="77777777" w:rsidTr="00584B37">
        <w:trPr>
          <w:trHeight w:val="20"/>
        </w:trPr>
        <w:tc>
          <w:tcPr>
            <w:tcW w:w="0" w:type="auto"/>
          </w:tcPr>
          <w:p w14:paraId="35B69CCA" w14:textId="77777777" w:rsidR="00C26073" w:rsidRPr="00863A3C" w:rsidRDefault="00C26073" w:rsidP="003370CF">
            <w:pPr>
              <w:pStyle w:val="COMTabletext"/>
              <w:rPr>
                <w:szCs w:val="20"/>
              </w:rPr>
            </w:pPr>
            <w:r w:rsidRPr="00863A3C">
              <w:rPr>
                <w:szCs w:val="20"/>
              </w:rPr>
              <w:t>2</w:t>
            </w:r>
          </w:p>
        </w:tc>
        <w:tc>
          <w:tcPr>
            <w:tcW w:w="3088" w:type="dxa"/>
          </w:tcPr>
          <w:p w14:paraId="39A9C12F" w14:textId="77777777" w:rsidR="00C26073" w:rsidRPr="00863A3C" w:rsidRDefault="00C26073" w:rsidP="00B4602B">
            <w:pPr>
              <w:pStyle w:val="COMTabletext"/>
              <w:jc w:val="both"/>
              <w:rPr>
                <w:szCs w:val="20"/>
              </w:rPr>
            </w:pPr>
            <w:r w:rsidRPr="00863A3C">
              <w:rPr>
                <w:szCs w:val="20"/>
              </w:rPr>
              <w:t>Sponsor to provide recalculated financial implications using the revised niraparib price and any other changes to parameters arising from the revised CMA as discussed in paragraph 7.18, March 2023 PSD.</w:t>
            </w:r>
          </w:p>
        </w:tc>
        <w:tc>
          <w:tcPr>
            <w:tcW w:w="0" w:type="auto"/>
          </w:tcPr>
          <w:p w14:paraId="4064ECB5" w14:textId="0B4C677E" w:rsidR="00C26073" w:rsidRPr="00863A3C" w:rsidRDefault="00C26073" w:rsidP="00B4602B">
            <w:pPr>
              <w:pStyle w:val="COMTabletext"/>
              <w:jc w:val="both"/>
              <w:rPr>
                <w:szCs w:val="20"/>
              </w:rPr>
            </w:pPr>
            <w:r w:rsidRPr="00863A3C">
              <w:rPr>
                <w:szCs w:val="20"/>
              </w:rPr>
              <w:t>The sponsor provided revised estimates as requested (</w:t>
            </w:r>
            <w:r w:rsidRPr="00863A3C">
              <w:rPr>
                <w:szCs w:val="20"/>
              </w:rPr>
              <w:fldChar w:fldCharType="begin" w:fldLock="1"/>
            </w:r>
            <w:r w:rsidRPr="00863A3C">
              <w:rPr>
                <w:szCs w:val="20"/>
              </w:rPr>
              <w:instrText xml:space="preserve"> REF _Ref132968001 \h  \* MERGEFORMAT </w:instrText>
            </w:r>
            <w:r w:rsidRPr="00863A3C">
              <w:rPr>
                <w:szCs w:val="20"/>
              </w:rPr>
            </w:r>
            <w:r w:rsidRPr="00863A3C">
              <w:rPr>
                <w:szCs w:val="20"/>
              </w:rPr>
              <w:fldChar w:fldCharType="separate"/>
            </w:r>
            <w:r w:rsidRPr="00863A3C">
              <w:rPr>
                <w:szCs w:val="20"/>
              </w:rPr>
              <w:t>Table 28</w:t>
            </w:r>
            <w:r w:rsidRPr="00863A3C">
              <w:rPr>
                <w:szCs w:val="20"/>
              </w:rPr>
              <w:fldChar w:fldCharType="end"/>
            </w:r>
            <w:r w:rsidRPr="00863A3C">
              <w:rPr>
                <w:szCs w:val="20"/>
              </w:rPr>
              <w:t>). Consistent with PBAC advice, the estimates resulted in modest cost savings to PBS/RPBS due to the inclusion of AE and monitoring costs in the CMA (</w:t>
            </w:r>
            <w:r w:rsidRPr="00863A3C">
              <w:rPr>
                <w:szCs w:val="20"/>
              </w:rPr>
              <w:fldChar w:fldCharType="begin" w:fldLock="1"/>
            </w:r>
            <w:r w:rsidRPr="00863A3C">
              <w:rPr>
                <w:szCs w:val="20"/>
              </w:rPr>
              <w:instrText xml:space="preserve"> REF _Ref133512755 \h  \* MERGEFORMAT </w:instrText>
            </w:r>
            <w:r w:rsidRPr="00863A3C">
              <w:rPr>
                <w:szCs w:val="20"/>
              </w:rPr>
            </w:r>
            <w:r w:rsidRPr="00863A3C">
              <w:rPr>
                <w:szCs w:val="20"/>
              </w:rPr>
              <w:fldChar w:fldCharType="separate"/>
            </w:r>
            <w:r w:rsidRPr="00863A3C">
              <w:rPr>
                <w:szCs w:val="20"/>
              </w:rPr>
              <w:t>Table 27</w:t>
            </w:r>
            <w:r w:rsidRPr="00863A3C">
              <w:rPr>
                <w:szCs w:val="20"/>
              </w:rPr>
              <w:fldChar w:fldCharType="end"/>
            </w:r>
            <w:r w:rsidRPr="00863A3C">
              <w:rPr>
                <w:szCs w:val="20"/>
              </w:rPr>
              <w:t>, based on published Olaparib price).</w:t>
            </w:r>
          </w:p>
          <w:p w14:paraId="7AD9C447" w14:textId="77777777" w:rsidR="00C26073" w:rsidRPr="00863A3C" w:rsidRDefault="00C26073" w:rsidP="00B4602B">
            <w:pPr>
              <w:pStyle w:val="COMTabletext"/>
              <w:jc w:val="both"/>
              <w:rPr>
                <w:szCs w:val="20"/>
              </w:rPr>
            </w:pPr>
          </w:p>
          <w:p w14:paraId="0F4BC08C" w14:textId="77777777" w:rsidR="00C26073" w:rsidRPr="00863A3C" w:rsidRDefault="00C26073" w:rsidP="00B4602B">
            <w:pPr>
              <w:pStyle w:val="COMTabletext"/>
              <w:jc w:val="both"/>
              <w:rPr>
                <w:szCs w:val="20"/>
              </w:rPr>
            </w:pPr>
            <w:r w:rsidRPr="00863A3C">
              <w:rPr>
                <w:szCs w:val="20"/>
              </w:rPr>
              <w:t>The estimates also include the addition of an incident population representing patients treated with 1L olaparib and who switch to 1L niraparib due to intolerance (corresponding to 1 or 2 patients per year).</w:t>
            </w:r>
          </w:p>
        </w:tc>
      </w:tr>
      <w:tr w:rsidR="00C26073" w:rsidRPr="00863A3C" w14:paraId="4FBE111A" w14:textId="77777777" w:rsidTr="00584B37">
        <w:trPr>
          <w:trHeight w:val="20"/>
        </w:trPr>
        <w:tc>
          <w:tcPr>
            <w:tcW w:w="0" w:type="auto"/>
          </w:tcPr>
          <w:p w14:paraId="2507AF0E" w14:textId="77777777" w:rsidR="00C26073" w:rsidRPr="00863A3C" w:rsidRDefault="00C26073" w:rsidP="003370CF">
            <w:pPr>
              <w:pStyle w:val="COMTabletext"/>
              <w:rPr>
                <w:szCs w:val="20"/>
              </w:rPr>
            </w:pPr>
            <w:r w:rsidRPr="00863A3C">
              <w:rPr>
                <w:szCs w:val="20"/>
              </w:rPr>
              <w:t>3</w:t>
            </w:r>
          </w:p>
        </w:tc>
        <w:tc>
          <w:tcPr>
            <w:tcW w:w="3088" w:type="dxa"/>
          </w:tcPr>
          <w:p w14:paraId="32D36FE6" w14:textId="77777777" w:rsidR="00C26073" w:rsidRPr="00863A3C" w:rsidRDefault="00C26073" w:rsidP="00B4602B">
            <w:pPr>
              <w:pStyle w:val="COMTabletext"/>
              <w:jc w:val="both"/>
              <w:rPr>
                <w:szCs w:val="20"/>
              </w:rPr>
            </w:pPr>
            <w:r w:rsidRPr="00863A3C">
              <w:rPr>
                <w:szCs w:val="20"/>
              </w:rPr>
              <w:t>Sponsor to provide updated restriction, consistent with MSAC advice concerning the HRD test.</w:t>
            </w:r>
          </w:p>
        </w:tc>
        <w:tc>
          <w:tcPr>
            <w:tcW w:w="0" w:type="auto"/>
          </w:tcPr>
          <w:p w14:paraId="74788CCA" w14:textId="77777777" w:rsidR="00C26073" w:rsidRPr="00863A3C" w:rsidRDefault="00C26073" w:rsidP="00B4602B">
            <w:pPr>
              <w:pStyle w:val="COMTabletext"/>
              <w:jc w:val="both"/>
              <w:rPr>
                <w:szCs w:val="20"/>
              </w:rPr>
            </w:pPr>
            <w:r w:rsidRPr="00863A3C">
              <w:rPr>
                <w:szCs w:val="20"/>
              </w:rPr>
              <w:t>Provided by the sponsor.</w:t>
            </w:r>
          </w:p>
        </w:tc>
      </w:tr>
    </w:tbl>
    <w:p w14:paraId="49A2E5B1" w14:textId="77777777" w:rsidR="00C26073" w:rsidRPr="00863A3C" w:rsidRDefault="00C26073" w:rsidP="00C26073">
      <w:pPr>
        <w:pStyle w:val="ListParagraph"/>
      </w:pPr>
      <w:r w:rsidRPr="00863A3C">
        <w:t xml:space="preserve">The results of the revised economic evaluation are provided in </w:t>
      </w:r>
      <w:r w:rsidRPr="00863A3C">
        <w:fldChar w:fldCharType="begin" w:fldLock="1"/>
      </w:r>
      <w:r w:rsidRPr="00863A3C">
        <w:instrText xml:space="preserve"> REF _Ref133512755 \h </w:instrText>
      </w:r>
      <w:r w:rsidRPr="00863A3C">
        <w:fldChar w:fldCharType="separate"/>
      </w:r>
      <w:r w:rsidRPr="00863A3C">
        <w:t>Table 27</w:t>
      </w:r>
      <w:r w:rsidRPr="00863A3C">
        <w:fldChar w:fldCharType="end"/>
      </w:r>
      <w:r w:rsidRPr="00863A3C">
        <w:t>.</w:t>
      </w:r>
    </w:p>
    <w:p w14:paraId="09528993" w14:textId="77777777" w:rsidR="00C26073" w:rsidRPr="00863A3C" w:rsidRDefault="00C26073" w:rsidP="00C26073">
      <w:pPr>
        <w:pStyle w:val="Caption"/>
      </w:pPr>
      <w:bookmarkStart w:id="204" w:name="_Ref133512755"/>
      <w:r w:rsidRPr="00863A3C">
        <w:lastRenderedPageBreak/>
        <w:t xml:space="preserve">Table </w:t>
      </w:r>
      <w:r w:rsidR="00091054">
        <w:fldChar w:fldCharType="begin" w:fldLock="1"/>
      </w:r>
      <w:r w:rsidR="00091054">
        <w:instrText xml:space="preserve"> SEQ Tab</w:instrText>
      </w:r>
      <w:r w:rsidR="00091054">
        <w:instrText xml:space="preserve">le \* ARABIC </w:instrText>
      </w:r>
      <w:r w:rsidR="00091054">
        <w:fldChar w:fldCharType="separate"/>
      </w:r>
      <w:r w:rsidRPr="00863A3C">
        <w:t>27</w:t>
      </w:r>
      <w:r w:rsidR="00091054">
        <w:fldChar w:fldCharType="end"/>
      </w:r>
      <w:bookmarkEnd w:id="204"/>
      <w:r w:rsidRPr="00863A3C">
        <w:rPr>
          <w:szCs w:val="20"/>
        </w:rPr>
        <w:t xml:space="preserve">: </w:t>
      </w:r>
      <w:r w:rsidRPr="00863A3C">
        <w:t xml:space="preserve">Cost minimisation analysis – Niraparib vs Olaparib – Published Prices </w:t>
      </w:r>
    </w:p>
    <w:tbl>
      <w:tblPr>
        <w:tblStyle w:val="Submissionstandard"/>
        <w:tblW w:w="5000" w:type="pct"/>
        <w:tblLook w:val="04A0" w:firstRow="1" w:lastRow="0" w:firstColumn="1" w:lastColumn="0" w:noHBand="0" w:noVBand="1"/>
      </w:tblPr>
      <w:tblGrid>
        <w:gridCol w:w="564"/>
        <w:gridCol w:w="3401"/>
        <w:gridCol w:w="1275"/>
        <w:gridCol w:w="3776"/>
      </w:tblGrid>
      <w:tr w:rsidR="00C26073" w:rsidRPr="00584B37" w14:paraId="5B825DC8" w14:textId="77777777" w:rsidTr="00584B37">
        <w:trPr>
          <w:cnfStyle w:val="100000000000" w:firstRow="1" w:lastRow="0" w:firstColumn="0" w:lastColumn="0" w:oddVBand="0" w:evenVBand="0" w:oddHBand="0" w:evenHBand="0" w:firstRowFirstColumn="0" w:firstRowLastColumn="0" w:lastRowFirstColumn="0" w:lastRowLastColumn="0"/>
        </w:trPr>
        <w:tc>
          <w:tcPr>
            <w:tcW w:w="313" w:type="pct"/>
          </w:tcPr>
          <w:p w14:paraId="3E7490D0" w14:textId="77777777" w:rsidR="00C26073" w:rsidRPr="00584B37" w:rsidRDefault="00C26073" w:rsidP="003370CF">
            <w:pPr>
              <w:keepNext/>
              <w:spacing w:before="0"/>
              <w:rPr>
                <w:rFonts w:ascii="Arial Narrow" w:hAnsi="Arial Narrow"/>
                <w:b w:val="0"/>
                <w:bCs/>
                <w:sz w:val="20"/>
                <w:szCs w:val="20"/>
                <w:lang w:val="en-AU"/>
              </w:rPr>
            </w:pPr>
            <w:r w:rsidRPr="00584B37">
              <w:rPr>
                <w:rFonts w:ascii="Arial Narrow" w:hAnsi="Arial Narrow"/>
                <w:bCs/>
                <w:sz w:val="20"/>
                <w:szCs w:val="20"/>
                <w:lang w:val="en-AU"/>
              </w:rPr>
              <w:t>Row</w:t>
            </w:r>
          </w:p>
        </w:tc>
        <w:tc>
          <w:tcPr>
            <w:tcW w:w="1886" w:type="pct"/>
          </w:tcPr>
          <w:p w14:paraId="18E44F2F" w14:textId="77777777" w:rsidR="00C26073" w:rsidRPr="00584B37" w:rsidRDefault="00C26073" w:rsidP="003370CF">
            <w:pPr>
              <w:keepNext/>
              <w:spacing w:before="0"/>
              <w:rPr>
                <w:rFonts w:ascii="Arial Narrow" w:hAnsi="Arial Narrow"/>
                <w:b w:val="0"/>
                <w:bCs/>
                <w:sz w:val="20"/>
                <w:szCs w:val="20"/>
                <w:lang w:val="en-AU"/>
              </w:rPr>
            </w:pPr>
            <w:r w:rsidRPr="00584B37">
              <w:rPr>
                <w:rFonts w:ascii="Arial Narrow" w:hAnsi="Arial Narrow"/>
                <w:bCs/>
                <w:sz w:val="20"/>
                <w:szCs w:val="20"/>
                <w:lang w:val="en-AU"/>
              </w:rPr>
              <w:t>Parameter</w:t>
            </w:r>
          </w:p>
        </w:tc>
        <w:tc>
          <w:tcPr>
            <w:tcW w:w="707" w:type="pct"/>
          </w:tcPr>
          <w:p w14:paraId="09BE8CD4" w14:textId="77777777" w:rsidR="00C26073" w:rsidRPr="00584B37" w:rsidRDefault="00C26073" w:rsidP="003370CF">
            <w:pPr>
              <w:keepNext/>
              <w:spacing w:before="0"/>
              <w:jc w:val="center"/>
              <w:rPr>
                <w:rFonts w:ascii="Arial Narrow" w:hAnsi="Arial Narrow"/>
                <w:b w:val="0"/>
                <w:bCs/>
                <w:sz w:val="20"/>
                <w:szCs w:val="20"/>
                <w:lang w:val="en-AU"/>
              </w:rPr>
            </w:pPr>
            <w:r w:rsidRPr="00584B37">
              <w:rPr>
                <w:rFonts w:ascii="Arial Narrow" w:hAnsi="Arial Narrow"/>
                <w:bCs/>
                <w:sz w:val="20"/>
                <w:szCs w:val="20"/>
                <w:lang w:val="en-AU"/>
              </w:rPr>
              <w:t>Input</w:t>
            </w:r>
          </w:p>
        </w:tc>
        <w:tc>
          <w:tcPr>
            <w:tcW w:w="2094" w:type="pct"/>
          </w:tcPr>
          <w:p w14:paraId="6E2D50D1" w14:textId="77777777" w:rsidR="00C26073" w:rsidRPr="00584B37" w:rsidRDefault="00C26073" w:rsidP="003370CF">
            <w:pPr>
              <w:keepNext/>
              <w:spacing w:before="0"/>
              <w:jc w:val="center"/>
              <w:rPr>
                <w:rFonts w:ascii="Arial Narrow" w:hAnsi="Arial Narrow"/>
                <w:b w:val="0"/>
                <w:bCs/>
                <w:sz w:val="20"/>
                <w:szCs w:val="20"/>
                <w:lang w:val="en-AU"/>
              </w:rPr>
            </w:pPr>
            <w:r w:rsidRPr="00584B37">
              <w:rPr>
                <w:rFonts w:ascii="Arial Narrow" w:hAnsi="Arial Narrow"/>
                <w:bCs/>
                <w:sz w:val="20"/>
                <w:szCs w:val="20"/>
                <w:lang w:val="en-AU"/>
              </w:rPr>
              <w:t>Source</w:t>
            </w:r>
          </w:p>
        </w:tc>
      </w:tr>
      <w:tr w:rsidR="00C26073" w:rsidRPr="00584B37" w14:paraId="0804B85B" w14:textId="77777777" w:rsidTr="00584B37">
        <w:tc>
          <w:tcPr>
            <w:tcW w:w="313" w:type="pct"/>
            <w:vAlign w:val="center"/>
          </w:tcPr>
          <w:p w14:paraId="3354A53D" w14:textId="77777777" w:rsidR="00C26073" w:rsidRPr="00584B37" w:rsidRDefault="00C26073" w:rsidP="00584B37">
            <w:pPr>
              <w:keepNext/>
              <w:spacing w:before="0"/>
              <w:jc w:val="left"/>
              <w:rPr>
                <w:sz w:val="20"/>
                <w:szCs w:val="20"/>
                <w:lang w:val="en-AU"/>
              </w:rPr>
            </w:pPr>
          </w:p>
        </w:tc>
        <w:tc>
          <w:tcPr>
            <w:tcW w:w="1886" w:type="pct"/>
            <w:vAlign w:val="center"/>
          </w:tcPr>
          <w:p w14:paraId="5153D7FF" w14:textId="77777777" w:rsidR="00C26073" w:rsidRPr="00584B37" w:rsidRDefault="00C26073" w:rsidP="00584B37">
            <w:pPr>
              <w:keepNext/>
              <w:spacing w:before="0"/>
              <w:jc w:val="left"/>
              <w:rPr>
                <w:b/>
                <w:bCs/>
                <w:sz w:val="20"/>
                <w:szCs w:val="20"/>
                <w:lang w:val="en-AU"/>
              </w:rPr>
            </w:pPr>
            <w:r w:rsidRPr="00584B37">
              <w:rPr>
                <w:b/>
                <w:bCs/>
                <w:sz w:val="20"/>
                <w:szCs w:val="20"/>
                <w:lang w:val="en-AU"/>
              </w:rPr>
              <w:t>Olaparib</w:t>
            </w:r>
          </w:p>
        </w:tc>
        <w:tc>
          <w:tcPr>
            <w:tcW w:w="707" w:type="pct"/>
            <w:vAlign w:val="center"/>
          </w:tcPr>
          <w:p w14:paraId="18922C61" w14:textId="77777777" w:rsidR="00C26073" w:rsidRPr="00584B37" w:rsidRDefault="00C26073" w:rsidP="00584B37">
            <w:pPr>
              <w:keepNext/>
              <w:spacing w:before="0"/>
              <w:jc w:val="left"/>
              <w:rPr>
                <w:sz w:val="20"/>
                <w:szCs w:val="20"/>
                <w:lang w:val="en-AU"/>
              </w:rPr>
            </w:pPr>
          </w:p>
        </w:tc>
        <w:tc>
          <w:tcPr>
            <w:tcW w:w="2094" w:type="pct"/>
          </w:tcPr>
          <w:p w14:paraId="3ABD3771" w14:textId="77777777" w:rsidR="00C26073" w:rsidRPr="00584B37" w:rsidRDefault="00C26073" w:rsidP="003370CF">
            <w:pPr>
              <w:keepNext/>
              <w:spacing w:before="0"/>
              <w:jc w:val="center"/>
              <w:rPr>
                <w:sz w:val="20"/>
                <w:szCs w:val="20"/>
                <w:lang w:val="en-AU"/>
              </w:rPr>
            </w:pPr>
          </w:p>
        </w:tc>
      </w:tr>
      <w:tr w:rsidR="00C26073" w:rsidRPr="00584B37" w14:paraId="451A3F3B" w14:textId="77777777" w:rsidTr="00584B37">
        <w:tc>
          <w:tcPr>
            <w:tcW w:w="313" w:type="pct"/>
            <w:vAlign w:val="center"/>
          </w:tcPr>
          <w:p w14:paraId="3821276B" w14:textId="77777777" w:rsidR="00C26073" w:rsidRPr="00584B37" w:rsidRDefault="00C26073" w:rsidP="00584B37">
            <w:pPr>
              <w:keepNext/>
              <w:spacing w:before="0"/>
              <w:jc w:val="left"/>
              <w:rPr>
                <w:sz w:val="20"/>
                <w:szCs w:val="20"/>
                <w:lang w:val="en-AU"/>
              </w:rPr>
            </w:pPr>
            <w:r w:rsidRPr="00584B37">
              <w:rPr>
                <w:sz w:val="20"/>
                <w:szCs w:val="20"/>
                <w:lang w:val="en-AU"/>
              </w:rPr>
              <w:t>A</w:t>
            </w:r>
          </w:p>
        </w:tc>
        <w:tc>
          <w:tcPr>
            <w:tcW w:w="1886" w:type="pct"/>
            <w:vAlign w:val="center"/>
          </w:tcPr>
          <w:p w14:paraId="6AF1FBBA" w14:textId="77777777" w:rsidR="00C26073" w:rsidRPr="00584B37" w:rsidRDefault="00C26073" w:rsidP="00584B37">
            <w:pPr>
              <w:keepNext/>
              <w:spacing w:before="0"/>
              <w:jc w:val="left"/>
              <w:rPr>
                <w:sz w:val="20"/>
                <w:szCs w:val="20"/>
                <w:lang w:val="en-AU"/>
              </w:rPr>
            </w:pPr>
            <w:r w:rsidRPr="00584B37">
              <w:rPr>
                <w:sz w:val="20"/>
                <w:szCs w:val="20"/>
                <w:lang w:val="en-AU"/>
              </w:rPr>
              <w:t>AEMP (150mg, 100mg), 56 tablets</w:t>
            </w:r>
          </w:p>
        </w:tc>
        <w:tc>
          <w:tcPr>
            <w:tcW w:w="707" w:type="pct"/>
            <w:vAlign w:val="center"/>
          </w:tcPr>
          <w:p w14:paraId="6052EFD3" w14:textId="77777777" w:rsidR="00C26073" w:rsidRPr="00584B37" w:rsidRDefault="00C26073" w:rsidP="00584B37">
            <w:pPr>
              <w:keepNext/>
              <w:spacing w:before="0"/>
              <w:jc w:val="center"/>
              <w:rPr>
                <w:sz w:val="20"/>
                <w:szCs w:val="20"/>
                <w:lang w:val="en-AU"/>
              </w:rPr>
            </w:pPr>
            <w:r w:rsidRPr="00584B37">
              <w:rPr>
                <w:sz w:val="20"/>
                <w:szCs w:val="20"/>
                <w:lang w:val="en-AU"/>
              </w:rPr>
              <w:t>$3,234.75</w:t>
            </w:r>
          </w:p>
        </w:tc>
        <w:tc>
          <w:tcPr>
            <w:tcW w:w="2094" w:type="pct"/>
            <w:vAlign w:val="center"/>
          </w:tcPr>
          <w:p w14:paraId="68C76929" w14:textId="77777777" w:rsidR="00C26073" w:rsidRPr="00584B37" w:rsidRDefault="00C26073" w:rsidP="00584B37">
            <w:pPr>
              <w:keepNext/>
              <w:spacing w:before="0"/>
              <w:jc w:val="left"/>
              <w:rPr>
                <w:sz w:val="20"/>
                <w:szCs w:val="20"/>
                <w:lang w:val="en-AU"/>
              </w:rPr>
            </w:pPr>
            <w:r w:rsidRPr="00584B37">
              <w:rPr>
                <w:sz w:val="20"/>
                <w:szCs w:val="20"/>
                <w:lang w:val="en-AU"/>
              </w:rPr>
              <w:t xml:space="preserve">PBS Pricing, </w:t>
            </w:r>
            <w:r w:rsidRPr="00584B37">
              <w:rPr>
                <w:i/>
                <w:iCs/>
                <w:sz w:val="20"/>
                <w:szCs w:val="20"/>
                <w:lang w:val="en-AU"/>
              </w:rPr>
              <w:t>corresponds to 14 days treatment</w:t>
            </w:r>
          </w:p>
        </w:tc>
      </w:tr>
      <w:tr w:rsidR="00C26073" w:rsidRPr="00584B37" w14:paraId="592F04B7" w14:textId="77777777" w:rsidTr="00584B37">
        <w:tc>
          <w:tcPr>
            <w:tcW w:w="313" w:type="pct"/>
            <w:vAlign w:val="center"/>
          </w:tcPr>
          <w:p w14:paraId="1AF8A582" w14:textId="77777777" w:rsidR="00C26073" w:rsidRPr="00584B37" w:rsidRDefault="00C26073" w:rsidP="00584B37">
            <w:pPr>
              <w:keepNext/>
              <w:spacing w:before="0"/>
              <w:jc w:val="left"/>
              <w:rPr>
                <w:sz w:val="20"/>
                <w:szCs w:val="20"/>
                <w:lang w:val="en-AU"/>
              </w:rPr>
            </w:pPr>
            <w:r w:rsidRPr="00584B37">
              <w:rPr>
                <w:sz w:val="20"/>
                <w:szCs w:val="20"/>
                <w:lang w:val="en-AU"/>
              </w:rPr>
              <w:t>B</w:t>
            </w:r>
          </w:p>
        </w:tc>
        <w:tc>
          <w:tcPr>
            <w:tcW w:w="1886" w:type="pct"/>
            <w:vAlign w:val="center"/>
          </w:tcPr>
          <w:p w14:paraId="4FF2355B" w14:textId="77777777" w:rsidR="00C26073" w:rsidRPr="00584B37" w:rsidRDefault="00C26073" w:rsidP="00584B37">
            <w:pPr>
              <w:keepNext/>
              <w:spacing w:before="0"/>
              <w:jc w:val="left"/>
              <w:rPr>
                <w:sz w:val="20"/>
                <w:szCs w:val="20"/>
                <w:lang w:val="en-AU"/>
              </w:rPr>
            </w:pPr>
            <w:r w:rsidRPr="00584B37">
              <w:rPr>
                <w:sz w:val="20"/>
                <w:szCs w:val="20"/>
                <w:lang w:val="en-AU"/>
              </w:rPr>
              <w:t>Compliance</w:t>
            </w:r>
          </w:p>
        </w:tc>
        <w:tc>
          <w:tcPr>
            <w:tcW w:w="707" w:type="pct"/>
            <w:vAlign w:val="center"/>
          </w:tcPr>
          <w:p w14:paraId="19F5C8B1" w14:textId="77777777" w:rsidR="00C26073" w:rsidRPr="00584B37" w:rsidRDefault="00C26073" w:rsidP="00584B37">
            <w:pPr>
              <w:keepNext/>
              <w:spacing w:before="0"/>
              <w:jc w:val="center"/>
              <w:rPr>
                <w:sz w:val="20"/>
                <w:szCs w:val="20"/>
                <w:lang w:val="en-AU"/>
              </w:rPr>
            </w:pPr>
            <w:r w:rsidRPr="00584B37">
              <w:rPr>
                <w:sz w:val="20"/>
                <w:szCs w:val="20"/>
                <w:lang w:val="en-AU"/>
              </w:rPr>
              <w:t>96%</w:t>
            </w:r>
          </w:p>
        </w:tc>
        <w:tc>
          <w:tcPr>
            <w:tcW w:w="2094" w:type="pct"/>
            <w:vAlign w:val="center"/>
          </w:tcPr>
          <w:p w14:paraId="0520DF9C" w14:textId="77777777" w:rsidR="00C26073" w:rsidRPr="00584B37" w:rsidRDefault="00C26073" w:rsidP="00584B37">
            <w:pPr>
              <w:keepNext/>
              <w:spacing w:before="0"/>
              <w:jc w:val="left"/>
              <w:rPr>
                <w:sz w:val="20"/>
                <w:szCs w:val="20"/>
                <w:lang w:val="en-AU"/>
              </w:rPr>
            </w:pPr>
            <w:r w:rsidRPr="00584B37">
              <w:rPr>
                <w:sz w:val="20"/>
                <w:szCs w:val="20"/>
                <w:lang w:val="en-AU"/>
              </w:rPr>
              <w:t>Item 6.14, Paragraph 7.17, March 2023 minutes</w:t>
            </w:r>
          </w:p>
        </w:tc>
      </w:tr>
      <w:tr w:rsidR="00C26073" w:rsidRPr="00584B37" w14:paraId="40CA6A17" w14:textId="77777777" w:rsidTr="00584B37">
        <w:tc>
          <w:tcPr>
            <w:tcW w:w="313" w:type="pct"/>
            <w:vAlign w:val="center"/>
          </w:tcPr>
          <w:p w14:paraId="7BD4BE4A" w14:textId="77777777" w:rsidR="00C26073" w:rsidRPr="00584B37" w:rsidRDefault="00C26073" w:rsidP="00584B37">
            <w:pPr>
              <w:keepNext/>
              <w:spacing w:before="0"/>
              <w:jc w:val="left"/>
              <w:rPr>
                <w:sz w:val="20"/>
                <w:szCs w:val="20"/>
                <w:lang w:val="en-AU"/>
              </w:rPr>
            </w:pPr>
            <w:r w:rsidRPr="00584B37">
              <w:rPr>
                <w:sz w:val="20"/>
                <w:szCs w:val="20"/>
                <w:lang w:val="en-AU"/>
              </w:rPr>
              <w:t>C</w:t>
            </w:r>
          </w:p>
        </w:tc>
        <w:tc>
          <w:tcPr>
            <w:tcW w:w="1886" w:type="pct"/>
            <w:vAlign w:val="center"/>
          </w:tcPr>
          <w:p w14:paraId="2B95069C" w14:textId="77777777" w:rsidR="00C26073" w:rsidRPr="00584B37" w:rsidRDefault="00C26073" w:rsidP="00584B37">
            <w:pPr>
              <w:keepNext/>
              <w:spacing w:before="0"/>
              <w:jc w:val="left"/>
              <w:rPr>
                <w:sz w:val="20"/>
                <w:szCs w:val="20"/>
                <w:lang w:val="en-AU"/>
              </w:rPr>
            </w:pPr>
            <w:r w:rsidRPr="00584B37">
              <w:rPr>
                <w:sz w:val="20"/>
                <w:szCs w:val="20"/>
                <w:lang w:val="en-AU"/>
              </w:rPr>
              <w:t>Cost/day</w:t>
            </w:r>
          </w:p>
        </w:tc>
        <w:tc>
          <w:tcPr>
            <w:tcW w:w="707" w:type="pct"/>
            <w:vAlign w:val="center"/>
          </w:tcPr>
          <w:p w14:paraId="0F2B4D8A" w14:textId="77777777" w:rsidR="00C26073" w:rsidRPr="00584B37" w:rsidRDefault="00C26073" w:rsidP="00584B37">
            <w:pPr>
              <w:keepNext/>
              <w:spacing w:before="0"/>
              <w:jc w:val="center"/>
              <w:rPr>
                <w:sz w:val="20"/>
                <w:szCs w:val="20"/>
                <w:lang w:val="en-AU"/>
              </w:rPr>
            </w:pPr>
            <w:r w:rsidRPr="00584B37">
              <w:rPr>
                <w:sz w:val="20"/>
                <w:szCs w:val="20"/>
                <w:lang w:val="en-AU"/>
              </w:rPr>
              <w:t>$221.72</w:t>
            </w:r>
          </w:p>
        </w:tc>
        <w:tc>
          <w:tcPr>
            <w:tcW w:w="2094" w:type="pct"/>
            <w:vAlign w:val="center"/>
          </w:tcPr>
          <w:p w14:paraId="0B4A69D3" w14:textId="77777777" w:rsidR="00C26073" w:rsidRPr="00584B37" w:rsidRDefault="00C26073" w:rsidP="00584B37">
            <w:pPr>
              <w:keepNext/>
              <w:spacing w:before="0"/>
              <w:jc w:val="left"/>
              <w:rPr>
                <w:sz w:val="20"/>
                <w:szCs w:val="20"/>
                <w:lang w:val="en-AU"/>
              </w:rPr>
            </w:pPr>
            <w:r w:rsidRPr="00584B37">
              <w:rPr>
                <w:sz w:val="20"/>
                <w:szCs w:val="20"/>
                <w:lang w:val="en-AU"/>
              </w:rPr>
              <w:t>=A*2*C/28</w:t>
            </w:r>
          </w:p>
        </w:tc>
      </w:tr>
      <w:tr w:rsidR="00C26073" w:rsidRPr="00584B37" w14:paraId="2C3500D6" w14:textId="77777777" w:rsidTr="00584B37">
        <w:tc>
          <w:tcPr>
            <w:tcW w:w="313" w:type="pct"/>
            <w:vAlign w:val="center"/>
          </w:tcPr>
          <w:p w14:paraId="3054D52A" w14:textId="77777777" w:rsidR="00C26073" w:rsidRPr="00584B37" w:rsidRDefault="00C26073" w:rsidP="00584B37">
            <w:pPr>
              <w:keepNext/>
              <w:spacing w:before="0"/>
              <w:jc w:val="left"/>
              <w:rPr>
                <w:sz w:val="20"/>
                <w:szCs w:val="20"/>
                <w:lang w:val="en-AU"/>
              </w:rPr>
            </w:pPr>
            <w:r w:rsidRPr="00584B37">
              <w:rPr>
                <w:sz w:val="20"/>
                <w:szCs w:val="20"/>
                <w:lang w:val="en-AU"/>
              </w:rPr>
              <w:t>D</w:t>
            </w:r>
          </w:p>
        </w:tc>
        <w:tc>
          <w:tcPr>
            <w:tcW w:w="1886" w:type="pct"/>
            <w:vAlign w:val="center"/>
          </w:tcPr>
          <w:p w14:paraId="418279CF" w14:textId="77777777" w:rsidR="00C26073" w:rsidRPr="00584B37" w:rsidRDefault="00C26073" w:rsidP="00584B37">
            <w:pPr>
              <w:keepNext/>
              <w:spacing w:before="0"/>
              <w:jc w:val="left"/>
              <w:rPr>
                <w:sz w:val="20"/>
                <w:szCs w:val="20"/>
                <w:lang w:val="en-AU"/>
              </w:rPr>
            </w:pPr>
            <w:r w:rsidRPr="00584B37">
              <w:rPr>
                <w:sz w:val="20"/>
                <w:szCs w:val="20"/>
                <w:lang w:val="en-AU"/>
              </w:rPr>
              <w:t>Treatment duration, months</w:t>
            </w:r>
          </w:p>
        </w:tc>
        <w:tc>
          <w:tcPr>
            <w:tcW w:w="707" w:type="pct"/>
            <w:vAlign w:val="center"/>
          </w:tcPr>
          <w:p w14:paraId="4587D3F7" w14:textId="77777777" w:rsidR="00C26073" w:rsidRPr="00584B37" w:rsidRDefault="00C26073" w:rsidP="00584B37">
            <w:pPr>
              <w:keepNext/>
              <w:spacing w:before="0"/>
              <w:jc w:val="center"/>
              <w:rPr>
                <w:sz w:val="20"/>
                <w:szCs w:val="20"/>
                <w:lang w:val="en-AU"/>
              </w:rPr>
            </w:pPr>
            <w:r w:rsidRPr="00584B37">
              <w:rPr>
                <w:sz w:val="20"/>
                <w:szCs w:val="20"/>
                <w:lang w:val="en-AU"/>
              </w:rPr>
              <w:t>15.66</w:t>
            </w:r>
          </w:p>
        </w:tc>
        <w:tc>
          <w:tcPr>
            <w:tcW w:w="2094" w:type="pct"/>
            <w:vAlign w:val="center"/>
          </w:tcPr>
          <w:p w14:paraId="06DB7570" w14:textId="77777777" w:rsidR="00C26073" w:rsidRPr="00584B37" w:rsidRDefault="00C26073" w:rsidP="00584B37">
            <w:pPr>
              <w:keepNext/>
              <w:spacing w:before="0"/>
              <w:jc w:val="left"/>
              <w:rPr>
                <w:sz w:val="20"/>
                <w:szCs w:val="20"/>
                <w:lang w:val="en-AU"/>
              </w:rPr>
            </w:pPr>
            <w:r w:rsidRPr="00584B37">
              <w:rPr>
                <w:sz w:val="20"/>
                <w:szCs w:val="20"/>
                <w:lang w:val="en-AU"/>
              </w:rPr>
              <w:t>Item 6.14, Paragraph 7.17, March 2023 minutes</w:t>
            </w:r>
          </w:p>
        </w:tc>
      </w:tr>
      <w:tr w:rsidR="00C26073" w:rsidRPr="00584B37" w14:paraId="4C76DB2C" w14:textId="77777777" w:rsidTr="00584B37">
        <w:tc>
          <w:tcPr>
            <w:tcW w:w="313" w:type="pct"/>
            <w:vAlign w:val="center"/>
          </w:tcPr>
          <w:p w14:paraId="086DDF99" w14:textId="77777777" w:rsidR="00C26073" w:rsidRPr="00584B37" w:rsidRDefault="00C26073" w:rsidP="00584B37">
            <w:pPr>
              <w:keepNext/>
              <w:spacing w:before="0"/>
              <w:jc w:val="left"/>
              <w:rPr>
                <w:sz w:val="20"/>
                <w:szCs w:val="20"/>
                <w:lang w:val="en-AU"/>
              </w:rPr>
            </w:pPr>
            <w:r w:rsidRPr="00584B37">
              <w:rPr>
                <w:sz w:val="20"/>
                <w:szCs w:val="20"/>
                <w:lang w:val="en-AU"/>
              </w:rPr>
              <w:t>E</w:t>
            </w:r>
          </w:p>
        </w:tc>
        <w:tc>
          <w:tcPr>
            <w:tcW w:w="1886" w:type="pct"/>
            <w:vAlign w:val="center"/>
          </w:tcPr>
          <w:p w14:paraId="7A27997D" w14:textId="77777777" w:rsidR="00C26073" w:rsidRPr="00584B37" w:rsidRDefault="00C26073" w:rsidP="00584B37">
            <w:pPr>
              <w:keepNext/>
              <w:spacing w:before="0"/>
              <w:jc w:val="left"/>
              <w:rPr>
                <w:sz w:val="20"/>
                <w:szCs w:val="20"/>
                <w:lang w:val="en-AU"/>
              </w:rPr>
            </w:pPr>
            <w:r w:rsidRPr="00584B37">
              <w:rPr>
                <w:sz w:val="20"/>
                <w:szCs w:val="20"/>
                <w:lang w:val="en-AU"/>
              </w:rPr>
              <w:t>Cost/course of Tx</w:t>
            </w:r>
          </w:p>
        </w:tc>
        <w:tc>
          <w:tcPr>
            <w:tcW w:w="707" w:type="pct"/>
            <w:vAlign w:val="center"/>
          </w:tcPr>
          <w:p w14:paraId="5C38575B" w14:textId="77777777" w:rsidR="00C26073" w:rsidRPr="00584B37" w:rsidRDefault="00C26073" w:rsidP="00584B37">
            <w:pPr>
              <w:keepNext/>
              <w:spacing w:before="0"/>
              <w:jc w:val="center"/>
              <w:rPr>
                <w:sz w:val="20"/>
                <w:szCs w:val="20"/>
                <w:lang w:val="en-AU"/>
              </w:rPr>
            </w:pPr>
            <w:r w:rsidRPr="00584B37">
              <w:rPr>
                <w:sz w:val="20"/>
                <w:szCs w:val="20"/>
                <w:lang w:val="en-AU"/>
              </w:rPr>
              <w:t>$105,693.78</w:t>
            </w:r>
          </w:p>
        </w:tc>
        <w:tc>
          <w:tcPr>
            <w:tcW w:w="2094" w:type="pct"/>
            <w:vAlign w:val="center"/>
          </w:tcPr>
          <w:p w14:paraId="787C1D24" w14:textId="77777777" w:rsidR="00C26073" w:rsidRPr="00584B37" w:rsidRDefault="00C26073" w:rsidP="00584B37">
            <w:pPr>
              <w:keepNext/>
              <w:spacing w:before="0"/>
              <w:jc w:val="left"/>
              <w:rPr>
                <w:sz w:val="20"/>
                <w:szCs w:val="20"/>
                <w:lang w:val="en-AU"/>
              </w:rPr>
            </w:pPr>
            <w:r w:rsidRPr="00584B37">
              <w:rPr>
                <w:sz w:val="20"/>
                <w:szCs w:val="20"/>
                <w:lang w:val="en-AU"/>
              </w:rPr>
              <w:t>C*(D/12*365.25)</w:t>
            </w:r>
          </w:p>
        </w:tc>
      </w:tr>
      <w:tr w:rsidR="00C26073" w:rsidRPr="00584B37" w14:paraId="1D86C885" w14:textId="77777777" w:rsidTr="00584B37">
        <w:tc>
          <w:tcPr>
            <w:tcW w:w="313" w:type="pct"/>
            <w:vAlign w:val="center"/>
          </w:tcPr>
          <w:p w14:paraId="06C312CF" w14:textId="77777777" w:rsidR="00C26073" w:rsidRPr="00584B37" w:rsidRDefault="00C26073" w:rsidP="00584B37">
            <w:pPr>
              <w:keepNext/>
              <w:spacing w:before="0"/>
              <w:jc w:val="left"/>
              <w:rPr>
                <w:sz w:val="20"/>
                <w:szCs w:val="20"/>
                <w:lang w:val="en-AU"/>
              </w:rPr>
            </w:pPr>
          </w:p>
        </w:tc>
        <w:tc>
          <w:tcPr>
            <w:tcW w:w="1886" w:type="pct"/>
            <w:vAlign w:val="center"/>
          </w:tcPr>
          <w:p w14:paraId="04B5514A" w14:textId="77777777" w:rsidR="00C26073" w:rsidRPr="00584B37" w:rsidRDefault="00C26073" w:rsidP="00584B37">
            <w:pPr>
              <w:keepNext/>
              <w:spacing w:before="0"/>
              <w:jc w:val="left"/>
              <w:rPr>
                <w:b/>
                <w:bCs/>
                <w:sz w:val="20"/>
                <w:szCs w:val="20"/>
                <w:lang w:val="en-AU"/>
              </w:rPr>
            </w:pPr>
            <w:r w:rsidRPr="00584B37">
              <w:rPr>
                <w:b/>
                <w:bCs/>
                <w:sz w:val="20"/>
                <w:szCs w:val="20"/>
                <w:lang w:val="en-AU"/>
              </w:rPr>
              <w:t>Additional costs/cost offsets</w:t>
            </w:r>
          </w:p>
        </w:tc>
        <w:tc>
          <w:tcPr>
            <w:tcW w:w="707" w:type="pct"/>
            <w:vAlign w:val="center"/>
          </w:tcPr>
          <w:p w14:paraId="3AFC3F4D" w14:textId="77777777" w:rsidR="00C26073" w:rsidRPr="00584B37" w:rsidRDefault="00C26073" w:rsidP="00584B37">
            <w:pPr>
              <w:keepNext/>
              <w:spacing w:before="0"/>
              <w:jc w:val="center"/>
              <w:rPr>
                <w:sz w:val="20"/>
                <w:szCs w:val="20"/>
                <w:lang w:val="en-AU"/>
              </w:rPr>
            </w:pPr>
          </w:p>
        </w:tc>
        <w:tc>
          <w:tcPr>
            <w:tcW w:w="2094" w:type="pct"/>
            <w:vAlign w:val="center"/>
          </w:tcPr>
          <w:p w14:paraId="7A154862" w14:textId="77777777" w:rsidR="00C26073" w:rsidRPr="00584B37" w:rsidRDefault="00C26073" w:rsidP="00584B37">
            <w:pPr>
              <w:keepNext/>
              <w:spacing w:before="0"/>
              <w:jc w:val="left"/>
              <w:rPr>
                <w:sz w:val="20"/>
                <w:szCs w:val="20"/>
                <w:lang w:val="en-AU"/>
              </w:rPr>
            </w:pPr>
          </w:p>
        </w:tc>
      </w:tr>
      <w:tr w:rsidR="00C26073" w:rsidRPr="00584B37" w14:paraId="0AD48D2D" w14:textId="77777777" w:rsidTr="00584B37">
        <w:tc>
          <w:tcPr>
            <w:tcW w:w="313" w:type="pct"/>
            <w:vAlign w:val="center"/>
          </w:tcPr>
          <w:p w14:paraId="56C765F7" w14:textId="77777777" w:rsidR="00C26073" w:rsidRPr="00584B37" w:rsidRDefault="00C26073" w:rsidP="00584B37">
            <w:pPr>
              <w:keepNext/>
              <w:spacing w:before="0"/>
              <w:jc w:val="left"/>
              <w:rPr>
                <w:sz w:val="20"/>
                <w:szCs w:val="20"/>
                <w:lang w:val="en-AU"/>
              </w:rPr>
            </w:pPr>
            <w:r w:rsidRPr="00584B37">
              <w:rPr>
                <w:sz w:val="20"/>
                <w:szCs w:val="20"/>
                <w:lang w:val="en-AU"/>
              </w:rPr>
              <w:t>F</w:t>
            </w:r>
          </w:p>
        </w:tc>
        <w:tc>
          <w:tcPr>
            <w:tcW w:w="1886" w:type="pct"/>
            <w:vAlign w:val="center"/>
          </w:tcPr>
          <w:p w14:paraId="3A9F91CB" w14:textId="77777777" w:rsidR="00C26073" w:rsidRPr="00584B37" w:rsidRDefault="00C26073" w:rsidP="00584B37">
            <w:pPr>
              <w:keepNext/>
              <w:spacing w:before="0"/>
              <w:jc w:val="left"/>
              <w:rPr>
                <w:sz w:val="20"/>
                <w:szCs w:val="20"/>
                <w:lang w:val="en-AU"/>
              </w:rPr>
            </w:pPr>
            <w:r w:rsidRPr="00584B37">
              <w:rPr>
                <w:sz w:val="20"/>
                <w:szCs w:val="20"/>
                <w:lang w:val="en-AU"/>
              </w:rPr>
              <w:t>Net safety costs: niraparib versus olaparib</w:t>
            </w:r>
          </w:p>
        </w:tc>
        <w:tc>
          <w:tcPr>
            <w:tcW w:w="707" w:type="pct"/>
            <w:vAlign w:val="center"/>
          </w:tcPr>
          <w:p w14:paraId="16A8E327" w14:textId="77777777" w:rsidR="00C26073" w:rsidRPr="00584B37" w:rsidRDefault="00C26073" w:rsidP="00584B37">
            <w:pPr>
              <w:keepNext/>
              <w:spacing w:before="0"/>
              <w:jc w:val="center"/>
              <w:rPr>
                <w:sz w:val="20"/>
                <w:szCs w:val="20"/>
                <w:lang w:val="en-AU"/>
              </w:rPr>
            </w:pPr>
            <w:r w:rsidRPr="00584B37">
              <w:rPr>
                <w:sz w:val="20"/>
                <w:szCs w:val="20"/>
                <w:lang w:val="en-AU"/>
              </w:rPr>
              <w:t>$209.55</w:t>
            </w:r>
          </w:p>
        </w:tc>
        <w:tc>
          <w:tcPr>
            <w:tcW w:w="2094" w:type="pct"/>
            <w:vAlign w:val="center"/>
          </w:tcPr>
          <w:p w14:paraId="681F10CE" w14:textId="77777777" w:rsidR="00C26073" w:rsidRPr="00584B37" w:rsidRDefault="00C26073" w:rsidP="00584B37">
            <w:pPr>
              <w:keepNext/>
              <w:spacing w:before="0"/>
              <w:jc w:val="left"/>
              <w:rPr>
                <w:sz w:val="20"/>
                <w:szCs w:val="20"/>
                <w:lang w:val="en-AU"/>
              </w:rPr>
            </w:pPr>
            <w:r w:rsidRPr="00584B37">
              <w:rPr>
                <w:sz w:val="20"/>
                <w:szCs w:val="20"/>
                <w:lang w:val="en-AU"/>
              </w:rPr>
              <w:t>Item 7.07, Table 17, March 2023 minutes</w:t>
            </w:r>
          </w:p>
        </w:tc>
      </w:tr>
      <w:tr w:rsidR="00C26073" w:rsidRPr="00584B37" w14:paraId="430B378D" w14:textId="77777777" w:rsidTr="00584B37">
        <w:tc>
          <w:tcPr>
            <w:tcW w:w="313" w:type="pct"/>
            <w:vAlign w:val="center"/>
          </w:tcPr>
          <w:p w14:paraId="17389EC3" w14:textId="77777777" w:rsidR="00C26073" w:rsidRPr="00584B37" w:rsidRDefault="00C26073" w:rsidP="00584B37">
            <w:pPr>
              <w:keepNext/>
              <w:spacing w:before="0"/>
              <w:jc w:val="left"/>
              <w:rPr>
                <w:sz w:val="20"/>
                <w:szCs w:val="20"/>
                <w:lang w:val="en-AU"/>
              </w:rPr>
            </w:pPr>
            <w:r w:rsidRPr="00584B37">
              <w:rPr>
                <w:sz w:val="20"/>
                <w:szCs w:val="20"/>
                <w:lang w:val="en-AU"/>
              </w:rPr>
              <w:t>G</w:t>
            </w:r>
          </w:p>
        </w:tc>
        <w:tc>
          <w:tcPr>
            <w:tcW w:w="1886" w:type="pct"/>
            <w:vAlign w:val="center"/>
          </w:tcPr>
          <w:p w14:paraId="722F6725" w14:textId="77777777" w:rsidR="00C26073" w:rsidRPr="00584B37" w:rsidRDefault="00C26073" w:rsidP="00584B37">
            <w:pPr>
              <w:keepNext/>
              <w:spacing w:before="0"/>
              <w:jc w:val="left"/>
              <w:rPr>
                <w:sz w:val="20"/>
                <w:szCs w:val="20"/>
                <w:lang w:val="en-AU"/>
              </w:rPr>
            </w:pPr>
            <w:r w:rsidRPr="00584B37">
              <w:rPr>
                <w:sz w:val="20"/>
                <w:szCs w:val="20"/>
                <w:lang w:val="en-AU"/>
              </w:rPr>
              <w:t>Net monitoring costs: niraparib versus olaparib</w:t>
            </w:r>
          </w:p>
        </w:tc>
        <w:tc>
          <w:tcPr>
            <w:tcW w:w="707" w:type="pct"/>
            <w:vAlign w:val="center"/>
          </w:tcPr>
          <w:p w14:paraId="1F94DB26" w14:textId="77777777" w:rsidR="00C26073" w:rsidRPr="00584B37" w:rsidRDefault="00C26073" w:rsidP="00584B37">
            <w:pPr>
              <w:keepNext/>
              <w:spacing w:before="0"/>
              <w:jc w:val="center"/>
              <w:rPr>
                <w:sz w:val="20"/>
                <w:szCs w:val="20"/>
                <w:lang w:val="en-AU"/>
              </w:rPr>
            </w:pPr>
            <w:r w:rsidRPr="00584B37">
              <w:rPr>
                <w:sz w:val="20"/>
                <w:szCs w:val="20"/>
                <w:lang w:val="en-AU"/>
              </w:rPr>
              <w:t>$399.52</w:t>
            </w:r>
          </w:p>
        </w:tc>
        <w:tc>
          <w:tcPr>
            <w:tcW w:w="2094" w:type="pct"/>
            <w:vAlign w:val="center"/>
          </w:tcPr>
          <w:p w14:paraId="2CA7F914" w14:textId="77777777" w:rsidR="00C26073" w:rsidRPr="00584B37" w:rsidRDefault="00C26073" w:rsidP="00584B37">
            <w:pPr>
              <w:keepNext/>
              <w:spacing w:before="0"/>
              <w:jc w:val="left"/>
              <w:rPr>
                <w:sz w:val="20"/>
                <w:szCs w:val="20"/>
                <w:lang w:val="en-AU"/>
              </w:rPr>
            </w:pPr>
            <w:r w:rsidRPr="00584B37">
              <w:rPr>
                <w:sz w:val="20"/>
                <w:szCs w:val="20"/>
                <w:lang w:val="en-AU"/>
              </w:rPr>
              <w:t>Item 6.14, Paragraph 7.17, March 2023 minutes</w:t>
            </w:r>
          </w:p>
        </w:tc>
      </w:tr>
      <w:tr w:rsidR="00C26073" w:rsidRPr="00584B37" w14:paraId="0D4F4D09" w14:textId="77777777" w:rsidTr="00584B37">
        <w:tc>
          <w:tcPr>
            <w:tcW w:w="313" w:type="pct"/>
            <w:vAlign w:val="center"/>
          </w:tcPr>
          <w:p w14:paraId="205EFA69" w14:textId="77777777" w:rsidR="00C26073" w:rsidRPr="00584B37" w:rsidRDefault="00C26073" w:rsidP="00584B37">
            <w:pPr>
              <w:keepNext/>
              <w:spacing w:before="0"/>
              <w:jc w:val="left"/>
              <w:rPr>
                <w:sz w:val="20"/>
                <w:szCs w:val="20"/>
                <w:lang w:val="en-AU"/>
              </w:rPr>
            </w:pPr>
            <w:r w:rsidRPr="00584B37">
              <w:rPr>
                <w:sz w:val="20"/>
                <w:szCs w:val="20"/>
                <w:lang w:val="en-AU"/>
              </w:rPr>
              <w:t>H</w:t>
            </w:r>
          </w:p>
        </w:tc>
        <w:tc>
          <w:tcPr>
            <w:tcW w:w="1886" w:type="pct"/>
            <w:vAlign w:val="center"/>
          </w:tcPr>
          <w:p w14:paraId="76B94DFB" w14:textId="77777777" w:rsidR="00C26073" w:rsidRPr="00584B37" w:rsidRDefault="00C26073" w:rsidP="00584B37">
            <w:pPr>
              <w:keepNext/>
              <w:spacing w:before="0"/>
              <w:jc w:val="left"/>
              <w:rPr>
                <w:sz w:val="20"/>
                <w:szCs w:val="20"/>
                <w:lang w:val="en-AU"/>
              </w:rPr>
            </w:pPr>
            <w:r w:rsidRPr="00584B37">
              <w:rPr>
                <w:sz w:val="20"/>
                <w:szCs w:val="20"/>
                <w:lang w:val="en-AU"/>
              </w:rPr>
              <w:t>Total net costs: niraparib versus olaparib</w:t>
            </w:r>
          </w:p>
        </w:tc>
        <w:tc>
          <w:tcPr>
            <w:tcW w:w="707" w:type="pct"/>
            <w:vAlign w:val="center"/>
          </w:tcPr>
          <w:p w14:paraId="3DF18D18" w14:textId="77777777" w:rsidR="00C26073" w:rsidRPr="00584B37" w:rsidRDefault="00C26073" w:rsidP="00584B37">
            <w:pPr>
              <w:keepNext/>
              <w:spacing w:before="0"/>
              <w:jc w:val="center"/>
              <w:rPr>
                <w:sz w:val="20"/>
                <w:szCs w:val="20"/>
                <w:lang w:val="en-AU"/>
              </w:rPr>
            </w:pPr>
            <w:r w:rsidRPr="00584B37">
              <w:rPr>
                <w:sz w:val="20"/>
                <w:szCs w:val="20"/>
                <w:lang w:val="en-AU"/>
              </w:rPr>
              <w:t>$609.06</w:t>
            </w:r>
          </w:p>
        </w:tc>
        <w:tc>
          <w:tcPr>
            <w:tcW w:w="2094" w:type="pct"/>
            <w:vAlign w:val="center"/>
          </w:tcPr>
          <w:p w14:paraId="76BEB5BF" w14:textId="77777777" w:rsidR="00C26073" w:rsidRPr="00584B37" w:rsidRDefault="00C26073" w:rsidP="00584B37">
            <w:pPr>
              <w:keepNext/>
              <w:spacing w:before="0"/>
              <w:jc w:val="left"/>
              <w:rPr>
                <w:sz w:val="20"/>
                <w:szCs w:val="20"/>
                <w:lang w:val="en-AU"/>
              </w:rPr>
            </w:pPr>
            <w:r w:rsidRPr="00584B37">
              <w:rPr>
                <w:sz w:val="20"/>
                <w:szCs w:val="20"/>
                <w:lang w:val="en-AU"/>
              </w:rPr>
              <w:t>F+G</w:t>
            </w:r>
          </w:p>
        </w:tc>
      </w:tr>
      <w:tr w:rsidR="00C26073" w:rsidRPr="00584B37" w14:paraId="356B9CD4" w14:textId="77777777" w:rsidTr="00584B37">
        <w:tc>
          <w:tcPr>
            <w:tcW w:w="313" w:type="pct"/>
            <w:vAlign w:val="center"/>
          </w:tcPr>
          <w:p w14:paraId="364B146F" w14:textId="77777777" w:rsidR="00C26073" w:rsidRPr="00584B37" w:rsidRDefault="00C26073" w:rsidP="00584B37">
            <w:pPr>
              <w:keepNext/>
              <w:spacing w:before="0"/>
              <w:jc w:val="left"/>
              <w:rPr>
                <w:sz w:val="20"/>
                <w:szCs w:val="20"/>
                <w:lang w:val="en-AU"/>
              </w:rPr>
            </w:pPr>
          </w:p>
        </w:tc>
        <w:tc>
          <w:tcPr>
            <w:tcW w:w="1886" w:type="pct"/>
            <w:vAlign w:val="center"/>
          </w:tcPr>
          <w:p w14:paraId="795BA8B5" w14:textId="77777777" w:rsidR="00C26073" w:rsidRPr="00584B37" w:rsidRDefault="00C26073" w:rsidP="00584B37">
            <w:pPr>
              <w:keepNext/>
              <w:spacing w:before="0"/>
              <w:jc w:val="left"/>
              <w:rPr>
                <w:b/>
                <w:bCs/>
                <w:sz w:val="20"/>
                <w:szCs w:val="20"/>
                <w:lang w:val="en-AU"/>
              </w:rPr>
            </w:pPr>
            <w:r w:rsidRPr="00584B37">
              <w:rPr>
                <w:b/>
                <w:bCs/>
                <w:sz w:val="20"/>
                <w:szCs w:val="20"/>
                <w:lang w:val="en-AU"/>
              </w:rPr>
              <w:t>Niraparib</w:t>
            </w:r>
          </w:p>
        </w:tc>
        <w:tc>
          <w:tcPr>
            <w:tcW w:w="707" w:type="pct"/>
            <w:vAlign w:val="center"/>
          </w:tcPr>
          <w:p w14:paraId="4C642569" w14:textId="77777777" w:rsidR="00C26073" w:rsidRPr="00584B37" w:rsidRDefault="00C26073" w:rsidP="00584B37">
            <w:pPr>
              <w:keepNext/>
              <w:spacing w:before="0"/>
              <w:jc w:val="center"/>
              <w:rPr>
                <w:sz w:val="20"/>
                <w:szCs w:val="20"/>
                <w:lang w:val="en-AU"/>
              </w:rPr>
            </w:pPr>
          </w:p>
        </w:tc>
        <w:tc>
          <w:tcPr>
            <w:tcW w:w="2094" w:type="pct"/>
            <w:vAlign w:val="center"/>
          </w:tcPr>
          <w:p w14:paraId="38FBF826" w14:textId="77777777" w:rsidR="00C26073" w:rsidRPr="00584B37" w:rsidRDefault="00C26073" w:rsidP="00584B37">
            <w:pPr>
              <w:keepNext/>
              <w:spacing w:before="0"/>
              <w:jc w:val="left"/>
              <w:rPr>
                <w:sz w:val="20"/>
                <w:szCs w:val="20"/>
                <w:lang w:val="en-AU"/>
              </w:rPr>
            </w:pPr>
          </w:p>
        </w:tc>
      </w:tr>
      <w:tr w:rsidR="00C26073" w:rsidRPr="00584B37" w14:paraId="1D88AC0E" w14:textId="77777777" w:rsidTr="00584B37">
        <w:tc>
          <w:tcPr>
            <w:tcW w:w="313" w:type="pct"/>
            <w:vAlign w:val="center"/>
          </w:tcPr>
          <w:p w14:paraId="7C6C2E61" w14:textId="77777777" w:rsidR="00C26073" w:rsidRPr="00584B37" w:rsidRDefault="00C26073" w:rsidP="00584B37">
            <w:pPr>
              <w:keepNext/>
              <w:spacing w:before="0"/>
              <w:jc w:val="left"/>
              <w:rPr>
                <w:sz w:val="20"/>
                <w:szCs w:val="20"/>
                <w:lang w:val="en-AU"/>
              </w:rPr>
            </w:pPr>
            <w:r w:rsidRPr="00584B37">
              <w:rPr>
                <w:sz w:val="20"/>
                <w:szCs w:val="20"/>
                <w:lang w:val="en-AU"/>
              </w:rPr>
              <w:t>I</w:t>
            </w:r>
          </w:p>
        </w:tc>
        <w:tc>
          <w:tcPr>
            <w:tcW w:w="1886" w:type="pct"/>
            <w:vAlign w:val="center"/>
          </w:tcPr>
          <w:p w14:paraId="5D3C365F" w14:textId="3BCAC1BF" w:rsidR="00C26073" w:rsidRPr="00ED5B5E" w:rsidRDefault="00C26073" w:rsidP="00584B37">
            <w:pPr>
              <w:keepNext/>
              <w:spacing w:before="0"/>
              <w:jc w:val="left"/>
              <w:rPr>
                <w:sz w:val="20"/>
                <w:szCs w:val="20"/>
                <w:vertAlign w:val="superscript"/>
                <w:lang w:val="en-AU"/>
              </w:rPr>
            </w:pPr>
            <w:r w:rsidRPr="00584B37">
              <w:rPr>
                <w:sz w:val="20"/>
                <w:szCs w:val="20"/>
                <w:lang w:val="en-AU"/>
              </w:rPr>
              <w:t>Niraparib drug cost/course of Tx</w:t>
            </w:r>
            <w:r w:rsidR="00ED5B5E">
              <w:rPr>
                <w:sz w:val="20"/>
                <w:szCs w:val="20"/>
                <w:vertAlign w:val="superscript"/>
                <w:lang w:val="en-AU"/>
              </w:rPr>
              <w:t>b</w:t>
            </w:r>
          </w:p>
        </w:tc>
        <w:tc>
          <w:tcPr>
            <w:tcW w:w="707" w:type="pct"/>
            <w:vAlign w:val="center"/>
          </w:tcPr>
          <w:p w14:paraId="69FED385" w14:textId="77777777" w:rsidR="00C26073" w:rsidRPr="00584B37" w:rsidRDefault="00C26073" w:rsidP="00584B37">
            <w:pPr>
              <w:keepNext/>
              <w:spacing w:before="0"/>
              <w:jc w:val="center"/>
              <w:rPr>
                <w:sz w:val="20"/>
                <w:szCs w:val="20"/>
                <w:lang w:val="en-AU"/>
              </w:rPr>
            </w:pPr>
            <w:r w:rsidRPr="00584B37">
              <w:rPr>
                <w:sz w:val="20"/>
                <w:szCs w:val="20"/>
                <w:lang w:val="en-AU"/>
              </w:rPr>
              <w:t>$105,084.72</w:t>
            </w:r>
          </w:p>
        </w:tc>
        <w:tc>
          <w:tcPr>
            <w:tcW w:w="2094" w:type="pct"/>
            <w:vAlign w:val="center"/>
          </w:tcPr>
          <w:p w14:paraId="70057C91" w14:textId="77777777" w:rsidR="00C26073" w:rsidRPr="00584B37" w:rsidRDefault="00C26073" w:rsidP="00584B37">
            <w:pPr>
              <w:keepNext/>
              <w:spacing w:before="0"/>
              <w:jc w:val="left"/>
              <w:rPr>
                <w:sz w:val="20"/>
                <w:szCs w:val="20"/>
                <w:lang w:val="en-AU"/>
              </w:rPr>
            </w:pPr>
            <w:r w:rsidRPr="00584B37">
              <w:rPr>
                <w:sz w:val="20"/>
                <w:szCs w:val="20"/>
                <w:lang w:val="en-AU"/>
              </w:rPr>
              <w:t>E-H</w:t>
            </w:r>
          </w:p>
        </w:tc>
      </w:tr>
      <w:tr w:rsidR="00C26073" w:rsidRPr="00584B37" w14:paraId="3C96962B" w14:textId="77777777" w:rsidTr="00584B37">
        <w:tc>
          <w:tcPr>
            <w:tcW w:w="313" w:type="pct"/>
            <w:vAlign w:val="center"/>
          </w:tcPr>
          <w:p w14:paraId="1F3D65C9" w14:textId="77777777" w:rsidR="00C26073" w:rsidRPr="00584B37" w:rsidRDefault="00C26073" w:rsidP="00584B37">
            <w:pPr>
              <w:keepNext/>
              <w:spacing w:before="0"/>
              <w:jc w:val="left"/>
              <w:rPr>
                <w:sz w:val="20"/>
                <w:szCs w:val="20"/>
                <w:lang w:val="en-AU"/>
              </w:rPr>
            </w:pPr>
            <w:r w:rsidRPr="00584B37">
              <w:rPr>
                <w:sz w:val="20"/>
                <w:szCs w:val="20"/>
                <w:lang w:val="en-AU"/>
              </w:rPr>
              <w:t>J</w:t>
            </w:r>
          </w:p>
        </w:tc>
        <w:tc>
          <w:tcPr>
            <w:tcW w:w="1886" w:type="pct"/>
            <w:vAlign w:val="center"/>
          </w:tcPr>
          <w:p w14:paraId="11769B8D" w14:textId="3337EAA8" w:rsidR="00C26073" w:rsidRPr="00D70EF0" w:rsidRDefault="00C26073" w:rsidP="00584B37">
            <w:pPr>
              <w:keepNext/>
              <w:spacing w:before="0"/>
              <w:jc w:val="left"/>
              <w:rPr>
                <w:sz w:val="20"/>
                <w:szCs w:val="20"/>
                <w:vertAlign w:val="superscript"/>
                <w:lang w:val="en-AU"/>
              </w:rPr>
            </w:pPr>
            <w:r w:rsidRPr="00584B37">
              <w:rPr>
                <w:sz w:val="20"/>
                <w:szCs w:val="20"/>
                <w:lang w:val="en-AU"/>
              </w:rPr>
              <w:t>Mean dose intensity, mg/day</w:t>
            </w:r>
            <w:r w:rsidR="00D70EF0">
              <w:rPr>
                <w:sz w:val="20"/>
                <w:szCs w:val="20"/>
                <w:vertAlign w:val="superscript"/>
                <w:lang w:val="en-AU"/>
              </w:rPr>
              <w:t>a</w:t>
            </w:r>
          </w:p>
        </w:tc>
        <w:tc>
          <w:tcPr>
            <w:tcW w:w="707" w:type="pct"/>
            <w:vAlign w:val="center"/>
          </w:tcPr>
          <w:p w14:paraId="0E3A274C" w14:textId="77777777" w:rsidR="00C26073" w:rsidRPr="00584B37" w:rsidRDefault="00C26073" w:rsidP="00584B37">
            <w:pPr>
              <w:keepNext/>
              <w:spacing w:before="0"/>
              <w:jc w:val="center"/>
              <w:rPr>
                <w:sz w:val="20"/>
                <w:szCs w:val="20"/>
                <w:lang w:val="en-AU"/>
              </w:rPr>
            </w:pPr>
            <w:r w:rsidRPr="00584B37">
              <w:rPr>
                <w:sz w:val="20"/>
                <w:szCs w:val="20"/>
                <w:lang w:val="en-AU"/>
              </w:rPr>
              <w:t>162.1</w:t>
            </w:r>
          </w:p>
        </w:tc>
        <w:tc>
          <w:tcPr>
            <w:tcW w:w="2094" w:type="pct"/>
            <w:vAlign w:val="center"/>
          </w:tcPr>
          <w:p w14:paraId="6802557D" w14:textId="77777777" w:rsidR="00C26073" w:rsidRPr="00584B37" w:rsidRDefault="00C26073" w:rsidP="00584B37">
            <w:pPr>
              <w:keepNext/>
              <w:spacing w:before="0"/>
              <w:jc w:val="left"/>
              <w:rPr>
                <w:sz w:val="20"/>
                <w:szCs w:val="20"/>
                <w:lang w:val="en-AU"/>
              </w:rPr>
            </w:pPr>
            <w:r w:rsidRPr="00584B37">
              <w:rPr>
                <w:sz w:val="20"/>
                <w:szCs w:val="20"/>
                <w:lang w:val="en-AU"/>
              </w:rPr>
              <w:t>PRIMA ISD (CSR Table 14.3.5.13b)</w:t>
            </w:r>
          </w:p>
        </w:tc>
      </w:tr>
      <w:tr w:rsidR="00C26073" w:rsidRPr="00584B37" w14:paraId="7B730E28" w14:textId="77777777" w:rsidTr="00584B37">
        <w:tc>
          <w:tcPr>
            <w:tcW w:w="313" w:type="pct"/>
            <w:vAlign w:val="center"/>
          </w:tcPr>
          <w:p w14:paraId="780BCFD3" w14:textId="77777777" w:rsidR="00C26073" w:rsidRPr="00584B37" w:rsidRDefault="00C26073" w:rsidP="00584B37">
            <w:pPr>
              <w:keepNext/>
              <w:spacing w:before="0"/>
              <w:jc w:val="left"/>
              <w:rPr>
                <w:sz w:val="20"/>
                <w:szCs w:val="20"/>
                <w:lang w:val="en-AU"/>
              </w:rPr>
            </w:pPr>
            <w:r w:rsidRPr="00584B37">
              <w:rPr>
                <w:sz w:val="20"/>
                <w:szCs w:val="20"/>
                <w:lang w:val="en-AU"/>
              </w:rPr>
              <w:t>K</w:t>
            </w:r>
          </w:p>
        </w:tc>
        <w:tc>
          <w:tcPr>
            <w:tcW w:w="1886" w:type="pct"/>
            <w:vAlign w:val="center"/>
          </w:tcPr>
          <w:p w14:paraId="7830DA8B" w14:textId="77777777" w:rsidR="00C26073" w:rsidRPr="00584B37" w:rsidRDefault="00C26073" w:rsidP="00584B37">
            <w:pPr>
              <w:keepNext/>
              <w:spacing w:before="0"/>
              <w:jc w:val="left"/>
              <w:rPr>
                <w:sz w:val="20"/>
                <w:szCs w:val="20"/>
                <w:lang w:val="en-AU"/>
              </w:rPr>
            </w:pPr>
            <w:r w:rsidRPr="00584B37">
              <w:rPr>
                <w:sz w:val="20"/>
                <w:szCs w:val="20"/>
                <w:lang w:val="en-AU"/>
              </w:rPr>
              <w:t>Treatment duration, months</w:t>
            </w:r>
          </w:p>
        </w:tc>
        <w:tc>
          <w:tcPr>
            <w:tcW w:w="707" w:type="pct"/>
            <w:vAlign w:val="center"/>
          </w:tcPr>
          <w:p w14:paraId="053D014F" w14:textId="77777777" w:rsidR="00C26073" w:rsidRPr="00584B37" w:rsidRDefault="00C26073" w:rsidP="00584B37">
            <w:pPr>
              <w:keepNext/>
              <w:spacing w:before="0"/>
              <w:jc w:val="center"/>
              <w:rPr>
                <w:sz w:val="20"/>
                <w:szCs w:val="20"/>
                <w:lang w:val="en-AU"/>
              </w:rPr>
            </w:pPr>
            <w:r w:rsidRPr="00584B37">
              <w:rPr>
                <w:sz w:val="20"/>
                <w:szCs w:val="20"/>
                <w:lang w:val="en-AU"/>
              </w:rPr>
              <w:t>18.7</w:t>
            </w:r>
          </w:p>
        </w:tc>
        <w:tc>
          <w:tcPr>
            <w:tcW w:w="2094" w:type="pct"/>
            <w:vAlign w:val="center"/>
          </w:tcPr>
          <w:p w14:paraId="1067DC17" w14:textId="77777777" w:rsidR="00C26073" w:rsidRPr="00584B37" w:rsidRDefault="00C26073" w:rsidP="00584B37">
            <w:pPr>
              <w:keepNext/>
              <w:spacing w:before="0"/>
              <w:jc w:val="left"/>
              <w:rPr>
                <w:sz w:val="20"/>
                <w:szCs w:val="20"/>
                <w:lang w:val="en-AU"/>
              </w:rPr>
            </w:pPr>
            <w:r w:rsidRPr="00584B37">
              <w:rPr>
                <w:sz w:val="20"/>
                <w:szCs w:val="20"/>
                <w:lang w:val="en-AU"/>
              </w:rPr>
              <w:t>Item 6.14, Paragraph 7.17, March 2023 minutes</w:t>
            </w:r>
          </w:p>
        </w:tc>
      </w:tr>
      <w:tr w:rsidR="00C26073" w:rsidRPr="00584B37" w14:paraId="037B64FD" w14:textId="77777777" w:rsidTr="00584B37">
        <w:tc>
          <w:tcPr>
            <w:tcW w:w="313" w:type="pct"/>
            <w:vAlign w:val="center"/>
          </w:tcPr>
          <w:p w14:paraId="07F31064" w14:textId="77777777" w:rsidR="00C26073" w:rsidRPr="00584B37" w:rsidRDefault="00C26073" w:rsidP="00584B37">
            <w:pPr>
              <w:keepNext/>
              <w:spacing w:before="0"/>
              <w:jc w:val="left"/>
              <w:rPr>
                <w:sz w:val="20"/>
                <w:szCs w:val="20"/>
                <w:lang w:val="en-AU"/>
              </w:rPr>
            </w:pPr>
            <w:r w:rsidRPr="00584B37">
              <w:rPr>
                <w:sz w:val="20"/>
                <w:szCs w:val="20"/>
                <w:lang w:val="en-AU"/>
              </w:rPr>
              <w:t>L</w:t>
            </w:r>
          </w:p>
        </w:tc>
        <w:tc>
          <w:tcPr>
            <w:tcW w:w="1886" w:type="pct"/>
            <w:vAlign w:val="center"/>
          </w:tcPr>
          <w:p w14:paraId="12C8898C" w14:textId="77777777" w:rsidR="00C26073" w:rsidRPr="00584B37" w:rsidRDefault="00C26073" w:rsidP="00584B37">
            <w:pPr>
              <w:keepNext/>
              <w:spacing w:before="0"/>
              <w:jc w:val="left"/>
              <w:rPr>
                <w:sz w:val="20"/>
                <w:szCs w:val="20"/>
                <w:lang w:val="en-AU"/>
              </w:rPr>
            </w:pPr>
            <w:r w:rsidRPr="00584B37">
              <w:rPr>
                <w:sz w:val="20"/>
                <w:szCs w:val="20"/>
                <w:lang w:val="en-AU"/>
              </w:rPr>
              <w:t>Volume per course of treatment, mg</w:t>
            </w:r>
          </w:p>
        </w:tc>
        <w:tc>
          <w:tcPr>
            <w:tcW w:w="707" w:type="pct"/>
            <w:vAlign w:val="center"/>
          </w:tcPr>
          <w:p w14:paraId="325182B2" w14:textId="77777777" w:rsidR="00C26073" w:rsidRPr="00584B37" w:rsidRDefault="00C26073" w:rsidP="00584B37">
            <w:pPr>
              <w:keepNext/>
              <w:spacing w:before="0"/>
              <w:jc w:val="center"/>
              <w:rPr>
                <w:sz w:val="20"/>
                <w:szCs w:val="20"/>
                <w:lang w:val="en-AU"/>
              </w:rPr>
            </w:pPr>
            <w:r w:rsidRPr="00584B37">
              <w:rPr>
                <w:sz w:val="20"/>
                <w:szCs w:val="20"/>
                <w:lang w:val="en-AU"/>
              </w:rPr>
              <w:t>92,264.3</w:t>
            </w:r>
          </w:p>
        </w:tc>
        <w:tc>
          <w:tcPr>
            <w:tcW w:w="2094" w:type="pct"/>
            <w:vAlign w:val="center"/>
          </w:tcPr>
          <w:p w14:paraId="7C0FC166" w14:textId="77777777" w:rsidR="00C26073" w:rsidRPr="00584B37" w:rsidRDefault="00C26073" w:rsidP="00584B37">
            <w:pPr>
              <w:keepNext/>
              <w:spacing w:before="0"/>
              <w:jc w:val="left"/>
              <w:rPr>
                <w:sz w:val="20"/>
                <w:szCs w:val="20"/>
                <w:lang w:val="en-AU"/>
              </w:rPr>
            </w:pPr>
            <w:r w:rsidRPr="00584B37">
              <w:rPr>
                <w:sz w:val="20"/>
                <w:szCs w:val="20"/>
                <w:lang w:val="en-AU"/>
              </w:rPr>
              <w:t>J*(K/12*365.25)</w:t>
            </w:r>
          </w:p>
        </w:tc>
      </w:tr>
      <w:tr w:rsidR="00C26073" w:rsidRPr="00584B37" w14:paraId="3708354E" w14:textId="77777777" w:rsidTr="00584B37">
        <w:tc>
          <w:tcPr>
            <w:tcW w:w="313" w:type="pct"/>
            <w:vAlign w:val="center"/>
          </w:tcPr>
          <w:p w14:paraId="2FDDE600" w14:textId="77777777" w:rsidR="00C26073" w:rsidRPr="00584B37" w:rsidRDefault="00C26073" w:rsidP="00584B37">
            <w:pPr>
              <w:keepNext/>
              <w:spacing w:before="0"/>
              <w:jc w:val="left"/>
              <w:rPr>
                <w:sz w:val="20"/>
                <w:szCs w:val="20"/>
                <w:lang w:val="en-AU"/>
              </w:rPr>
            </w:pPr>
            <w:r w:rsidRPr="00584B37">
              <w:rPr>
                <w:sz w:val="20"/>
                <w:szCs w:val="20"/>
                <w:lang w:val="en-AU"/>
              </w:rPr>
              <w:t>M</w:t>
            </w:r>
          </w:p>
        </w:tc>
        <w:tc>
          <w:tcPr>
            <w:tcW w:w="1886" w:type="pct"/>
            <w:vAlign w:val="center"/>
          </w:tcPr>
          <w:p w14:paraId="6ECD484B" w14:textId="058C9DC7" w:rsidR="00C26073" w:rsidRPr="00584B37" w:rsidRDefault="00C26073" w:rsidP="00584B37">
            <w:pPr>
              <w:keepNext/>
              <w:spacing w:before="0"/>
              <w:jc w:val="left"/>
              <w:rPr>
                <w:sz w:val="20"/>
                <w:szCs w:val="20"/>
                <w:lang w:val="en-AU"/>
              </w:rPr>
            </w:pPr>
            <w:r w:rsidRPr="00584B37">
              <w:rPr>
                <w:sz w:val="20"/>
                <w:szCs w:val="20"/>
                <w:lang w:val="en-AU"/>
              </w:rPr>
              <w:t>Cost per mg</w:t>
            </w:r>
            <w:r w:rsidR="00ED5B5E">
              <w:rPr>
                <w:sz w:val="20"/>
                <w:szCs w:val="20"/>
                <w:vertAlign w:val="superscript"/>
                <w:lang w:val="en-AU"/>
              </w:rPr>
              <w:t>b</w:t>
            </w:r>
          </w:p>
        </w:tc>
        <w:tc>
          <w:tcPr>
            <w:tcW w:w="707" w:type="pct"/>
            <w:vAlign w:val="center"/>
          </w:tcPr>
          <w:p w14:paraId="545B4B39" w14:textId="77777777" w:rsidR="00C26073" w:rsidRPr="00584B37" w:rsidRDefault="00C26073" w:rsidP="00584B37">
            <w:pPr>
              <w:keepNext/>
              <w:spacing w:before="0"/>
              <w:jc w:val="center"/>
              <w:rPr>
                <w:sz w:val="20"/>
                <w:szCs w:val="20"/>
                <w:lang w:val="en-AU"/>
              </w:rPr>
            </w:pPr>
            <w:r w:rsidRPr="00584B37">
              <w:rPr>
                <w:sz w:val="20"/>
                <w:szCs w:val="20"/>
                <w:lang w:val="en-AU"/>
              </w:rPr>
              <w:t>$1.14</w:t>
            </w:r>
          </w:p>
        </w:tc>
        <w:tc>
          <w:tcPr>
            <w:tcW w:w="2094" w:type="pct"/>
            <w:vAlign w:val="center"/>
          </w:tcPr>
          <w:p w14:paraId="4D61ABCA" w14:textId="77777777" w:rsidR="00C26073" w:rsidRPr="00584B37" w:rsidRDefault="00C26073" w:rsidP="00584B37">
            <w:pPr>
              <w:keepNext/>
              <w:spacing w:before="0"/>
              <w:jc w:val="left"/>
              <w:rPr>
                <w:sz w:val="20"/>
                <w:szCs w:val="20"/>
                <w:lang w:val="en-AU"/>
              </w:rPr>
            </w:pPr>
            <w:r w:rsidRPr="00584B37">
              <w:rPr>
                <w:sz w:val="20"/>
                <w:szCs w:val="20"/>
                <w:lang w:val="en-AU"/>
              </w:rPr>
              <w:t>I/L</w:t>
            </w:r>
          </w:p>
        </w:tc>
      </w:tr>
      <w:tr w:rsidR="00C26073" w:rsidRPr="00584B37" w14:paraId="79E451E8" w14:textId="77777777" w:rsidTr="00584B37">
        <w:tc>
          <w:tcPr>
            <w:tcW w:w="313" w:type="pct"/>
            <w:vAlign w:val="center"/>
          </w:tcPr>
          <w:p w14:paraId="50F1D1C5" w14:textId="77777777" w:rsidR="00C26073" w:rsidRPr="00584B37" w:rsidRDefault="00C26073" w:rsidP="00584B37">
            <w:pPr>
              <w:keepNext/>
              <w:spacing w:before="0"/>
              <w:jc w:val="left"/>
              <w:rPr>
                <w:sz w:val="20"/>
                <w:szCs w:val="20"/>
                <w:lang w:val="en-AU"/>
              </w:rPr>
            </w:pPr>
            <w:r w:rsidRPr="00584B37">
              <w:rPr>
                <w:sz w:val="20"/>
                <w:szCs w:val="20"/>
                <w:lang w:val="en-AU"/>
              </w:rPr>
              <w:t>N</w:t>
            </w:r>
          </w:p>
        </w:tc>
        <w:tc>
          <w:tcPr>
            <w:tcW w:w="1886" w:type="pct"/>
            <w:vAlign w:val="center"/>
          </w:tcPr>
          <w:p w14:paraId="680943A3" w14:textId="77777777" w:rsidR="00C26073" w:rsidRPr="00584B37" w:rsidRDefault="00C26073" w:rsidP="00584B37">
            <w:pPr>
              <w:keepNext/>
              <w:spacing w:before="0"/>
              <w:jc w:val="left"/>
              <w:rPr>
                <w:sz w:val="20"/>
                <w:szCs w:val="20"/>
                <w:lang w:val="en-AU"/>
              </w:rPr>
            </w:pPr>
            <w:r w:rsidRPr="00584B37">
              <w:rPr>
                <w:sz w:val="20"/>
                <w:szCs w:val="20"/>
                <w:lang w:val="en-AU"/>
              </w:rPr>
              <w:t>Volume per 84 capsule pack (100 mg caps)</w:t>
            </w:r>
          </w:p>
        </w:tc>
        <w:tc>
          <w:tcPr>
            <w:tcW w:w="707" w:type="pct"/>
            <w:vAlign w:val="center"/>
          </w:tcPr>
          <w:p w14:paraId="4674B296" w14:textId="77777777" w:rsidR="00C26073" w:rsidRPr="00584B37" w:rsidRDefault="00C26073" w:rsidP="00584B37">
            <w:pPr>
              <w:keepNext/>
              <w:spacing w:before="0"/>
              <w:jc w:val="center"/>
              <w:rPr>
                <w:sz w:val="20"/>
                <w:szCs w:val="20"/>
                <w:lang w:val="en-AU"/>
              </w:rPr>
            </w:pPr>
            <w:r w:rsidRPr="00584B37">
              <w:rPr>
                <w:sz w:val="20"/>
                <w:szCs w:val="20"/>
                <w:lang w:val="en-AU"/>
              </w:rPr>
              <w:t>8,400</w:t>
            </w:r>
          </w:p>
        </w:tc>
        <w:tc>
          <w:tcPr>
            <w:tcW w:w="2094" w:type="pct"/>
            <w:vAlign w:val="center"/>
          </w:tcPr>
          <w:p w14:paraId="05F3ED54" w14:textId="77777777" w:rsidR="00C26073" w:rsidRPr="00584B37" w:rsidRDefault="00C26073" w:rsidP="00584B37">
            <w:pPr>
              <w:keepNext/>
              <w:spacing w:before="0"/>
              <w:jc w:val="left"/>
              <w:rPr>
                <w:sz w:val="20"/>
                <w:szCs w:val="20"/>
                <w:lang w:val="en-AU"/>
              </w:rPr>
            </w:pPr>
            <w:r w:rsidRPr="00584B37">
              <w:rPr>
                <w:sz w:val="20"/>
                <w:szCs w:val="20"/>
                <w:lang w:val="en-AU"/>
              </w:rPr>
              <w:t xml:space="preserve">84*100 </w:t>
            </w:r>
            <w:r w:rsidRPr="00584B37">
              <w:rPr>
                <w:i/>
                <w:iCs/>
                <w:sz w:val="20"/>
                <w:szCs w:val="20"/>
                <w:lang w:val="en-AU"/>
              </w:rPr>
              <w:t>(corresponds to 28 days treatment for patients requiring a daily dose of 3 capsules)</w:t>
            </w:r>
          </w:p>
        </w:tc>
      </w:tr>
      <w:tr w:rsidR="00C26073" w:rsidRPr="00584B37" w14:paraId="40A72BE4" w14:textId="77777777" w:rsidTr="00584B37">
        <w:tc>
          <w:tcPr>
            <w:tcW w:w="313" w:type="pct"/>
            <w:vAlign w:val="center"/>
          </w:tcPr>
          <w:p w14:paraId="4727196E" w14:textId="77777777" w:rsidR="00C26073" w:rsidRPr="00584B37" w:rsidRDefault="00C26073" w:rsidP="00584B37">
            <w:pPr>
              <w:keepNext/>
              <w:spacing w:before="0"/>
              <w:jc w:val="left"/>
              <w:rPr>
                <w:sz w:val="20"/>
                <w:szCs w:val="20"/>
                <w:lang w:val="en-AU"/>
              </w:rPr>
            </w:pPr>
            <w:r w:rsidRPr="00584B37">
              <w:rPr>
                <w:sz w:val="20"/>
                <w:szCs w:val="20"/>
                <w:lang w:val="en-AU"/>
              </w:rPr>
              <w:t>O</w:t>
            </w:r>
          </w:p>
        </w:tc>
        <w:tc>
          <w:tcPr>
            <w:tcW w:w="1886" w:type="pct"/>
            <w:vAlign w:val="center"/>
          </w:tcPr>
          <w:p w14:paraId="42077D62" w14:textId="110ABDC9" w:rsidR="00C26073" w:rsidRPr="00584B37" w:rsidRDefault="00C26073" w:rsidP="00584B37">
            <w:pPr>
              <w:keepNext/>
              <w:spacing w:before="0"/>
              <w:jc w:val="left"/>
              <w:rPr>
                <w:sz w:val="20"/>
                <w:szCs w:val="20"/>
                <w:lang w:val="en-AU"/>
              </w:rPr>
            </w:pPr>
            <w:r w:rsidRPr="00584B37">
              <w:rPr>
                <w:sz w:val="20"/>
                <w:szCs w:val="20"/>
                <w:lang w:val="en-AU"/>
              </w:rPr>
              <w:t>Cost minimising niraparib AEMP per 84 capsule pack</w:t>
            </w:r>
            <w:r w:rsidR="00ED5B5E">
              <w:rPr>
                <w:sz w:val="20"/>
                <w:szCs w:val="20"/>
                <w:vertAlign w:val="superscript"/>
                <w:lang w:val="en-AU"/>
              </w:rPr>
              <w:t>b</w:t>
            </w:r>
          </w:p>
        </w:tc>
        <w:tc>
          <w:tcPr>
            <w:tcW w:w="707" w:type="pct"/>
            <w:vAlign w:val="center"/>
          </w:tcPr>
          <w:p w14:paraId="3461EC13" w14:textId="77777777" w:rsidR="00C26073" w:rsidRPr="00584B37" w:rsidRDefault="00C26073" w:rsidP="00584B37">
            <w:pPr>
              <w:keepNext/>
              <w:spacing w:before="0"/>
              <w:jc w:val="center"/>
              <w:rPr>
                <w:sz w:val="20"/>
                <w:szCs w:val="20"/>
                <w:lang w:val="en-AU"/>
              </w:rPr>
            </w:pPr>
            <w:r w:rsidRPr="00584B37">
              <w:rPr>
                <w:sz w:val="20"/>
                <w:szCs w:val="20"/>
                <w:lang w:val="en-AU"/>
              </w:rPr>
              <w:t>$9,657.21</w:t>
            </w:r>
          </w:p>
        </w:tc>
        <w:tc>
          <w:tcPr>
            <w:tcW w:w="2094" w:type="pct"/>
            <w:vAlign w:val="center"/>
          </w:tcPr>
          <w:p w14:paraId="2BAA55B8" w14:textId="77777777" w:rsidR="00C26073" w:rsidRPr="00584B37" w:rsidRDefault="00C26073" w:rsidP="00584B37">
            <w:pPr>
              <w:keepNext/>
              <w:spacing w:before="0"/>
              <w:jc w:val="left"/>
              <w:rPr>
                <w:sz w:val="20"/>
                <w:szCs w:val="20"/>
                <w:lang w:val="en-AU"/>
              </w:rPr>
            </w:pPr>
            <w:r w:rsidRPr="00584B37">
              <w:rPr>
                <w:sz w:val="20"/>
                <w:szCs w:val="20"/>
                <w:lang w:val="en-AU"/>
              </w:rPr>
              <w:t>M*N</w:t>
            </w:r>
          </w:p>
        </w:tc>
      </w:tr>
      <w:tr w:rsidR="00C26073" w:rsidRPr="00584B37" w14:paraId="45158536" w14:textId="77777777" w:rsidTr="00584B37">
        <w:tc>
          <w:tcPr>
            <w:tcW w:w="313" w:type="pct"/>
            <w:vAlign w:val="center"/>
          </w:tcPr>
          <w:p w14:paraId="684B9E92" w14:textId="77777777" w:rsidR="00C26073" w:rsidRPr="00584B37" w:rsidRDefault="00C26073" w:rsidP="00584B37">
            <w:pPr>
              <w:spacing w:before="0"/>
              <w:jc w:val="left"/>
              <w:rPr>
                <w:sz w:val="20"/>
                <w:szCs w:val="20"/>
                <w:lang w:val="en-AU"/>
              </w:rPr>
            </w:pPr>
            <w:r w:rsidRPr="00584B37">
              <w:rPr>
                <w:sz w:val="20"/>
                <w:szCs w:val="20"/>
                <w:lang w:val="en-AU"/>
              </w:rPr>
              <w:t>P</w:t>
            </w:r>
          </w:p>
        </w:tc>
        <w:tc>
          <w:tcPr>
            <w:tcW w:w="1886" w:type="pct"/>
            <w:vAlign w:val="center"/>
          </w:tcPr>
          <w:p w14:paraId="380F3197" w14:textId="77777777" w:rsidR="00C26073" w:rsidRPr="00584B37" w:rsidRDefault="00C26073" w:rsidP="00584B37">
            <w:pPr>
              <w:spacing w:before="0"/>
              <w:jc w:val="left"/>
              <w:rPr>
                <w:sz w:val="20"/>
                <w:szCs w:val="20"/>
                <w:lang w:val="en-AU"/>
              </w:rPr>
            </w:pPr>
            <w:r w:rsidRPr="00584B37">
              <w:rPr>
                <w:sz w:val="20"/>
                <w:szCs w:val="20"/>
                <w:lang w:val="en-AU"/>
              </w:rPr>
              <w:t>Volume per 56 capsule pack (100 mg caps)</w:t>
            </w:r>
          </w:p>
        </w:tc>
        <w:tc>
          <w:tcPr>
            <w:tcW w:w="707" w:type="pct"/>
            <w:vAlign w:val="center"/>
          </w:tcPr>
          <w:p w14:paraId="39EE2C92" w14:textId="77777777" w:rsidR="00C26073" w:rsidRPr="00584B37" w:rsidRDefault="00C26073" w:rsidP="00584B37">
            <w:pPr>
              <w:spacing w:before="0"/>
              <w:jc w:val="center"/>
              <w:rPr>
                <w:sz w:val="20"/>
                <w:szCs w:val="20"/>
                <w:lang w:val="en-AU"/>
              </w:rPr>
            </w:pPr>
            <w:r w:rsidRPr="00584B37">
              <w:rPr>
                <w:sz w:val="20"/>
                <w:szCs w:val="20"/>
                <w:lang w:val="en-AU"/>
              </w:rPr>
              <w:t>5,600</w:t>
            </w:r>
          </w:p>
        </w:tc>
        <w:tc>
          <w:tcPr>
            <w:tcW w:w="2094" w:type="pct"/>
            <w:vAlign w:val="center"/>
          </w:tcPr>
          <w:p w14:paraId="0130B828" w14:textId="77777777" w:rsidR="00C26073" w:rsidRPr="00584B37" w:rsidRDefault="00C26073" w:rsidP="00584B37">
            <w:pPr>
              <w:spacing w:before="0"/>
              <w:jc w:val="left"/>
              <w:rPr>
                <w:sz w:val="20"/>
                <w:szCs w:val="20"/>
                <w:lang w:val="en-AU"/>
              </w:rPr>
            </w:pPr>
            <w:r w:rsidRPr="00584B37">
              <w:rPr>
                <w:sz w:val="20"/>
                <w:szCs w:val="20"/>
                <w:lang w:val="en-AU"/>
              </w:rPr>
              <w:t xml:space="preserve">56*100 </w:t>
            </w:r>
            <w:r w:rsidRPr="00584B37">
              <w:rPr>
                <w:i/>
                <w:iCs/>
                <w:sz w:val="20"/>
                <w:szCs w:val="20"/>
                <w:lang w:val="en-AU"/>
              </w:rPr>
              <w:t>(corresponds to 28 days treatment for patients requiring a daily dose of 2 capsules)</w:t>
            </w:r>
          </w:p>
        </w:tc>
      </w:tr>
      <w:tr w:rsidR="00C26073" w:rsidRPr="00584B37" w14:paraId="520D65DE" w14:textId="77777777" w:rsidTr="00584B37">
        <w:tc>
          <w:tcPr>
            <w:tcW w:w="313" w:type="pct"/>
            <w:vAlign w:val="center"/>
          </w:tcPr>
          <w:p w14:paraId="65A448AD" w14:textId="77777777" w:rsidR="00C26073" w:rsidRPr="00584B37" w:rsidRDefault="00C26073" w:rsidP="00584B37">
            <w:pPr>
              <w:spacing w:before="0"/>
              <w:jc w:val="left"/>
              <w:rPr>
                <w:sz w:val="20"/>
                <w:szCs w:val="20"/>
                <w:lang w:val="en-AU"/>
              </w:rPr>
            </w:pPr>
            <w:r w:rsidRPr="00584B37">
              <w:rPr>
                <w:sz w:val="20"/>
                <w:szCs w:val="20"/>
                <w:lang w:val="en-AU"/>
              </w:rPr>
              <w:t>Q</w:t>
            </w:r>
          </w:p>
        </w:tc>
        <w:tc>
          <w:tcPr>
            <w:tcW w:w="1886" w:type="pct"/>
            <w:vAlign w:val="center"/>
          </w:tcPr>
          <w:p w14:paraId="6A84F4E7" w14:textId="77402F15" w:rsidR="00C26073" w:rsidRPr="00584B37" w:rsidRDefault="00C26073" w:rsidP="00584B37">
            <w:pPr>
              <w:spacing w:before="0"/>
              <w:jc w:val="left"/>
              <w:rPr>
                <w:sz w:val="20"/>
                <w:szCs w:val="20"/>
                <w:lang w:val="en-AU"/>
              </w:rPr>
            </w:pPr>
            <w:r w:rsidRPr="00584B37">
              <w:rPr>
                <w:sz w:val="20"/>
                <w:szCs w:val="20"/>
                <w:lang w:val="en-AU"/>
              </w:rPr>
              <w:t>Cost minimising niraparib AEMP per 56 capsule pack</w:t>
            </w:r>
            <w:r w:rsidR="00ED5B5E">
              <w:rPr>
                <w:sz w:val="20"/>
                <w:szCs w:val="20"/>
                <w:vertAlign w:val="superscript"/>
                <w:lang w:val="en-AU"/>
              </w:rPr>
              <w:t>b</w:t>
            </w:r>
          </w:p>
        </w:tc>
        <w:tc>
          <w:tcPr>
            <w:tcW w:w="707" w:type="pct"/>
            <w:vAlign w:val="center"/>
          </w:tcPr>
          <w:p w14:paraId="09B43CE1" w14:textId="77777777" w:rsidR="00C26073" w:rsidRPr="00584B37" w:rsidRDefault="00C26073" w:rsidP="00584B37">
            <w:pPr>
              <w:spacing w:before="0"/>
              <w:jc w:val="center"/>
              <w:rPr>
                <w:sz w:val="20"/>
                <w:szCs w:val="20"/>
                <w:lang w:val="en-AU"/>
              </w:rPr>
            </w:pPr>
            <w:r w:rsidRPr="00584B37">
              <w:rPr>
                <w:sz w:val="20"/>
                <w:szCs w:val="20"/>
                <w:lang w:val="en-AU"/>
              </w:rPr>
              <w:t>$6,378.14</w:t>
            </w:r>
          </w:p>
        </w:tc>
        <w:tc>
          <w:tcPr>
            <w:tcW w:w="2094" w:type="pct"/>
            <w:vAlign w:val="center"/>
          </w:tcPr>
          <w:p w14:paraId="629039FC" w14:textId="77777777" w:rsidR="00C26073" w:rsidRPr="00584B37" w:rsidRDefault="00C26073" w:rsidP="00584B37">
            <w:pPr>
              <w:spacing w:before="0"/>
              <w:jc w:val="left"/>
              <w:rPr>
                <w:sz w:val="20"/>
                <w:szCs w:val="20"/>
                <w:lang w:val="en-AU"/>
              </w:rPr>
            </w:pPr>
            <w:r w:rsidRPr="00584B37">
              <w:rPr>
                <w:sz w:val="20"/>
                <w:szCs w:val="20"/>
                <w:lang w:val="en-AU"/>
              </w:rPr>
              <w:t>P*Q</w:t>
            </w:r>
          </w:p>
        </w:tc>
      </w:tr>
    </w:tbl>
    <w:p w14:paraId="6709D003" w14:textId="504C0B7D" w:rsidR="00C26073" w:rsidRDefault="00C26073" w:rsidP="00D70EF0">
      <w:pPr>
        <w:spacing w:before="0" w:after="0"/>
        <w:rPr>
          <w:rFonts w:ascii="Arial Narrow" w:eastAsia="Times New Roman" w:hAnsi="Arial Narrow" w:cs="Arial"/>
          <w:snapToGrid w:val="0"/>
          <w:sz w:val="18"/>
          <w:lang w:eastAsia="en-AU"/>
        </w:rPr>
      </w:pPr>
      <w:r w:rsidRPr="00B4602B">
        <w:rPr>
          <w:rFonts w:ascii="Arial Narrow" w:eastAsia="Times New Roman" w:hAnsi="Arial Narrow" w:cs="Arial"/>
          <w:snapToGrid w:val="0"/>
          <w:sz w:val="18"/>
          <w:lang w:eastAsia="en-AU"/>
        </w:rPr>
        <w:t>Source: Table 1 Sponsor submission, April 2023.</w:t>
      </w:r>
    </w:p>
    <w:p w14:paraId="3FC6A1EA" w14:textId="77777777" w:rsidR="00D70EF0" w:rsidRDefault="00D70EF0" w:rsidP="00D70EF0">
      <w:pPr>
        <w:pStyle w:val="TableNotes"/>
        <w:spacing w:after="0"/>
        <w:rPr>
          <w:i/>
          <w:iCs/>
          <w:sz w:val="18"/>
          <w:szCs w:val="18"/>
        </w:rPr>
      </w:pPr>
      <w:r>
        <w:rPr>
          <w:rFonts w:eastAsia="Times New Roman" w:cs="Arial"/>
          <w:snapToGrid w:val="0"/>
          <w:sz w:val="18"/>
          <w:vertAlign w:val="superscript"/>
          <w:lang w:eastAsia="en-AU"/>
        </w:rPr>
        <w:t xml:space="preserve">a </w:t>
      </w:r>
      <w:r w:rsidRPr="00CA0799">
        <w:rPr>
          <w:i/>
          <w:iCs/>
          <w:sz w:val="18"/>
          <w:szCs w:val="18"/>
        </w:rPr>
        <w:t>Note: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p w14:paraId="69744001" w14:textId="0D2B11C9" w:rsidR="009654DF" w:rsidRPr="00ED5B5E" w:rsidRDefault="00ED5B5E" w:rsidP="00B4602B">
      <w:pPr>
        <w:spacing w:before="0" w:after="120"/>
        <w:rPr>
          <w:rFonts w:ascii="Arial Narrow" w:eastAsia="Times New Roman" w:hAnsi="Arial Narrow" w:cs="Arial"/>
          <w:snapToGrid w:val="0"/>
          <w:sz w:val="18"/>
          <w:lang w:eastAsia="en-AU"/>
        </w:rPr>
      </w:pPr>
      <w:r>
        <w:rPr>
          <w:sz w:val="20"/>
          <w:szCs w:val="20"/>
          <w:vertAlign w:val="superscript"/>
        </w:rPr>
        <w:t>b</w:t>
      </w:r>
      <w:r>
        <w:rPr>
          <w:sz w:val="20"/>
          <w:szCs w:val="20"/>
        </w:rPr>
        <w:t xml:space="preserve"> </w:t>
      </w:r>
      <w:r w:rsidRPr="005178A6">
        <w:rPr>
          <w:rFonts w:ascii="Arial Narrow" w:eastAsiaTheme="majorEastAsia" w:hAnsi="Arial Narrow" w:cstheme="majorBidi"/>
          <w:i/>
          <w:iCs/>
          <w:sz w:val="18"/>
          <w:szCs w:val="18"/>
        </w:rPr>
        <w:t>Rows I, M, O and Q do not reflect the requested prices.</w:t>
      </w:r>
      <w:r w:rsidRPr="00ED5B5E">
        <w:rPr>
          <w:sz w:val="20"/>
          <w:szCs w:val="20"/>
        </w:rPr>
        <w:t xml:space="preserve"> </w:t>
      </w:r>
    </w:p>
    <w:p w14:paraId="7E7DDF2C" w14:textId="77777777" w:rsidR="00C26073" w:rsidRPr="00863A3C" w:rsidRDefault="00C26073" w:rsidP="00C26073">
      <w:pPr>
        <w:pStyle w:val="ListParagraph"/>
        <w:spacing w:before="0" w:after="120"/>
      </w:pPr>
      <w:r w:rsidRPr="00863A3C">
        <w:t xml:space="preserve">The estimated financial implications for the listing of niraparib in the HRD+ </w:t>
      </w:r>
      <w:r w:rsidRPr="00863A3C">
        <w:rPr>
          <w:i/>
          <w:iCs/>
        </w:rPr>
        <w:t>BRCA</w:t>
      </w:r>
      <w:r w:rsidRPr="00863A3C">
        <w:t xml:space="preserve">wt cohort are provided in </w:t>
      </w:r>
      <w:r w:rsidRPr="00863A3C">
        <w:fldChar w:fldCharType="begin" w:fldLock="1"/>
      </w:r>
      <w:r w:rsidRPr="00863A3C">
        <w:instrText xml:space="preserve"> REF _Ref132968001 \h </w:instrText>
      </w:r>
      <w:r w:rsidRPr="00863A3C">
        <w:fldChar w:fldCharType="separate"/>
      </w:r>
      <w:r w:rsidRPr="00863A3C">
        <w:t>Table 28</w:t>
      </w:r>
      <w:r w:rsidRPr="00863A3C">
        <w:fldChar w:fldCharType="end"/>
      </w:r>
      <w:r w:rsidRPr="00863A3C">
        <w:t>.</w:t>
      </w:r>
    </w:p>
    <w:p w14:paraId="3DE7A441" w14:textId="77777777" w:rsidR="00C26073" w:rsidRPr="00863A3C" w:rsidRDefault="00C26073" w:rsidP="00584B37">
      <w:pPr>
        <w:pStyle w:val="TableFigureHeading"/>
        <w:jc w:val="both"/>
      </w:pPr>
      <w:bookmarkStart w:id="205" w:name="_Ref132968001"/>
      <w:r w:rsidRPr="00863A3C">
        <w:t xml:space="preserve">Table </w:t>
      </w:r>
      <w:r w:rsidR="00091054">
        <w:fldChar w:fldCharType="begin" w:fldLock="1"/>
      </w:r>
      <w:r w:rsidR="00091054">
        <w:instrText xml:space="preserve"> SEQ Table \* ARABIC </w:instrText>
      </w:r>
      <w:r w:rsidR="00091054">
        <w:fldChar w:fldCharType="separate"/>
      </w:r>
      <w:r w:rsidRPr="00863A3C">
        <w:t>28</w:t>
      </w:r>
      <w:r w:rsidR="00091054">
        <w:fldChar w:fldCharType="end"/>
      </w:r>
      <w:bookmarkEnd w:id="205"/>
      <w:r w:rsidRPr="00863A3C">
        <w:t xml:space="preserve">: Estimated financial implications for the listing of niraparib in the HRD+ </w:t>
      </w:r>
      <w:r w:rsidRPr="00863A3C">
        <w:rPr>
          <w:i/>
        </w:rPr>
        <w:t>BRCA</w:t>
      </w:r>
      <w:r w:rsidRPr="00863A3C">
        <w:t xml:space="preserve">wt cohort based on published olaparib </w:t>
      </w:r>
      <w:proofErr w:type="gramStart"/>
      <w:r w:rsidRPr="00863A3C">
        <w:t>price</w:t>
      </w:r>
      <w:proofErr w:type="gramEnd"/>
    </w:p>
    <w:tbl>
      <w:tblPr>
        <w:tblStyle w:val="Submissionstandard2"/>
        <w:tblW w:w="5033" w:type="pct"/>
        <w:tblLayout w:type="fixed"/>
        <w:tblCellMar>
          <w:left w:w="85" w:type="dxa"/>
          <w:right w:w="85" w:type="dxa"/>
        </w:tblCellMar>
        <w:tblLook w:val="04A0" w:firstRow="1" w:lastRow="0" w:firstColumn="1" w:lastColumn="0" w:noHBand="0" w:noVBand="1"/>
      </w:tblPr>
      <w:tblGrid>
        <w:gridCol w:w="1471"/>
        <w:gridCol w:w="1273"/>
        <w:gridCol w:w="1273"/>
        <w:gridCol w:w="1271"/>
        <w:gridCol w:w="1272"/>
        <w:gridCol w:w="1269"/>
        <w:gridCol w:w="1247"/>
      </w:tblGrid>
      <w:tr w:rsidR="00470AFB" w:rsidRPr="00863A3C" w14:paraId="0E4F81EF" w14:textId="77777777" w:rsidTr="00470AFB">
        <w:trPr>
          <w:cnfStyle w:val="100000000000" w:firstRow="1" w:lastRow="0" w:firstColumn="0" w:lastColumn="0" w:oddVBand="0" w:evenVBand="0" w:oddHBand="0" w:evenHBand="0" w:firstRowFirstColumn="0" w:firstRowLastColumn="0" w:lastRowFirstColumn="0" w:lastRowLastColumn="0"/>
          <w:trHeight w:val="283"/>
        </w:trPr>
        <w:tc>
          <w:tcPr>
            <w:tcW w:w="810" w:type="pct"/>
          </w:tcPr>
          <w:p w14:paraId="7A952275" w14:textId="48560AA9" w:rsidR="00C26073" w:rsidRPr="00BB03D6" w:rsidRDefault="00C26073" w:rsidP="003370CF">
            <w:pPr>
              <w:spacing w:before="0"/>
              <w:rPr>
                <w:rFonts w:ascii="Arial Narrow" w:hAnsi="Arial Narrow"/>
                <w:sz w:val="20"/>
                <w:szCs w:val="20"/>
                <w:lang w:val="en-AU"/>
              </w:rPr>
            </w:pPr>
          </w:p>
        </w:tc>
        <w:tc>
          <w:tcPr>
            <w:tcW w:w="701" w:type="pct"/>
            <w:vAlign w:val="center"/>
          </w:tcPr>
          <w:p w14:paraId="4657E255" w14:textId="77777777" w:rsidR="00C26073" w:rsidRPr="00BB03D6" w:rsidRDefault="00C26073" w:rsidP="00B4602B">
            <w:pPr>
              <w:spacing w:before="0"/>
              <w:jc w:val="center"/>
              <w:rPr>
                <w:rFonts w:ascii="Arial Narrow" w:hAnsi="Arial Narrow"/>
                <w:sz w:val="20"/>
                <w:szCs w:val="20"/>
                <w:lang w:val="en-AU"/>
              </w:rPr>
            </w:pPr>
            <w:r w:rsidRPr="00BB03D6">
              <w:rPr>
                <w:rFonts w:ascii="Arial Narrow" w:hAnsi="Arial Narrow"/>
                <w:sz w:val="20"/>
                <w:szCs w:val="20"/>
                <w:lang w:val="en-AU"/>
              </w:rPr>
              <w:t>Year 1</w:t>
            </w:r>
          </w:p>
        </w:tc>
        <w:tc>
          <w:tcPr>
            <w:tcW w:w="701" w:type="pct"/>
            <w:vAlign w:val="center"/>
          </w:tcPr>
          <w:p w14:paraId="3492AC39" w14:textId="77777777" w:rsidR="00C26073" w:rsidRPr="00BB03D6" w:rsidRDefault="00C26073" w:rsidP="00B4602B">
            <w:pPr>
              <w:spacing w:before="0"/>
              <w:jc w:val="center"/>
              <w:rPr>
                <w:rFonts w:ascii="Arial Narrow" w:hAnsi="Arial Narrow"/>
                <w:sz w:val="20"/>
                <w:szCs w:val="20"/>
                <w:lang w:val="en-AU"/>
              </w:rPr>
            </w:pPr>
            <w:r w:rsidRPr="00BB03D6">
              <w:rPr>
                <w:rFonts w:ascii="Arial Narrow" w:hAnsi="Arial Narrow"/>
                <w:sz w:val="20"/>
                <w:szCs w:val="20"/>
                <w:lang w:val="en-AU"/>
              </w:rPr>
              <w:t>Year 2</w:t>
            </w:r>
          </w:p>
        </w:tc>
        <w:tc>
          <w:tcPr>
            <w:tcW w:w="700" w:type="pct"/>
            <w:vAlign w:val="center"/>
          </w:tcPr>
          <w:p w14:paraId="79E5DC46" w14:textId="77777777" w:rsidR="00C26073" w:rsidRPr="00BB03D6" w:rsidRDefault="00C26073" w:rsidP="00B4602B">
            <w:pPr>
              <w:spacing w:before="0"/>
              <w:jc w:val="center"/>
              <w:rPr>
                <w:rFonts w:ascii="Arial Narrow" w:hAnsi="Arial Narrow"/>
                <w:sz w:val="20"/>
                <w:szCs w:val="20"/>
                <w:lang w:val="en-AU"/>
              </w:rPr>
            </w:pPr>
            <w:r w:rsidRPr="00BB03D6">
              <w:rPr>
                <w:rFonts w:ascii="Arial Narrow" w:hAnsi="Arial Narrow"/>
                <w:sz w:val="20"/>
                <w:szCs w:val="20"/>
                <w:lang w:val="en-AU"/>
              </w:rPr>
              <w:t>Year 3</w:t>
            </w:r>
          </w:p>
        </w:tc>
        <w:tc>
          <w:tcPr>
            <w:tcW w:w="701" w:type="pct"/>
            <w:vAlign w:val="center"/>
          </w:tcPr>
          <w:p w14:paraId="024053E8" w14:textId="77777777" w:rsidR="00C26073" w:rsidRPr="00BB03D6" w:rsidRDefault="00C26073" w:rsidP="00B4602B">
            <w:pPr>
              <w:spacing w:before="0"/>
              <w:jc w:val="center"/>
              <w:rPr>
                <w:rFonts w:ascii="Arial Narrow" w:hAnsi="Arial Narrow"/>
                <w:sz w:val="20"/>
                <w:szCs w:val="20"/>
                <w:lang w:val="en-AU"/>
              </w:rPr>
            </w:pPr>
            <w:r w:rsidRPr="00BB03D6">
              <w:rPr>
                <w:rFonts w:ascii="Arial Narrow" w:hAnsi="Arial Narrow"/>
                <w:sz w:val="20"/>
                <w:szCs w:val="20"/>
                <w:lang w:val="en-AU"/>
              </w:rPr>
              <w:t>Year 4</w:t>
            </w:r>
          </w:p>
        </w:tc>
        <w:tc>
          <w:tcPr>
            <w:tcW w:w="699" w:type="pct"/>
            <w:vAlign w:val="center"/>
          </w:tcPr>
          <w:p w14:paraId="78DFA31A" w14:textId="77777777" w:rsidR="00C26073" w:rsidRPr="00BB03D6" w:rsidRDefault="00C26073" w:rsidP="00B4602B">
            <w:pPr>
              <w:spacing w:before="0"/>
              <w:jc w:val="center"/>
              <w:rPr>
                <w:rFonts w:ascii="Arial Narrow" w:hAnsi="Arial Narrow"/>
                <w:sz w:val="20"/>
                <w:szCs w:val="20"/>
                <w:lang w:val="en-AU"/>
              </w:rPr>
            </w:pPr>
            <w:r w:rsidRPr="00BB03D6">
              <w:rPr>
                <w:rFonts w:ascii="Arial Narrow" w:hAnsi="Arial Narrow"/>
                <w:sz w:val="20"/>
                <w:szCs w:val="20"/>
                <w:lang w:val="en-AU"/>
              </w:rPr>
              <w:t>Year 5</w:t>
            </w:r>
          </w:p>
        </w:tc>
        <w:tc>
          <w:tcPr>
            <w:tcW w:w="687" w:type="pct"/>
            <w:vAlign w:val="center"/>
          </w:tcPr>
          <w:p w14:paraId="368102A7" w14:textId="77777777" w:rsidR="00C26073" w:rsidRPr="00BB03D6" w:rsidRDefault="00C26073" w:rsidP="00B4602B">
            <w:pPr>
              <w:spacing w:before="0"/>
              <w:jc w:val="center"/>
              <w:rPr>
                <w:rFonts w:ascii="Arial Narrow" w:hAnsi="Arial Narrow"/>
                <w:sz w:val="20"/>
                <w:szCs w:val="20"/>
                <w:lang w:val="en-AU"/>
              </w:rPr>
            </w:pPr>
            <w:r w:rsidRPr="00BB03D6">
              <w:rPr>
                <w:rFonts w:ascii="Arial Narrow" w:hAnsi="Arial Narrow"/>
                <w:sz w:val="20"/>
                <w:szCs w:val="20"/>
                <w:lang w:val="en-AU"/>
              </w:rPr>
              <w:t>Year 6</w:t>
            </w:r>
          </w:p>
        </w:tc>
      </w:tr>
      <w:tr w:rsidR="00470AFB" w:rsidRPr="00863A3C" w14:paraId="7431FA4A" w14:textId="77777777" w:rsidTr="00470AFB">
        <w:trPr>
          <w:trHeight w:val="283"/>
        </w:trPr>
        <w:tc>
          <w:tcPr>
            <w:tcW w:w="810" w:type="pct"/>
            <w:vAlign w:val="center"/>
          </w:tcPr>
          <w:p w14:paraId="5E2D2ACE" w14:textId="648E1F4A" w:rsidR="00C26073" w:rsidRPr="00BB03D6" w:rsidRDefault="00C26073" w:rsidP="00584B37">
            <w:pPr>
              <w:spacing w:before="0"/>
              <w:jc w:val="left"/>
              <w:rPr>
                <w:sz w:val="20"/>
                <w:szCs w:val="20"/>
                <w:lang w:val="en-AU"/>
              </w:rPr>
            </w:pPr>
            <w:r w:rsidRPr="00BB03D6">
              <w:rPr>
                <w:b/>
                <w:bCs/>
                <w:sz w:val="20"/>
                <w:szCs w:val="20"/>
                <w:lang w:val="en-AU"/>
              </w:rPr>
              <w:t xml:space="preserve">New listing: </w:t>
            </w:r>
            <w:bookmarkStart w:id="206" w:name="_Hlk145072966"/>
            <w:proofErr w:type="gramStart"/>
            <w:r w:rsidRPr="00BB03D6">
              <w:rPr>
                <w:sz w:val="20"/>
                <w:szCs w:val="20"/>
                <w:lang w:val="en-AU"/>
              </w:rPr>
              <w:t>niraparib</w:t>
            </w:r>
            <w:r w:rsidR="00B4602B">
              <w:rPr>
                <w:sz w:val="20"/>
                <w:szCs w:val="20"/>
                <w:vertAlign w:val="superscript"/>
                <w:lang w:val="en-AU"/>
              </w:rPr>
              <w:t>a</w:t>
            </w:r>
            <w:r w:rsidRPr="00BB03D6">
              <w:rPr>
                <w:sz w:val="20"/>
                <w:szCs w:val="20"/>
                <w:lang w:val="en-AU"/>
              </w:rPr>
              <w:t xml:space="preserve"> </w:t>
            </w:r>
            <w:r w:rsidR="00284077">
              <w:rPr>
                <w:sz w:val="20"/>
                <w:szCs w:val="20"/>
                <w:lang w:val="en-AU"/>
              </w:rPr>
              <w:t xml:space="preserve"> (</w:t>
            </w:r>
            <w:proofErr w:type="gramEnd"/>
            <w:r w:rsidR="00284077">
              <w:rPr>
                <w:sz w:val="20"/>
                <w:szCs w:val="20"/>
                <w:lang w:val="en-AU"/>
              </w:rPr>
              <w:t>$)</w:t>
            </w:r>
            <w:bookmarkEnd w:id="206"/>
          </w:p>
        </w:tc>
        <w:tc>
          <w:tcPr>
            <w:tcW w:w="701" w:type="pct"/>
            <w:vAlign w:val="center"/>
          </w:tcPr>
          <w:p w14:paraId="05D00DA3" w14:textId="45CA8C31" w:rsidR="00C26073" w:rsidRPr="00B4602B" w:rsidRDefault="000D3685" w:rsidP="00584B37">
            <w:pPr>
              <w:spacing w:before="0"/>
              <w:jc w:val="center"/>
              <w:rPr>
                <w:sz w:val="20"/>
                <w:szCs w:val="20"/>
                <w:vertAlign w:val="superscript"/>
                <w:lang w:val="en-AU"/>
              </w:rPr>
            </w:pPr>
            <w:r w:rsidRPr="000D3685">
              <w:rPr>
                <w:rFonts w:hint="eastAsia"/>
                <w:color w:val="000000"/>
                <w:w w:val="15"/>
                <w:sz w:val="20"/>
                <w:szCs w:val="20"/>
                <w:shd w:val="solid" w:color="000000" w:fill="000000"/>
                <w:fitText w:val="44" w:id="-1167902207"/>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207"/>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207"/>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1</w:t>
            </w:r>
            <w:proofErr w:type="gramEnd"/>
          </w:p>
        </w:tc>
        <w:tc>
          <w:tcPr>
            <w:tcW w:w="701" w:type="pct"/>
            <w:vAlign w:val="center"/>
          </w:tcPr>
          <w:p w14:paraId="19A7CFCD" w14:textId="2D5D4FF6"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4" w:id="-1167902206"/>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206"/>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206"/>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1</w:t>
            </w:r>
            <w:proofErr w:type="gramEnd"/>
          </w:p>
        </w:tc>
        <w:tc>
          <w:tcPr>
            <w:tcW w:w="700" w:type="pct"/>
            <w:vAlign w:val="center"/>
          </w:tcPr>
          <w:p w14:paraId="55DBBE0B" w14:textId="2F5F19B4"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3" w:id="-1167902205"/>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3" w:id="-1167902205"/>
                <w:lang w:val="en-AU"/>
                <w14:textFill>
                  <w14:solidFill>
                    <w14:srgbClr w14:val="000000">
                      <w14:alpha w14:val="100000"/>
                    </w14:srgbClr>
                  </w14:solidFill>
                </w14:textFill>
              </w:rPr>
              <w:t>|</w:t>
            </w:r>
            <w:r w:rsidRPr="000D3685">
              <w:rPr>
                <w:rFonts w:hint="eastAsia"/>
                <w:color w:val="000000"/>
                <w:spacing w:val="-22"/>
                <w:w w:val="15"/>
                <w:sz w:val="20"/>
                <w:szCs w:val="20"/>
                <w:shd w:val="solid" w:color="000000" w:fill="000000"/>
                <w:fitText w:val="43" w:id="-1167902205"/>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1</w:t>
            </w:r>
            <w:proofErr w:type="gramEnd"/>
          </w:p>
        </w:tc>
        <w:tc>
          <w:tcPr>
            <w:tcW w:w="701" w:type="pct"/>
            <w:vAlign w:val="center"/>
          </w:tcPr>
          <w:p w14:paraId="6A168C47" w14:textId="0FC8C7EF"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3" w:id="-1167902204"/>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3" w:id="-1167902204"/>
                <w:lang w:val="en-AU"/>
                <w14:textFill>
                  <w14:solidFill>
                    <w14:srgbClr w14:val="000000">
                      <w14:alpha w14:val="100000"/>
                    </w14:srgbClr>
                  </w14:solidFill>
                </w14:textFill>
              </w:rPr>
              <w:t>|</w:t>
            </w:r>
            <w:r w:rsidRPr="000D3685">
              <w:rPr>
                <w:rFonts w:hint="eastAsia"/>
                <w:color w:val="000000"/>
                <w:spacing w:val="-22"/>
                <w:w w:val="15"/>
                <w:sz w:val="20"/>
                <w:szCs w:val="20"/>
                <w:shd w:val="solid" w:color="000000" w:fill="000000"/>
                <w:fitText w:val="43" w:id="-1167902204"/>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1</w:t>
            </w:r>
            <w:proofErr w:type="gramEnd"/>
          </w:p>
        </w:tc>
        <w:tc>
          <w:tcPr>
            <w:tcW w:w="699" w:type="pct"/>
            <w:vAlign w:val="center"/>
          </w:tcPr>
          <w:p w14:paraId="7E10694A" w14:textId="56D9DEA6"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4" w:id="-1167902203"/>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203"/>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203"/>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1</w:t>
            </w:r>
            <w:proofErr w:type="gramEnd"/>
          </w:p>
        </w:tc>
        <w:tc>
          <w:tcPr>
            <w:tcW w:w="687" w:type="pct"/>
            <w:vAlign w:val="center"/>
          </w:tcPr>
          <w:p w14:paraId="56A4327E" w14:textId="58D3FEF6"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58" w:id="-1167902202"/>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58" w:id="-1167902202"/>
                <w:lang w:val="en-AU"/>
                <w14:textFill>
                  <w14:solidFill>
                    <w14:srgbClr w14:val="000000">
                      <w14:alpha w14:val="100000"/>
                    </w14:srgbClr>
                  </w14:solidFill>
                </w14:textFill>
              </w:rPr>
              <w:t>|</w:t>
            </w:r>
            <w:r w:rsidRPr="000D3685">
              <w:rPr>
                <w:rFonts w:hint="eastAsia"/>
                <w:color w:val="000000"/>
                <w:spacing w:val="-12"/>
                <w:w w:val="15"/>
                <w:sz w:val="20"/>
                <w:szCs w:val="20"/>
                <w:shd w:val="solid" w:color="000000" w:fill="000000"/>
                <w:fitText w:val="58" w:id="-1167902202"/>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1</w:t>
            </w:r>
            <w:proofErr w:type="gramEnd"/>
          </w:p>
        </w:tc>
      </w:tr>
      <w:tr w:rsidR="00470AFB" w:rsidRPr="00863A3C" w14:paraId="52677765" w14:textId="77777777" w:rsidTr="00470AFB">
        <w:trPr>
          <w:trHeight w:val="283"/>
        </w:trPr>
        <w:tc>
          <w:tcPr>
            <w:tcW w:w="810" w:type="pct"/>
            <w:vAlign w:val="center"/>
          </w:tcPr>
          <w:p w14:paraId="2C93E81E" w14:textId="5CC656FC" w:rsidR="00C26073" w:rsidRPr="00BB03D6" w:rsidRDefault="00C26073" w:rsidP="00B4602B">
            <w:pPr>
              <w:spacing w:before="0"/>
              <w:jc w:val="left"/>
              <w:rPr>
                <w:sz w:val="20"/>
                <w:szCs w:val="20"/>
                <w:lang w:val="en-AU"/>
              </w:rPr>
            </w:pPr>
            <w:r w:rsidRPr="00BB03D6">
              <w:rPr>
                <w:b/>
                <w:bCs/>
                <w:sz w:val="20"/>
                <w:szCs w:val="20"/>
                <w:lang w:val="en-AU"/>
              </w:rPr>
              <w:t>Changed listing:</w:t>
            </w:r>
            <w:r w:rsidRPr="00BB03D6">
              <w:rPr>
                <w:sz w:val="20"/>
                <w:szCs w:val="20"/>
                <w:lang w:val="en-AU"/>
              </w:rPr>
              <w:t xml:space="preserve"> olaparib</w:t>
            </w:r>
            <w:r w:rsidR="00B4602B">
              <w:rPr>
                <w:sz w:val="20"/>
                <w:szCs w:val="20"/>
                <w:vertAlign w:val="superscript"/>
                <w:lang w:val="en-AU"/>
              </w:rPr>
              <w:t>b</w:t>
            </w:r>
            <w:r w:rsidRPr="00BB03D6">
              <w:rPr>
                <w:sz w:val="20"/>
                <w:szCs w:val="20"/>
                <w:lang w:val="en-AU"/>
              </w:rPr>
              <w:t>.</w:t>
            </w:r>
            <w:r w:rsidR="00284077">
              <w:rPr>
                <w:sz w:val="20"/>
                <w:szCs w:val="20"/>
                <w:lang w:val="en-AU"/>
              </w:rPr>
              <w:t xml:space="preserve"> ($)</w:t>
            </w:r>
          </w:p>
        </w:tc>
        <w:tc>
          <w:tcPr>
            <w:tcW w:w="701" w:type="pct"/>
            <w:vAlign w:val="center"/>
          </w:tcPr>
          <w:p w14:paraId="413C975F" w14:textId="16EA5492"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4" w:id="-1167902201"/>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201"/>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201"/>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701" w:type="pct"/>
            <w:vAlign w:val="center"/>
          </w:tcPr>
          <w:p w14:paraId="4C87F47F" w14:textId="49D7A96F"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4" w:id="-1167902200"/>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200"/>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200"/>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700" w:type="pct"/>
            <w:vAlign w:val="center"/>
          </w:tcPr>
          <w:p w14:paraId="16BB95F0" w14:textId="247FB1D5"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3" w:id="-1167902199"/>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3" w:id="-1167902199"/>
                <w:lang w:val="en-AU"/>
                <w14:textFill>
                  <w14:solidFill>
                    <w14:srgbClr w14:val="000000">
                      <w14:alpha w14:val="100000"/>
                    </w14:srgbClr>
                  </w14:solidFill>
                </w14:textFill>
              </w:rPr>
              <w:t>|</w:t>
            </w:r>
            <w:r w:rsidRPr="000D3685">
              <w:rPr>
                <w:rFonts w:hint="eastAsia"/>
                <w:color w:val="000000"/>
                <w:spacing w:val="-22"/>
                <w:w w:val="15"/>
                <w:sz w:val="20"/>
                <w:szCs w:val="20"/>
                <w:shd w:val="solid" w:color="000000" w:fill="000000"/>
                <w:fitText w:val="43" w:id="-1167902199"/>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701" w:type="pct"/>
            <w:vAlign w:val="center"/>
          </w:tcPr>
          <w:p w14:paraId="3573DDF2" w14:textId="6BA0C2C2"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3" w:id="-1167902198"/>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3" w:id="-1167902198"/>
                <w:lang w:val="en-AU"/>
                <w14:textFill>
                  <w14:solidFill>
                    <w14:srgbClr w14:val="000000">
                      <w14:alpha w14:val="100000"/>
                    </w14:srgbClr>
                  </w14:solidFill>
                </w14:textFill>
              </w:rPr>
              <w:t>|</w:t>
            </w:r>
            <w:r w:rsidRPr="000D3685">
              <w:rPr>
                <w:rFonts w:hint="eastAsia"/>
                <w:color w:val="000000"/>
                <w:spacing w:val="-22"/>
                <w:w w:val="15"/>
                <w:sz w:val="20"/>
                <w:szCs w:val="20"/>
                <w:shd w:val="solid" w:color="000000" w:fill="000000"/>
                <w:fitText w:val="43" w:id="-1167902198"/>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699" w:type="pct"/>
            <w:vAlign w:val="center"/>
          </w:tcPr>
          <w:p w14:paraId="39166AE0" w14:textId="521D04C5"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4" w:id="-1167902197"/>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197"/>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197"/>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687" w:type="pct"/>
            <w:vAlign w:val="center"/>
          </w:tcPr>
          <w:p w14:paraId="2C0EE4AC" w14:textId="0F65A5A1"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58" w:id="-1167902196"/>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58" w:id="-1167902196"/>
                <w:lang w:val="en-AU"/>
                <w14:textFill>
                  <w14:solidFill>
                    <w14:srgbClr w14:val="000000">
                      <w14:alpha w14:val="100000"/>
                    </w14:srgbClr>
                  </w14:solidFill>
                </w14:textFill>
              </w:rPr>
              <w:t>|</w:t>
            </w:r>
            <w:r w:rsidRPr="000D3685">
              <w:rPr>
                <w:rFonts w:hint="eastAsia"/>
                <w:color w:val="000000"/>
                <w:spacing w:val="-12"/>
                <w:w w:val="15"/>
                <w:sz w:val="20"/>
                <w:szCs w:val="20"/>
                <w:shd w:val="solid" w:color="000000" w:fill="000000"/>
                <w:fitText w:val="58" w:id="-1167902196"/>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r>
      <w:tr w:rsidR="00470AFB" w:rsidRPr="00863A3C" w14:paraId="769D99DA" w14:textId="77777777" w:rsidTr="00470AFB">
        <w:trPr>
          <w:trHeight w:val="283"/>
        </w:trPr>
        <w:tc>
          <w:tcPr>
            <w:tcW w:w="810" w:type="pct"/>
            <w:vAlign w:val="center"/>
          </w:tcPr>
          <w:p w14:paraId="665C4085" w14:textId="63A1DB4E" w:rsidR="00C26073" w:rsidRPr="003176A5" w:rsidRDefault="00C26073" w:rsidP="00584B37">
            <w:pPr>
              <w:spacing w:before="0"/>
              <w:jc w:val="left"/>
              <w:rPr>
                <w:sz w:val="20"/>
                <w:szCs w:val="20"/>
                <w:highlight w:val="darkGray"/>
                <w:lang w:val="en-AU"/>
              </w:rPr>
            </w:pPr>
            <w:r w:rsidRPr="003176A5">
              <w:rPr>
                <w:sz w:val="20"/>
                <w:szCs w:val="20"/>
                <w:lang w:val="en-AU"/>
              </w:rPr>
              <w:t>Net cost</w:t>
            </w:r>
            <w:r w:rsidR="00584B37" w:rsidRPr="003176A5">
              <w:rPr>
                <w:sz w:val="20"/>
                <w:szCs w:val="20"/>
                <w:lang w:val="en-AU"/>
              </w:rPr>
              <w:t xml:space="preserve"> to PBS/RPBS</w:t>
            </w:r>
            <w:r w:rsidR="00B4602B" w:rsidRPr="003176A5">
              <w:rPr>
                <w:sz w:val="20"/>
                <w:szCs w:val="20"/>
                <w:lang w:val="en-AU"/>
              </w:rPr>
              <w:t xml:space="preserve"> ($)</w:t>
            </w:r>
          </w:p>
        </w:tc>
        <w:tc>
          <w:tcPr>
            <w:tcW w:w="701" w:type="pct"/>
            <w:vAlign w:val="center"/>
          </w:tcPr>
          <w:p w14:paraId="7C241E8E" w14:textId="289B61EC" w:rsidR="00C26073" w:rsidRPr="003176A5" w:rsidRDefault="000D3685" w:rsidP="00584B37">
            <w:pPr>
              <w:spacing w:before="0"/>
              <w:jc w:val="center"/>
              <w:rPr>
                <w:sz w:val="20"/>
                <w:szCs w:val="20"/>
                <w:highlight w:val="darkGray"/>
                <w:lang w:val="en-AU"/>
              </w:rPr>
            </w:pPr>
            <w:r w:rsidRPr="000D3685">
              <w:rPr>
                <w:rFonts w:hint="eastAsia"/>
                <w:color w:val="000000"/>
                <w:w w:val="15"/>
                <w:sz w:val="20"/>
                <w:szCs w:val="20"/>
                <w:shd w:val="solid" w:color="000000" w:fill="000000"/>
                <w:fitText w:val="44" w:id="-1167902195"/>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195"/>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195"/>
                <w:lang w:val="en-AU"/>
                <w14:textFill>
                  <w14:solidFill>
                    <w14:srgbClr w14:val="000000">
                      <w14:alpha w14:val="100000"/>
                    </w14:srgbClr>
                  </w14:solidFill>
                </w14:textFill>
              </w:rPr>
              <w:t xml:space="preserve">　</w:t>
            </w:r>
            <w:r w:rsidR="00B4602B" w:rsidRPr="003176A5">
              <w:rPr>
                <w:sz w:val="20"/>
                <w:szCs w:val="20"/>
                <w:lang w:val="en-AU"/>
              </w:rPr>
              <w:t xml:space="preserve"> </w:t>
            </w:r>
            <w:r w:rsidR="00B4602B" w:rsidRPr="003176A5">
              <w:rPr>
                <w:sz w:val="20"/>
                <w:szCs w:val="20"/>
                <w:vertAlign w:val="superscript"/>
                <w:lang w:val="en-AU"/>
              </w:rPr>
              <w:t>2</w:t>
            </w:r>
            <w:proofErr w:type="gramEnd"/>
          </w:p>
        </w:tc>
        <w:tc>
          <w:tcPr>
            <w:tcW w:w="701" w:type="pct"/>
            <w:vAlign w:val="center"/>
          </w:tcPr>
          <w:p w14:paraId="10B5318A" w14:textId="358D2312"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4" w:id="-1167902194"/>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194"/>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194"/>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700" w:type="pct"/>
            <w:vAlign w:val="center"/>
          </w:tcPr>
          <w:p w14:paraId="123A29AB" w14:textId="016779EB"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3" w:id="-1167902193"/>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3" w:id="-1167902193"/>
                <w:lang w:val="en-AU"/>
                <w14:textFill>
                  <w14:solidFill>
                    <w14:srgbClr w14:val="000000">
                      <w14:alpha w14:val="100000"/>
                    </w14:srgbClr>
                  </w14:solidFill>
                </w14:textFill>
              </w:rPr>
              <w:t>|</w:t>
            </w:r>
            <w:r w:rsidRPr="000D3685">
              <w:rPr>
                <w:rFonts w:hint="eastAsia"/>
                <w:color w:val="000000"/>
                <w:spacing w:val="-22"/>
                <w:w w:val="15"/>
                <w:sz w:val="20"/>
                <w:szCs w:val="20"/>
                <w:shd w:val="solid" w:color="000000" w:fill="000000"/>
                <w:fitText w:val="43" w:id="-1167902193"/>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701" w:type="pct"/>
            <w:vAlign w:val="center"/>
          </w:tcPr>
          <w:p w14:paraId="5C5D30E1" w14:textId="31D82FF0"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3" w:id="-1167902192"/>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3" w:id="-1167902192"/>
                <w:lang w:val="en-AU"/>
                <w14:textFill>
                  <w14:solidFill>
                    <w14:srgbClr w14:val="000000">
                      <w14:alpha w14:val="100000"/>
                    </w14:srgbClr>
                  </w14:solidFill>
                </w14:textFill>
              </w:rPr>
              <w:t>|</w:t>
            </w:r>
            <w:r w:rsidRPr="000D3685">
              <w:rPr>
                <w:rFonts w:hint="eastAsia"/>
                <w:color w:val="000000"/>
                <w:spacing w:val="-22"/>
                <w:w w:val="15"/>
                <w:sz w:val="20"/>
                <w:szCs w:val="20"/>
                <w:shd w:val="solid" w:color="000000" w:fill="000000"/>
                <w:fitText w:val="43" w:id="-1167902192"/>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699" w:type="pct"/>
            <w:vAlign w:val="center"/>
          </w:tcPr>
          <w:p w14:paraId="7E290492" w14:textId="380D7271"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44" w:id="-1167902208"/>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44" w:id="-1167902208"/>
                <w:lang w:val="en-AU"/>
                <w14:textFill>
                  <w14:solidFill>
                    <w14:srgbClr w14:val="000000">
                      <w14:alpha w14:val="100000"/>
                    </w14:srgbClr>
                  </w14:solidFill>
                </w14:textFill>
              </w:rPr>
              <w:t>|</w:t>
            </w:r>
            <w:r w:rsidRPr="000D3685">
              <w:rPr>
                <w:rFonts w:hint="eastAsia"/>
                <w:color w:val="000000"/>
                <w:spacing w:val="-21"/>
                <w:w w:val="15"/>
                <w:sz w:val="20"/>
                <w:szCs w:val="20"/>
                <w:shd w:val="solid" w:color="000000" w:fill="000000"/>
                <w:fitText w:val="44" w:id="-1167902208"/>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c>
          <w:tcPr>
            <w:tcW w:w="687" w:type="pct"/>
            <w:vAlign w:val="center"/>
          </w:tcPr>
          <w:p w14:paraId="06A15745" w14:textId="5F7F723D" w:rsidR="00C26073" w:rsidRPr="00BB03D6" w:rsidRDefault="000D3685" w:rsidP="00584B37">
            <w:pPr>
              <w:spacing w:before="0"/>
              <w:jc w:val="center"/>
              <w:rPr>
                <w:sz w:val="20"/>
                <w:szCs w:val="20"/>
                <w:lang w:val="en-AU"/>
              </w:rPr>
            </w:pPr>
            <w:r w:rsidRPr="000D3685">
              <w:rPr>
                <w:rFonts w:hint="eastAsia"/>
                <w:color w:val="000000"/>
                <w:w w:val="15"/>
                <w:sz w:val="20"/>
                <w:szCs w:val="20"/>
                <w:shd w:val="solid" w:color="000000" w:fill="000000"/>
                <w:fitText w:val="58" w:id="-1167902207"/>
                <w:lang w:val="en-AU"/>
                <w14:textFill>
                  <w14:solidFill>
                    <w14:srgbClr w14:val="000000">
                      <w14:alpha w14:val="100000"/>
                    </w14:srgbClr>
                  </w14:solidFill>
                </w14:textFill>
              </w:rPr>
              <w:t xml:space="preserve">　</w:t>
            </w:r>
            <w:proofErr w:type="gramStart"/>
            <w:r w:rsidRPr="000D3685">
              <w:rPr>
                <w:color w:val="000000"/>
                <w:w w:val="15"/>
                <w:sz w:val="20"/>
                <w:szCs w:val="20"/>
                <w:shd w:val="solid" w:color="000000" w:fill="000000"/>
                <w:fitText w:val="58" w:id="-1167902207"/>
                <w:lang w:val="en-AU"/>
                <w14:textFill>
                  <w14:solidFill>
                    <w14:srgbClr w14:val="000000">
                      <w14:alpha w14:val="100000"/>
                    </w14:srgbClr>
                  </w14:solidFill>
                </w14:textFill>
              </w:rPr>
              <w:t>|</w:t>
            </w:r>
            <w:r w:rsidRPr="000D3685">
              <w:rPr>
                <w:rFonts w:hint="eastAsia"/>
                <w:color w:val="000000"/>
                <w:w w:val="15"/>
                <w:sz w:val="20"/>
                <w:szCs w:val="20"/>
                <w:shd w:val="solid" w:color="000000" w:fill="000000"/>
                <w:fitText w:val="58" w:id="-1167902207"/>
                <w:lang w:val="en-AU"/>
                <w14:textFill>
                  <w14:solidFill>
                    <w14:srgbClr w14:val="000000">
                      <w14:alpha w14:val="100000"/>
                    </w14:srgbClr>
                  </w14:solidFill>
                </w14:textFill>
              </w:rPr>
              <w:t xml:space="preserve">　</w:t>
            </w:r>
            <w:r w:rsidR="00B4602B">
              <w:rPr>
                <w:sz w:val="20"/>
                <w:szCs w:val="20"/>
                <w:lang w:val="en-AU"/>
              </w:rPr>
              <w:t xml:space="preserve"> </w:t>
            </w:r>
            <w:r w:rsidR="00B4602B">
              <w:rPr>
                <w:sz w:val="20"/>
                <w:szCs w:val="20"/>
                <w:vertAlign w:val="superscript"/>
                <w:lang w:val="en-AU"/>
              </w:rPr>
              <w:t>2</w:t>
            </w:r>
            <w:proofErr w:type="gramEnd"/>
          </w:p>
        </w:tc>
      </w:tr>
    </w:tbl>
    <w:p w14:paraId="250CD2DD" w14:textId="4003E25B" w:rsidR="00B4602B" w:rsidRDefault="00C26073" w:rsidP="00B4602B">
      <w:pPr>
        <w:spacing w:before="0" w:after="0"/>
        <w:rPr>
          <w:rFonts w:ascii="Arial Narrow" w:hAnsi="Arial Narrow"/>
          <w:sz w:val="20"/>
          <w:szCs w:val="20"/>
        </w:rPr>
      </w:pPr>
      <w:r w:rsidRPr="00B4602B">
        <w:t>Source: Table 2 Sponsor submission, April 2023.</w:t>
      </w:r>
    </w:p>
    <w:p w14:paraId="619F9F37" w14:textId="700F8A9B" w:rsidR="00C26073" w:rsidRPr="00B4602B" w:rsidRDefault="00B4602B" w:rsidP="00B4602B">
      <w:pPr>
        <w:pStyle w:val="TableFigureFooter"/>
      </w:pPr>
      <w:r>
        <w:t xml:space="preserve">a. </w:t>
      </w:r>
      <w:r w:rsidRPr="00B4602B">
        <w:t xml:space="preserve">Cost-minimised prices for niraparib based on published price of olaparib. AEMP = $6,378.14 (56 caps); $9,567.21 (84 caps) </w:t>
      </w:r>
    </w:p>
    <w:p w14:paraId="5BE5848F" w14:textId="74CA801C" w:rsidR="00B4602B" w:rsidRDefault="00B4602B" w:rsidP="00B4602B">
      <w:pPr>
        <w:pStyle w:val="TableFigureFooter"/>
      </w:pPr>
      <w:r>
        <w:t xml:space="preserve">b. </w:t>
      </w:r>
      <w:r w:rsidRPr="00B4602B">
        <w:t>Published prices for olaparib. AEMP = $3,234.75 (56 tabs)</w:t>
      </w:r>
    </w:p>
    <w:p w14:paraId="2FEA554F" w14:textId="77777777" w:rsidR="003176A5" w:rsidRPr="009A6D58" w:rsidRDefault="003176A5" w:rsidP="003176A5">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lang w:eastAsia="en-AU"/>
        </w:rPr>
        <w:t xml:space="preserve">The redacted values correspond to the following ranges: </w:t>
      </w:r>
    </w:p>
    <w:p w14:paraId="4BD77E95" w14:textId="7BA91802" w:rsidR="003176A5" w:rsidRPr="009A6D58" w:rsidRDefault="003176A5" w:rsidP="003176A5">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1</w:t>
      </w:r>
      <w:r>
        <w:rPr>
          <w:rFonts w:ascii="Arial Narrow" w:eastAsia="Times New Roman" w:hAnsi="Arial Narrow" w:cs="Arial"/>
          <w:i/>
          <w:sz w:val="18"/>
          <w:szCs w:val="18"/>
          <w:lang w:eastAsia="en-AU"/>
        </w:rPr>
        <w:t xml:space="preserve"> </w:t>
      </w:r>
      <w:r w:rsidRPr="003176A5">
        <w:rPr>
          <w:rFonts w:ascii="Arial Narrow" w:eastAsia="Times New Roman" w:hAnsi="Arial Narrow" w:cs="Arial"/>
          <w:i/>
          <w:sz w:val="18"/>
          <w:szCs w:val="18"/>
          <w:lang w:eastAsia="en-AU"/>
        </w:rPr>
        <w:t>$0 to &lt; $10 million</w:t>
      </w:r>
    </w:p>
    <w:p w14:paraId="17A1A929" w14:textId="05073BBA" w:rsidR="003176A5" w:rsidRPr="003176A5" w:rsidRDefault="003176A5" w:rsidP="003176A5">
      <w:pPr>
        <w:spacing w:before="0" w:after="120"/>
        <w:rPr>
          <w:rFonts w:ascii="Arial Narrow" w:eastAsia="Times New Roman" w:hAnsi="Arial Narrow" w:cs="Arial"/>
          <w:i/>
          <w:sz w:val="18"/>
          <w:szCs w:val="18"/>
          <w:lang w:eastAsia="en-AU"/>
        </w:rPr>
      </w:pPr>
      <w:r w:rsidRPr="003176A5">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w:t>
      </w:r>
      <w:r w:rsidRPr="003176A5">
        <w:rPr>
          <w:rFonts w:ascii="Arial Narrow" w:eastAsia="Times New Roman" w:hAnsi="Arial Narrow" w:cs="Arial"/>
          <w:i/>
          <w:sz w:val="18"/>
          <w:szCs w:val="18"/>
          <w:lang w:eastAsia="en-AU"/>
        </w:rPr>
        <w:t>net cost saving</w:t>
      </w:r>
    </w:p>
    <w:p w14:paraId="6A7CF2E1" w14:textId="393CDDFF" w:rsidR="003176A5" w:rsidRDefault="003176A5">
      <w:pPr>
        <w:spacing w:before="0" w:line="259" w:lineRule="auto"/>
        <w:jc w:val="left"/>
        <w:rPr>
          <w:lang w:eastAsia="en-AU"/>
        </w:rPr>
      </w:pPr>
      <w:r>
        <w:rPr>
          <w:lang w:eastAsia="en-AU"/>
        </w:rPr>
        <w:br w:type="page"/>
      </w:r>
    </w:p>
    <w:p w14:paraId="43ABEF6D" w14:textId="77777777" w:rsidR="00C26073" w:rsidRPr="00863A3C" w:rsidRDefault="00C26073" w:rsidP="00C26073">
      <w:pPr>
        <w:pStyle w:val="PBACESHeading1"/>
        <w:rPr>
          <w:rFonts w:eastAsia="Calibri"/>
        </w:rPr>
      </w:pPr>
      <w:r w:rsidRPr="00863A3C">
        <w:rPr>
          <w:rFonts w:eastAsia="Calibri"/>
        </w:rPr>
        <w:lastRenderedPageBreak/>
        <w:t>PBAC Outcome</w:t>
      </w:r>
    </w:p>
    <w:p w14:paraId="360CF866" w14:textId="77777777" w:rsidR="00C26073" w:rsidRPr="00863A3C" w:rsidRDefault="00C26073" w:rsidP="00C26073">
      <w:pPr>
        <w:pStyle w:val="ListParagraph"/>
        <w:spacing w:before="0" w:after="120"/>
      </w:pPr>
      <w:bookmarkStart w:id="207" w:name="_Hlk140498135"/>
      <w:r w:rsidRPr="00863A3C">
        <w:t xml:space="preserve">The PBAC recommended </w:t>
      </w:r>
      <w:r w:rsidRPr="00863A3C">
        <w:rPr>
          <w:rFonts w:ascii="Calibri" w:eastAsia="Times New Roman" w:hAnsi="Calibri" w:cs="Arial"/>
          <w:snapToGrid w:val="0"/>
          <w:szCs w:val="24"/>
          <w:lang w:eastAsia="en-AU"/>
        </w:rPr>
        <w:t xml:space="preserve">niraparib for maintenance therapy in patients with newly diagnosed homologous recombination deficiency (HRD) positive </w:t>
      </w:r>
      <w:r w:rsidRPr="00863A3C">
        <w:rPr>
          <w:rFonts w:ascii="Calibri" w:eastAsia="Times New Roman" w:hAnsi="Calibri" w:cs="Arial"/>
          <w:i/>
          <w:snapToGrid w:val="0"/>
          <w:szCs w:val="24"/>
          <w:lang w:eastAsia="en-AU"/>
        </w:rPr>
        <w:t>BRCA</w:t>
      </w:r>
      <w:r w:rsidRPr="00863A3C">
        <w:rPr>
          <w:rFonts w:ascii="Calibri" w:eastAsia="Times New Roman" w:hAnsi="Calibri" w:cs="Arial"/>
          <w:snapToGrid w:val="0"/>
          <w:szCs w:val="24"/>
          <w:lang w:eastAsia="en-AU"/>
        </w:rPr>
        <w:t xml:space="preserve"> wild type advanced epithelial ovarian, fallopian tube or primary peritoneal cancer. The PBAC noted that it had deferred its decision on whether to recommend the proposed listing at the March 2023 PBAC meeting, pending MSAC consideration of HRD testing. Consistent with its March 2023 advice, the PBAC considered that niraparib is likely to be non-inferior to olaparib in the HRD positive </w:t>
      </w:r>
      <w:r w:rsidRPr="00863A3C">
        <w:rPr>
          <w:rFonts w:ascii="Calibri" w:eastAsia="Times New Roman" w:hAnsi="Calibri" w:cs="Arial"/>
          <w:i/>
          <w:snapToGrid w:val="0"/>
          <w:szCs w:val="24"/>
          <w:lang w:eastAsia="en-AU"/>
        </w:rPr>
        <w:t>BRCA</w:t>
      </w:r>
      <w:r w:rsidRPr="00863A3C">
        <w:rPr>
          <w:rFonts w:ascii="Calibri" w:eastAsia="Times New Roman" w:hAnsi="Calibri" w:cs="Arial"/>
          <w:snapToGrid w:val="0"/>
          <w:szCs w:val="24"/>
          <w:lang w:eastAsia="en-AU"/>
        </w:rPr>
        <w:t xml:space="preserve"> wildtype setting, as previously accepted in the </w:t>
      </w:r>
      <w:r w:rsidRPr="00863A3C">
        <w:rPr>
          <w:rFonts w:ascii="Calibri" w:eastAsia="Times New Roman" w:hAnsi="Calibri" w:cs="Arial"/>
          <w:i/>
          <w:snapToGrid w:val="0"/>
          <w:szCs w:val="24"/>
          <w:lang w:eastAsia="en-AU"/>
        </w:rPr>
        <w:t>BRCA</w:t>
      </w:r>
      <w:r w:rsidRPr="00863A3C">
        <w:rPr>
          <w:rFonts w:ascii="Calibri" w:eastAsia="Times New Roman" w:hAnsi="Calibri" w:cs="Arial"/>
          <w:snapToGrid w:val="0"/>
          <w:szCs w:val="24"/>
          <w:lang w:eastAsia="en-AU"/>
        </w:rPr>
        <w:t xml:space="preserve">m setting and therefore could be recommended </w:t>
      </w:r>
      <w:proofErr w:type="gramStart"/>
      <w:r w:rsidRPr="00863A3C">
        <w:rPr>
          <w:rFonts w:ascii="Calibri" w:eastAsia="Times New Roman" w:hAnsi="Calibri" w:cs="Arial"/>
          <w:snapToGrid w:val="0"/>
          <w:szCs w:val="24"/>
          <w:lang w:eastAsia="en-AU"/>
        </w:rPr>
        <w:t>on the basis of</w:t>
      </w:r>
      <w:proofErr w:type="gramEnd"/>
      <w:r w:rsidRPr="00863A3C">
        <w:rPr>
          <w:rFonts w:ascii="Calibri" w:eastAsia="Times New Roman" w:hAnsi="Calibri" w:cs="Arial"/>
          <w:snapToGrid w:val="0"/>
          <w:szCs w:val="24"/>
          <w:lang w:eastAsia="en-AU"/>
        </w:rPr>
        <w:t xml:space="preserve"> cost-minimisation versus olaparib in the event that olaparib is listed on the PBS for patients with HRD-positive </w:t>
      </w:r>
      <w:r w:rsidRPr="00863A3C">
        <w:rPr>
          <w:rFonts w:ascii="Calibri" w:eastAsia="Times New Roman" w:hAnsi="Calibri" w:cs="Arial"/>
          <w:i/>
          <w:snapToGrid w:val="0"/>
          <w:szCs w:val="24"/>
          <w:lang w:eastAsia="en-AU"/>
        </w:rPr>
        <w:t>BRCA</w:t>
      </w:r>
      <w:r w:rsidRPr="00863A3C">
        <w:rPr>
          <w:rFonts w:ascii="Calibri" w:eastAsia="Times New Roman" w:hAnsi="Calibri" w:cs="Arial"/>
          <w:snapToGrid w:val="0"/>
          <w:szCs w:val="24"/>
          <w:lang w:eastAsia="en-AU"/>
        </w:rPr>
        <w:t xml:space="preserve">wt ovarian cancer. The PBAC considered that the outstanding issues were satisfactorily resolved by the revised restriction, revised CMA and recalculated financial estimates provided by the sponsor. </w:t>
      </w:r>
      <w:r w:rsidRPr="00863A3C">
        <w:t>The PBAC noted that the MSAC had recommended HRD testing for determination of eligibility for PARPi for this indication at the March 2023 MSAC meeting.</w:t>
      </w:r>
    </w:p>
    <w:bookmarkEnd w:id="207"/>
    <w:p w14:paraId="2AA225B1" w14:textId="77777777" w:rsidR="00C26073" w:rsidRPr="00863A3C" w:rsidRDefault="00C26073" w:rsidP="00C26073">
      <w:pPr>
        <w:pStyle w:val="ListParagraph"/>
        <w:spacing w:before="0" w:after="120"/>
      </w:pPr>
      <w:r w:rsidRPr="00863A3C">
        <w:t xml:space="preserve">Consistent with its previous advice, the PBAC considered that based on the PRIMA study, niraparib was superior to standard medical management (SMM) in terms of progression free survival in the proposed population of patients with HRD positive </w:t>
      </w:r>
      <w:r w:rsidRPr="00863A3C">
        <w:rPr>
          <w:i/>
        </w:rPr>
        <w:t>BRCAwt</w:t>
      </w:r>
      <w:r w:rsidRPr="00863A3C">
        <w:t xml:space="preserve"> tumours, though overall survival data were immature. </w:t>
      </w:r>
      <w:r w:rsidRPr="00863A3C">
        <w:rPr>
          <w:iCs/>
          <w:color w:val="auto"/>
        </w:rPr>
        <w:t xml:space="preserve">The </w:t>
      </w:r>
      <w:r w:rsidRPr="00863A3C">
        <w:rPr>
          <w:iCs/>
        </w:rPr>
        <w:t xml:space="preserve">PBAC recalled that the CUA provided previously for niraparib was not reliable for decision-making (see paragraph </w:t>
      </w:r>
      <w:r w:rsidRPr="00863A3C">
        <w:rPr>
          <w:iCs/>
        </w:rPr>
        <w:fldChar w:fldCharType="begin" w:fldLock="1"/>
      </w:r>
      <w:r w:rsidRPr="00863A3C">
        <w:rPr>
          <w:iCs/>
        </w:rPr>
        <w:instrText xml:space="preserve"> REF _Ref130507169 \r \h </w:instrText>
      </w:r>
      <w:r w:rsidRPr="00863A3C">
        <w:rPr>
          <w:iCs/>
        </w:rPr>
      </w:r>
      <w:r w:rsidRPr="00863A3C">
        <w:rPr>
          <w:iCs/>
        </w:rPr>
        <w:fldChar w:fldCharType="separate"/>
      </w:r>
      <w:r w:rsidRPr="00863A3C">
        <w:rPr>
          <w:iCs/>
        </w:rPr>
        <w:t>7.15</w:t>
      </w:r>
      <w:r w:rsidRPr="00863A3C">
        <w:rPr>
          <w:iCs/>
        </w:rPr>
        <w:fldChar w:fldCharType="end"/>
      </w:r>
      <w:r w:rsidRPr="00863A3C">
        <w:rPr>
          <w:iCs/>
        </w:rPr>
        <w:t>).</w:t>
      </w:r>
    </w:p>
    <w:p w14:paraId="298CB977" w14:textId="77777777" w:rsidR="00C26073" w:rsidRPr="00863A3C" w:rsidRDefault="00C26073" w:rsidP="00C26073">
      <w:pPr>
        <w:pStyle w:val="ListParagraph"/>
        <w:spacing w:before="0" w:after="120"/>
      </w:pPr>
      <w:r w:rsidRPr="00863A3C">
        <w:t xml:space="preserve">The PBAC noted the MSAC advice that confirmed support for the proposed MBS item that would enable determination of HRD status for access to PARPi therapy under the PBS. The PBAC noted that MSAC’s supported item descriptor (see </w:t>
      </w:r>
      <w:r w:rsidRPr="00863A3C">
        <w:fldChar w:fldCharType="begin" w:fldLock="1"/>
      </w:r>
      <w:r w:rsidRPr="00863A3C">
        <w:instrText xml:space="preserve"> REF _Ref140245867 \h  \* MERGEFORMAT </w:instrText>
      </w:r>
      <w:r w:rsidRPr="00863A3C">
        <w:fldChar w:fldCharType="separate"/>
      </w:r>
      <w:r w:rsidRPr="00863A3C">
        <w:t>Table 25</w:t>
      </w:r>
      <w:r w:rsidRPr="00863A3C">
        <w:fldChar w:fldCharType="end"/>
      </w:r>
      <w:r w:rsidRPr="00863A3C">
        <w:t>), includes a practice note stating that “Validation against the Myriad MyChoice® HRD assay should use a score of 42 or greater as the threshold for HRD (genomic instability) positivity”.</w:t>
      </w:r>
    </w:p>
    <w:p w14:paraId="16B3CC9F" w14:textId="77777777" w:rsidR="00C26073" w:rsidRPr="00863A3C" w:rsidRDefault="00C26073" w:rsidP="00C26073">
      <w:pPr>
        <w:pStyle w:val="ListParagraph"/>
        <w:spacing w:before="0" w:after="120"/>
      </w:pPr>
      <w:r w:rsidRPr="00863A3C">
        <w:t>The PBAC noted that the revised CMA provided by the sponsor was consistent with its March 2023 advice and included cost offsets for hospitalisations due to thrombocytopenia and anaemia and monitoring of CBC and BP (</w:t>
      </w:r>
      <w:r w:rsidRPr="00863A3C">
        <w:fldChar w:fldCharType="begin" w:fldLock="1"/>
      </w:r>
      <w:r w:rsidRPr="00863A3C">
        <w:instrText xml:space="preserve"> REF _Ref133512755 \h </w:instrText>
      </w:r>
      <w:r w:rsidRPr="00863A3C">
        <w:fldChar w:fldCharType="separate"/>
      </w:r>
      <w:r w:rsidRPr="00863A3C">
        <w:t>Table 27</w:t>
      </w:r>
      <w:r w:rsidRPr="00863A3C">
        <w:fldChar w:fldCharType="end"/>
      </w:r>
      <w:r w:rsidRPr="00863A3C">
        <w:t xml:space="preserve">). The equi-effective doses were estimated as niraparib 162.1 mg/day for 15.66 months and a fixed daily cost of any olaparib daily dose (600 mg/day, 500 mg/day or 400 mg/day) for 18.7 months at 96% compliance (see paragraph </w:t>
      </w:r>
      <w:r w:rsidRPr="00863A3C">
        <w:fldChar w:fldCharType="begin" w:fldLock="1"/>
      </w:r>
      <w:r w:rsidRPr="00863A3C">
        <w:instrText xml:space="preserve"> REF _Ref131160885 \r \h </w:instrText>
      </w:r>
      <w:r w:rsidRPr="00863A3C">
        <w:fldChar w:fldCharType="separate"/>
      </w:r>
      <w:r w:rsidRPr="00863A3C">
        <w:t>7.17</w:t>
      </w:r>
      <w:r w:rsidRPr="00863A3C">
        <w:fldChar w:fldCharType="end"/>
      </w:r>
      <w:r w:rsidRPr="00863A3C">
        <w:t xml:space="preserve">). The PBAC considered the approach to the CMA was reasonable, noting this rested on its previous conclusion that niraparib is likely to be non-inferior to olaparib in the HRD+ </w:t>
      </w:r>
      <w:r w:rsidRPr="00863A3C">
        <w:rPr>
          <w:i/>
          <w:iCs/>
        </w:rPr>
        <w:t>BRCA</w:t>
      </w:r>
      <w:r w:rsidRPr="00863A3C">
        <w:t xml:space="preserve">wt setting. As the recommended listing for niraparib was </w:t>
      </w:r>
      <w:proofErr w:type="gramStart"/>
      <w:r w:rsidRPr="00863A3C">
        <w:t>on the basis of</w:t>
      </w:r>
      <w:proofErr w:type="gramEnd"/>
      <w:r w:rsidRPr="00863A3C">
        <w:t xml:space="preserve"> cost minimisation versus olaparib, listing arrangements for olaparib for patients with HRD positive </w:t>
      </w:r>
      <w:r w:rsidRPr="00863A3C">
        <w:rPr>
          <w:i/>
          <w:iCs/>
        </w:rPr>
        <w:t>BRCA</w:t>
      </w:r>
      <w:r w:rsidRPr="00863A3C">
        <w:t xml:space="preserve">wt ovarian cancer would need to be available to progress the listing for niraparib. </w:t>
      </w:r>
    </w:p>
    <w:p w14:paraId="0ABDA0B2" w14:textId="77777777" w:rsidR="00C26073" w:rsidRPr="00863A3C" w:rsidRDefault="00C26073" w:rsidP="00C26073">
      <w:pPr>
        <w:pStyle w:val="ListParagraph"/>
        <w:spacing w:before="0" w:after="120"/>
      </w:pPr>
      <w:r w:rsidRPr="00863A3C">
        <w:t>The PBAC noted the revised financial estimates based on the published olaparib price (</w:t>
      </w:r>
      <w:r w:rsidRPr="00863A3C">
        <w:fldChar w:fldCharType="begin" w:fldLock="1"/>
      </w:r>
      <w:r w:rsidRPr="00863A3C">
        <w:instrText xml:space="preserve"> REF _Ref132968001 \h </w:instrText>
      </w:r>
      <w:r w:rsidRPr="00863A3C">
        <w:fldChar w:fldCharType="separate"/>
      </w:r>
      <w:r w:rsidRPr="00863A3C">
        <w:t>Table 28</w:t>
      </w:r>
      <w:r w:rsidRPr="00863A3C">
        <w:fldChar w:fldCharType="end"/>
      </w:r>
      <w:r w:rsidRPr="00863A3C">
        <w:t xml:space="preserve">). The PBAC noted that the financial impact from listing niraparib in the HRD positive </w:t>
      </w:r>
      <w:r w:rsidRPr="00863A3C">
        <w:rPr>
          <w:i/>
          <w:iCs/>
        </w:rPr>
        <w:t>BRCA</w:t>
      </w:r>
      <w:r w:rsidRPr="00863A3C">
        <w:t xml:space="preserve">wt population was expected to be cost-neutral overall, with a small </w:t>
      </w:r>
      <w:r w:rsidRPr="00863A3C">
        <w:lastRenderedPageBreak/>
        <w:t xml:space="preserve">reduction in the cost to the PBS/RPBS due to inclusion of AE and monitoring costs in the CMA. </w:t>
      </w:r>
    </w:p>
    <w:p w14:paraId="27CA713B" w14:textId="77777777" w:rsidR="00C26073" w:rsidRPr="00863A3C" w:rsidRDefault="00C26073" w:rsidP="00C26073">
      <w:pPr>
        <w:pStyle w:val="ListParagraph"/>
        <w:spacing w:before="0" w:after="120"/>
      </w:pPr>
      <w:r w:rsidRPr="00863A3C">
        <w:t xml:space="preserve">The PBAC noted that risk sharing arrangements are currently in place for olaparib and niraparib in the </w:t>
      </w:r>
      <w:r w:rsidRPr="00863A3C">
        <w:rPr>
          <w:i/>
          <w:iCs/>
        </w:rPr>
        <w:t>BRCA</w:t>
      </w:r>
      <w:r w:rsidRPr="00863A3C">
        <w:t xml:space="preserve">m population. The PBAC considered it would be appropriate for niraparib to join the same arrangements that would apply for olaparib </w:t>
      </w:r>
      <w:proofErr w:type="gramStart"/>
      <w:r w:rsidRPr="00863A3C">
        <w:t>in the event that</w:t>
      </w:r>
      <w:proofErr w:type="gramEnd"/>
      <w:r w:rsidRPr="00863A3C">
        <w:t xml:space="preserve"> olaparib is listed on the PBS for patients with HRD-positive </w:t>
      </w:r>
      <w:r w:rsidRPr="00863A3C">
        <w:rPr>
          <w:i/>
          <w:iCs/>
        </w:rPr>
        <w:t>BRCA</w:t>
      </w:r>
      <w:r w:rsidRPr="00863A3C">
        <w:t xml:space="preserve">wt ovarian cancer. </w:t>
      </w:r>
    </w:p>
    <w:p w14:paraId="1C66B07D" w14:textId="77777777" w:rsidR="00C26073" w:rsidRPr="00863A3C" w:rsidRDefault="00C26073" w:rsidP="00C26073">
      <w:pPr>
        <w:pStyle w:val="ListParagraph"/>
        <w:spacing w:before="0" w:after="120"/>
      </w:pPr>
      <w:proofErr w:type="gramStart"/>
      <w:r w:rsidRPr="00863A3C">
        <w:t>With regard to</w:t>
      </w:r>
      <w:proofErr w:type="gramEnd"/>
      <w:r w:rsidRPr="00863A3C">
        <w:t xml:space="preserve"> the proposed restriction, the PBAC provided the following advice:</w:t>
      </w:r>
    </w:p>
    <w:p w14:paraId="2A8D6CE6" w14:textId="77777777" w:rsidR="00C26073" w:rsidRPr="00863A3C" w:rsidRDefault="00C26073" w:rsidP="00C26073">
      <w:pPr>
        <w:pStyle w:val="ListParagraph"/>
        <w:numPr>
          <w:ilvl w:val="0"/>
          <w:numId w:val="37"/>
        </w:numPr>
        <w:spacing w:before="0" w:after="120"/>
        <w:ind w:left="1134"/>
      </w:pPr>
      <w:r w:rsidRPr="00863A3C">
        <w:t>The PBAC noted that testing of tumour tissue to determine HRD status (</w:t>
      </w:r>
      <w:proofErr w:type="gramStart"/>
      <w:r w:rsidRPr="00863A3C">
        <w:t>i.e.</w:t>
      </w:r>
      <w:proofErr w:type="gramEnd"/>
      <w:r w:rsidRPr="00863A3C">
        <w:t xml:space="preserve"> both </w:t>
      </w:r>
      <w:r w:rsidRPr="00863A3C">
        <w:rPr>
          <w:i/>
        </w:rPr>
        <w:t>BRCA</w:t>
      </w:r>
      <w:r w:rsidRPr="00863A3C">
        <w:t xml:space="preserve"> status and genomic instability status) would be enabled by the MBS item that was supported by the MSAC at its March 2023 meeting. </w:t>
      </w:r>
    </w:p>
    <w:p w14:paraId="0E9783F5" w14:textId="77777777" w:rsidR="00C26073" w:rsidRPr="00863A3C" w:rsidRDefault="00C26073" w:rsidP="00C26073">
      <w:pPr>
        <w:pStyle w:val="ListParagraph"/>
        <w:widowControl w:val="0"/>
        <w:numPr>
          <w:ilvl w:val="0"/>
          <w:numId w:val="37"/>
        </w:numPr>
        <w:spacing w:before="0" w:after="120"/>
        <w:ind w:left="1134"/>
      </w:pPr>
      <w:r w:rsidRPr="00863A3C">
        <w:t xml:space="preserve">The PBAC’s preference was for a combined first line listing for the maintenance population, including the population currently eligible for niraparib under the existing first </w:t>
      </w:r>
      <w:proofErr w:type="gramStart"/>
      <w:r w:rsidRPr="00863A3C">
        <w:t>line item</w:t>
      </w:r>
      <w:proofErr w:type="gramEnd"/>
      <w:r w:rsidRPr="00863A3C">
        <w:t xml:space="preserve"> codes for </w:t>
      </w:r>
      <w:r w:rsidRPr="00863A3C">
        <w:rPr>
          <w:i/>
        </w:rPr>
        <w:t>BRCA</w:t>
      </w:r>
      <w:r w:rsidRPr="00863A3C">
        <w:t xml:space="preserve">m patients and the new population of HRD positive </w:t>
      </w:r>
      <w:r w:rsidRPr="00863A3C">
        <w:rPr>
          <w:i/>
          <w:iCs/>
        </w:rPr>
        <w:t>BRCA</w:t>
      </w:r>
      <w:r w:rsidRPr="00863A3C">
        <w:t xml:space="preserve">wt patients. The PBAC considered a combined restriction would be preferred because this would be simpler for prescribers, especially if there was a time lag between reporting of HRD and </w:t>
      </w:r>
      <w:r w:rsidRPr="00863A3C">
        <w:rPr>
          <w:i/>
        </w:rPr>
        <w:t>BRCA</w:t>
      </w:r>
      <w:r w:rsidRPr="00863A3C">
        <w:t xml:space="preserve"> status by test providers. The PBAC considered that separate restrictions would be acceptable if defined in a way that is easily understood by prescribers, however the restrictions for niraparib must be aligned with olaparib, consistent with the cost-minimisation recommendation.</w:t>
      </w:r>
    </w:p>
    <w:p w14:paraId="65ADFDA8" w14:textId="77777777" w:rsidR="00C26073" w:rsidRPr="00863A3C" w:rsidRDefault="00C26073" w:rsidP="00C26073">
      <w:pPr>
        <w:pStyle w:val="ListParagraph"/>
        <w:widowControl w:val="0"/>
        <w:numPr>
          <w:ilvl w:val="0"/>
          <w:numId w:val="37"/>
        </w:numPr>
        <w:snapToGrid w:val="0"/>
        <w:spacing w:before="0" w:after="120"/>
        <w:ind w:left="1134"/>
      </w:pPr>
      <w:r w:rsidRPr="00863A3C">
        <w:t xml:space="preserve">A weighted price will be required to implement the combined restriction, given that the recommended price for HRD positive </w:t>
      </w:r>
      <w:r w:rsidRPr="00863A3C">
        <w:rPr>
          <w:i/>
          <w:iCs/>
        </w:rPr>
        <w:t>BRCA</w:t>
      </w:r>
      <w:r w:rsidRPr="00863A3C">
        <w:t xml:space="preserve">wt patients is different to that for </w:t>
      </w:r>
      <w:r w:rsidRPr="00863A3C">
        <w:rPr>
          <w:i/>
        </w:rPr>
        <w:t>BRCA</w:t>
      </w:r>
      <w:r w:rsidRPr="00863A3C">
        <w:t>m patients which reflects the clinical efficacy observed in the different patient subgroups.</w:t>
      </w:r>
    </w:p>
    <w:p w14:paraId="5EE903F3" w14:textId="77777777" w:rsidR="00C26073" w:rsidRPr="00863A3C" w:rsidRDefault="00C26073" w:rsidP="00C26073">
      <w:pPr>
        <w:pStyle w:val="ListParagraph"/>
        <w:numPr>
          <w:ilvl w:val="0"/>
          <w:numId w:val="37"/>
        </w:numPr>
        <w:snapToGrid w:val="0"/>
        <w:spacing w:before="0" w:after="120"/>
        <w:ind w:left="1134"/>
      </w:pPr>
      <w:r w:rsidRPr="00863A3C">
        <w:t xml:space="preserve">Ongoing PBS supply of niraparib would be appropriate for patients commencing treatment before the effective date of the PBS listing, for patients fulfilling the eligibility criteria before commencing niraparib. A separate grandfather restriction is not required for these patients, as the restriction would be worded </w:t>
      </w:r>
      <w:proofErr w:type="gramStart"/>
      <w:r w:rsidRPr="00863A3C">
        <w:t>so as to</w:t>
      </w:r>
      <w:proofErr w:type="gramEnd"/>
      <w:r w:rsidRPr="00863A3C">
        <w:t xml:space="preserve"> not inadvertently exclude such situations. The sponsor did not request a grandfather restriction and estimated zero grandfathered patients in Year 1 of listing. </w:t>
      </w:r>
    </w:p>
    <w:p w14:paraId="2C496D07" w14:textId="1F455C70" w:rsidR="00C26073" w:rsidRPr="00863A3C" w:rsidRDefault="00C26073" w:rsidP="00C26073">
      <w:pPr>
        <w:pStyle w:val="ListParagraph"/>
        <w:numPr>
          <w:ilvl w:val="0"/>
          <w:numId w:val="37"/>
        </w:numPr>
        <w:snapToGrid w:val="0"/>
        <w:spacing w:before="0" w:after="120"/>
        <w:ind w:left="1134"/>
      </w:pPr>
      <w:r w:rsidRPr="00863A3C">
        <w:t xml:space="preserve">The PBAC recommendation is on the basis of cost-minimisation to olaparib therefore the restrictions for niraparib should be consistent with those for olaparib, with the exception that the treatment must not exceed a total of </w:t>
      </w:r>
      <w:r w:rsidR="003176A5" w:rsidRPr="00863A3C">
        <w:t>36</w:t>
      </w:r>
      <w:r w:rsidR="003176A5">
        <w:t> </w:t>
      </w:r>
      <w:r w:rsidRPr="00863A3C">
        <w:t xml:space="preserve">months of combined non-PBS-subsidised and PBS-subsidised treatment for patients who are in complete response for niraparib, consistent with the TGA approved product information, as previously accepted by the PBAC when niraparib was listed for the </w:t>
      </w:r>
      <w:r w:rsidRPr="00863A3C">
        <w:rPr>
          <w:i/>
          <w:iCs/>
        </w:rPr>
        <w:t>BRCA</w:t>
      </w:r>
      <w:r w:rsidRPr="00863A3C">
        <w:t>m population.</w:t>
      </w:r>
    </w:p>
    <w:p w14:paraId="17E860AA" w14:textId="42F7FF8A" w:rsidR="00C26073" w:rsidRPr="00863A3C" w:rsidRDefault="00C26073" w:rsidP="00C26073">
      <w:pPr>
        <w:pStyle w:val="ListParagraph"/>
        <w:spacing w:before="0" w:after="120"/>
      </w:pPr>
      <w:r w:rsidRPr="00863A3C">
        <w:t xml:space="preserve">The PBAC noted that its recommendation was on a cost-minimisation basis and advised that, because niraparib is not expected to provide a substantial and clinically </w:t>
      </w:r>
      <w:r w:rsidRPr="00863A3C">
        <w:lastRenderedPageBreak/>
        <w:t>relevant improvement in efficacy, or reduction of toxicity, over olaparib, or not expected to address a high and urgent unmet clinical need given the presence of an alternative therapy, the criteria prescribed by the N</w:t>
      </w:r>
      <w:r w:rsidRPr="003176A5">
        <w:rPr>
          <w:i/>
          <w:iCs/>
        </w:rPr>
        <w:t>ational Health (Pharmaceuticals and Vaccines – Cost Recovery) Regulations 20</w:t>
      </w:r>
      <w:r w:rsidR="00821F0F">
        <w:rPr>
          <w:i/>
          <w:iCs/>
        </w:rPr>
        <w:t>22</w:t>
      </w:r>
      <w:r w:rsidRPr="003176A5">
        <w:rPr>
          <w:i/>
          <w:iCs/>
        </w:rPr>
        <w:t xml:space="preserve"> </w:t>
      </w:r>
      <w:r w:rsidRPr="00863A3C">
        <w:t>for Pricing Pathway A were not met.</w:t>
      </w:r>
    </w:p>
    <w:p w14:paraId="48D1194C" w14:textId="77777777" w:rsidR="00C26073" w:rsidRPr="00BB03D6" w:rsidRDefault="00C26073" w:rsidP="00C26073">
      <w:pPr>
        <w:pStyle w:val="ListParagraph"/>
        <w:spacing w:before="0" w:after="120"/>
      </w:pPr>
      <w:r w:rsidRPr="00863A3C">
        <w:t>The PBAC noted that this submission is not eligible for an Independent Review as it was a positive recommendation.</w:t>
      </w:r>
    </w:p>
    <w:p w14:paraId="18C453A6" w14:textId="77777777" w:rsidR="00C26073" w:rsidRPr="00863A3C" w:rsidRDefault="00C26073" w:rsidP="00C26073">
      <w:pPr>
        <w:spacing w:before="0" w:after="0"/>
        <w:rPr>
          <w:rFonts w:ascii="Calibri" w:eastAsia="Times New Roman" w:hAnsi="Calibri" w:cs="Arial"/>
          <w:b/>
          <w:bCs/>
          <w:snapToGrid w:val="0"/>
          <w:szCs w:val="24"/>
          <w:lang w:eastAsia="en-AU"/>
        </w:rPr>
      </w:pPr>
      <w:r w:rsidRPr="00863A3C">
        <w:rPr>
          <w:rFonts w:ascii="Calibri" w:eastAsia="Times New Roman" w:hAnsi="Calibri" w:cs="Arial"/>
          <w:b/>
          <w:bCs/>
          <w:snapToGrid w:val="0"/>
          <w:szCs w:val="24"/>
          <w:lang w:eastAsia="en-AU"/>
        </w:rPr>
        <w:t>Outcome:</w:t>
      </w:r>
    </w:p>
    <w:p w14:paraId="3EC9D561" w14:textId="77777777" w:rsidR="00C26073" w:rsidRPr="006933CA" w:rsidRDefault="00C26073" w:rsidP="00C26073">
      <w:pPr>
        <w:spacing w:before="0" w:after="120"/>
        <w:rPr>
          <w:rFonts w:ascii="Calibri" w:eastAsia="Times New Roman" w:hAnsi="Calibri" w:cs="Arial"/>
          <w:bCs/>
          <w:snapToGrid w:val="0"/>
          <w:szCs w:val="24"/>
          <w:lang w:eastAsia="en-AU"/>
        </w:rPr>
      </w:pPr>
      <w:r w:rsidRPr="00863A3C">
        <w:rPr>
          <w:rFonts w:ascii="Calibri" w:eastAsia="Times New Roman" w:hAnsi="Calibri" w:cs="Arial"/>
          <w:bCs/>
          <w:snapToGrid w:val="0"/>
          <w:szCs w:val="24"/>
          <w:lang w:eastAsia="en-AU"/>
        </w:rPr>
        <w:t>Recommended</w:t>
      </w:r>
    </w:p>
    <w:p w14:paraId="600BCE6A" w14:textId="77777777" w:rsidR="00C26073" w:rsidRPr="00863A3C" w:rsidRDefault="00C26073" w:rsidP="00C26073">
      <w:pPr>
        <w:pStyle w:val="PBACESHeading1"/>
        <w:rPr>
          <w:rFonts w:eastAsia="Calibri"/>
        </w:rPr>
      </w:pPr>
      <w:bookmarkStart w:id="208" w:name="_Ref118728963"/>
      <w:r w:rsidRPr="00863A3C">
        <w:rPr>
          <w:rFonts w:eastAsia="Calibri"/>
        </w:rPr>
        <w:t xml:space="preserve">Recommended </w:t>
      </w:r>
      <w:proofErr w:type="gramStart"/>
      <w:r w:rsidRPr="00863A3C">
        <w:rPr>
          <w:rFonts w:eastAsia="Calibri"/>
        </w:rPr>
        <w:t>listing</w:t>
      </w:r>
      <w:bookmarkEnd w:id="208"/>
      <w:proofErr w:type="gramEnd"/>
    </w:p>
    <w:p w14:paraId="3FFAB317" w14:textId="77777777" w:rsidR="00C26073" w:rsidRDefault="00C26073" w:rsidP="00C26073">
      <w:pPr>
        <w:pStyle w:val="ListParagraph"/>
        <w:spacing w:before="0" w:after="120"/>
      </w:pPr>
      <w:r w:rsidRPr="00863A3C">
        <w:t xml:space="preserve">The recommended listing is shown below, reflecting the combined first-line maintenance population, including the population currently eligible for niraparib under the existing item codes for </w:t>
      </w:r>
      <w:r w:rsidRPr="00863A3C">
        <w:rPr>
          <w:i/>
        </w:rPr>
        <w:t>BRCA</w:t>
      </w:r>
      <w:r w:rsidRPr="00863A3C">
        <w:t xml:space="preserve">m patients and the newly recommended population of HRD positive </w:t>
      </w:r>
      <w:r w:rsidRPr="00863A3C">
        <w:rPr>
          <w:i/>
        </w:rPr>
        <w:t>BRCA</w:t>
      </w:r>
      <w:r w:rsidRPr="00863A3C">
        <w:t>wt patients.</w:t>
      </w:r>
    </w:p>
    <w:p w14:paraId="0FB5597E" w14:textId="77777777" w:rsidR="00C26073" w:rsidRPr="00863A3C" w:rsidRDefault="00C26073" w:rsidP="00C26073">
      <w:pPr>
        <w:pStyle w:val="ListParagraph"/>
        <w:spacing w:before="0" w:after="120"/>
      </w:pPr>
      <w:r w:rsidRPr="00863A3C">
        <w:t xml:space="preserve">Amend the existing PBS listings relating to </w:t>
      </w:r>
      <w:proofErr w:type="gramStart"/>
      <w:r w:rsidRPr="00863A3C">
        <w:t>first-line</w:t>
      </w:r>
      <w:proofErr w:type="gramEnd"/>
      <w:r w:rsidRPr="00863A3C">
        <w:t xml:space="preserve"> use in ovarian cancer to include the new HRD+ </w:t>
      </w:r>
      <w:r w:rsidRPr="00D16DAA">
        <w:rPr>
          <w:i/>
          <w:iCs/>
        </w:rPr>
        <w:t>BRCA</w:t>
      </w:r>
      <w:r w:rsidRPr="00863A3C">
        <w:t xml:space="preserve">wt population whilst retaining the existing </w:t>
      </w:r>
      <w:r w:rsidRPr="00D16DAA">
        <w:rPr>
          <w:i/>
          <w:iCs/>
        </w:rPr>
        <w:t>BRCA</w:t>
      </w:r>
      <w:r w:rsidRPr="00863A3C">
        <w:t xml:space="preserve">m population. Amend items: 13092C, 13079J, 13089X, 13112D (current item codes for niraparib as first-line ovarian cancer treatment for </w:t>
      </w:r>
      <w:r w:rsidRPr="00D16DAA">
        <w:rPr>
          <w:i/>
        </w:rPr>
        <w:t>BRCA</w:t>
      </w:r>
      <w:r w:rsidRPr="00863A3C">
        <w:t>m population).</w:t>
      </w:r>
      <w:bookmarkStart w:id="209" w:name="_Hlk140844436"/>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1241"/>
        <w:gridCol w:w="1761"/>
        <w:gridCol w:w="1172"/>
        <w:gridCol w:w="1205"/>
        <w:gridCol w:w="1523"/>
        <w:gridCol w:w="985"/>
      </w:tblGrid>
      <w:tr w:rsidR="00C26073" w:rsidRPr="00863A3C" w14:paraId="4623ADE3" w14:textId="77777777" w:rsidTr="003370CF">
        <w:trPr>
          <w:cantSplit/>
          <w:trHeight w:val="471"/>
        </w:trPr>
        <w:tc>
          <w:tcPr>
            <w:tcW w:w="1394" w:type="pct"/>
            <w:gridSpan w:val="2"/>
          </w:tcPr>
          <w:p w14:paraId="3B36EBF9"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MEDICINAL PRODUCT</w:t>
            </w:r>
          </w:p>
          <w:p w14:paraId="450787F3"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medicinal product pack</w:t>
            </w:r>
          </w:p>
        </w:tc>
        <w:tc>
          <w:tcPr>
            <w:tcW w:w="955" w:type="pct"/>
          </w:tcPr>
          <w:p w14:paraId="4CF73C9C"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PBS item code</w:t>
            </w:r>
          </w:p>
        </w:tc>
        <w:tc>
          <w:tcPr>
            <w:tcW w:w="636" w:type="pct"/>
          </w:tcPr>
          <w:p w14:paraId="43DD0384"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Max. qty packs</w:t>
            </w:r>
          </w:p>
        </w:tc>
        <w:tc>
          <w:tcPr>
            <w:tcW w:w="654" w:type="pct"/>
          </w:tcPr>
          <w:p w14:paraId="10DCA670"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Max. qty units</w:t>
            </w:r>
          </w:p>
        </w:tc>
        <w:tc>
          <w:tcPr>
            <w:tcW w:w="826" w:type="pct"/>
          </w:tcPr>
          <w:p w14:paraId="7BE9D519" w14:textId="77777777" w:rsidR="00C26073" w:rsidRPr="00863A3C" w:rsidRDefault="00C26073" w:rsidP="003370CF">
            <w:pPr>
              <w:spacing w:before="0" w:after="0"/>
              <w:rPr>
                <w:rFonts w:ascii="Arial Narrow" w:hAnsi="Arial Narrow"/>
                <w:b/>
                <w:bCs/>
                <w:sz w:val="20"/>
                <w:szCs w:val="20"/>
              </w:rPr>
            </w:pPr>
            <w:proofErr w:type="gramStart"/>
            <w:r w:rsidRPr="00863A3C">
              <w:rPr>
                <w:rFonts w:ascii="Arial Narrow" w:hAnsi="Arial Narrow"/>
                <w:b/>
                <w:bCs/>
                <w:sz w:val="20"/>
                <w:szCs w:val="20"/>
              </w:rPr>
              <w:t>№.of</w:t>
            </w:r>
            <w:proofErr w:type="gramEnd"/>
            <w:r w:rsidRPr="00863A3C">
              <w:rPr>
                <w:rFonts w:ascii="Arial Narrow" w:hAnsi="Arial Narrow"/>
                <w:b/>
                <w:bCs/>
                <w:sz w:val="20"/>
                <w:szCs w:val="20"/>
              </w:rPr>
              <w:t xml:space="preserve"> Rpts</w:t>
            </w:r>
          </w:p>
        </w:tc>
        <w:tc>
          <w:tcPr>
            <w:tcW w:w="535" w:type="pct"/>
          </w:tcPr>
          <w:p w14:paraId="54A12C0C"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Available brands</w:t>
            </w:r>
          </w:p>
        </w:tc>
      </w:tr>
      <w:tr w:rsidR="00C26073" w:rsidRPr="00863A3C" w14:paraId="6C8414DC" w14:textId="77777777" w:rsidTr="003370CF">
        <w:trPr>
          <w:cantSplit/>
          <w:trHeight w:val="224"/>
        </w:trPr>
        <w:tc>
          <w:tcPr>
            <w:tcW w:w="5000" w:type="pct"/>
            <w:gridSpan w:val="7"/>
          </w:tcPr>
          <w:p w14:paraId="61D2BC06"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NIRAPARIB</w:t>
            </w:r>
          </w:p>
        </w:tc>
      </w:tr>
      <w:tr w:rsidR="00C26073" w:rsidRPr="00863A3C" w14:paraId="66B55E3F" w14:textId="77777777" w:rsidTr="003370CF">
        <w:trPr>
          <w:cantSplit/>
          <w:trHeight w:val="232"/>
        </w:trPr>
        <w:tc>
          <w:tcPr>
            <w:tcW w:w="1394" w:type="pct"/>
            <w:gridSpan w:val="2"/>
          </w:tcPr>
          <w:p w14:paraId="22211E3B"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Niraparib 100 mg capsule, 84</w:t>
            </w:r>
          </w:p>
          <w:p w14:paraId="6B917CE5" w14:textId="77777777" w:rsidR="00C26073" w:rsidRPr="00863A3C" w:rsidRDefault="00C26073" w:rsidP="003370CF">
            <w:pPr>
              <w:spacing w:before="0" w:after="0"/>
              <w:rPr>
                <w:rFonts w:ascii="Arial Narrow" w:hAnsi="Arial Narrow"/>
                <w:sz w:val="20"/>
                <w:szCs w:val="20"/>
              </w:rPr>
            </w:pPr>
          </w:p>
        </w:tc>
        <w:tc>
          <w:tcPr>
            <w:tcW w:w="955" w:type="pct"/>
          </w:tcPr>
          <w:p w14:paraId="477157A0" w14:textId="77777777" w:rsidR="00C26073" w:rsidRPr="00863A3C" w:rsidRDefault="00091054" w:rsidP="003370CF">
            <w:pPr>
              <w:spacing w:before="0" w:after="0"/>
              <w:rPr>
                <w:rFonts w:ascii="Arial Narrow" w:hAnsi="Arial Narrow"/>
                <w:sz w:val="20"/>
                <w:szCs w:val="20"/>
              </w:rPr>
            </w:pPr>
            <w:hyperlink r:id="rId22" w:tooltip="13092c" w:history="1">
              <w:r w:rsidR="00C26073" w:rsidRPr="00863A3C">
                <w:rPr>
                  <w:rStyle w:val="Hyperlink"/>
                  <w:rFonts w:ascii="Arial Narrow" w:hAnsi="Arial Narrow"/>
                  <w:color w:val="auto"/>
                  <w:sz w:val="20"/>
                  <w:szCs w:val="20"/>
                </w:rPr>
                <w:t>13092C</w:t>
              </w:r>
            </w:hyperlink>
            <w:proofErr w:type="gramStart"/>
            <w:r w:rsidR="00C26073" w:rsidRPr="00863A3C">
              <w:rPr>
                <w:rFonts w:ascii="Arial Narrow" w:hAnsi="Arial Narrow"/>
                <w:sz w:val="20"/>
                <w:szCs w:val="20"/>
              </w:rPr>
              <w:t>:  (</w:t>
            </w:r>
            <w:proofErr w:type="gramEnd"/>
            <w:r w:rsidR="00C26073" w:rsidRPr="00863A3C">
              <w:rPr>
                <w:rFonts w:ascii="Arial Narrow" w:hAnsi="Arial Narrow"/>
                <w:sz w:val="20"/>
                <w:szCs w:val="20"/>
              </w:rPr>
              <w:t>initial)</w:t>
            </w:r>
          </w:p>
          <w:p w14:paraId="623B6778"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13079J: (continuing)</w:t>
            </w:r>
          </w:p>
        </w:tc>
        <w:tc>
          <w:tcPr>
            <w:tcW w:w="636" w:type="pct"/>
          </w:tcPr>
          <w:p w14:paraId="1BFD5856"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1</w:t>
            </w:r>
          </w:p>
        </w:tc>
        <w:tc>
          <w:tcPr>
            <w:tcW w:w="654" w:type="pct"/>
          </w:tcPr>
          <w:p w14:paraId="6132AABD" w14:textId="77777777" w:rsidR="00C26073" w:rsidRPr="00863A3C" w:rsidRDefault="00C26073" w:rsidP="003370CF">
            <w:pPr>
              <w:pStyle w:val="TableText"/>
              <w:keepNext/>
              <w:rPr>
                <w:szCs w:val="20"/>
              </w:rPr>
            </w:pPr>
            <w:r w:rsidRPr="00863A3C">
              <w:rPr>
                <w:szCs w:val="20"/>
              </w:rPr>
              <w:t>84 (full dose)</w:t>
            </w:r>
          </w:p>
          <w:p w14:paraId="6FCD0A25" w14:textId="77777777" w:rsidR="00C26073" w:rsidRPr="00863A3C" w:rsidRDefault="00C26073" w:rsidP="003370CF">
            <w:pPr>
              <w:spacing w:before="0" w:after="0"/>
              <w:rPr>
                <w:rFonts w:ascii="Arial Narrow" w:hAnsi="Arial Narrow"/>
                <w:sz w:val="20"/>
                <w:szCs w:val="20"/>
              </w:rPr>
            </w:pPr>
          </w:p>
        </w:tc>
        <w:tc>
          <w:tcPr>
            <w:tcW w:w="826" w:type="pct"/>
          </w:tcPr>
          <w:p w14:paraId="280B2674"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2 (initial)</w:t>
            </w:r>
          </w:p>
          <w:p w14:paraId="4ECEF11A"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5 (continuing)</w:t>
            </w:r>
          </w:p>
        </w:tc>
        <w:tc>
          <w:tcPr>
            <w:tcW w:w="535" w:type="pct"/>
          </w:tcPr>
          <w:p w14:paraId="74045ECA"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Zejula</w:t>
            </w:r>
          </w:p>
        </w:tc>
      </w:tr>
      <w:tr w:rsidR="00C26073" w:rsidRPr="00863A3C" w14:paraId="72DEB9CD" w14:textId="77777777" w:rsidTr="003370CF">
        <w:trPr>
          <w:cantSplit/>
          <w:trHeight w:val="264"/>
        </w:trPr>
        <w:tc>
          <w:tcPr>
            <w:tcW w:w="1394" w:type="pct"/>
            <w:gridSpan w:val="2"/>
          </w:tcPr>
          <w:p w14:paraId="56ED8242"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Niraparib 100 mg capsule, 56</w:t>
            </w:r>
          </w:p>
          <w:p w14:paraId="70AB02FA" w14:textId="77777777" w:rsidR="00C26073" w:rsidRPr="00863A3C" w:rsidRDefault="00C26073" w:rsidP="003370CF">
            <w:pPr>
              <w:spacing w:before="0" w:after="0"/>
              <w:rPr>
                <w:rFonts w:ascii="Arial Narrow" w:hAnsi="Arial Narrow"/>
                <w:sz w:val="20"/>
                <w:szCs w:val="20"/>
              </w:rPr>
            </w:pPr>
          </w:p>
        </w:tc>
        <w:tc>
          <w:tcPr>
            <w:tcW w:w="955" w:type="pct"/>
          </w:tcPr>
          <w:p w14:paraId="6B9E2B53"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13089X: (initial)</w:t>
            </w:r>
          </w:p>
          <w:p w14:paraId="2DF10EC2" w14:textId="77777777" w:rsidR="00C26073" w:rsidRPr="00863A3C" w:rsidRDefault="00091054" w:rsidP="003370CF">
            <w:pPr>
              <w:spacing w:before="0" w:after="0"/>
              <w:rPr>
                <w:rFonts w:ascii="Arial Narrow" w:hAnsi="Arial Narrow"/>
                <w:sz w:val="20"/>
                <w:szCs w:val="20"/>
              </w:rPr>
            </w:pPr>
            <w:hyperlink r:id="rId23" w:tooltip="13112d" w:history="1">
              <w:r w:rsidR="00C26073" w:rsidRPr="00863A3C">
                <w:rPr>
                  <w:rStyle w:val="Hyperlink"/>
                  <w:rFonts w:ascii="Arial Narrow" w:hAnsi="Arial Narrow"/>
                  <w:color w:val="auto"/>
                  <w:sz w:val="20"/>
                  <w:szCs w:val="20"/>
                </w:rPr>
                <w:t>13112D</w:t>
              </w:r>
            </w:hyperlink>
            <w:proofErr w:type="gramStart"/>
            <w:r w:rsidR="00C26073" w:rsidRPr="00863A3C">
              <w:rPr>
                <w:rFonts w:ascii="Arial Narrow" w:hAnsi="Arial Narrow"/>
                <w:sz w:val="20"/>
                <w:szCs w:val="20"/>
              </w:rPr>
              <w:t>:  (</w:t>
            </w:r>
            <w:proofErr w:type="gramEnd"/>
            <w:r w:rsidR="00C26073" w:rsidRPr="00863A3C">
              <w:rPr>
                <w:rFonts w:ascii="Arial Narrow" w:hAnsi="Arial Narrow"/>
                <w:sz w:val="20"/>
                <w:szCs w:val="20"/>
              </w:rPr>
              <w:t>continuing)</w:t>
            </w:r>
          </w:p>
        </w:tc>
        <w:tc>
          <w:tcPr>
            <w:tcW w:w="636" w:type="pct"/>
          </w:tcPr>
          <w:p w14:paraId="13CFE8D8"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1</w:t>
            </w:r>
          </w:p>
        </w:tc>
        <w:tc>
          <w:tcPr>
            <w:tcW w:w="654" w:type="pct"/>
          </w:tcPr>
          <w:p w14:paraId="2A245B12"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56 (reduced dose)</w:t>
            </w:r>
          </w:p>
        </w:tc>
        <w:tc>
          <w:tcPr>
            <w:tcW w:w="826" w:type="pct"/>
          </w:tcPr>
          <w:p w14:paraId="4FC688A5"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2 (initial)</w:t>
            </w:r>
          </w:p>
          <w:p w14:paraId="0E750A3F"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5 continuing)</w:t>
            </w:r>
          </w:p>
        </w:tc>
        <w:tc>
          <w:tcPr>
            <w:tcW w:w="535" w:type="pct"/>
          </w:tcPr>
          <w:p w14:paraId="3B16C05E"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Zejula</w:t>
            </w:r>
          </w:p>
        </w:tc>
      </w:tr>
      <w:tr w:rsidR="00C26073" w:rsidRPr="00863A3C" w14:paraId="1B65B346" w14:textId="77777777" w:rsidTr="003370CF">
        <w:trPr>
          <w:cantSplit/>
          <w:trHeight w:val="264"/>
        </w:trPr>
        <w:tc>
          <w:tcPr>
            <w:tcW w:w="5000" w:type="pct"/>
            <w:gridSpan w:val="7"/>
          </w:tcPr>
          <w:p w14:paraId="658ADDA3" w14:textId="77777777" w:rsidR="00C26073" w:rsidRPr="00863A3C" w:rsidRDefault="00C26073" w:rsidP="003370CF">
            <w:pPr>
              <w:spacing w:before="0" w:after="0"/>
              <w:rPr>
                <w:rFonts w:ascii="Arial Narrow" w:hAnsi="Arial Narrow"/>
                <w:sz w:val="20"/>
                <w:szCs w:val="20"/>
              </w:rPr>
            </w:pPr>
            <w:r w:rsidRPr="00863A3C">
              <w:rPr>
                <w:rFonts w:ascii="Arial Narrow" w:hAnsi="Arial Narrow"/>
                <w:b/>
                <w:bCs/>
                <w:sz w:val="20"/>
                <w:szCs w:val="20"/>
              </w:rPr>
              <w:t xml:space="preserve">Category / Program: </w:t>
            </w:r>
            <w:r w:rsidRPr="00863A3C">
              <w:rPr>
                <w:rFonts w:ascii="Arial Narrow" w:hAnsi="Arial Narrow"/>
                <w:sz w:val="20"/>
                <w:szCs w:val="20"/>
              </w:rPr>
              <w:t>GENERAL – General Schedule (Code GE)</w:t>
            </w:r>
          </w:p>
        </w:tc>
      </w:tr>
      <w:tr w:rsidR="00C26073" w:rsidRPr="00863A3C" w14:paraId="09A5667B" w14:textId="77777777" w:rsidTr="003370CF">
        <w:trPr>
          <w:cantSplit/>
          <w:trHeight w:val="264"/>
        </w:trPr>
        <w:tc>
          <w:tcPr>
            <w:tcW w:w="5000" w:type="pct"/>
            <w:gridSpan w:val="7"/>
          </w:tcPr>
          <w:p w14:paraId="279B3DFA" w14:textId="77777777" w:rsidR="00C26073" w:rsidRPr="00863A3C" w:rsidRDefault="00C26073" w:rsidP="003370CF">
            <w:pPr>
              <w:spacing w:before="0" w:after="0"/>
              <w:rPr>
                <w:rFonts w:ascii="Arial Narrow" w:hAnsi="Arial Narrow"/>
                <w:sz w:val="20"/>
                <w:szCs w:val="20"/>
              </w:rPr>
            </w:pPr>
            <w:r w:rsidRPr="00863A3C">
              <w:rPr>
                <w:rFonts w:ascii="Arial Narrow" w:hAnsi="Arial Narrow"/>
                <w:b/>
                <w:bCs/>
                <w:sz w:val="20"/>
                <w:szCs w:val="20"/>
              </w:rPr>
              <w:t>Prescriber type:</w:t>
            </w:r>
            <w:r w:rsidRPr="00863A3C">
              <w:rPr>
                <w:rFonts w:ascii="Arial Narrow" w:hAnsi="Arial Narrow"/>
                <w:sz w:val="20"/>
                <w:szCs w:val="20"/>
              </w:rPr>
              <w:t xml:space="preserve"> </w:t>
            </w:r>
            <w:r w:rsidRPr="00863A3C">
              <w:rPr>
                <w:rFonts w:ascii="Arial Narrow" w:hAnsi="Arial Narrow"/>
                <w:sz w:val="20"/>
                <w:szCs w:val="20"/>
              </w:rPr>
              <w:fldChar w:fldCharType="begin" w:fldLock="1">
                <w:ffData>
                  <w:name w:val=""/>
                  <w:enabled/>
                  <w:calcOnExit w:val="0"/>
                  <w:checkBox>
                    <w:sizeAuto/>
                    <w:default w:val="1"/>
                  </w:checkBox>
                </w:ffData>
              </w:fldChar>
            </w:r>
            <w:r w:rsidRPr="00863A3C">
              <w:rPr>
                <w:rFonts w:ascii="Arial Narrow" w:hAnsi="Arial Narrow"/>
                <w:sz w:val="20"/>
                <w:szCs w:val="20"/>
              </w:rPr>
              <w:instrText xml:space="preserve"> FORMCHECKBOX </w:instrText>
            </w:r>
            <w:r w:rsidR="00091054">
              <w:rPr>
                <w:rFonts w:ascii="Arial Narrow" w:hAnsi="Arial Narrow"/>
                <w:sz w:val="20"/>
                <w:szCs w:val="20"/>
              </w:rPr>
            </w:r>
            <w:r w:rsidR="00091054">
              <w:rPr>
                <w:rFonts w:ascii="Arial Narrow" w:hAnsi="Arial Narrow"/>
                <w:sz w:val="20"/>
                <w:szCs w:val="20"/>
              </w:rPr>
              <w:fldChar w:fldCharType="separate"/>
            </w:r>
            <w:r w:rsidRPr="00863A3C">
              <w:rPr>
                <w:rFonts w:ascii="Arial Narrow" w:hAnsi="Arial Narrow"/>
                <w:sz w:val="20"/>
                <w:szCs w:val="20"/>
              </w:rPr>
              <w:fldChar w:fldCharType="end"/>
            </w:r>
            <w:r w:rsidRPr="00863A3C">
              <w:rPr>
                <w:rFonts w:ascii="Arial Narrow" w:hAnsi="Arial Narrow"/>
                <w:sz w:val="20"/>
                <w:szCs w:val="20"/>
              </w:rPr>
              <w:t>Medical Practitioners</w:t>
            </w:r>
          </w:p>
        </w:tc>
      </w:tr>
      <w:tr w:rsidR="00C26073" w:rsidRPr="00863A3C" w14:paraId="5F3FF38E" w14:textId="77777777" w:rsidTr="003370CF">
        <w:trPr>
          <w:cantSplit/>
          <w:trHeight w:val="264"/>
        </w:trPr>
        <w:tc>
          <w:tcPr>
            <w:tcW w:w="5000" w:type="pct"/>
            <w:gridSpan w:val="7"/>
          </w:tcPr>
          <w:p w14:paraId="29593B2D" w14:textId="77777777" w:rsidR="00C26073" w:rsidRPr="00863A3C" w:rsidRDefault="00C26073" w:rsidP="003370CF">
            <w:pPr>
              <w:spacing w:before="0" w:after="0"/>
              <w:rPr>
                <w:rFonts w:ascii="Arial Narrow" w:hAnsi="Arial Narrow"/>
                <w:sz w:val="20"/>
                <w:szCs w:val="20"/>
              </w:rPr>
            </w:pPr>
            <w:r w:rsidRPr="00863A3C">
              <w:rPr>
                <w:rFonts w:ascii="Arial Narrow" w:hAnsi="Arial Narrow"/>
                <w:b/>
                <w:bCs/>
                <w:sz w:val="20"/>
                <w:szCs w:val="20"/>
              </w:rPr>
              <w:t>Restriction type:</w:t>
            </w:r>
            <w:r w:rsidRPr="00863A3C">
              <w:rPr>
                <w:rFonts w:ascii="Arial Narrow" w:hAnsi="Arial Narrow"/>
                <w:sz w:val="20"/>
                <w:szCs w:val="20"/>
              </w:rPr>
              <w:t xml:space="preserve"> </w:t>
            </w:r>
            <w:r w:rsidRPr="00863A3C">
              <w:rPr>
                <w:rFonts w:ascii="Arial Narrow" w:hAnsi="Arial Narrow"/>
                <w:sz w:val="20"/>
                <w:szCs w:val="20"/>
              </w:rPr>
              <w:fldChar w:fldCharType="begin" w:fldLock="1">
                <w:ffData>
                  <w:name w:val=""/>
                  <w:enabled/>
                  <w:calcOnExit w:val="0"/>
                  <w:checkBox>
                    <w:sizeAuto/>
                    <w:default w:val="1"/>
                  </w:checkBox>
                </w:ffData>
              </w:fldChar>
            </w:r>
            <w:r w:rsidRPr="00863A3C">
              <w:rPr>
                <w:rFonts w:ascii="Arial Narrow" w:hAnsi="Arial Narrow"/>
                <w:sz w:val="20"/>
                <w:szCs w:val="20"/>
              </w:rPr>
              <w:instrText xml:space="preserve"> FORMCHECKBOX </w:instrText>
            </w:r>
            <w:r w:rsidR="00091054">
              <w:rPr>
                <w:rFonts w:ascii="Arial Narrow" w:hAnsi="Arial Narrow"/>
                <w:sz w:val="20"/>
                <w:szCs w:val="20"/>
              </w:rPr>
            </w:r>
            <w:r w:rsidR="00091054">
              <w:rPr>
                <w:rFonts w:ascii="Arial Narrow" w:hAnsi="Arial Narrow"/>
                <w:sz w:val="20"/>
                <w:szCs w:val="20"/>
              </w:rPr>
              <w:fldChar w:fldCharType="separate"/>
            </w:r>
            <w:r w:rsidRPr="00863A3C">
              <w:rPr>
                <w:rFonts w:ascii="Arial Narrow" w:hAnsi="Arial Narrow"/>
                <w:sz w:val="20"/>
                <w:szCs w:val="20"/>
              </w:rPr>
              <w:fldChar w:fldCharType="end"/>
            </w:r>
            <w:r w:rsidRPr="00863A3C">
              <w:rPr>
                <w:rFonts w:ascii="Arial Narrow" w:hAnsi="Arial Narrow"/>
                <w:sz w:val="20"/>
                <w:szCs w:val="20"/>
              </w:rPr>
              <w:t xml:space="preserve"> Authority Required - Telephone / Electronic</w:t>
            </w:r>
          </w:p>
        </w:tc>
      </w:tr>
      <w:tr w:rsidR="00C26073" w:rsidRPr="00863A3C" w14:paraId="39304BE4" w14:textId="77777777" w:rsidTr="003370CF">
        <w:trPr>
          <w:cantSplit/>
          <w:trHeight w:val="264"/>
        </w:trPr>
        <w:tc>
          <w:tcPr>
            <w:tcW w:w="720" w:type="pct"/>
          </w:tcPr>
          <w:p w14:paraId="336F6FFE"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Administrative Advice</w:t>
            </w:r>
          </w:p>
        </w:tc>
        <w:tc>
          <w:tcPr>
            <w:tcW w:w="674" w:type="pct"/>
          </w:tcPr>
          <w:p w14:paraId="64C3128E" w14:textId="2A0553AF" w:rsidR="00C26073" w:rsidRPr="00863A3C" w:rsidRDefault="00C26073" w:rsidP="003370CF">
            <w:pPr>
              <w:spacing w:before="0" w:after="0"/>
              <w:rPr>
                <w:rFonts w:ascii="Arial Narrow" w:hAnsi="Arial Narrow"/>
                <w:sz w:val="20"/>
                <w:szCs w:val="20"/>
              </w:rPr>
            </w:pPr>
          </w:p>
        </w:tc>
        <w:tc>
          <w:tcPr>
            <w:tcW w:w="3606" w:type="pct"/>
            <w:gridSpan w:val="5"/>
          </w:tcPr>
          <w:p w14:paraId="2AABB5EB"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 xml:space="preserve">This drug belongs to the poly ADP ribose polymerase (PARP) inhibitor drug class. The restriction refers to the following PARP inhibitors: olaparib, </w:t>
            </w:r>
            <w:proofErr w:type="gramStart"/>
            <w:r w:rsidRPr="00863A3C">
              <w:rPr>
                <w:rFonts w:ascii="Arial Narrow" w:hAnsi="Arial Narrow"/>
                <w:sz w:val="20"/>
                <w:szCs w:val="20"/>
              </w:rPr>
              <w:t>niraparib</w:t>
            </w:r>
            <w:proofErr w:type="gramEnd"/>
          </w:p>
          <w:p w14:paraId="186EB42B" w14:textId="77777777" w:rsidR="00C26073" w:rsidRPr="00863A3C" w:rsidRDefault="00C26073" w:rsidP="003370CF">
            <w:pPr>
              <w:spacing w:before="0" w:after="0"/>
              <w:rPr>
                <w:rFonts w:ascii="Arial Narrow" w:hAnsi="Arial Narrow"/>
                <w:sz w:val="20"/>
                <w:szCs w:val="20"/>
              </w:rPr>
            </w:pPr>
          </w:p>
          <w:p w14:paraId="6A028725"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p w14:paraId="7E07991D" w14:textId="77777777" w:rsidR="00C26073" w:rsidRPr="00863A3C" w:rsidRDefault="00C26073" w:rsidP="003370CF">
            <w:pPr>
              <w:spacing w:before="0" w:after="0"/>
              <w:rPr>
                <w:rFonts w:ascii="Arial Narrow" w:hAnsi="Arial Narrow"/>
                <w:sz w:val="20"/>
                <w:szCs w:val="20"/>
              </w:rPr>
            </w:pPr>
          </w:p>
          <w:p w14:paraId="0489E559"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Special Pricing Arrangements apply.</w:t>
            </w:r>
          </w:p>
        </w:tc>
      </w:tr>
      <w:tr w:rsidR="00C26073" w:rsidRPr="00863A3C" w14:paraId="48FD6AD3" w14:textId="77777777" w:rsidTr="003370CF">
        <w:trPr>
          <w:cantSplit/>
          <w:trHeight w:val="264"/>
        </w:trPr>
        <w:tc>
          <w:tcPr>
            <w:tcW w:w="720" w:type="pct"/>
          </w:tcPr>
          <w:p w14:paraId="0CDC4B63"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PBS Indication</w:t>
            </w:r>
          </w:p>
        </w:tc>
        <w:tc>
          <w:tcPr>
            <w:tcW w:w="674" w:type="pct"/>
          </w:tcPr>
          <w:p w14:paraId="7A44DB78" w14:textId="29683A1D" w:rsidR="00C26073" w:rsidRPr="00863A3C" w:rsidRDefault="00C26073" w:rsidP="003370CF">
            <w:pPr>
              <w:spacing w:before="0" w:after="0"/>
              <w:rPr>
                <w:rFonts w:ascii="Arial Narrow" w:hAnsi="Arial Narrow"/>
                <w:sz w:val="20"/>
                <w:szCs w:val="20"/>
              </w:rPr>
            </w:pPr>
          </w:p>
        </w:tc>
        <w:tc>
          <w:tcPr>
            <w:tcW w:w="3606" w:type="pct"/>
            <w:gridSpan w:val="5"/>
          </w:tcPr>
          <w:p w14:paraId="3EA487E0"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High grade stage III/IV epithelial ovarian, fallopian tube or primary peritoneal cancer</w:t>
            </w:r>
          </w:p>
        </w:tc>
      </w:tr>
      <w:tr w:rsidR="00C26073" w:rsidRPr="00863A3C" w14:paraId="4CB21283" w14:textId="77777777" w:rsidTr="003370CF">
        <w:trPr>
          <w:cantSplit/>
          <w:trHeight w:val="264"/>
        </w:trPr>
        <w:tc>
          <w:tcPr>
            <w:tcW w:w="5000" w:type="pct"/>
            <w:gridSpan w:val="7"/>
            <w:shd w:val="clear" w:color="auto" w:fill="D9D9D9" w:themeFill="background1" w:themeFillShade="D9"/>
          </w:tcPr>
          <w:p w14:paraId="3CF8014F" w14:textId="77777777" w:rsidR="00C26073" w:rsidRPr="00863A3C" w:rsidRDefault="00C26073" w:rsidP="003370CF">
            <w:pPr>
              <w:spacing w:before="0" w:after="0"/>
              <w:rPr>
                <w:rFonts w:ascii="Arial Narrow" w:eastAsia="Calibri" w:hAnsi="Arial Narrow"/>
                <w:b/>
                <w:bCs/>
                <w:sz w:val="20"/>
                <w:szCs w:val="20"/>
              </w:rPr>
            </w:pPr>
            <w:r w:rsidRPr="00863A3C">
              <w:rPr>
                <w:rFonts w:ascii="Arial Narrow" w:hAnsi="Arial Narrow"/>
                <w:b/>
                <w:bCs/>
                <w:sz w:val="20"/>
                <w:szCs w:val="20"/>
              </w:rPr>
              <w:t xml:space="preserve">Treatment phase (edit): Initial treatment – first-line maintenance </w:t>
            </w:r>
            <w:proofErr w:type="gramStart"/>
            <w:r w:rsidRPr="00863A3C">
              <w:rPr>
                <w:rFonts w:ascii="Arial Narrow" w:hAnsi="Arial Narrow"/>
                <w:b/>
                <w:bCs/>
                <w:sz w:val="20"/>
                <w:szCs w:val="20"/>
              </w:rPr>
              <w:t>therapy</w:t>
            </w:r>
            <w:proofErr w:type="gramEnd"/>
          </w:p>
          <w:p w14:paraId="115719AE" w14:textId="77777777" w:rsidR="00C26073" w:rsidRPr="00863A3C" w:rsidRDefault="00C26073" w:rsidP="00C26073">
            <w:pPr>
              <w:pStyle w:val="TableText"/>
              <w:numPr>
                <w:ilvl w:val="0"/>
                <w:numId w:val="38"/>
              </w:numPr>
              <w:rPr>
                <w:rFonts w:eastAsia="Times New Roman" w:cs="Times New Roman"/>
                <w:b/>
                <w:bCs/>
                <w:snapToGrid w:val="0"/>
                <w:color w:val="000000"/>
                <w:szCs w:val="20"/>
              </w:rPr>
            </w:pPr>
            <w:r w:rsidRPr="00863A3C">
              <w:rPr>
                <w:rFonts w:eastAsia="Times New Roman" w:cs="Times New Roman"/>
                <w:b/>
                <w:bCs/>
                <w:snapToGrid w:val="0"/>
                <w:color w:val="000000"/>
                <w:szCs w:val="20"/>
              </w:rPr>
              <w:t xml:space="preserve">84 pack: Initial treatment - first-line maintenance therapy </w:t>
            </w:r>
            <w:r w:rsidRPr="00863A3C">
              <w:rPr>
                <w:b/>
                <w:bCs/>
                <w:szCs w:val="20"/>
              </w:rPr>
              <w:t xml:space="preserve">of a patient requiring a daily dose of 3 </w:t>
            </w:r>
            <w:proofErr w:type="gramStart"/>
            <w:r w:rsidRPr="00863A3C">
              <w:rPr>
                <w:b/>
                <w:bCs/>
                <w:szCs w:val="20"/>
              </w:rPr>
              <w:t>capsules</w:t>
            </w:r>
            <w:proofErr w:type="gramEnd"/>
          </w:p>
          <w:p w14:paraId="5580E3DA" w14:textId="77777777" w:rsidR="00C26073" w:rsidRPr="00863A3C" w:rsidRDefault="00C26073" w:rsidP="00C26073">
            <w:pPr>
              <w:pStyle w:val="TableText"/>
              <w:numPr>
                <w:ilvl w:val="0"/>
                <w:numId w:val="38"/>
              </w:numPr>
              <w:rPr>
                <w:rFonts w:eastAsia="Times New Roman" w:cs="Times New Roman"/>
                <w:b/>
                <w:bCs/>
                <w:snapToGrid w:val="0"/>
                <w:color w:val="000000"/>
                <w:szCs w:val="20"/>
              </w:rPr>
            </w:pPr>
            <w:r w:rsidRPr="00863A3C">
              <w:rPr>
                <w:rFonts w:eastAsia="Times New Roman" w:cs="Times New Roman"/>
                <w:b/>
                <w:bCs/>
                <w:snapToGrid w:val="0"/>
                <w:color w:val="000000"/>
                <w:szCs w:val="20"/>
              </w:rPr>
              <w:t xml:space="preserve">56 pack: Initial treatment - first-line maintenance therapy </w:t>
            </w:r>
            <w:r w:rsidRPr="00863A3C">
              <w:rPr>
                <w:b/>
                <w:bCs/>
                <w:szCs w:val="20"/>
              </w:rPr>
              <w:t>of a patient requiring a daily dose of up to 2 capsules</w:t>
            </w:r>
          </w:p>
        </w:tc>
      </w:tr>
      <w:tr w:rsidR="00C26073" w:rsidRPr="00863A3C" w14:paraId="1668D291" w14:textId="77777777" w:rsidTr="003370CF">
        <w:trPr>
          <w:cantSplit/>
          <w:trHeight w:val="264"/>
        </w:trPr>
        <w:tc>
          <w:tcPr>
            <w:tcW w:w="720" w:type="pct"/>
          </w:tcPr>
          <w:p w14:paraId="667D1024"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lastRenderedPageBreak/>
              <w:t>Clinical criteria</w:t>
            </w:r>
          </w:p>
        </w:tc>
        <w:tc>
          <w:tcPr>
            <w:tcW w:w="674" w:type="pct"/>
          </w:tcPr>
          <w:p w14:paraId="14172E9F" w14:textId="2305EEDD" w:rsidR="00C26073" w:rsidRPr="00863A3C" w:rsidRDefault="00C26073" w:rsidP="003370CF">
            <w:pPr>
              <w:spacing w:before="0" w:after="0"/>
              <w:rPr>
                <w:rFonts w:ascii="Arial Narrow" w:hAnsi="Arial Narrow"/>
                <w:sz w:val="20"/>
                <w:szCs w:val="20"/>
              </w:rPr>
            </w:pPr>
          </w:p>
        </w:tc>
        <w:tc>
          <w:tcPr>
            <w:tcW w:w="3606" w:type="pct"/>
            <w:gridSpan w:val="5"/>
          </w:tcPr>
          <w:p w14:paraId="58643AC3" w14:textId="77777777" w:rsidR="00C26073" w:rsidRPr="0053247A" w:rsidRDefault="00C26073" w:rsidP="003370CF">
            <w:pPr>
              <w:spacing w:before="0" w:after="0"/>
              <w:rPr>
                <w:rFonts w:ascii="Arial Narrow" w:hAnsi="Arial Narrow"/>
                <w:sz w:val="20"/>
                <w:szCs w:val="20"/>
              </w:rPr>
            </w:pPr>
            <w:r w:rsidRPr="0053247A">
              <w:rPr>
                <w:rFonts w:ascii="Arial Narrow" w:hAnsi="Arial Narrow"/>
                <w:sz w:val="20"/>
                <w:szCs w:val="20"/>
              </w:rPr>
              <w:t>Patient must be in partial or complete response to the first-line platinum-based chemotherapy regimen prior to commencing treatment with this drug for this condition,</w:t>
            </w:r>
          </w:p>
          <w:p w14:paraId="182F431A" w14:textId="77777777" w:rsidR="00C26073" w:rsidRPr="0053247A" w:rsidRDefault="00C26073" w:rsidP="003370CF">
            <w:pPr>
              <w:spacing w:before="0" w:after="0"/>
              <w:rPr>
                <w:rFonts w:ascii="Arial Narrow" w:hAnsi="Arial Narrow"/>
                <w:sz w:val="20"/>
                <w:szCs w:val="20"/>
              </w:rPr>
            </w:pPr>
            <w:r w:rsidRPr="0053247A">
              <w:rPr>
                <w:rFonts w:ascii="Arial Narrow" w:hAnsi="Arial Narrow"/>
                <w:sz w:val="20"/>
                <w:szCs w:val="20"/>
              </w:rPr>
              <w:t>AND</w:t>
            </w:r>
          </w:p>
          <w:p w14:paraId="682E0460" w14:textId="77777777" w:rsidR="00C26073" w:rsidRPr="00C64218" w:rsidRDefault="00C26073" w:rsidP="003370CF">
            <w:pPr>
              <w:spacing w:before="0" w:after="0"/>
              <w:rPr>
                <w:rFonts w:ascii="Arial Narrow" w:hAnsi="Arial Narrow"/>
                <w:sz w:val="20"/>
                <w:szCs w:val="20"/>
              </w:rPr>
            </w:pPr>
            <w:r w:rsidRPr="0053247A">
              <w:rPr>
                <w:rFonts w:ascii="Arial Narrow" w:hAnsi="Arial Narrow"/>
                <w:sz w:val="20"/>
                <w:szCs w:val="20"/>
              </w:rPr>
              <w:t xml:space="preserve">The condition must be associated with homologous recombination deficiency (HRD)-positive status, defined by at least one of: (i) </w:t>
            </w:r>
            <w:r w:rsidRPr="0053247A">
              <w:rPr>
                <w:rFonts w:ascii="Arial Narrow" w:hAnsi="Arial Narrow"/>
                <w:i/>
                <w:iCs/>
                <w:sz w:val="20"/>
                <w:szCs w:val="20"/>
              </w:rPr>
              <w:t xml:space="preserve">BRCA1 </w:t>
            </w:r>
            <w:r w:rsidRPr="0053247A">
              <w:rPr>
                <w:rFonts w:ascii="Arial Narrow" w:hAnsi="Arial Narrow"/>
                <w:sz w:val="20"/>
                <w:szCs w:val="20"/>
              </w:rPr>
              <w:t xml:space="preserve">or </w:t>
            </w:r>
            <w:r w:rsidRPr="0053247A">
              <w:rPr>
                <w:rFonts w:ascii="Arial Narrow" w:hAnsi="Arial Narrow"/>
                <w:i/>
                <w:iCs/>
                <w:sz w:val="20"/>
                <w:szCs w:val="20"/>
              </w:rPr>
              <w:t>BRCA2</w:t>
            </w:r>
            <w:r w:rsidRPr="0053247A">
              <w:rPr>
                <w:rFonts w:ascii="Arial Narrow" w:hAnsi="Arial Narrow"/>
                <w:sz w:val="20"/>
                <w:szCs w:val="20"/>
              </w:rPr>
              <w:t xml:space="preserve"> positive status, (ii) Evidence of genomic instability above threshold for HRD-positivity demonstrated on a validated </w:t>
            </w:r>
            <w:proofErr w:type="gramStart"/>
            <w:r w:rsidRPr="0053247A">
              <w:rPr>
                <w:rFonts w:ascii="Arial Narrow" w:hAnsi="Arial Narrow"/>
                <w:sz w:val="20"/>
                <w:szCs w:val="20"/>
              </w:rPr>
              <w:t>test</w:t>
            </w:r>
            <w:proofErr w:type="gramEnd"/>
          </w:p>
          <w:p w14:paraId="486ABF1A"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AND</w:t>
            </w:r>
          </w:p>
          <w:p w14:paraId="42321552"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Patient must not have previously received PBS-subsidised treatment with this drug for this condition.</w:t>
            </w:r>
          </w:p>
        </w:tc>
      </w:tr>
      <w:tr w:rsidR="00C26073" w:rsidRPr="00863A3C" w14:paraId="5C89A8B2" w14:textId="77777777" w:rsidTr="003370CF">
        <w:trPr>
          <w:cantSplit/>
          <w:trHeight w:val="264"/>
        </w:trPr>
        <w:tc>
          <w:tcPr>
            <w:tcW w:w="720" w:type="pct"/>
          </w:tcPr>
          <w:p w14:paraId="4E62CE1B"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Treatment criteria:</w:t>
            </w:r>
          </w:p>
        </w:tc>
        <w:tc>
          <w:tcPr>
            <w:tcW w:w="674" w:type="pct"/>
          </w:tcPr>
          <w:p w14:paraId="21FC2076" w14:textId="3A32D583" w:rsidR="00C26073" w:rsidRPr="00863A3C" w:rsidRDefault="00C26073" w:rsidP="003370CF">
            <w:pPr>
              <w:spacing w:before="0" w:after="0"/>
              <w:rPr>
                <w:rFonts w:ascii="Arial Narrow" w:hAnsi="Arial Narrow"/>
                <w:sz w:val="20"/>
                <w:szCs w:val="20"/>
              </w:rPr>
            </w:pPr>
          </w:p>
        </w:tc>
        <w:tc>
          <w:tcPr>
            <w:tcW w:w="3606" w:type="pct"/>
            <w:gridSpan w:val="5"/>
          </w:tcPr>
          <w:p w14:paraId="607617C5"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 xml:space="preserve">Patient must be undergoing treatment with this drug class for the first </w:t>
            </w:r>
            <w:proofErr w:type="gramStart"/>
            <w:r w:rsidRPr="00863A3C">
              <w:rPr>
                <w:rFonts w:ascii="Arial Narrow" w:hAnsi="Arial Narrow"/>
                <w:sz w:val="20"/>
                <w:szCs w:val="20"/>
              </w:rPr>
              <w:t>time;</w:t>
            </w:r>
            <w:proofErr w:type="gramEnd"/>
            <w:r w:rsidRPr="00863A3C">
              <w:rPr>
                <w:rFonts w:ascii="Arial Narrow" w:hAnsi="Arial Narrow"/>
                <w:sz w:val="20"/>
                <w:szCs w:val="20"/>
              </w:rPr>
              <w:t xml:space="preserve"> OR</w:t>
            </w:r>
          </w:p>
          <w:p w14:paraId="2D7AD6A8"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Patient must be undergoing treatment with this drug class on a subsequent occasion, but only because there was an intolerance/contraindication to another drug in the same class that required permanent treatment withdrawal</w:t>
            </w:r>
          </w:p>
        </w:tc>
      </w:tr>
      <w:tr w:rsidR="00C26073" w:rsidRPr="00863A3C" w14:paraId="41AEB9E2" w14:textId="77777777" w:rsidTr="003370CF">
        <w:trPr>
          <w:cantSplit/>
          <w:trHeight w:val="264"/>
        </w:trPr>
        <w:tc>
          <w:tcPr>
            <w:tcW w:w="720" w:type="pct"/>
          </w:tcPr>
          <w:p w14:paraId="2819A150"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Prescribing Instructions</w:t>
            </w:r>
          </w:p>
        </w:tc>
        <w:tc>
          <w:tcPr>
            <w:tcW w:w="674" w:type="pct"/>
          </w:tcPr>
          <w:p w14:paraId="5101FCFE" w14:textId="2D4759E6" w:rsidR="00C26073" w:rsidRPr="00863A3C" w:rsidRDefault="00C26073" w:rsidP="003370CF">
            <w:pPr>
              <w:spacing w:before="0" w:after="0"/>
              <w:rPr>
                <w:rFonts w:ascii="Arial Narrow" w:hAnsi="Arial Narrow"/>
                <w:sz w:val="20"/>
                <w:szCs w:val="20"/>
              </w:rPr>
            </w:pPr>
          </w:p>
        </w:tc>
        <w:tc>
          <w:tcPr>
            <w:tcW w:w="3606" w:type="pct"/>
            <w:gridSpan w:val="5"/>
          </w:tcPr>
          <w:p w14:paraId="5453754A"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A response (complete or partial) to the platinum-based chemotherapy regimen is to be assessed using either Gynaecologic Cancer InterGroup (GCIG) or Response Evaluation Criteria in Solid Tumours (RECIST) guidelines.</w:t>
            </w:r>
          </w:p>
          <w:p w14:paraId="20C769A2" w14:textId="77777777" w:rsidR="00C26073" w:rsidRPr="00863A3C" w:rsidRDefault="00C26073" w:rsidP="003370CF">
            <w:pPr>
              <w:spacing w:before="0" w:after="0"/>
              <w:rPr>
                <w:rFonts w:ascii="Arial Narrow" w:hAnsi="Arial Narrow"/>
                <w:sz w:val="20"/>
                <w:szCs w:val="20"/>
              </w:rPr>
            </w:pPr>
          </w:p>
          <w:p w14:paraId="1D2C25D9"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Evidence of HRD-positive status must be derived through a test validated against the Myriad MyChoice HRD assay, which defines HRD positivity as a genomic instability score (GIS) of 42 or greater.</w:t>
            </w:r>
          </w:p>
          <w:p w14:paraId="41B4BFF0" w14:textId="77777777" w:rsidR="00C26073" w:rsidRPr="00863A3C" w:rsidRDefault="00C26073" w:rsidP="003370CF">
            <w:pPr>
              <w:spacing w:before="0" w:after="0"/>
              <w:rPr>
                <w:rFonts w:ascii="Arial Narrow" w:hAnsi="Arial Narrow"/>
                <w:sz w:val="20"/>
                <w:szCs w:val="20"/>
              </w:rPr>
            </w:pPr>
          </w:p>
          <w:p w14:paraId="4E342650" w14:textId="77777777" w:rsidR="00C26073" w:rsidRPr="00863A3C" w:rsidRDefault="00C26073" w:rsidP="003370CF">
            <w:pPr>
              <w:spacing w:before="0" w:after="0"/>
              <w:rPr>
                <w:rFonts w:ascii="Arial Narrow" w:hAnsi="Arial Narrow"/>
                <w:sz w:val="20"/>
                <w:szCs w:val="20"/>
              </w:rPr>
            </w:pPr>
            <w:bookmarkStart w:id="210" w:name="_Hlk140832571"/>
            <w:r w:rsidRPr="00863A3C">
              <w:rPr>
                <w:rFonts w:ascii="Arial Narrow" w:hAnsi="Arial Narrow"/>
                <w:i/>
                <w:iCs/>
                <w:sz w:val="20"/>
                <w:szCs w:val="20"/>
              </w:rPr>
              <w:t>BRCA1</w:t>
            </w:r>
            <w:r w:rsidRPr="00863A3C">
              <w:rPr>
                <w:rFonts w:ascii="Arial Narrow" w:hAnsi="Arial Narrow"/>
                <w:sz w:val="20"/>
                <w:szCs w:val="20"/>
              </w:rPr>
              <w:t xml:space="preserve"> or </w:t>
            </w:r>
            <w:r w:rsidRPr="00863A3C">
              <w:rPr>
                <w:rFonts w:ascii="Arial Narrow" w:hAnsi="Arial Narrow"/>
                <w:i/>
                <w:iCs/>
                <w:sz w:val="20"/>
                <w:szCs w:val="20"/>
              </w:rPr>
              <w:t>BRCA2</w:t>
            </w:r>
            <w:r w:rsidRPr="00863A3C">
              <w:rPr>
                <w:rFonts w:ascii="Arial Narrow" w:hAnsi="Arial Narrow"/>
                <w:sz w:val="20"/>
                <w:szCs w:val="20"/>
              </w:rPr>
              <w:t xml:space="preserve"> positive status is defined as presence in the </w:t>
            </w:r>
            <w:r w:rsidRPr="00863A3C">
              <w:rPr>
                <w:rFonts w:ascii="Arial Narrow" w:hAnsi="Arial Narrow"/>
                <w:i/>
                <w:iCs/>
                <w:sz w:val="20"/>
                <w:szCs w:val="20"/>
              </w:rPr>
              <w:t>BRCA1</w:t>
            </w:r>
            <w:r w:rsidRPr="00863A3C">
              <w:rPr>
                <w:rFonts w:ascii="Arial Narrow" w:hAnsi="Arial Narrow"/>
                <w:sz w:val="20"/>
                <w:szCs w:val="20"/>
              </w:rPr>
              <w:t xml:space="preserve"> and/or </w:t>
            </w:r>
            <w:r w:rsidRPr="00863A3C">
              <w:rPr>
                <w:rFonts w:ascii="Arial Narrow" w:hAnsi="Arial Narrow"/>
                <w:i/>
                <w:iCs/>
                <w:sz w:val="20"/>
                <w:szCs w:val="20"/>
              </w:rPr>
              <w:t>BRCA2</w:t>
            </w:r>
            <w:r w:rsidRPr="00863A3C">
              <w:rPr>
                <w:rFonts w:ascii="Arial Narrow" w:hAnsi="Arial Narrow"/>
                <w:sz w:val="20"/>
                <w:szCs w:val="20"/>
              </w:rPr>
              <w:t xml:space="preserve"> genes of (i) a pathogenic or likely pathogenic germline gene variant (class 4 or 5) and/or (ii) a somatic gene variant of strong or potential clinical significance (tier I-II).</w:t>
            </w:r>
            <w:bookmarkEnd w:id="210"/>
          </w:p>
        </w:tc>
      </w:tr>
      <w:tr w:rsidR="00C26073" w:rsidRPr="00863A3C" w14:paraId="7C8D6F9B" w14:textId="77777777" w:rsidTr="003370CF">
        <w:trPr>
          <w:cantSplit/>
          <w:trHeight w:val="264"/>
        </w:trPr>
        <w:tc>
          <w:tcPr>
            <w:tcW w:w="5000" w:type="pct"/>
            <w:gridSpan w:val="7"/>
            <w:shd w:val="clear" w:color="auto" w:fill="D9D9D9" w:themeFill="background1" w:themeFillShade="D9"/>
          </w:tcPr>
          <w:p w14:paraId="671DDF60" w14:textId="77777777" w:rsidR="00C26073" w:rsidRPr="00863A3C" w:rsidRDefault="00C26073" w:rsidP="003370CF">
            <w:pPr>
              <w:spacing w:before="0" w:after="0"/>
              <w:rPr>
                <w:rFonts w:ascii="Arial Narrow" w:eastAsia="Calibri" w:hAnsi="Arial Narrow"/>
                <w:b/>
                <w:bCs/>
                <w:sz w:val="20"/>
                <w:szCs w:val="20"/>
              </w:rPr>
            </w:pPr>
            <w:r w:rsidRPr="00863A3C">
              <w:rPr>
                <w:rFonts w:ascii="Arial Narrow" w:hAnsi="Arial Narrow"/>
                <w:b/>
                <w:bCs/>
                <w:sz w:val="20"/>
                <w:szCs w:val="20"/>
              </w:rPr>
              <w:t xml:space="preserve">Treatment phase (edit): Continuing treatment – first-line maintenance </w:t>
            </w:r>
            <w:proofErr w:type="gramStart"/>
            <w:r w:rsidRPr="00863A3C">
              <w:rPr>
                <w:rFonts w:ascii="Arial Narrow" w:hAnsi="Arial Narrow"/>
                <w:b/>
                <w:bCs/>
                <w:sz w:val="20"/>
                <w:szCs w:val="20"/>
              </w:rPr>
              <w:t>therapy</w:t>
            </w:r>
            <w:proofErr w:type="gramEnd"/>
          </w:p>
          <w:p w14:paraId="000F62A3" w14:textId="77777777" w:rsidR="00C26073" w:rsidRPr="00863A3C" w:rsidRDefault="00C26073" w:rsidP="00C26073">
            <w:pPr>
              <w:pStyle w:val="TableText"/>
              <w:numPr>
                <w:ilvl w:val="0"/>
                <w:numId w:val="38"/>
              </w:numPr>
              <w:rPr>
                <w:rFonts w:eastAsia="Times New Roman" w:cs="Times New Roman"/>
                <w:b/>
                <w:bCs/>
                <w:snapToGrid w:val="0"/>
                <w:color w:val="000000"/>
                <w:szCs w:val="20"/>
              </w:rPr>
            </w:pPr>
            <w:r w:rsidRPr="00863A3C">
              <w:rPr>
                <w:rFonts w:eastAsia="Times New Roman" w:cs="Times New Roman"/>
                <w:b/>
                <w:bCs/>
                <w:snapToGrid w:val="0"/>
                <w:color w:val="000000"/>
                <w:szCs w:val="20"/>
              </w:rPr>
              <w:t xml:space="preserve">84 pack: Continuing treatment - first-line maintenance therapy </w:t>
            </w:r>
            <w:r w:rsidRPr="00863A3C">
              <w:rPr>
                <w:b/>
                <w:bCs/>
                <w:szCs w:val="20"/>
              </w:rPr>
              <w:t xml:space="preserve">of a patient requiring a daily dose of 3 </w:t>
            </w:r>
            <w:proofErr w:type="gramStart"/>
            <w:r w:rsidRPr="00863A3C">
              <w:rPr>
                <w:b/>
                <w:bCs/>
                <w:szCs w:val="20"/>
              </w:rPr>
              <w:t>capsules</w:t>
            </w:r>
            <w:proofErr w:type="gramEnd"/>
          </w:p>
          <w:p w14:paraId="6947A4E2" w14:textId="77777777" w:rsidR="00C26073" w:rsidRPr="00863A3C" w:rsidRDefault="00C26073" w:rsidP="00C26073">
            <w:pPr>
              <w:pStyle w:val="TableText"/>
              <w:numPr>
                <w:ilvl w:val="0"/>
                <w:numId w:val="38"/>
              </w:numPr>
              <w:rPr>
                <w:rFonts w:eastAsia="Times New Roman" w:cs="Times New Roman"/>
                <w:b/>
                <w:bCs/>
                <w:snapToGrid w:val="0"/>
                <w:color w:val="000000"/>
                <w:szCs w:val="20"/>
              </w:rPr>
            </w:pPr>
            <w:r w:rsidRPr="00863A3C">
              <w:rPr>
                <w:rFonts w:eastAsia="Times New Roman" w:cs="Times New Roman"/>
                <w:b/>
                <w:bCs/>
                <w:snapToGrid w:val="0"/>
                <w:color w:val="000000"/>
                <w:szCs w:val="20"/>
              </w:rPr>
              <w:t xml:space="preserve">56 pack: Continuing treatment - first-line maintenance therapy </w:t>
            </w:r>
            <w:r w:rsidRPr="00863A3C">
              <w:rPr>
                <w:b/>
                <w:bCs/>
                <w:szCs w:val="20"/>
              </w:rPr>
              <w:t>of a patient requiring a daily dose of up to 2 capsules</w:t>
            </w:r>
          </w:p>
        </w:tc>
      </w:tr>
      <w:tr w:rsidR="00C26073" w:rsidRPr="00863A3C" w14:paraId="6CF042AF" w14:textId="77777777" w:rsidTr="003370CF">
        <w:trPr>
          <w:cantSplit/>
          <w:trHeight w:val="264"/>
        </w:trPr>
        <w:tc>
          <w:tcPr>
            <w:tcW w:w="720" w:type="pct"/>
          </w:tcPr>
          <w:p w14:paraId="58FF7E4D" w14:textId="77777777" w:rsidR="00C26073" w:rsidRPr="00863A3C" w:rsidRDefault="00C26073" w:rsidP="003370CF">
            <w:pPr>
              <w:spacing w:before="0" w:after="0"/>
              <w:rPr>
                <w:rFonts w:ascii="Arial Narrow" w:hAnsi="Arial Narrow"/>
                <w:b/>
                <w:bCs/>
                <w:sz w:val="20"/>
                <w:szCs w:val="20"/>
              </w:rPr>
            </w:pPr>
            <w:r w:rsidRPr="00863A3C">
              <w:rPr>
                <w:rFonts w:ascii="Arial Narrow" w:hAnsi="Arial Narrow"/>
                <w:b/>
                <w:bCs/>
                <w:sz w:val="20"/>
                <w:szCs w:val="20"/>
              </w:rPr>
              <w:t>Clinical criteria</w:t>
            </w:r>
          </w:p>
        </w:tc>
        <w:tc>
          <w:tcPr>
            <w:tcW w:w="674" w:type="pct"/>
          </w:tcPr>
          <w:p w14:paraId="3AA416EA" w14:textId="08BEA74C" w:rsidR="00C26073" w:rsidRPr="00863A3C" w:rsidRDefault="00C26073" w:rsidP="003370CF">
            <w:pPr>
              <w:spacing w:before="0" w:after="0"/>
              <w:rPr>
                <w:rFonts w:ascii="Arial Narrow" w:hAnsi="Arial Narrow"/>
                <w:sz w:val="20"/>
                <w:szCs w:val="20"/>
              </w:rPr>
            </w:pPr>
          </w:p>
        </w:tc>
        <w:tc>
          <w:tcPr>
            <w:tcW w:w="3606" w:type="pct"/>
            <w:gridSpan w:val="5"/>
          </w:tcPr>
          <w:p w14:paraId="440FD298"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 xml:space="preserve">Patient must have received previous PBS-subsidised treatment with this drug as first-line maintenance therapy for this </w:t>
            </w:r>
            <w:proofErr w:type="gramStart"/>
            <w:r w:rsidRPr="00863A3C">
              <w:rPr>
                <w:rFonts w:ascii="Arial Narrow" w:hAnsi="Arial Narrow"/>
                <w:sz w:val="20"/>
                <w:szCs w:val="20"/>
              </w:rPr>
              <w:t>condition</w:t>
            </w:r>
            <w:proofErr w:type="gramEnd"/>
          </w:p>
          <w:p w14:paraId="2E0EE4EA"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AND</w:t>
            </w:r>
          </w:p>
          <w:p w14:paraId="0C70BABB"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 xml:space="preserve">Patient must not have developed disease progression while receiving treatment with this drug for this </w:t>
            </w:r>
            <w:proofErr w:type="gramStart"/>
            <w:r w:rsidRPr="00863A3C">
              <w:rPr>
                <w:rFonts w:ascii="Arial Narrow" w:hAnsi="Arial Narrow"/>
                <w:sz w:val="20"/>
                <w:szCs w:val="20"/>
              </w:rPr>
              <w:t>condition</w:t>
            </w:r>
            <w:proofErr w:type="gramEnd"/>
          </w:p>
          <w:p w14:paraId="5BB8439E"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AND</w:t>
            </w:r>
          </w:p>
          <w:p w14:paraId="4706DA44" w14:textId="77777777" w:rsidR="00C26073" w:rsidRPr="00863A3C" w:rsidRDefault="00C26073" w:rsidP="003370CF">
            <w:pPr>
              <w:spacing w:before="0" w:after="0"/>
              <w:rPr>
                <w:rFonts w:ascii="Arial Narrow" w:hAnsi="Arial Narrow"/>
                <w:sz w:val="20"/>
                <w:szCs w:val="20"/>
              </w:rPr>
            </w:pPr>
            <w:r w:rsidRPr="00863A3C">
              <w:rPr>
                <w:rFonts w:ascii="Arial Narrow" w:hAnsi="Arial Narrow"/>
                <w:sz w:val="20"/>
                <w:szCs w:val="20"/>
              </w:rPr>
              <w:t>Treatment with niraparib must not exceed a total of 36 months of combined non-PBS subsidised and PBS-subsidised treatment for patients who are in complete response.</w:t>
            </w:r>
          </w:p>
        </w:tc>
      </w:tr>
    </w:tbl>
    <w:bookmarkEnd w:id="209"/>
    <w:p w14:paraId="583B2790" w14:textId="77777777" w:rsidR="00C26073" w:rsidRPr="00645C7A" w:rsidRDefault="00C26073" w:rsidP="00C26073">
      <w:pPr>
        <w:spacing w:after="0"/>
        <w:jc w:val="left"/>
        <w:rPr>
          <w:rFonts w:ascii="Calibri" w:eastAsia="Times New Roman" w:hAnsi="Calibri" w:cs="Times New Roman"/>
          <w:b/>
          <w:i/>
          <w:szCs w:val="24"/>
          <w:lang w:eastAsia="en-AU"/>
        </w:rPr>
      </w:pPr>
      <w:r w:rsidRPr="00645C7A">
        <w:rPr>
          <w:rFonts w:ascii="Calibri" w:eastAsia="Times New Roman" w:hAnsi="Calibri" w:cs="Times New Roman"/>
          <w:b/>
          <w:i/>
          <w:szCs w:val="24"/>
          <w:lang w:eastAsia="en-AU"/>
        </w:rPr>
        <w:t>This restriction may be subject to further review. Should there be any changes made to the restriction the sponsor will be informed.</w:t>
      </w:r>
    </w:p>
    <w:p w14:paraId="0128B0A1" w14:textId="18238D55" w:rsidR="00F94223" w:rsidRPr="00F94223" w:rsidRDefault="00F94223" w:rsidP="00F94223">
      <w:pPr>
        <w:pStyle w:val="PBACESHeading1"/>
        <w:rPr>
          <w:rFonts w:eastAsia="Calibri"/>
        </w:rPr>
      </w:pPr>
      <w:r w:rsidRPr="00F94223">
        <w:rPr>
          <w:rFonts w:eastAsia="Calibri"/>
        </w:rPr>
        <w:t>Context for Decision</w:t>
      </w:r>
    </w:p>
    <w:p w14:paraId="110CCE28" w14:textId="77777777" w:rsidR="00F94223" w:rsidRPr="007129F2" w:rsidRDefault="00F94223" w:rsidP="00F94223">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4D9AD1" w14:textId="47998862" w:rsidR="00F94223" w:rsidRPr="00C07617" w:rsidRDefault="00F94223" w:rsidP="00F94223">
      <w:pPr>
        <w:pStyle w:val="PBACESHeading1"/>
      </w:pPr>
      <w:r>
        <w:lastRenderedPageBreak/>
        <w:t>Sponsor’s Comment</w:t>
      </w:r>
    </w:p>
    <w:p w14:paraId="7F5EDF25" w14:textId="22D723F4" w:rsidR="00F94223" w:rsidRPr="001179AC" w:rsidRDefault="00D70EF0" w:rsidP="00D70EF0">
      <w:pPr>
        <w:spacing w:after="120"/>
        <w:ind w:left="720"/>
        <w:rPr>
          <w:rFonts w:cs="Arial"/>
          <w:bCs/>
        </w:rPr>
      </w:pPr>
      <w:r w:rsidRPr="00D70EF0">
        <w:rPr>
          <w:rFonts w:cs="Arial"/>
          <w:bCs/>
        </w:rPr>
        <w:t xml:space="preserve">GSK welcomes the recommendation of niraparib for the homologous recombination deficiency (HRD) positive BRCA wild type population. </w:t>
      </w:r>
      <w:r w:rsidRPr="00F50A8F">
        <w:rPr>
          <w:rFonts w:cs="Arial"/>
          <w:bCs/>
        </w:rPr>
        <w:t>GSK is disappointed with the PBAC's</w:t>
      </w:r>
      <w:r w:rsidRPr="00507ECB">
        <w:rPr>
          <w:rFonts w:cs="Arial"/>
          <w:bCs/>
        </w:rPr>
        <w:t xml:space="preserve"> </w:t>
      </w:r>
      <w:r w:rsidRPr="00F50A8F">
        <w:rPr>
          <w:rFonts w:cs="Arial"/>
          <w:bCs/>
        </w:rPr>
        <w:t xml:space="preserve">recommendation for the listing of niraparib being subject to the PBS listing of </w:t>
      </w:r>
      <w:r w:rsidR="003340FA">
        <w:rPr>
          <w:rFonts w:cs="Arial"/>
          <w:bCs/>
        </w:rPr>
        <w:t>olaparib in combination with bevacizumab</w:t>
      </w:r>
      <w:r w:rsidRPr="00F50A8F">
        <w:rPr>
          <w:rFonts w:cs="Arial"/>
          <w:bCs/>
        </w:rPr>
        <w:t>. This</w:t>
      </w:r>
      <w:r w:rsidR="00F50A8F">
        <w:rPr>
          <w:rFonts w:cs="Arial"/>
          <w:bCs/>
        </w:rPr>
        <w:t xml:space="preserve"> </w:t>
      </w:r>
      <w:r w:rsidR="003340FA">
        <w:rPr>
          <w:rFonts w:cs="Arial"/>
          <w:bCs/>
        </w:rPr>
        <w:t xml:space="preserve">will </w:t>
      </w:r>
      <w:r w:rsidRPr="00F50A8F">
        <w:rPr>
          <w:rFonts w:cs="Arial"/>
          <w:bCs/>
        </w:rPr>
        <w:t xml:space="preserve">result in a delay for patients seeking </w:t>
      </w:r>
      <w:r w:rsidR="00F50A8F">
        <w:rPr>
          <w:rFonts w:cs="Arial"/>
          <w:bCs/>
        </w:rPr>
        <w:t xml:space="preserve">PBS-subsidised </w:t>
      </w:r>
      <w:r w:rsidRPr="00F50A8F">
        <w:rPr>
          <w:rFonts w:cs="Arial"/>
          <w:bCs/>
        </w:rPr>
        <w:t>access to niraparib, which is the only TGA registered PARP inhibitor monotherapy for this population.</w:t>
      </w:r>
      <w:r w:rsidRPr="00D70EF0">
        <w:rPr>
          <w:rFonts w:cs="Arial"/>
          <w:bCs/>
        </w:rPr>
        <w:t xml:space="preserve"> Niraparib </w:t>
      </w:r>
      <w:r w:rsidRPr="00F50A8F">
        <w:rPr>
          <w:rFonts w:cs="Arial"/>
          <w:bCs/>
        </w:rPr>
        <w:t>has been</w:t>
      </w:r>
      <w:r w:rsidR="00F50A8F">
        <w:rPr>
          <w:rFonts w:cs="Arial"/>
          <w:bCs/>
        </w:rPr>
        <w:t xml:space="preserve"> TGA</w:t>
      </w:r>
      <w:r w:rsidRPr="00F50A8F">
        <w:rPr>
          <w:rFonts w:cs="Arial"/>
          <w:bCs/>
        </w:rPr>
        <w:t xml:space="preserve"> registered</w:t>
      </w:r>
      <w:r w:rsidRPr="00D70EF0">
        <w:rPr>
          <w:rFonts w:cs="Arial"/>
          <w:bCs/>
        </w:rPr>
        <w:t xml:space="preserve"> for this patient population since </w:t>
      </w:r>
      <w:r w:rsidRPr="00C77136">
        <w:rPr>
          <w:rFonts w:cs="Arial"/>
          <w:bCs/>
        </w:rPr>
        <w:t>22</w:t>
      </w:r>
      <w:r w:rsidR="00F50A8F">
        <w:rPr>
          <w:rFonts w:cs="Arial"/>
          <w:bCs/>
        </w:rPr>
        <w:t> </w:t>
      </w:r>
      <w:r w:rsidRPr="00C77136">
        <w:rPr>
          <w:rFonts w:cs="Arial"/>
          <w:bCs/>
        </w:rPr>
        <w:t>November</w:t>
      </w:r>
      <w:r w:rsidR="00F50A8F">
        <w:rPr>
          <w:rFonts w:cs="Arial"/>
          <w:bCs/>
        </w:rPr>
        <w:t> </w:t>
      </w:r>
      <w:r w:rsidRPr="00C77136">
        <w:rPr>
          <w:rFonts w:cs="Arial"/>
          <w:bCs/>
        </w:rPr>
        <w:t>2021</w:t>
      </w:r>
      <w:r w:rsidRPr="00507ECB">
        <w:rPr>
          <w:rFonts w:cs="Arial"/>
          <w:bCs/>
        </w:rPr>
        <w:t>.</w:t>
      </w:r>
    </w:p>
    <w:p w14:paraId="15322A15" w14:textId="77777777" w:rsidR="008E34C5" w:rsidRPr="006F283B" w:rsidRDefault="008E34C5" w:rsidP="00C26073">
      <w:pPr>
        <w:spacing w:after="120"/>
        <w:rPr>
          <w:rFonts w:cs="Arial"/>
          <w:bCs/>
          <w:snapToGrid w:val="0"/>
        </w:rPr>
      </w:pPr>
    </w:p>
    <w:sectPr w:rsidR="008E34C5" w:rsidRPr="006F283B" w:rsidSect="00DA1692">
      <w:headerReference w:type="default" r:id="rId24"/>
      <w:footerReference w:type="default" r:id="rId25"/>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0718" w14:textId="77777777" w:rsidR="0066737D" w:rsidRDefault="0066737D" w:rsidP="00BA3306">
      <w:pPr>
        <w:spacing w:before="0" w:after="0"/>
      </w:pPr>
      <w:r>
        <w:separator/>
      </w:r>
    </w:p>
    <w:p w14:paraId="570A1276" w14:textId="77777777" w:rsidR="0066737D" w:rsidRDefault="0066737D"/>
  </w:endnote>
  <w:endnote w:type="continuationSeparator" w:id="0">
    <w:p w14:paraId="34535C63" w14:textId="77777777" w:rsidR="0066737D" w:rsidRDefault="0066737D" w:rsidP="00BA3306">
      <w:pPr>
        <w:spacing w:before="0" w:after="0"/>
      </w:pPr>
      <w:r>
        <w:continuationSeparator/>
      </w:r>
    </w:p>
    <w:p w14:paraId="7D0C23BE" w14:textId="77777777" w:rsidR="0066737D" w:rsidRDefault="0066737D"/>
  </w:endnote>
  <w:endnote w:type="continuationNotice" w:id="1">
    <w:p w14:paraId="62B75006" w14:textId="77777777" w:rsidR="0066737D" w:rsidRDefault="006673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Medium">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font1100">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panose1 w:val="020B04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7BD8" w14:textId="77777777" w:rsidR="003769F9" w:rsidRDefault="003769F9" w:rsidP="003769F9">
    <w:pPr>
      <w:pStyle w:val="Footer"/>
      <w:keepNext/>
      <w:ind w:left="360"/>
      <w:jc w:val="center"/>
      <w:rPr>
        <w:rFonts w:ascii="Calibri" w:hAnsi="Calibri" w:cs="Arial"/>
        <w:b/>
      </w:rPr>
    </w:pPr>
    <w:bookmarkStart w:id="212" w:name="_Hlk76375156"/>
  </w:p>
  <w:p w14:paraId="04E62175" w14:textId="6E3B11FC" w:rsidR="00227D10" w:rsidRPr="003769F9" w:rsidRDefault="003769F9" w:rsidP="003769F9">
    <w:pPr>
      <w:pStyle w:val="Footer"/>
      <w:keepNext/>
      <w:ind w:left="360"/>
      <w:jc w:val="center"/>
      <w:rPr>
        <w:rFonts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Pr>
        <w:rFonts w:ascii="Calibri" w:hAnsi="Calibri" w:cs="Arial"/>
        <w:b/>
      </w:rPr>
      <w:t>1</w:t>
    </w:r>
    <w:r w:rsidRPr="00836F75">
      <w:rPr>
        <w:rFonts w:ascii="Calibri" w:hAnsi="Calibri" w:cs="Arial"/>
        <w:b/>
        <w:noProof/>
      </w:rPr>
      <w:fldChar w:fldCharType="end"/>
    </w:r>
    <w:bookmarkEnd w:id="2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597C" w14:textId="77777777" w:rsidR="0066737D" w:rsidRDefault="0066737D" w:rsidP="00BA3306">
      <w:pPr>
        <w:spacing w:before="0" w:after="0"/>
      </w:pPr>
      <w:r>
        <w:separator/>
      </w:r>
    </w:p>
    <w:p w14:paraId="514FD99D" w14:textId="77777777" w:rsidR="0066737D" w:rsidRDefault="0066737D"/>
  </w:footnote>
  <w:footnote w:type="continuationSeparator" w:id="0">
    <w:p w14:paraId="1234E566" w14:textId="77777777" w:rsidR="0066737D" w:rsidRDefault="0066737D" w:rsidP="00BA3306">
      <w:pPr>
        <w:spacing w:before="0" w:after="0"/>
      </w:pPr>
      <w:r>
        <w:continuationSeparator/>
      </w:r>
    </w:p>
    <w:p w14:paraId="125141EA" w14:textId="77777777" w:rsidR="0066737D" w:rsidRDefault="0066737D"/>
  </w:footnote>
  <w:footnote w:type="continuationNotice" w:id="1">
    <w:p w14:paraId="717736EA" w14:textId="77777777" w:rsidR="0066737D" w:rsidRDefault="0066737D">
      <w:pPr>
        <w:spacing w:before="0" w:after="0"/>
      </w:pPr>
    </w:p>
  </w:footnote>
  <w:footnote w:id="2">
    <w:p w14:paraId="0F8E97DA" w14:textId="77777777" w:rsidR="00915D4B" w:rsidRDefault="00915D4B" w:rsidP="00915D4B">
      <w:pPr>
        <w:pStyle w:val="FootnoteText"/>
      </w:pPr>
      <w:r>
        <w:rPr>
          <w:rStyle w:val="FootnoteReference"/>
        </w:rPr>
        <w:footnoteRef/>
      </w:r>
      <w:r>
        <w:t xml:space="preserve"> </w:t>
      </w:r>
      <w:r w:rsidRPr="00915D4B">
        <w:t>Cherny NI, Dafni U, Bogaerts J, et al: ESMO-Magnitude of Clinical Benefit Scale version 1.1. Annals of Oncology 28:2340-2366, 2017</w:t>
      </w:r>
    </w:p>
  </w:footnote>
  <w:footnote w:id="3">
    <w:p w14:paraId="252AD91C" w14:textId="5A3AEF9A" w:rsidR="00EA6CF7" w:rsidRDefault="00EA6CF7">
      <w:pPr>
        <w:pStyle w:val="FootnoteText"/>
      </w:pPr>
      <w:r>
        <w:rPr>
          <w:rStyle w:val="FootnoteReference"/>
        </w:rPr>
        <w:footnoteRef/>
      </w:r>
      <w:r>
        <w:t xml:space="preserve"> </w:t>
      </w:r>
      <w:r w:rsidRPr="00EA6CF7">
        <w:t xml:space="preserve">Note that the INV PFS HR results for the HRD negative subgroup and HRD positive </w:t>
      </w:r>
      <w:r w:rsidRPr="00EA6CF7">
        <w:rPr>
          <w:i/>
          <w:iCs/>
        </w:rPr>
        <w:t>BRCAwt</w:t>
      </w:r>
      <w:r w:rsidRPr="00EA6CF7">
        <w:t xml:space="preserve"> subgroup May 2019 DCO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4">
    <w:p w14:paraId="3DE15C49" w14:textId="5E4224FC" w:rsidR="00F30289" w:rsidRDefault="00F30289">
      <w:pPr>
        <w:pStyle w:val="FootnoteText"/>
      </w:pPr>
      <w:r>
        <w:rPr>
          <w:rStyle w:val="FootnoteReference"/>
        </w:rPr>
        <w:footnoteRef/>
      </w:r>
      <w:r>
        <w:t xml:space="preserve"> </w:t>
      </w:r>
      <w:r w:rsidRPr="00F30289">
        <w:t xml:space="preserve">Note that the OS results for the HRD positive </w:t>
      </w:r>
      <w:r w:rsidRPr="00F30289">
        <w:rPr>
          <w:i/>
          <w:iCs/>
        </w:rPr>
        <w:t>BRCAwt</w:t>
      </w:r>
      <w:r w:rsidRPr="00F30289">
        <w:t xml:space="preserve"> subgroup from the May 2019 DCO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footnote>
  <w:footnote w:id="5">
    <w:p w14:paraId="250734D2" w14:textId="02861CBF" w:rsidR="00F30289" w:rsidRDefault="00F30289">
      <w:pPr>
        <w:pStyle w:val="FootnoteText"/>
      </w:pPr>
      <w:r>
        <w:rPr>
          <w:rStyle w:val="FootnoteReference"/>
        </w:rPr>
        <w:footnoteRef/>
      </w:r>
      <w:r>
        <w:t xml:space="preserve"> </w:t>
      </w:r>
      <w:r w:rsidRPr="00F30289">
        <w:t>Note that the median follow-up and event rates for OS results for the HRD negative subgroup from the May 2019 DCO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footnote>
  <w:footnote w:id="6">
    <w:p w14:paraId="2C0C56C2" w14:textId="56F089EF" w:rsidR="006C46C4" w:rsidRDefault="006C46C4">
      <w:pPr>
        <w:pStyle w:val="FootnoteText"/>
      </w:pPr>
      <w:r>
        <w:rPr>
          <w:rStyle w:val="FootnoteReference"/>
        </w:rPr>
        <w:footnoteRef/>
      </w:r>
      <w:r>
        <w:t xml:space="preserve"> </w:t>
      </w:r>
      <w:r w:rsidRPr="006C46C4">
        <w:t xml:space="preserve">Harter P, Mouret-Reynier MA, Pignata S, Cropet C, Gonzalez-Martin A, Bogner G, et al. Efficacy of maintenance olaparib plus bevacizumab according to clinical risk in patients with newly diagnosed, advanced ovarian cancer in the phase III PAOLA-1/ENGOT-ov25 </w:t>
      </w:r>
      <w:r w:rsidR="0005528E" w:rsidRPr="006C46C4">
        <w:t>trial</w:t>
      </w:r>
      <w:r w:rsidRPr="006C46C4">
        <w:t>. Gynecologic Oncology 2022;164:254-264</w:t>
      </w:r>
    </w:p>
  </w:footnote>
  <w:footnote w:id="7">
    <w:p w14:paraId="57422679" w14:textId="0921B0DB" w:rsidR="0034750B" w:rsidRPr="006759C9" w:rsidRDefault="0034750B">
      <w:pPr>
        <w:pStyle w:val="FootnoteText"/>
      </w:pPr>
      <w:r w:rsidRPr="006759C9">
        <w:rPr>
          <w:rStyle w:val="FootnoteReference"/>
        </w:rPr>
        <w:footnoteRef/>
      </w:r>
      <w:r w:rsidRPr="006759C9">
        <w:t xml:space="preserve"> </w:t>
      </w:r>
      <w:r w:rsidRPr="006759C9">
        <w:rPr>
          <w:sz w:val="20"/>
        </w:rPr>
        <w:t xml:space="preserve">Xu Y, Ding L, Tian Y, Bi M, Han N and Wang L (2021) Comparative Efficacy and Safety of PARP Inhibitors as Maintenance Therapy in Platinum Sensitive Recurrent Ovarian Cancer: A Network Meta-Analysis. Front. Oncol. 10:573801. doi: 10.3389/fonc.2020.573801 </w:t>
      </w:r>
    </w:p>
  </w:footnote>
  <w:footnote w:id="8">
    <w:p w14:paraId="767D7753" w14:textId="1142CE38" w:rsidR="007276B4" w:rsidRDefault="007276B4">
      <w:pPr>
        <w:pStyle w:val="FootnoteText"/>
      </w:pPr>
      <w:r>
        <w:rPr>
          <w:rStyle w:val="FootnoteReference"/>
        </w:rPr>
        <w:footnoteRef/>
      </w:r>
      <w:r>
        <w:t xml:space="preserve"> </w:t>
      </w:r>
      <w:r w:rsidRPr="007276B4">
        <w:t xml:space="preserve">Note that the INV PFS HR results for HRD positive </w:t>
      </w:r>
      <w:r w:rsidRPr="007276B4">
        <w:rPr>
          <w:i/>
          <w:iCs/>
        </w:rPr>
        <w:t xml:space="preserve">BRCAwt </w:t>
      </w:r>
      <w:r w:rsidRPr="007276B4">
        <w:t>subgroup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9">
    <w:p w14:paraId="2A2710B7" w14:textId="216272BE" w:rsidR="007276B4" w:rsidRDefault="007276B4">
      <w:pPr>
        <w:pStyle w:val="FootnoteText"/>
      </w:pPr>
      <w:r>
        <w:rPr>
          <w:rStyle w:val="FootnoteReference"/>
        </w:rPr>
        <w:footnoteRef/>
      </w:r>
      <w:r>
        <w:t xml:space="preserve"> </w:t>
      </w:r>
      <w:r w:rsidRPr="007276B4">
        <w:t>Note that the OS results for HRD positive BRCAwt subgroup are derived from a post-hoc analysis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10">
    <w:p w14:paraId="3F3290AB" w14:textId="7223BE35" w:rsidR="00205D77" w:rsidRDefault="00205D77">
      <w:pPr>
        <w:pStyle w:val="FootnoteText"/>
      </w:pPr>
      <w:r>
        <w:rPr>
          <w:rStyle w:val="FootnoteReference"/>
        </w:rPr>
        <w:footnoteRef/>
      </w:r>
      <w:r>
        <w:t xml:space="preserve"> </w:t>
      </w:r>
      <w:r w:rsidRPr="00205D77">
        <w:t>: Note that the mean dose of treatment was provided for the purposes of informing the PBAC consideration. Interpretation of the results and their application should therefore be limited to seeking to understand the basis for the PBAC outcome and should not be used for any other purpose</w:t>
      </w:r>
    </w:p>
  </w:footnote>
  <w:footnote w:id="11">
    <w:p w14:paraId="0D2D280A" w14:textId="77777777" w:rsidR="00F27286" w:rsidRPr="00031F60" w:rsidRDefault="00F27286" w:rsidP="00F27286">
      <w:pPr>
        <w:pStyle w:val="FootnoteText"/>
        <w:rPr>
          <w:rFonts w:cstheme="minorHAnsi"/>
        </w:rPr>
      </w:pPr>
      <w:r w:rsidRPr="00031F60">
        <w:rPr>
          <w:rStyle w:val="FootnoteReference"/>
          <w:rFonts w:cstheme="minorHAnsi"/>
        </w:rPr>
        <w:footnoteRef/>
      </w:r>
      <w:r w:rsidRPr="00031F60">
        <w:rPr>
          <w:rFonts w:cstheme="minorHAnsi"/>
        </w:rPr>
        <w:t xml:space="preserve"> </w:t>
      </w:r>
      <w:r w:rsidRPr="00031F60">
        <w:rPr>
          <w:rFonts w:cstheme="minorHAnsi"/>
          <w:color w:val="212121"/>
          <w:shd w:val="clear" w:color="auto" w:fill="FFFFFF"/>
        </w:rPr>
        <w:t>Miller RE, Leary A, Scott CL, Serra V, Lord CJ, Bowtell D, Chang DK, Garsed DW, Jonkers J, Ledermann JA, Nik-Zainal S, Ray-Coquard I, Shah SP, Matias-Guiu X, Swisher EM, Yates LR. ESMO recommendations on predictive biomarker testing for homologous recombination deficiency and PARP inhibitor benefit in ovarian cancer. Ann Oncol. 2020 Dec;31(12):1606-1622. doi: 10.1016/j.annonc.2020.08.2102. Epub 2020 Sep 28. PMID: 33004253.</w:t>
      </w:r>
    </w:p>
  </w:footnote>
  <w:footnote w:id="12">
    <w:p w14:paraId="1865C454" w14:textId="77777777" w:rsidR="00F27286" w:rsidRPr="00031F60" w:rsidRDefault="00F27286" w:rsidP="00F27286">
      <w:pPr>
        <w:pStyle w:val="FootnoteText"/>
        <w:rPr>
          <w:rFonts w:cstheme="minorHAnsi"/>
        </w:rPr>
      </w:pPr>
      <w:r w:rsidRPr="00031F60">
        <w:rPr>
          <w:rStyle w:val="FootnoteReference"/>
          <w:rFonts w:cstheme="minorHAnsi"/>
        </w:rPr>
        <w:footnoteRef/>
      </w:r>
      <w:r w:rsidRPr="00031F60">
        <w:rPr>
          <w:rFonts w:cstheme="minorHAnsi"/>
        </w:rPr>
        <w:t xml:space="preserve"> NICE Technology appraisal guidance [TA693], Published: 28 April 2021. Olaparib plus bevacizumab for maintenance treatment of advanced ovarian, fallopian tube or primary peritoneal cancer. https://www.nice.org.uk/guidance/ta693</w:t>
      </w:r>
    </w:p>
  </w:footnote>
  <w:footnote w:id="13">
    <w:p w14:paraId="132982F1" w14:textId="77777777" w:rsidR="00F27286" w:rsidRDefault="00F27286" w:rsidP="00F27286">
      <w:pPr>
        <w:pStyle w:val="FootnoteText"/>
      </w:pPr>
      <w:r w:rsidRPr="00031F60">
        <w:rPr>
          <w:rStyle w:val="FootnoteReference"/>
          <w:rFonts w:cstheme="minorHAnsi"/>
        </w:rPr>
        <w:footnoteRef/>
      </w:r>
      <w:r w:rsidRPr="00031F60">
        <w:rPr>
          <w:rFonts w:cstheme="minorHAnsi"/>
        </w:rPr>
        <w:t xml:space="preserve"> National Comprehensive Cancer Network (NCCN). NCCN clinical practice guidelines – ovarian cancer including fallopian tube cancer and primary peritoneal cancer Version 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9771" w14:textId="3B380E21" w:rsidR="0025518B" w:rsidRPr="00C26073" w:rsidRDefault="008E34C5" w:rsidP="00F94223">
    <w:pPr>
      <w:pStyle w:val="Header"/>
      <w:keepNext/>
      <w:jc w:val="center"/>
      <w:rPr>
        <w:rFonts w:cs="Arial"/>
        <w:i/>
      </w:rPr>
    </w:pPr>
    <w:bookmarkStart w:id="211" w:name="_Hlk76375146"/>
    <w:r w:rsidRPr="00C26073">
      <w:rPr>
        <w:rFonts w:cs="Arial"/>
        <w:i/>
      </w:rPr>
      <w:t>Public Summary Document</w:t>
    </w:r>
    <w:r w:rsidR="0025518B" w:rsidRPr="00C26073">
      <w:rPr>
        <w:rFonts w:cs="Arial"/>
        <w:i/>
      </w:rPr>
      <w:t xml:space="preserve"> – March 2023 PBAC Meeting</w:t>
    </w:r>
    <w:r w:rsidR="00C26073">
      <w:rPr>
        <w:rFonts w:cs="Arial"/>
        <w:i/>
      </w:rPr>
      <w:t xml:space="preserve"> with July 2023 Addendum</w:t>
    </w:r>
  </w:p>
  <w:bookmarkEnd w:id="211"/>
  <w:p w14:paraId="37A3512E" w14:textId="77777777" w:rsidR="006046D8" w:rsidRPr="0025518B" w:rsidRDefault="006046D8" w:rsidP="00255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A97"/>
    <w:multiLevelType w:val="hybridMultilevel"/>
    <w:tmpl w:val="EA964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60AD3"/>
    <w:multiLevelType w:val="multilevel"/>
    <w:tmpl w:val="E4B82558"/>
    <w:lvl w:ilvl="0">
      <w:start w:val="1"/>
      <w:numFmt w:val="none"/>
      <w:pStyle w:val="H1S2"/>
      <w:lvlText w:val="3A"/>
      <w:lvlJc w:val="left"/>
      <w:pPr>
        <w:ind w:left="1191" w:hanging="1191"/>
      </w:pPr>
      <w:rPr>
        <w:rFonts w:hint="default"/>
      </w:rPr>
    </w:lvl>
    <w:lvl w:ilvl="1">
      <w:start w:val="1"/>
      <w:numFmt w:val="decimal"/>
      <w:pStyle w:val="H2S2"/>
      <w:lvlText w:val="2A%1.%2"/>
      <w:lvlJc w:val="left"/>
      <w:pPr>
        <w:ind w:left="2608" w:hanging="1191"/>
      </w:pPr>
      <w:rPr>
        <w:rFonts w:hint="default"/>
      </w:rPr>
    </w:lvl>
    <w:lvl w:ilvl="2">
      <w:start w:val="1"/>
      <w:numFmt w:val="decimal"/>
      <w:pStyle w:val="H3S2"/>
      <w:lvlText w:val="2%1.%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1.%2.%3.%4"/>
      <w:lvlJc w:val="left"/>
      <w:pPr>
        <w:ind w:left="1588" w:hanging="1588"/>
      </w:pPr>
      <w:rPr>
        <w:rFonts w:hint="default"/>
      </w:rPr>
    </w:lvl>
    <w:lvl w:ilvl="4">
      <w:start w:val="1"/>
      <w:numFmt w:val="decimal"/>
      <w:lvlText w:val="2%1.%2.%3.%4.%5"/>
      <w:lvlJc w:val="left"/>
      <w:pPr>
        <w:ind w:left="1008" w:hanging="1008"/>
      </w:pPr>
      <w:rPr>
        <w:rFonts w:hint="default"/>
      </w:rPr>
    </w:lvl>
    <w:lvl w:ilvl="5">
      <w:start w:val="1"/>
      <w:numFmt w:val="decimal"/>
      <w:lvlText w:val="2%1.%2.%3.%4.%5.%6"/>
      <w:lvlJc w:val="left"/>
      <w:pPr>
        <w:ind w:left="1152" w:hanging="1152"/>
      </w:pPr>
      <w:rPr>
        <w:rFonts w:hint="default"/>
      </w:rPr>
    </w:lvl>
    <w:lvl w:ilvl="6">
      <w:start w:val="1"/>
      <w:numFmt w:val="decimal"/>
      <w:lvlText w:val="2%1.%2.%3.%4.%5.%6.%7"/>
      <w:lvlJc w:val="left"/>
      <w:pPr>
        <w:ind w:left="1296" w:hanging="1296"/>
      </w:pPr>
      <w:rPr>
        <w:rFonts w:hint="default"/>
      </w:rPr>
    </w:lvl>
    <w:lvl w:ilvl="7">
      <w:start w:val="1"/>
      <w:numFmt w:val="decimal"/>
      <w:lvlText w:val="2%1.%2.%3.%4.%5.%6.%7.%8"/>
      <w:lvlJc w:val="left"/>
      <w:pPr>
        <w:ind w:left="1440" w:hanging="1440"/>
      </w:pPr>
      <w:rPr>
        <w:rFonts w:hint="default"/>
      </w:rPr>
    </w:lvl>
    <w:lvl w:ilvl="8">
      <w:start w:val="1"/>
      <w:numFmt w:val="decimal"/>
      <w:lvlText w:val="2%1.%2.%3.%4.%5.%6.%7.%8.%9"/>
      <w:lvlJc w:val="left"/>
      <w:pPr>
        <w:ind w:left="1584" w:hanging="1584"/>
      </w:pPr>
      <w:rPr>
        <w:rFonts w:hint="default"/>
      </w:rPr>
    </w:lvl>
  </w:abstractNum>
  <w:abstractNum w:abstractNumId="2"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17AC2"/>
    <w:multiLevelType w:val="multilevel"/>
    <w:tmpl w:val="92846974"/>
    <w:styleLink w:val="MSACESBulletpoints1"/>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AC72B2"/>
    <w:multiLevelType w:val="hybridMultilevel"/>
    <w:tmpl w:val="E94207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8E4BCC"/>
    <w:multiLevelType w:val="multilevel"/>
    <w:tmpl w:val="1402FA38"/>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4890EEA"/>
    <w:multiLevelType w:val="multilevel"/>
    <w:tmpl w:val="CFC44624"/>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F594875"/>
    <w:multiLevelType w:val="hybridMultilevel"/>
    <w:tmpl w:val="2CE0194E"/>
    <w:lvl w:ilvl="0" w:tplc="FAA66B4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75C58"/>
    <w:multiLevelType w:val="multilevel"/>
    <w:tmpl w:val="4AA86696"/>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EA2DF5"/>
    <w:multiLevelType w:val="multilevel"/>
    <w:tmpl w:val="D6C6E4B2"/>
    <w:styleLink w:val="Headings1"/>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61F5F"/>
    <w:multiLevelType w:val="hybridMultilevel"/>
    <w:tmpl w:val="A7B8E4BE"/>
    <w:lvl w:ilvl="0" w:tplc="E63E683E">
      <w:start w:val="1"/>
      <w:numFmt w:val="bullet"/>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6E0219"/>
    <w:multiLevelType w:val="hybridMultilevel"/>
    <w:tmpl w:val="F790E8D6"/>
    <w:lvl w:ilvl="0" w:tplc="0C090019">
      <w:start w:val="1"/>
      <w:numFmt w:val="lowerLetter"/>
      <w:lvlText w:val="%1."/>
      <w:lvlJc w:val="left"/>
      <w:pPr>
        <w:ind w:left="720" w:hanging="360"/>
      </w:pPr>
      <w:rPr>
        <w:rFonts w:hint="default"/>
      </w:rPr>
    </w:lvl>
    <w:lvl w:ilvl="1" w:tplc="4A96AD6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7F1842"/>
    <w:multiLevelType w:val="hybridMultilevel"/>
    <w:tmpl w:val="942E2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A055C9"/>
    <w:multiLevelType w:val="hybridMultilevel"/>
    <w:tmpl w:val="56F68D22"/>
    <w:lvl w:ilvl="0" w:tplc="432C5676">
      <w:start w:val="1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1076C"/>
    <w:multiLevelType w:val="multilevel"/>
    <w:tmpl w:val="9D6A8BCC"/>
    <w:lvl w:ilvl="0">
      <w:start w:val="2"/>
      <w:numFmt w:val="decimal"/>
      <w:pStyle w:val="Heading1A"/>
      <w:lvlText w:val="%1."/>
      <w:lvlJc w:val="left"/>
      <w:pPr>
        <w:ind w:left="360" w:hanging="360"/>
      </w:pPr>
      <w:rPr>
        <w:rFonts w:hint="default"/>
      </w:rPr>
    </w:lvl>
    <w:lvl w:ilvl="1">
      <w:start w:val="1"/>
      <w:numFmt w:val="lowerLetter"/>
      <w:pStyle w:val="Heading2A"/>
      <w:lvlText w:val="%1.%2."/>
      <w:lvlJc w:val="left"/>
      <w:pPr>
        <w:ind w:left="0" w:firstLine="0"/>
      </w:pPr>
      <w:rPr>
        <w:rFonts w:hint="default"/>
      </w:rPr>
    </w:lvl>
    <w:lvl w:ilvl="2">
      <w:start w:val="1"/>
      <w:numFmt w:val="decimal"/>
      <w:pStyle w:val="Heading3A"/>
      <w:lvlText w:val="%1.%2.%3."/>
      <w:lvlJc w:val="left"/>
      <w:pPr>
        <w:ind w:left="720" w:hanging="720"/>
      </w:pPr>
      <w:rPr>
        <w:rFonts w:hint="default"/>
      </w:rPr>
    </w:lvl>
    <w:lvl w:ilvl="3">
      <w:start w:val="1"/>
      <w:numFmt w:val="decimal"/>
      <w:pStyle w:val="Heading4A"/>
      <w:lvlText w:val="%1.%2.%3.%4."/>
      <w:lvlJc w:val="left"/>
      <w:pPr>
        <w:ind w:left="720" w:hanging="720"/>
      </w:pPr>
      <w:rPr>
        <w:rFonts w:hint="default"/>
      </w:rPr>
    </w:lvl>
    <w:lvl w:ilvl="4">
      <w:start w:val="1"/>
      <w:numFmt w:val="decimal"/>
      <w:pStyle w:val="Heading5A"/>
      <w:lvlText w:val="%1.%2.%3.%4.%5."/>
      <w:lvlJc w:val="left"/>
      <w:pPr>
        <w:ind w:left="720" w:hanging="72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21" w15:restartNumberingAfterBreak="0">
    <w:nsid w:val="38096A79"/>
    <w:multiLevelType w:val="multilevel"/>
    <w:tmpl w:val="54C0B3FC"/>
    <w:styleLink w:val="Style21"/>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10DE9"/>
    <w:multiLevelType w:val="hybridMultilevel"/>
    <w:tmpl w:val="0F3818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F75C5"/>
    <w:multiLevelType w:val="hybridMultilevel"/>
    <w:tmpl w:val="7CF8CDF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095746"/>
    <w:multiLevelType w:val="hybridMultilevel"/>
    <w:tmpl w:val="28BC0FCE"/>
    <w:styleLink w:val="Style31"/>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904567F"/>
    <w:multiLevelType w:val="hybridMultilevel"/>
    <w:tmpl w:val="FE6E8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C20F01"/>
    <w:multiLevelType w:val="hybridMultilevel"/>
    <w:tmpl w:val="A1909970"/>
    <w:lvl w:ilvl="0" w:tplc="432C5676">
      <w:start w:val="13"/>
      <w:numFmt w:val="bullet"/>
      <w:lvlText w:val="-"/>
      <w:lvlJc w:val="left"/>
      <w:pPr>
        <w:ind w:left="774" w:hanging="360"/>
      </w:pPr>
      <w:rPr>
        <w:rFonts w:ascii="Times New Roman" w:eastAsia="Times New Roman" w:hAnsi="Times New Roman" w:cs="Times New Roman"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0" w15:restartNumberingAfterBreak="0">
    <w:nsid w:val="549473FB"/>
    <w:multiLevelType w:val="multilevel"/>
    <w:tmpl w:val="EAC2C5E4"/>
    <w:lvl w:ilvl="0">
      <w:start w:val="3"/>
      <w:numFmt w:val="none"/>
      <w:pStyle w:val="Heading1B"/>
      <w:lvlText w:val="B."/>
      <w:lvlJc w:val="left"/>
      <w:pPr>
        <w:ind w:left="360" w:hanging="360"/>
      </w:pPr>
      <w:rPr>
        <w:rFonts w:hint="default"/>
      </w:rPr>
    </w:lvl>
    <w:lvl w:ilvl="1">
      <w:start w:val="1"/>
      <w:numFmt w:val="decimal"/>
      <w:lvlText w:val="A.%2"/>
      <w:lvlJc w:val="left"/>
      <w:pPr>
        <w:ind w:left="720" w:hanging="720"/>
      </w:pPr>
      <w:rPr>
        <w:rFonts w:hint="default"/>
      </w:rPr>
    </w:lvl>
    <w:lvl w:ilvl="2">
      <w:start w:val="1"/>
      <w:numFmt w:val="decimal"/>
      <w:pStyle w:val="Heading3B"/>
      <w:lvlText w:val="%1A.%2.%3."/>
      <w:lvlJc w:val="left"/>
      <w:pPr>
        <w:ind w:left="720" w:hanging="720"/>
      </w:pPr>
      <w:rPr>
        <w:rFonts w:hint="default"/>
      </w:rPr>
    </w:lvl>
    <w:lvl w:ilvl="3">
      <w:start w:val="1"/>
      <w:numFmt w:val="decimal"/>
      <w:pStyle w:val="Heading4B"/>
      <w:lvlText w:val="%1A.%2.%3.%4."/>
      <w:lvlJc w:val="left"/>
      <w:pPr>
        <w:ind w:left="720" w:hanging="72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4AF"/>
    <w:multiLevelType w:val="hybridMultilevel"/>
    <w:tmpl w:val="48CE5FD2"/>
    <w:lvl w:ilvl="0" w:tplc="DC0AEA28">
      <w:start w:val="1"/>
      <w:numFmt w:val="lowerLetter"/>
      <w:pStyle w:val="Tablelett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7F083B"/>
    <w:multiLevelType w:val="multilevel"/>
    <w:tmpl w:val="D1DC63EC"/>
    <w:lvl w:ilvl="0">
      <w:start w:val="1"/>
      <w:numFmt w:val="bullet"/>
      <w:lvlText w:val=""/>
      <w:lvlJc w:val="left"/>
      <w:pPr>
        <w:ind w:left="720" w:hanging="720"/>
      </w:pPr>
      <w:rPr>
        <w:rFonts w:ascii="Symbol" w:hAnsi="Symbol"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767B9"/>
    <w:multiLevelType w:val="multilevel"/>
    <w:tmpl w:val="ACBE9EFA"/>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260A73"/>
    <w:multiLevelType w:val="hybridMultilevel"/>
    <w:tmpl w:val="800CC7FE"/>
    <w:lvl w:ilvl="0" w:tplc="4ADA03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F676B2B2"/>
    <w:styleLink w:val="Style11"/>
    <w:lvl w:ilvl="0">
      <w:start w:val="1"/>
      <w:numFmt w:val="decimal"/>
      <w:pStyle w:val="PBACESHeading1"/>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pStyle w:val="4-SubsectionHeading"/>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b w:val="0"/>
        <w:bCs/>
        <w:i w:val="0"/>
        <w:iCs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80837800">
    <w:abstractNumId w:val="36"/>
  </w:num>
  <w:num w:numId="2" w16cid:durableId="418020635">
    <w:abstractNumId w:val="14"/>
  </w:num>
  <w:num w:numId="3" w16cid:durableId="1279988041">
    <w:abstractNumId w:val="11"/>
  </w:num>
  <w:num w:numId="4" w16cid:durableId="1954509635">
    <w:abstractNumId w:val="8"/>
  </w:num>
  <w:num w:numId="5" w16cid:durableId="1806657497">
    <w:abstractNumId w:val="27"/>
  </w:num>
  <w:num w:numId="6" w16cid:durableId="1654947493">
    <w:abstractNumId w:val="3"/>
  </w:num>
  <w:num w:numId="7" w16cid:durableId="136265120">
    <w:abstractNumId w:val="13"/>
  </w:num>
  <w:num w:numId="8" w16cid:durableId="214435148">
    <w:abstractNumId w:val="31"/>
  </w:num>
  <w:num w:numId="9" w16cid:durableId="368798456">
    <w:abstractNumId w:val="2"/>
  </w:num>
  <w:num w:numId="10" w16cid:durableId="6139432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904993">
    <w:abstractNumId w:val="37"/>
  </w:num>
  <w:num w:numId="12" w16cid:durableId="1422026280">
    <w:abstractNumId w:val="21"/>
  </w:num>
  <w:num w:numId="13" w16cid:durableId="2099986016">
    <w:abstractNumId w:val="26"/>
  </w:num>
  <w:num w:numId="14" w16cid:durableId="2129087293">
    <w:abstractNumId w:val="24"/>
  </w:num>
  <w:num w:numId="15" w16cid:durableId="2110733749">
    <w:abstractNumId w:val="6"/>
  </w:num>
  <w:num w:numId="16" w16cid:durableId="1971276337">
    <w:abstractNumId w:val="23"/>
  </w:num>
  <w:num w:numId="17" w16cid:durableId="1100757729">
    <w:abstractNumId w:val="7"/>
  </w:num>
  <w:num w:numId="18" w16cid:durableId="922883007">
    <w:abstractNumId w:val="30"/>
  </w:num>
  <w:num w:numId="19" w16cid:durableId="722606452">
    <w:abstractNumId w:val="20"/>
  </w:num>
  <w:num w:numId="20" w16cid:durableId="180246682">
    <w:abstractNumId w:val="1"/>
  </w:num>
  <w:num w:numId="21" w16cid:durableId="1731225274">
    <w:abstractNumId w:val="16"/>
  </w:num>
  <w:num w:numId="22" w16cid:durableId="1009329046">
    <w:abstractNumId w:val="32"/>
  </w:num>
  <w:num w:numId="23" w16cid:durableId="1071347985">
    <w:abstractNumId w:val="9"/>
  </w:num>
  <w:num w:numId="24" w16cid:durableId="1934166537">
    <w:abstractNumId w:val="34"/>
  </w:num>
  <w:num w:numId="25" w16cid:durableId="77096912">
    <w:abstractNumId w:val="5"/>
  </w:num>
  <w:num w:numId="26" w16cid:durableId="941036714">
    <w:abstractNumId w:val="33"/>
  </w:num>
  <w:num w:numId="27" w16cid:durableId="78675245">
    <w:abstractNumId w:val="4"/>
  </w:num>
  <w:num w:numId="28" w16cid:durableId="303245608">
    <w:abstractNumId w:val="12"/>
  </w:num>
  <w:num w:numId="29" w16cid:durableId="158234940">
    <w:abstractNumId w:val="10"/>
  </w:num>
  <w:num w:numId="30" w16cid:durableId="1896044185">
    <w:abstractNumId w:val="18"/>
  </w:num>
  <w:num w:numId="31" w16cid:durableId="1988590905">
    <w:abstractNumId w:val="36"/>
  </w:num>
  <w:num w:numId="32" w16cid:durableId="893735263">
    <w:abstractNumId w:val="36"/>
  </w:num>
  <w:num w:numId="33" w16cid:durableId="537621635">
    <w:abstractNumId w:val="35"/>
  </w:num>
  <w:num w:numId="34" w16cid:durableId="1646205005">
    <w:abstractNumId w:val="19"/>
  </w:num>
  <w:num w:numId="35" w16cid:durableId="1668365628">
    <w:abstractNumId w:val="29"/>
  </w:num>
  <w:num w:numId="36" w16cid:durableId="2105883666">
    <w:abstractNumId w:val="0"/>
  </w:num>
  <w:num w:numId="37" w16cid:durableId="788940500">
    <w:abstractNumId w:val="15"/>
  </w:num>
  <w:num w:numId="38" w16cid:durableId="1985432049">
    <w:abstractNumId w:val="28"/>
  </w:num>
  <w:num w:numId="39" w16cid:durableId="114912354">
    <w:abstractNumId w:val="36"/>
  </w:num>
  <w:num w:numId="40" w16cid:durableId="1453396884">
    <w:abstractNumId w:val="25"/>
  </w:num>
  <w:num w:numId="41" w16cid:durableId="1009141797">
    <w:abstractNumId w:val="22"/>
  </w:num>
  <w:num w:numId="42" w16cid:durableId="101438097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C2"/>
    <w:rsid w:val="00000AB5"/>
    <w:rsid w:val="00000CA0"/>
    <w:rsid w:val="00001028"/>
    <w:rsid w:val="00001281"/>
    <w:rsid w:val="00001475"/>
    <w:rsid w:val="00001686"/>
    <w:rsid w:val="00001AB4"/>
    <w:rsid w:val="00001B45"/>
    <w:rsid w:val="00001FAB"/>
    <w:rsid w:val="000025FD"/>
    <w:rsid w:val="000031DE"/>
    <w:rsid w:val="000032CE"/>
    <w:rsid w:val="000035C5"/>
    <w:rsid w:val="00003820"/>
    <w:rsid w:val="00003D03"/>
    <w:rsid w:val="00005DB2"/>
    <w:rsid w:val="000062E0"/>
    <w:rsid w:val="00006530"/>
    <w:rsid w:val="00006621"/>
    <w:rsid w:val="00006CBD"/>
    <w:rsid w:val="00006EC2"/>
    <w:rsid w:val="00007236"/>
    <w:rsid w:val="000072E8"/>
    <w:rsid w:val="000074C6"/>
    <w:rsid w:val="00007C35"/>
    <w:rsid w:val="00007DC4"/>
    <w:rsid w:val="00007DFF"/>
    <w:rsid w:val="00010438"/>
    <w:rsid w:val="0001066F"/>
    <w:rsid w:val="00011073"/>
    <w:rsid w:val="00011729"/>
    <w:rsid w:val="00011C6A"/>
    <w:rsid w:val="00011EE3"/>
    <w:rsid w:val="00012390"/>
    <w:rsid w:val="00012441"/>
    <w:rsid w:val="00012676"/>
    <w:rsid w:val="0001281E"/>
    <w:rsid w:val="00012C76"/>
    <w:rsid w:val="00012E92"/>
    <w:rsid w:val="000131C9"/>
    <w:rsid w:val="00013222"/>
    <w:rsid w:val="0001324C"/>
    <w:rsid w:val="000133C7"/>
    <w:rsid w:val="00013520"/>
    <w:rsid w:val="0001375A"/>
    <w:rsid w:val="00013E19"/>
    <w:rsid w:val="00014084"/>
    <w:rsid w:val="000142C1"/>
    <w:rsid w:val="0001438A"/>
    <w:rsid w:val="000149D3"/>
    <w:rsid w:val="00014E96"/>
    <w:rsid w:val="00015290"/>
    <w:rsid w:val="0001548D"/>
    <w:rsid w:val="00015491"/>
    <w:rsid w:val="00015954"/>
    <w:rsid w:val="000160B7"/>
    <w:rsid w:val="000166BA"/>
    <w:rsid w:val="00016E94"/>
    <w:rsid w:val="000170E1"/>
    <w:rsid w:val="000171EF"/>
    <w:rsid w:val="0001727B"/>
    <w:rsid w:val="00017D7A"/>
    <w:rsid w:val="000203B0"/>
    <w:rsid w:val="000203F1"/>
    <w:rsid w:val="0002095B"/>
    <w:rsid w:val="000209AA"/>
    <w:rsid w:val="00021176"/>
    <w:rsid w:val="0002143A"/>
    <w:rsid w:val="00021C0B"/>
    <w:rsid w:val="00021F22"/>
    <w:rsid w:val="000221BB"/>
    <w:rsid w:val="00023139"/>
    <w:rsid w:val="000239BE"/>
    <w:rsid w:val="00023A44"/>
    <w:rsid w:val="00023FBE"/>
    <w:rsid w:val="0002411F"/>
    <w:rsid w:val="00024193"/>
    <w:rsid w:val="00024255"/>
    <w:rsid w:val="00024F17"/>
    <w:rsid w:val="0002501A"/>
    <w:rsid w:val="00025B1B"/>
    <w:rsid w:val="000263AE"/>
    <w:rsid w:val="0002649A"/>
    <w:rsid w:val="00026EFF"/>
    <w:rsid w:val="00026F23"/>
    <w:rsid w:val="00026FFF"/>
    <w:rsid w:val="0002722E"/>
    <w:rsid w:val="0002764A"/>
    <w:rsid w:val="0002793C"/>
    <w:rsid w:val="0003032D"/>
    <w:rsid w:val="00030D9F"/>
    <w:rsid w:val="00030FDA"/>
    <w:rsid w:val="000318C3"/>
    <w:rsid w:val="00031904"/>
    <w:rsid w:val="0003191A"/>
    <w:rsid w:val="00031BD2"/>
    <w:rsid w:val="00032028"/>
    <w:rsid w:val="00032869"/>
    <w:rsid w:val="0003365E"/>
    <w:rsid w:val="000336FC"/>
    <w:rsid w:val="00033CE1"/>
    <w:rsid w:val="000340FC"/>
    <w:rsid w:val="00034404"/>
    <w:rsid w:val="00034485"/>
    <w:rsid w:val="000347BA"/>
    <w:rsid w:val="000347E3"/>
    <w:rsid w:val="00034949"/>
    <w:rsid w:val="0003497C"/>
    <w:rsid w:val="000350DB"/>
    <w:rsid w:val="0003577F"/>
    <w:rsid w:val="0003589D"/>
    <w:rsid w:val="000359BA"/>
    <w:rsid w:val="00035DC7"/>
    <w:rsid w:val="0003655B"/>
    <w:rsid w:val="00036D48"/>
    <w:rsid w:val="00036DFA"/>
    <w:rsid w:val="00040020"/>
    <w:rsid w:val="0004051D"/>
    <w:rsid w:val="000405DD"/>
    <w:rsid w:val="00040603"/>
    <w:rsid w:val="00041A5B"/>
    <w:rsid w:val="0004361D"/>
    <w:rsid w:val="00043BFB"/>
    <w:rsid w:val="00044236"/>
    <w:rsid w:val="0004441D"/>
    <w:rsid w:val="00044E14"/>
    <w:rsid w:val="000452AD"/>
    <w:rsid w:val="000460E1"/>
    <w:rsid w:val="000461CF"/>
    <w:rsid w:val="000465E9"/>
    <w:rsid w:val="0004749E"/>
    <w:rsid w:val="0004758F"/>
    <w:rsid w:val="00047867"/>
    <w:rsid w:val="00047A70"/>
    <w:rsid w:val="0005004D"/>
    <w:rsid w:val="0005076D"/>
    <w:rsid w:val="00050F23"/>
    <w:rsid w:val="00050FBF"/>
    <w:rsid w:val="0005218F"/>
    <w:rsid w:val="000522EE"/>
    <w:rsid w:val="0005241A"/>
    <w:rsid w:val="00052BCD"/>
    <w:rsid w:val="000530EE"/>
    <w:rsid w:val="00053514"/>
    <w:rsid w:val="00053680"/>
    <w:rsid w:val="000536AD"/>
    <w:rsid w:val="0005380B"/>
    <w:rsid w:val="00054066"/>
    <w:rsid w:val="00054099"/>
    <w:rsid w:val="00054171"/>
    <w:rsid w:val="00054B22"/>
    <w:rsid w:val="00054F83"/>
    <w:rsid w:val="000550B9"/>
    <w:rsid w:val="0005528E"/>
    <w:rsid w:val="00055DCD"/>
    <w:rsid w:val="000563AC"/>
    <w:rsid w:val="00056669"/>
    <w:rsid w:val="0005677C"/>
    <w:rsid w:val="000571F6"/>
    <w:rsid w:val="000578D9"/>
    <w:rsid w:val="00057F71"/>
    <w:rsid w:val="0006132D"/>
    <w:rsid w:val="0006166F"/>
    <w:rsid w:val="00062018"/>
    <w:rsid w:val="00062067"/>
    <w:rsid w:val="00062773"/>
    <w:rsid w:val="0006287B"/>
    <w:rsid w:val="00062B68"/>
    <w:rsid w:val="0006316E"/>
    <w:rsid w:val="000633BD"/>
    <w:rsid w:val="00063FD3"/>
    <w:rsid w:val="000643FA"/>
    <w:rsid w:val="0006442F"/>
    <w:rsid w:val="00064749"/>
    <w:rsid w:val="0006475C"/>
    <w:rsid w:val="00064B6C"/>
    <w:rsid w:val="00064D04"/>
    <w:rsid w:val="000656F7"/>
    <w:rsid w:val="00065BE0"/>
    <w:rsid w:val="00065C62"/>
    <w:rsid w:val="00065C70"/>
    <w:rsid w:val="00065CDE"/>
    <w:rsid w:val="00065DDD"/>
    <w:rsid w:val="00065F4A"/>
    <w:rsid w:val="00066013"/>
    <w:rsid w:val="00066231"/>
    <w:rsid w:val="00066953"/>
    <w:rsid w:val="00066CB9"/>
    <w:rsid w:val="000676E5"/>
    <w:rsid w:val="000677DE"/>
    <w:rsid w:val="00067A8B"/>
    <w:rsid w:val="00067EAD"/>
    <w:rsid w:val="00067FF9"/>
    <w:rsid w:val="00070024"/>
    <w:rsid w:val="000703F9"/>
    <w:rsid w:val="000705A6"/>
    <w:rsid w:val="0007063B"/>
    <w:rsid w:val="00070735"/>
    <w:rsid w:val="000707E6"/>
    <w:rsid w:val="000707ED"/>
    <w:rsid w:val="000708AA"/>
    <w:rsid w:val="00070C93"/>
    <w:rsid w:val="00070D13"/>
    <w:rsid w:val="00070D75"/>
    <w:rsid w:val="00070F2E"/>
    <w:rsid w:val="00071680"/>
    <w:rsid w:val="00071B5B"/>
    <w:rsid w:val="00071CE8"/>
    <w:rsid w:val="000721FB"/>
    <w:rsid w:val="00072220"/>
    <w:rsid w:val="00072CC2"/>
    <w:rsid w:val="00072CD3"/>
    <w:rsid w:val="00072EFC"/>
    <w:rsid w:val="00072F13"/>
    <w:rsid w:val="00073062"/>
    <w:rsid w:val="0007359E"/>
    <w:rsid w:val="00073A0E"/>
    <w:rsid w:val="000742DF"/>
    <w:rsid w:val="00074A1C"/>
    <w:rsid w:val="0007599E"/>
    <w:rsid w:val="00075A3F"/>
    <w:rsid w:val="00076A10"/>
    <w:rsid w:val="00076B99"/>
    <w:rsid w:val="00077F1E"/>
    <w:rsid w:val="00080813"/>
    <w:rsid w:val="00080862"/>
    <w:rsid w:val="00080FF3"/>
    <w:rsid w:val="000813F0"/>
    <w:rsid w:val="0008148A"/>
    <w:rsid w:val="000816DF"/>
    <w:rsid w:val="00082422"/>
    <w:rsid w:val="000824B1"/>
    <w:rsid w:val="000825EF"/>
    <w:rsid w:val="000826BD"/>
    <w:rsid w:val="00082868"/>
    <w:rsid w:val="000829F7"/>
    <w:rsid w:val="00082A09"/>
    <w:rsid w:val="00082BDF"/>
    <w:rsid w:val="000832D4"/>
    <w:rsid w:val="00083DBD"/>
    <w:rsid w:val="000844E1"/>
    <w:rsid w:val="000847FE"/>
    <w:rsid w:val="00084B18"/>
    <w:rsid w:val="00084DBE"/>
    <w:rsid w:val="00084DEA"/>
    <w:rsid w:val="000857F9"/>
    <w:rsid w:val="00086133"/>
    <w:rsid w:val="00086E28"/>
    <w:rsid w:val="0008772E"/>
    <w:rsid w:val="0008789E"/>
    <w:rsid w:val="00087947"/>
    <w:rsid w:val="00087FFD"/>
    <w:rsid w:val="0009005F"/>
    <w:rsid w:val="00090621"/>
    <w:rsid w:val="00090D99"/>
    <w:rsid w:val="00091054"/>
    <w:rsid w:val="0009148B"/>
    <w:rsid w:val="000914D5"/>
    <w:rsid w:val="00092131"/>
    <w:rsid w:val="00092727"/>
    <w:rsid w:val="00092945"/>
    <w:rsid w:val="00092A1A"/>
    <w:rsid w:val="00092DD7"/>
    <w:rsid w:val="00093050"/>
    <w:rsid w:val="00093355"/>
    <w:rsid w:val="000940C5"/>
    <w:rsid w:val="00094CDE"/>
    <w:rsid w:val="000958B8"/>
    <w:rsid w:val="00095C20"/>
    <w:rsid w:val="0009617C"/>
    <w:rsid w:val="000965A8"/>
    <w:rsid w:val="00096727"/>
    <w:rsid w:val="0009688E"/>
    <w:rsid w:val="00096BCD"/>
    <w:rsid w:val="00096DB1"/>
    <w:rsid w:val="000977D1"/>
    <w:rsid w:val="0009785B"/>
    <w:rsid w:val="00097945"/>
    <w:rsid w:val="000A027E"/>
    <w:rsid w:val="000A0587"/>
    <w:rsid w:val="000A0D3C"/>
    <w:rsid w:val="000A1402"/>
    <w:rsid w:val="000A1A71"/>
    <w:rsid w:val="000A1D5A"/>
    <w:rsid w:val="000A1F7B"/>
    <w:rsid w:val="000A2694"/>
    <w:rsid w:val="000A26DB"/>
    <w:rsid w:val="000A2EF1"/>
    <w:rsid w:val="000A2EFB"/>
    <w:rsid w:val="000A301E"/>
    <w:rsid w:val="000A3D99"/>
    <w:rsid w:val="000A3F4C"/>
    <w:rsid w:val="000A4106"/>
    <w:rsid w:val="000A49BD"/>
    <w:rsid w:val="000A4E23"/>
    <w:rsid w:val="000A4FEF"/>
    <w:rsid w:val="000A5D44"/>
    <w:rsid w:val="000A5EAE"/>
    <w:rsid w:val="000A61A4"/>
    <w:rsid w:val="000A65F7"/>
    <w:rsid w:val="000A6FBD"/>
    <w:rsid w:val="000A7333"/>
    <w:rsid w:val="000A751D"/>
    <w:rsid w:val="000A7E26"/>
    <w:rsid w:val="000A7EA5"/>
    <w:rsid w:val="000B004D"/>
    <w:rsid w:val="000B0695"/>
    <w:rsid w:val="000B1620"/>
    <w:rsid w:val="000B1A16"/>
    <w:rsid w:val="000B1D7A"/>
    <w:rsid w:val="000B1F61"/>
    <w:rsid w:val="000B2253"/>
    <w:rsid w:val="000B290C"/>
    <w:rsid w:val="000B2BE3"/>
    <w:rsid w:val="000B314C"/>
    <w:rsid w:val="000B35EA"/>
    <w:rsid w:val="000B3D1F"/>
    <w:rsid w:val="000B44B9"/>
    <w:rsid w:val="000B4FCF"/>
    <w:rsid w:val="000B5320"/>
    <w:rsid w:val="000B56CD"/>
    <w:rsid w:val="000B5A8B"/>
    <w:rsid w:val="000B5E52"/>
    <w:rsid w:val="000B603D"/>
    <w:rsid w:val="000B67EA"/>
    <w:rsid w:val="000B6B69"/>
    <w:rsid w:val="000B795A"/>
    <w:rsid w:val="000B7A92"/>
    <w:rsid w:val="000B7AED"/>
    <w:rsid w:val="000B7D34"/>
    <w:rsid w:val="000C0142"/>
    <w:rsid w:val="000C05F8"/>
    <w:rsid w:val="000C0F91"/>
    <w:rsid w:val="000C11CC"/>
    <w:rsid w:val="000C1221"/>
    <w:rsid w:val="000C12D6"/>
    <w:rsid w:val="000C19EE"/>
    <w:rsid w:val="000C1F5D"/>
    <w:rsid w:val="000C20F4"/>
    <w:rsid w:val="000C26E4"/>
    <w:rsid w:val="000C2796"/>
    <w:rsid w:val="000C2978"/>
    <w:rsid w:val="000C2D7F"/>
    <w:rsid w:val="000C32AE"/>
    <w:rsid w:val="000C39ED"/>
    <w:rsid w:val="000C4B43"/>
    <w:rsid w:val="000C4DE8"/>
    <w:rsid w:val="000C5027"/>
    <w:rsid w:val="000C51BC"/>
    <w:rsid w:val="000C59E7"/>
    <w:rsid w:val="000C5EDD"/>
    <w:rsid w:val="000C5EE4"/>
    <w:rsid w:val="000C614D"/>
    <w:rsid w:val="000C668E"/>
    <w:rsid w:val="000C66AE"/>
    <w:rsid w:val="000C67A4"/>
    <w:rsid w:val="000C6A40"/>
    <w:rsid w:val="000C6D1B"/>
    <w:rsid w:val="000C6F1D"/>
    <w:rsid w:val="000C7211"/>
    <w:rsid w:val="000C7480"/>
    <w:rsid w:val="000C7883"/>
    <w:rsid w:val="000C793A"/>
    <w:rsid w:val="000C7946"/>
    <w:rsid w:val="000C7B1E"/>
    <w:rsid w:val="000C7CD9"/>
    <w:rsid w:val="000D0023"/>
    <w:rsid w:val="000D05CE"/>
    <w:rsid w:val="000D0686"/>
    <w:rsid w:val="000D09A9"/>
    <w:rsid w:val="000D0A81"/>
    <w:rsid w:val="000D1431"/>
    <w:rsid w:val="000D167B"/>
    <w:rsid w:val="000D169F"/>
    <w:rsid w:val="000D185C"/>
    <w:rsid w:val="000D1AB4"/>
    <w:rsid w:val="000D1B4D"/>
    <w:rsid w:val="000D1EAA"/>
    <w:rsid w:val="000D200C"/>
    <w:rsid w:val="000D257C"/>
    <w:rsid w:val="000D3433"/>
    <w:rsid w:val="000D35C8"/>
    <w:rsid w:val="000D3685"/>
    <w:rsid w:val="000D39EF"/>
    <w:rsid w:val="000D3A7A"/>
    <w:rsid w:val="000D433B"/>
    <w:rsid w:val="000D4793"/>
    <w:rsid w:val="000D4A96"/>
    <w:rsid w:val="000D4BF0"/>
    <w:rsid w:val="000D5375"/>
    <w:rsid w:val="000D5C5F"/>
    <w:rsid w:val="000D6467"/>
    <w:rsid w:val="000D64B1"/>
    <w:rsid w:val="000D65A2"/>
    <w:rsid w:val="000D6745"/>
    <w:rsid w:val="000D6B8F"/>
    <w:rsid w:val="000D6E80"/>
    <w:rsid w:val="000D7A9C"/>
    <w:rsid w:val="000D7BA2"/>
    <w:rsid w:val="000E0135"/>
    <w:rsid w:val="000E0594"/>
    <w:rsid w:val="000E07CD"/>
    <w:rsid w:val="000E0E6C"/>
    <w:rsid w:val="000E10D8"/>
    <w:rsid w:val="000E1566"/>
    <w:rsid w:val="000E199C"/>
    <w:rsid w:val="000E1FF1"/>
    <w:rsid w:val="000E2520"/>
    <w:rsid w:val="000E26AC"/>
    <w:rsid w:val="000E2A02"/>
    <w:rsid w:val="000E2A9E"/>
    <w:rsid w:val="000E34A4"/>
    <w:rsid w:val="000E3AF6"/>
    <w:rsid w:val="000E3B48"/>
    <w:rsid w:val="000E3D77"/>
    <w:rsid w:val="000E4628"/>
    <w:rsid w:val="000E4643"/>
    <w:rsid w:val="000E5951"/>
    <w:rsid w:val="000E5F8C"/>
    <w:rsid w:val="000E6ACE"/>
    <w:rsid w:val="000E6B2E"/>
    <w:rsid w:val="000E6F2B"/>
    <w:rsid w:val="000E7019"/>
    <w:rsid w:val="000E78F9"/>
    <w:rsid w:val="000E794A"/>
    <w:rsid w:val="000E79B3"/>
    <w:rsid w:val="000E7AAB"/>
    <w:rsid w:val="000E7ACA"/>
    <w:rsid w:val="000E7B69"/>
    <w:rsid w:val="000E7D9E"/>
    <w:rsid w:val="000F017A"/>
    <w:rsid w:val="000F0804"/>
    <w:rsid w:val="000F085D"/>
    <w:rsid w:val="000F08AD"/>
    <w:rsid w:val="000F0BCE"/>
    <w:rsid w:val="000F0FCD"/>
    <w:rsid w:val="000F1213"/>
    <w:rsid w:val="000F1E45"/>
    <w:rsid w:val="000F1FAC"/>
    <w:rsid w:val="000F243A"/>
    <w:rsid w:val="000F2534"/>
    <w:rsid w:val="000F2586"/>
    <w:rsid w:val="000F2915"/>
    <w:rsid w:val="000F2A3A"/>
    <w:rsid w:val="000F313A"/>
    <w:rsid w:val="000F3652"/>
    <w:rsid w:val="000F3C44"/>
    <w:rsid w:val="000F422A"/>
    <w:rsid w:val="000F435A"/>
    <w:rsid w:val="000F4A8F"/>
    <w:rsid w:val="000F4B81"/>
    <w:rsid w:val="000F5073"/>
    <w:rsid w:val="000F60B2"/>
    <w:rsid w:val="000F6227"/>
    <w:rsid w:val="000F6BCD"/>
    <w:rsid w:val="000F73E1"/>
    <w:rsid w:val="000F7CE5"/>
    <w:rsid w:val="000F7D8D"/>
    <w:rsid w:val="000F7FD8"/>
    <w:rsid w:val="0010002A"/>
    <w:rsid w:val="0010086D"/>
    <w:rsid w:val="00100E7E"/>
    <w:rsid w:val="00101492"/>
    <w:rsid w:val="001018A8"/>
    <w:rsid w:val="00101924"/>
    <w:rsid w:val="001023D5"/>
    <w:rsid w:val="00102529"/>
    <w:rsid w:val="001026DA"/>
    <w:rsid w:val="0010271D"/>
    <w:rsid w:val="00102987"/>
    <w:rsid w:val="00102F0C"/>
    <w:rsid w:val="0010305D"/>
    <w:rsid w:val="0010319D"/>
    <w:rsid w:val="001032F0"/>
    <w:rsid w:val="00103A68"/>
    <w:rsid w:val="00103D45"/>
    <w:rsid w:val="00104259"/>
    <w:rsid w:val="00104265"/>
    <w:rsid w:val="00104310"/>
    <w:rsid w:val="001043C6"/>
    <w:rsid w:val="0010445E"/>
    <w:rsid w:val="00104A1D"/>
    <w:rsid w:val="001054F7"/>
    <w:rsid w:val="0010550D"/>
    <w:rsid w:val="00105753"/>
    <w:rsid w:val="00105780"/>
    <w:rsid w:val="001059D6"/>
    <w:rsid w:val="00105AFF"/>
    <w:rsid w:val="001063AF"/>
    <w:rsid w:val="001068A8"/>
    <w:rsid w:val="001069A7"/>
    <w:rsid w:val="001069CC"/>
    <w:rsid w:val="00106D46"/>
    <w:rsid w:val="0010746B"/>
    <w:rsid w:val="0011062E"/>
    <w:rsid w:val="00110E23"/>
    <w:rsid w:val="001113F9"/>
    <w:rsid w:val="00111667"/>
    <w:rsid w:val="00111951"/>
    <w:rsid w:val="00112F1A"/>
    <w:rsid w:val="0011313C"/>
    <w:rsid w:val="00113417"/>
    <w:rsid w:val="001136A7"/>
    <w:rsid w:val="001137CA"/>
    <w:rsid w:val="00113D9C"/>
    <w:rsid w:val="00113DD7"/>
    <w:rsid w:val="00113F52"/>
    <w:rsid w:val="00114C0E"/>
    <w:rsid w:val="00114CEB"/>
    <w:rsid w:val="00114DA1"/>
    <w:rsid w:val="00114DD7"/>
    <w:rsid w:val="0011527E"/>
    <w:rsid w:val="001152C0"/>
    <w:rsid w:val="001156ED"/>
    <w:rsid w:val="00115D20"/>
    <w:rsid w:val="00115F28"/>
    <w:rsid w:val="00116294"/>
    <w:rsid w:val="00116D75"/>
    <w:rsid w:val="00116F5F"/>
    <w:rsid w:val="00116FEE"/>
    <w:rsid w:val="0011709F"/>
    <w:rsid w:val="00117898"/>
    <w:rsid w:val="001200B9"/>
    <w:rsid w:val="001209B1"/>
    <w:rsid w:val="00120F74"/>
    <w:rsid w:val="00121259"/>
    <w:rsid w:val="001219D0"/>
    <w:rsid w:val="00122292"/>
    <w:rsid w:val="00122593"/>
    <w:rsid w:val="001229AE"/>
    <w:rsid w:val="00122C04"/>
    <w:rsid w:val="001245BE"/>
    <w:rsid w:val="00124730"/>
    <w:rsid w:val="00124B9A"/>
    <w:rsid w:val="00124F0C"/>
    <w:rsid w:val="0012508B"/>
    <w:rsid w:val="0012523C"/>
    <w:rsid w:val="00125673"/>
    <w:rsid w:val="0012593E"/>
    <w:rsid w:val="00125D15"/>
    <w:rsid w:val="00125ED0"/>
    <w:rsid w:val="001267C3"/>
    <w:rsid w:val="00127013"/>
    <w:rsid w:val="0012701F"/>
    <w:rsid w:val="001279AE"/>
    <w:rsid w:val="00127A9D"/>
    <w:rsid w:val="00127DEE"/>
    <w:rsid w:val="00130790"/>
    <w:rsid w:val="00130FAA"/>
    <w:rsid w:val="00132041"/>
    <w:rsid w:val="001323D6"/>
    <w:rsid w:val="00132402"/>
    <w:rsid w:val="0013292E"/>
    <w:rsid w:val="00132B57"/>
    <w:rsid w:val="00132CC6"/>
    <w:rsid w:val="00133B1C"/>
    <w:rsid w:val="001340F9"/>
    <w:rsid w:val="0013442C"/>
    <w:rsid w:val="0013494A"/>
    <w:rsid w:val="00134957"/>
    <w:rsid w:val="0013496C"/>
    <w:rsid w:val="00134B6B"/>
    <w:rsid w:val="00135050"/>
    <w:rsid w:val="00135051"/>
    <w:rsid w:val="00135B79"/>
    <w:rsid w:val="00136193"/>
    <w:rsid w:val="00136399"/>
    <w:rsid w:val="00136886"/>
    <w:rsid w:val="00136A08"/>
    <w:rsid w:val="00136A70"/>
    <w:rsid w:val="00136E76"/>
    <w:rsid w:val="00136F0F"/>
    <w:rsid w:val="001378A7"/>
    <w:rsid w:val="00140A20"/>
    <w:rsid w:val="00140E3C"/>
    <w:rsid w:val="00140E89"/>
    <w:rsid w:val="0014123E"/>
    <w:rsid w:val="00141589"/>
    <w:rsid w:val="00141B8C"/>
    <w:rsid w:val="00141DE5"/>
    <w:rsid w:val="00141EFB"/>
    <w:rsid w:val="00141FEE"/>
    <w:rsid w:val="00142229"/>
    <w:rsid w:val="00142613"/>
    <w:rsid w:val="001427ED"/>
    <w:rsid w:val="00142A95"/>
    <w:rsid w:val="00142B62"/>
    <w:rsid w:val="00143288"/>
    <w:rsid w:val="00143B26"/>
    <w:rsid w:val="00143ED3"/>
    <w:rsid w:val="00144143"/>
    <w:rsid w:val="00144DC6"/>
    <w:rsid w:val="0014510D"/>
    <w:rsid w:val="0014524C"/>
    <w:rsid w:val="00146646"/>
    <w:rsid w:val="001466A6"/>
    <w:rsid w:val="00146852"/>
    <w:rsid w:val="001468C6"/>
    <w:rsid w:val="00146987"/>
    <w:rsid w:val="00146C47"/>
    <w:rsid w:val="00146DA3"/>
    <w:rsid w:val="001473AF"/>
    <w:rsid w:val="0014745C"/>
    <w:rsid w:val="001478A6"/>
    <w:rsid w:val="0014798E"/>
    <w:rsid w:val="0014799A"/>
    <w:rsid w:val="00150A3E"/>
    <w:rsid w:val="00150E27"/>
    <w:rsid w:val="0015150F"/>
    <w:rsid w:val="00151AC5"/>
    <w:rsid w:val="00152220"/>
    <w:rsid w:val="001522FD"/>
    <w:rsid w:val="0015247C"/>
    <w:rsid w:val="00152528"/>
    <w:rsid w:val="00152635"/>
    <w:rsid w:val="001529C7"/>
    <w:rsid w:val="00152E47"/>
    <w:rsid w:val="001533E8"/>
    <w:rsid w:val="0015363F"/>
    <w:rsid w:val="00153A3C"/>
    <w:rsid w:val="00153D2C"/>
    <w:rsid w:val="00153D60"/>
    <w:rsid w:val="00153E0E"/>
    <w:rsid w:val="0015436E"/>
    <w:rsid w:val="00154735"/>
    <w:rsid w:val="0015476B"/>
    <w:rsid w:val="001547DF"/>
    <w:rsid w:val="00154A33"/>
    <w:rsid w:val="00154D4D"/>
    <w:rsid w:val="00155083"/>
    <w:rsid w:val="00155220"/>
    <w:rsid w:val="00155851"/>
    <w:rsid w:val="00155BDC"/>
    <w:rsid w:val="001563C1"/>
    <w:rsid w:val="00156548"/>
    <w:rsid w:val="00156915"/>
    <w:rsid w:val="001574AA"/>
    <w:rsid w:val="00157772"/>
    <w:rsid w:val="00157BEE"/>
    <w:rsid w:val="0016014F"/>
    <w:rsid w:val="00160725"/>
    <w:rsid w:val="001609A4"/>
    <w:rsid w:val="00160C68"/>
    <w:rsid w:val="00160D8A"/>
    <w:rsid w:val="001613EF"/>
    <w:rsid w:val="00161A04"/>
    <w:rsid w:val="00161C00"/>
    <w:rsid w:val="00162E8A"/>
    <w:rsid w:val="00162ED3"/>
    <w:rsid w:val="00162EDE"/>
    <w:rsid w:val="00163598"/>
    <w:rsid w:val="0016451D"/>
    <w:rsid w:val="00165850"/>
    <w:rsid w:val="00165A49"/>
    <w:rsid w:val="00165C82"/>
    <w:rsid w:val="00165F23"/>
    <w:rsid w:val="001662B8"/>
    <w:rsid w:val="0016635A"/>
    <w:rsid w:val="00166597"/>
    <w:rsid w:val="001667A9"/>
    <w:rsid w:val="00166A55"/>
    <w:rsid w:val="00166B3C"/>
    <w:rsid w:val="00166CD5"/>
    <w:rsid w:val="00166DFD"/>
    <w:rsid w:val="00170129"/>
    <w:rsid w:val="00170206"/>
    <w:rsid w:val="0017036C"/>
    <w:rsid w:val="001704E1"/>
    <w:rsid w:val="0017061D"/>
    <w:rsid w:val="001709D4"/>
    <w:rsid w:val="00170D0C"/>
    <w:rsid w:val="00171398"/>
    <w:rsid w:val="001715A4"/>
    <w:rsid w:val="001715F2"/>
    <w:rsid w:val="0017208D"/>
    <w:rsid w:val="001724EC"/>
    <w:rsid w:val="001727DA"/>
    <w:rsid w:val="00172A3A"/>
    <w:rsid w:val="00172BD6"/>
    <w:rsid w:val="001733E7"/>
    <w:rsid w:val="00173577"/>
    <w:rsid w:val="00173E55"/>
    <w:rsid w:val="00174058"/>
    <w:rsid w:val="00174387"/>
    <w:rsid w:val="0017464B"/>
    <w:rsid w:val="00174AE7"/>
    <w:rsid w:val="0017526C"/>
    <w:rsid w:val="00175E44"/>
    <w:rsid w:val="00175F97"/>
    <w:rsid w:val="001760C4"/>
    <w:rsid w:val="00176112"/>
    <w:rsid w:val="001762DE"/>
    <w:rsid w:val="00176658"/>
    <w:rsid w:val="00176A37"/>
    <w:rsid w:val="00176A53"/>
    <w:rsid w:val="00176AA5"/>
    <w:rsid w:val="00176BB1"/>
    <w:rsid w:val="001770A7"/>
    <w:rsid w:val="001770E4"/>
    <w:rsid w:val="0017720E"/>
    <w:rsid w:val="001772CC"/>
    <w:rsid w:val="00177893"/>
    <w:rsid w:val="00177B28"/>
    <w:rsid w:val="00177F79"/>
    <w:rsid w:val="00180217"/>
    <w:rsid w:val="0018031F"/>
    <w:rsid w:val="00180FB9"/>
    <w:rsid w:val="0018141A"/>
    <w:rsid w:val="00182A84"/>
    <w:rsid w:val="0018373E"/>
    <w:rsid w:val="001837B4"/>
    <w:rsid w:val="001839C0"/>
    <w:rsid w:val="00183A87"/>
    <w:rsid w:val="001840D3"/>
    <w:rsid w:val="00184221"/>
    <w:rsid w:val="0018443E"/>
    <w:rsid w:val="00184878"/>
    <w:rsid w:val="00184BD4"/>
    <w:rsid w:val="001858E6"/>
    <w:rsid w:val="00185C35"/>
    <w:rsid w:val="00185F5C"/>
    <w:rsid w:val="001861F8"/>
    <w:rsid w:val="00186307"/>
    <w:rsid w:val="001863F7"/>
    <w:rsid w:val="00186A55"/>
    <w:rsid w:val="00186EBC"/>
    <w:rsid w:val="0018743E"/>
    <w:rsid w:val="00187866"/>
    <w:rsid w:val="00187DE5"/>
    <w:rsid w:val="0019055E"/>
    <w:rsid w:val="0019163A"/>
    <w:rsid w:val="001916C0"/>
    <w:rsid w:val="001918E6"/>
    <w:rsid w:val="00191B1A"/>
    <w:rsid w:val="00193082"/>
    <w:rsid w:val="001939B9"/>
    <w:rsid w:val="00194676"/>
    <w:rsid w:val="0019507F"/>
    <w:rsid w:val="001952BB"/>
    <w:rsid w:val="001953AA"/>
    <w:rsid w:val="00195B7F"/>
    <w:rsid w:val="00195DA4"/>
    <w:rsid w:val="00196B72"/>
    <w:rsid w:val="00197320"/>
    <w:rsid w:val="0019789E"/>
    <w:rsid w:val="00197AE5"/>
    <w:rsid w:val="00197D31"/>
    <w:rsid w:val="001A0142"/>
    <w:rsid w:val="001A01E0"/>
    <w:rsid w:val="001A0231"/>
    <w:rsid w:val="001A0E06"/>
    <w:rsid w:val="001A17AB"/>
    <w:rsid w:val="001A20DC"/>
    <w:rsid w:val="001A2D3E"/>
    <w:rsid w:val="001A31DF"/>
    <w:rsid w:val="001A3353"/>
    <w:rsid w:val="001A38C9"/>
    <w:rsid w:val="001A3DC9"/>
    <w:rsid w:val="001A43A4"/>
    <w:rsid w:val="001A467B"/>
    <w:rsid w:val="001A4BA0"/>
    <w:rsid w:val="001A4C42"/>
    <w:rsid w:val="001A4DD5"/>
    <w:rsid w:val="001A4FA4"/>
    <w:rsid w:val="001A5406"/>
    <w:rsid w:val="001A5C38"/>
    <w:rsid w:val="001A61C7"/>
    <w:rsid w:val="001A68FF"/>
    <w:rsid w:val="001A6C20"/>
    <w:rsid w:val="001A6EAB"/>
    <w:rsid w:val="001A782B"/>
    <w:rsid w:val="001A790E"/>
    <w:rsid w:val="001A7D3C"/>
    <w:rsid w:val="001A7D7C"/>
    <w:rsid w:val="001B00CE"/>
    <w:rsid w:val="001B08CA"/>
    <w:rsid w:val="001B097F"/>
    <w:rsid w:val="001B0A0C"/>
    <w:rsid w:val="001B1195"/>
    <w:rsid w:val="001B12A9"/>
    <w:rsid w:val="001B14D7"/>
    <w:rsid w:val="001B1848"/>
    <w:rsid w:val="001B1DCB"/>
    <w:rsid w:val="001B1EAF"/>
    <w:rsid w:val="001B226C"/>
    <w:rsid w:val="001B2295"/>
    <w:rsid w:val="001B23FD"/>
    <w:rsid w:val="001B2429"/>
    <w:rsid w:val="001B266D"/>
    <w:rsid w:val="001B2A20"/>
    <w:rsid w:val="001B2D0D"/>
    <w:rsid w:val="001B2D90"/>
    <w:rsid w:val="001B333B"/>
    <w:rsid w:val="001B3962"/>
    <w:rsid w:val="001B3E45"/>
    <w:rsid w:val="001B3F08"/>
    <w:rsid w:val="001B46AB"/>
    <w:rsid w:val="001B4DC6"/>
    <w:rsid w:val="001B4DDE"/>
    <w:rsid w:val="001B4E77"/>
    <w:rsid w:val="001B50BB"/>
    <w:rsid w:val="001B50EF"/>
    <w:rsid w:val="001B52A3"/>
    <w:rsid w:val="001B538B"/>
    <w:rsid w:val="001B5B6B"/>
    <w:rsid w:val="001B5D05"/>
    <w:rsid w:val="001B6389"/>
    <w:rsid w:val="001B7593"/>
    <w:rsid w:val="001C04CC"/>
    <w:rsid w:val="001C051E"/>
    <w:rsid w:val="001C0606"/>
    <w:rsid w:val="001C06AA"/>
    <w:rsid w:val="001C08AA"/>
    <w:rsid w:val="001C0DF1"/>
    <w:rsid w:val="001C1C0C"/>
    <w:rsid w:val="001C1ECA"/>
    <w:rsid w:val="001C1EE1"/>
    <w:rsid w:val="001C20DD"/>
    <w:rsid w:val="001C25E9"/>
    <w:rsid w:val="001C2844"/>
    <w:rsid w:val="001C3112"/>
    <w:rsid w:val="001C3AD4"/>
    <w:rsid w:val="001C3DE1"/>
    <w:rsid w:val="001C3FDA"/>
    <w:rsid w:val="001C40A1"/>
    <w:rsid w:val="001C41CB"/>
    <w:rsid w:val="001C4403"/>
    <w:rsid w:val="001C45CC"/>
    <w:rsid w:val="001C4A39"/>
    <w:rsid w:val="001C54B1"/>
    <w:rsid w:val="001C557C"/>
    <w:rsid w:val="001C5AF2"/>
    <w:rsid w:val="001C60F7"/>
    <w:rsid w:val="001C61DF"/>
    <w:rsid w:val="001C6901"/>
    <w:rsid w:val="001C69D7"/>
    <w:rsid w:val="001C6D76"/>
    <w:rsid w:val="001C7497"/>
    <w:rsid w:val="001C796E"/>
    <w:rsid w:val="001C79BE"/>
    <w:rsid w:val="001C7D17"/>
    <w:rsid w:val="001C7D1B"/>
    <w:rsid w:val="001D08F4"/>
    <w:rsid w:val="001D09BB"/>
    <w:rsid w:val="001D1322"/>
    <w:rsid w:val="001D2319"/>
    <w:rsid w:val="001D25A5"/>
    <w:rsid w:val="001D2AB4"/>
    <w:rsid w:val="001D2CCE"/>
    <w:rsid w:val="001D3608"/>
    <w:rsid w:val="001D380F"/>
    <w:rsid w:val="001D3CEE"/>
    <w:rsid w:val="001D5D47"/>
    <w:rsid w:val="001D5DE3"/>
    <w:rsid w:val="001D6163"/>
    <w:rsid w:val="001D6705"/>
    <w:rsid w:val="001D6C92"/>
    <w:rsid w:val="001D6F1D"/>
    <w:rsid w:val="001D72D7"/>
    <w:rsid w:val="001D74CF"/>
    <w:rsid w:val="001D7CF1"/>
    <w:rsid w:val="001E0994"/>
    <w:rsid w:val="001E0B0D"/>
    <w:rsid w:val="001E1827"/>
    <w:rsid w:val="001E20B0"/>
    <w:rsid w:val="001E25EC"/>
    <w:rsid w:val="001E2713"/>
    <w:rsid w:val="001E2B02"/>
    <w:rsid w:val="001E2B1C"/>
    <w:rsid w:val="001E3A51"/>
    <w:rsid w:val="001E4BF8"/>
    <w:rsid w:val="001E4E98"/>
    <w:rsid w:val="001E52AF"/>
    <w:rsid w:val="001E5896"/>
    <w:rsid w:val="001E5918"/>
    <w:rsid w:val="001E63A7"/>
    <w:rsid w:val="001E66E9"/>
    <w:rsid w:val="001E6922"/>
    <w:rsid w:val="001E6B8C"/>
    <w:rsid w:val="001E7367"/>
    <w:rsid w:val="001E74A4"/>
    <w:rsid w:val="001F073C"/>
    <w:rsid w:val="001F0D0A"/>
    <w:rsid w:val="001F0FE2"/>
    <w:rsid w:val="001F2031"/>
    <w:rsid w:val="001F276D"/>
    <w:rsid w:val="001F2912"/>
    <w:rsid w:val="001F2BA9"/>
    <w:rsid w:val="001F2F47"/>
    <w:rsid w:val="001F3228"/>
    <w:rsid w:val="001F32F7"/>
    <w:rsid w:val="001F37C1"/>
    <w:rsid w:val="001F3872"/>
    <w:rsid w:val="001F429D"/>
    <w:rsid w:val="001F44B9"/>
    <w:rsid w:val="001F4A83"/>
    <w:rsid w:val="001F5016"/>
    <w:rsid w:val="001F51F3"/>
    <w:rsid w:val="001F60C6"/>
    <w:rsid w:val="001F6896"/>
    <w:rsid w:val="001F68AF"/>
    <w:rsid w:val="001F68D2"/>
    <w:rsid w:val="001F6B4A"/>
    <w:rsid w:val="001F6FDA"/>
    <w:rsid w:val="001F700E"/>
    <w:rsid w:val="001F74B7"/>
    <w:rsid w:val="001F7604"/>
    <w:rsid w:val="001F795C"/>
    <w:rsid w:val="00200296"/>
    <w:rsid w:val="00200CA8"/>
    <w:rsid w:val="00201ADB"/>
    <w:rsid w:val="0020200A"/>
    <w:rsid w:val="002025E6"/>
    <w:rsid w:val="002028E9"/>
    <w:rsid w:val="0020334D"/>
    <w:rsid w:val="0020347C"/>
    <w:rsid w:val="002039DB"/>
    <w:rsid w:val="00203D8B"/>
    <w:rsid w:val="0020463E"/>
    <w:rsid w:val="00204B6C"/>
    <w:rsid w:val="00204D5B"/>
    <w:rsid w:val="0020533A"/>
    <w:rsid w:val="002058E5"/>
    <w:rsid w:val="00205D77"/>
    <w:rsid w:val="00206413"/>
    <w:rsid w:val="002067FF"/>
    <w:rsid w:val="00206B5B"/>
    <w:rsid w:val="0020729A"/>
    <w:rsid w:val="002072BA"/>
    <w:rsid w:val="002072F2"/>
    <w:rsid w:val="00207745"/>
    <w:rsid w:val="00207F80"/>
    <w:rsid w:val="00210074"/>
    <w:rsid w:val="002100B6"/>
    <w:rsid w:val="00210282"/>
    <w:rsid w:val="00210360"/>
    <w:rsid w:val="00210718"/>
    <w:rsid w:val="00210FAA"/>
    <w:rsid w:val="00211340"/>
    <w:rsid w:val="0021169C"/>
    <w:rsid w:val="00211CA4"/>
    <w:rsid w:val="00211F51"/>
    <w:rsid w:val="00212FE9"/>
    <w:rsid w:val="002133E6"/>
    <w:rsid w:val="00213D4D"/>
    <w:rsid w:val="00214438"/>
    <w:rsid w:val="002145EE"/>
    <w:rsid w:val="002147AD"/>
    <w:rsid w:val="002149FA"/>
    <w:rsid w:val="00214C90"/>
    <w:rsid w:val="00214CFF"/>
    <w:rsid w:val="00214D6C"/>
    <w:rsid w:val="00214F7B"/>
    <w:rsid w:val="00215138"/>
    <w:rsid w:val="00215787"/>
    <w:rsid w:val="0021588F"/>
    <w:rsid w:val="00215C6B"/>
    <w:rsid w:val="00215C94"/>
    <w:rsid w:val="00216201"/>
    <w:rsid w:val="002165FF"/>
    <w:rsid w:val="0021675C"/>
    <w:rsid w:val="00216816"/>
    <w:rsid w:val="00216B2F"/>
    <w:rsid w:val="0021737C"/>
    <w:rsid w:val="002176D8"/>
    <w:rsid w:val="002178D3"/>
    <w:rsid w:val="002205EB"/>
    <w:rsid w:val="00220815"/>
    <w:rsid w:val="00220EBB"/>
    <w:rsid w:val="00220FE5"/>
    <w:rsid w:val="0022112C"/>
    <w:rsid w:val="00221B35"/>
    <w:rsid w:val="00221C7D"/>
    <w:rsid w:val="00221F41"/>
    <w:rsid w:val="0022222A"/>
    <w:rsid w:val="002223F4"/>
    <w:rsid w:val="0022254D"/>
    <w:rsid w:val="00222C06"/>
    <w:rsid w:val="002234A6"/>
    <w:rsid w:val="00223A75"/>
    <w:rsid w:val="00224075"/>
    <w:rsid w:val="002242AB"/>
    <w:rsid w:val="002248AB"/>
    <w:rsid w:val="002250C2"/>
    <w:rsid w:val="00225301"/>
    <w:rsid w:val="002253E1"/>
    <w:rsid w:val="00225F32"/>
    <w:rsid w:val="00225FCB"/>
    <w:rsid w:val="00225FDF"/>
    <w:rsid w:val="00226A51"/>
    <w:rsid w:val="00227BC1"/>
    <w:rsid w:val="00227D10"/>
    <w:rsid w:val="0023023F"/>
    <w:rsid w:val="00230533"/>
    <w:rsid w:val="00231129"/>
    <w:rsid w:val="00231290"/>
    <w:rsid w:val="00231568"/>
    <w:rsid w:val="00231D4F"/>
    <w:rsid w:val="002320DD"/>
    <w:rsid w:val="002327B9"/>
    <w:rsid w:val="00232950"/>
    <w:rsid w:val="00232A04"/>
    <w:rsid w:val="00232E9C"/>
    <w:rsid w:val="00232EED"/>
    <w:rsid w:val="002331F8"/>
    <w:rsid w:val="00233296"/>
    <w:rsid w:val="002333F3"/>
    <w:rsid w:val="00233714"/>
    <w:rsid w:val="002337BA"/>
    <w:rsid w:val="002339A6"/>
    <w:rsid w:val="00233B8E"/>
    <w:rsid w:val="00234259"/>
    <w:rsid w:val="002342E6"/>
    <w:rsid w:val="0023458F"/>
    <w:rsid w:val="00234656"/>
    <w:rsid w:val="00234756"/>
    <w:rsid w:val="00234824"/>
    <w:rsid w:val="00234A5F"/>
    <w:rsid w:val="00234E61"/>
    <w:rsid w:val="002352DE"/>
    <w:rsid w:val="002355A6"/>
    <w:rsid w:val="00235F68"/>
    <w:rsid w:val="00235F83"/>
    <w:rsid w:val="00236156"/>
    <w:rsid w:val="00236D0B"/>
    <w:rsid w:val="002370F5"/>
    <w:rsid w:val="00237489"/>
    <w:rsid w:val="00237568"/>
    <w:rsid w:val="00237DFE"/>
    <w:rsid w:val="00237FE0"/>
    <w:rsid w:val="002405C5"/>
    <w:rsid w:val="00240978"/>
    <w:rsid w:val="0024187D"/>
    <w:rsid w:val="00241D6E"/>
    <w:rsid w:val="00241DE3"/>
    <w:rsid w:val="00241F63"/>
    <w:rsid w:val="00242079"/>
    <w:rsid w:val="002425EA"/>
    <w:rsid w:val="0024263F"/>
    <w:rsid w:val="002429E7"/>
    <w:rsid w:val="00242D41"/>
    <w:rsid w:val="00242D5D"/>
    <w:rsid w:val="00242E91"/>
    <w:rsid w:val="00242EA0"/>
    <w:rsid w:val="0024345F"/>
    <w:rsid w:val="002434A6"/>
    <w:rsid w:val="00243685"/>
    <w:rsid w:val="00243C4C"/>
    <w:rsid w:val="00243E2D"/>
    <w:rsid w:val="00243F24"/>
    <w:rsid w:val="0024459C"/>
    <w:rsid w:val="00244635"/>
    <w:rsid w:val="002447BA"/>
    <w:rsid w:val="00244DA0"/>
    <w:rsid w:val="002452C6"/>
    <w:rsid w:val="00245463"/>
    <w:rsid w:val="002456A1"/>
    <w:rsid w:val="00245AD1"/>
    <w:rsid w:val="00245AD9"/>
    <w:rsid w:val="00245BD6"/>
    <w:rsid w:val="00245D84"/>
    <w:rsid w:val="002463C0"/>
    <w:rsid w:val="00246867"/>
    <w:rsid w:val="00246BDF"/>
    <w:rsid w:val="002470BB"/>
    <w:rsid w:val="002505E9"/>
    <w:rsid w:val="002509BB"/>
    <w:rsid w:val="00250C22"/>
    <w:rsid w:val="00250C40"/>
    <w:rsid w:val="00251C15"/>
    <w:rsid w:val="0025237B"/>
    <w:rsid w:val="00252538"/>
    <w:rsid w:val="0025298D"/>
    <w:rsid w:val="00252B8E"/>
    <w:rsid w:val="00252D04"/>
    <w:rsid w:val="00252D61"/>
    <w:rsid w:val="002530E7"/>
    <w:rsid w:val="002532B4"/>
    <w:rsid w:val="00254637"/>
    <w:rsid w:val="0025487C"/>
    <w:rsid w:val="00254AE2"/>
    <w:rsid w:val="00254EEB"/>
    <w:rsid w:val="0025518B"/>
    <w:rsid w:val="00255A7A"/>
    <w:rsid w:val="00255F7B"/>
    <w:rsid w:val="0025613F"/>
    <w:rsid w:val="002569AC"/>
    <w:rsid w:val="00256C2C"/>
    <w:rsid w:val="00256D5E"/>
    <w:rsid w:val="00256EBD"/>
    <w:rsid w:val="00257695"/>
    <w:rsid w:val="00257C43"/>
    <w:rsid w:val="00257CCC"/>
    <w:rsid w:val="00257F91"/>
    <w:rsid w:val="00260403"/>
    <w:rsid w:val="00260608"/>
    <w:rsid w:val="00260859"/>
    <w:rsid w:val="002612A1"/>
    <w:rsid w:val="00261C9A"/>
    <w:rsid w:val="00261D5E"/>
    <w:rsid w:val="00261DC6"/>
    <w:rsid w:val="00261F12"/>
    <w:rsid w:val="00262390"/>
    <w:rsid w:val="002625BE"/>
    <w:rsid w:val="002627BF"/>
    <w:rsid w:val="00262C13"/>
    <w:rsid w:val="00262C95"/>
    <w:rsid w:val="002630AE"/>
    <w:rsid w:val="002632FA"/>
    <w:rsid w:val="002635D1"/>
    <w:rsid w:val="002636DB"/>
    <w:rsid w:val="00263867"/>
    <w:rsid w:val="00263992"/>
    <w:rsid w:val="00263A45"/>
    <w:rsid w:val="00263F42"/>
    <w:rsid w:val="00263FB9"/>
    <w:rsid w:val="0026436A"/>
    <w:rsid w:val="002643E9"/>
    <w:rsid w:val="00264623"/>
    <w:rsid w:val="00264773"/>
    <w:rsid w:val="0026477D"/>
    <w:rsid w:val="00264931"/>
    <w:rsid w:val="00264CFC"/>
    <w:rsid w:val="00264E52"/>
    <w:rsid w:val="002653C6"/>
    <w:rsid w:val="002656DC"/>
    <w:rsid w:val="00265C99"/>
    <w:rsid w:val="002661C8"/>
    <w:rsid w:val="00266378"/>
    <w:rsid w:val="00266B0C"/>
    <w:rsid w:val="0026730A"/>
    <w:rsid w:val="0026736E"/>
    <w:rsid w:val="00267DA2"/>
    <w:rsid w:val="00270BBC"/>
    <w:rsid w:val="00270FA1"/>
    <w:rsid w:val="0027163C"/>
    <w:rsid w:val="0027167A"/>
    <w:rsid w:val="0027194C"/>
    <w:rsid w:val="002728E9"/>
    <w:rsid w:val="00272CC8"/>
    <w:rsid w:val="0027331C"/>
    <w:rsid w:val="00273A50"/>
    <w:rsid w:val="00273A8F"/>
    <w:rsid w:val="00274122"/>
    <w:rsid w:val="00274D3E"/>
    <w:rsid w:val="00274D6B"/>
    <w:rsid w:val="00274E62"/>
    <w:rsid w:val="00274F68"/>
    <w:rsid w:val="00275168"/>
    <w:rsid w:val="0027575E"/>
    <w:rsid w:val="00275BC2"/>
    <w:rsid w:val="00275CB0"/>
    <w:rsid w:val="00275E3C"/>
    <w:rsid w:val="0027602C"/>
    <w:rsid w:val="00276B20"/>
    <w:rsid w:val="00276C8A"/>
    <w:rsid w:val="00276C8F"/>
    <w:rsid w:val="002771C2"/>
    <w:rsid w:val="00277CD4"/>
    <w:rsid w:val="00277D40"/>
    <w:rsid w:val="00277E96"/>
    <w:rsid w:val="002801F4"/>
    <w:rsid w:val="0028072C"/>
    <w:rsid w:val="00280B5B"/>
    <w:rsid w:val="00280D8D"/>
    <w:rsid w:val="00281229"/>
    <w:rsid w:val="00281496"/>
    <w:rsid w:val="00281708"/>
    <w:rsid w:val="0028177B"/>
    <w:rsid w:val="00281B84"/>
    <w:rsid w:val="00281DCF"/>
    <w:rsid w:val="00282CAB"/>
    <w:rsid w:val="00282E1E"/>
    <w:rsid w:val="00282EEC"/>
    <w:rsid w:val="002836DF"/>
    <w:rsid w:val="00283831"/>
    <w:rsid w:val="00284077"/>
    <w:rsid w:val="00284AE0"/>
    <w:rsid w:val="00285A5B"/>
    <w:rsid w:val="00285ACB"/>
    <w:rsid w:val="002861AB"/>
    <w:rsid w:val="00286378"/>
    <w:rsid w:val="002874FF"/>
    <w:rsid w:val="00287596"/>
    <w:rsid w:val="0028777E"/>
    <w:rsid w:val="002878CE"/>
    <w:rsid w:val="00287B58"/>
    <w:rsid w:val="00287E1E"/>
    <w:rsid w:val="002907CC"/>
    <w:rsid w:val="00291723"/>
    <w:rsid w:val="00291928"/>
    <w:rsid w:val="0029196D"/>
    <w:rsid w:val="00291BF7"/>
    <w:rsid w:val="00291F75"/>
    <w:rsid w:val="002923DF"/>
    <w:rsid w:val="00292637"/>
    <w:rsid w:val="0029289C"/>
    <w:rsid w:val="002928F4"/>
    <w:rsid w:val="00292B6B"/>
    <w:rsid w:val="00292C32"/>
    <w:rsid w:val="00292D18"/>
    <w:rsid w:val="00292E23"/>
    <w:rsid w:val="00292F26"/>
    <w:rsid w:val="002938BA"/>
    <w:rsid w:val="00293A1D"/>
    <w:rsid w:val="00294111"/>
    <w:rsid w:val="00294A5D"/>
    <w:rsid w:val="00294BE5"/>
    <w:rsid w:val="00295446"/>
    <w:rsid w:val="00295706"/>
    <w:rsid w:val="00295822"/>
    <w:rsid w:val="00295C9D"/>
    <w:rsid w:val="0029698E"/>
    <w:rsid w:val="00296E84"/>
    <w:rsid w:val="002977A2"/>
    <w:rsid w:val="00297CC5"/>
    <w:rsid w:val="00297D79"/>
    <w:rsid w:val="00297EB2"/>
    <w:rsid w:val="002A1978"/>
    <w:rsid w:val="002A1A40"/>
    <w:rsid w:val="002A1F3C"/>
    <w:rsid w:val="002A24CE"/>
    <w:rsid w:val="002A2C50"/>
    <w:rsid w:val="002A391F"/>
    <w:rsid w:val="002A3D10"/>
    <w:rsid w:val="002A3ED2"/>
    <w:rsid w:val="002A4503"/>
    <w:rsid w:val="002A4AB7"/>
    <w:rsid w:val="002A4CA9"/>
    <w:rsid w:val="002A4D1F"/>
    <w:rsid w:val="002A5196"/>
    <w:rsid w:val="002A53EB"/>
    <w:rsid w:val="002A53F9"/>
    <w:rsid w:val="002A563F"/>
    <w:rsid w:val="002A5990"/>
    <w:rsid w:val="002A5A12"/>
    <w:rsid w:val="002A5B6E"/>
    <w:rsid w:val="002A5B70"/>
    <w:rsid w:val="002A6017"/>
    <w:rsid w:val="002A6612"/>
    <w:rsid w:val="002A710C"/>
    <w:rsid w:val="002A78B9"/>
    <w:rsid w:val="002B05B8"/>
    <w:rsid w:val="002B08F8"/>
    <w:rsid w:val="002B0A89"/>
    <w:rsid w:val="002B0AC9"/>
    <w:rsid w:val="002B108B"/>
    <w:rsid w:val="002B1BAA"/>
    <w:rsid w:val="002B2005"/>
    <w:rsid w:val="002B28B6"/>
    <w:rsid w:val="002B2A5A"/>
    <w:rsid w:val="002B2A8A"/>
    <w:rsid w:val="002B2A8C"/>
    <w:rsid w:val="002B33ED"/>
    <w:rsid w:val="002B3DA0"/>
    <w:rsid w:val="002B43A8"/>
    <w:rsid w:val="002B4524"/>
    <w:rsid w:val="002B4941"/>
    <w:rsid w:val="002B4B23"/>
    <w:rsid w:val="002B4F1F"/>
    <w:rsid w:val="002B50FE"/>
    <w:rsid w:val="002B52ED"/>
    <w:rsid w:val="002B553E"/>
    <w:rsid w:val="002B588E"/>
    <w:rsid w:val="002B5D74"/>
    <w:rsid w:val="002B62B1"/>
    <w:rsid w:val="002B67CA"/>
    <w:rsid w:val="002B6817"/>
    <w:rsid w:val="002B6A0B"/>
    <w:rsid w:val="002B717F"/>
    <w:rsid w:val="002B748E"/>
    <w:rsid w:val="002B76B4"/>
    <w:rsid w:val="002B7865"/>
    <w:rsid w:val="002B7ADB"/>
    <w:rsid w:val="002C00F5"/>
    <w:rsid w:val="002C05D2"/>
    <w:rsid w:val="002C11C4"/>
    <w:rsid w:val="002C142C"/>
    <w:rsid w:val="002C1543"/>
    <w:rsid w:val="002C17C7"/>
    <w:rsid w:val="002C19D4"/>
    <w:rsid w:val="002C1B79"/>
    <w:rsid w:val="002C1D2F"/>
    <w:rsid w:val="002C1F40"/>
    <w:rsid w:val="002C21E4"/>
    <w:rsid w:val="002C2283"/>
    <w:rsid w:val="002C234B"/>
    <w:rsid w:val="002C290D"/>
    <w:rsid w:val="002C349E"/>
    <w:rsid w:val="002C3600"/>
    <w:rsid w:val="002C40BE"/>
    <w:rsid w:val="002C4250"/>
    <w:rsid w:val="002C4A0C"/>
    <w:rsid w:val="002C4A89"/>
    <w:rsid w:val="002C4B83"/>
    <w:rsid w:val="002C6DC3"/>
    <w:rsid w:val="002C719E"/>
    <w:rsid w:val="002C7C13"/>
    <w:rsid w:val="002C7C1C"/>
    <w:rsid w:val="002C7D06"/>
    <w:rsid w:val="002C7F24"/>
    <w:rsid w:val="002D0884"/>
    <w:rsid w:val="002D0A04"/>
    <w:rsid w:val="002D0EF2"/>
    <w:rsid w:val="002D1096"/>
    <w:rsid w:val="002D1242"/>
    <w:rsid w:val="002D1478"/>
    <w:rsid w:val="002D162D"/>
    <w:rsid w:val="002D16DF"/>
    <w:rsid w:val="002D1804"/>
    <w:rsid w:val="002D187E"/>
    <w:rsid w:val="002D1E38"/>
    <w:rsid w:val="002D23E6"/>
    <w:rsid w:val="002D24AC"/>
    <w:rsid w:val="002D2E03"/>
    <w:rsid w:val="002D2FCA"/>
    <w:rsid w:val="002D3003"/>
    <w:rsid w:val="002D37CF"/>
    <w:rsid w:val="002D418A"/>
    <w:rsid w:val="002D4F37"/>
    <w:rsid w:val="002D5387"/>
    <w:rsid w:val="002D6B28"/>
    <w:rsid w:val="002D6D8B"/>
    <w:rsid w:val="002D6F32"/>
    <w:rsid w:val="002D7823"/>
    <w:rsid w:val="002D7915"/>
    <w:rsid w:val="002E02C4"/>
    <w:rsid w:val="002E0699"/>
    <w:rsid w:val="002E0AE5"/>
    <w:rsid w:val="002E1135"/>
    <w:rsid w:val="002E1396"/>
    <w:rsid w:val="002E1F23"/>
    <w:rsid w:val="002E2867"/>
    <w:rsid w:val="002E2CDC"/>
    <w:rsid w:val="002E3533"/>
    <w:rsid w:val="002E3685"/>
    <w:rsid w:val="002E389F"/>
    <w:rsid w:val="002E3FC3"/>
    <w:rsid w:val="002E4293"/>
    <w:rsid w:val="002E4C2D"/>
    <w:rsid w:val="002E4DB5"/>
    <w:rsid w:val="002E4ED0"/>
    <w:rsid w:val="002E51D3"/>
    <w:rsid w:val="002E5285"/>
    <w:rsid w:val="002E52E8"/>
    <w:rsid w:val="002E54C6"/>
    <w:rsid w:val="002E56EF"/>
    <w:rsid w:val="002E5880"/>
    <w:rsid w:val="002E5DEA"/>
    <w:rsid w:val="002E60BF"/>
    <w:rsid w:val="002E71A2"/>
    <w:rsid w:val="002E724A"/>
    <w:rsid w:val="002E73E4"/>
    <w:rsid w:val="002E7834"/>
    <w:rsid w:val="002E7BCE"/>
    <w:rsid w:val="002F0099"/>
    <w:rsid w:val="002F0109"/>
    <w:rsid w:val="002F078A"/>
    <w:rsid w:val="002F0C4D"/>
    <w:rsid w:val="002F0D6F"/>
    <w:rsid w:val="002F1662"/>
    <w:rsid w:val="002F1995"/>
    <w:rsid w:val="002F1C1D"/>
    <w:rsid w:val="002F23A2"/>
    <w:rsid w:val="002F26E6"/>
    <w:rsid w:val="002F282C"/>
    <w:rsid w:val="002F2B03"/>
    <w:rsid w:val="002F311E"/>
    <w:rsid w:val="002F313A"/>
    <w:rsid w:val="002F345B"/>
    <w:rsid w:val="002F34AC"/>
    <w:rsid w:val="002F3BDE"/>
    <w:rsid w:val="002F4515"/>
    <w:rsid w:val="002F4880"/>
    <w:rsid w:val="002F53C1"/>
    <w:rsid w:val="002F56BD"/>
    <w:rsid w:val="002F5C4E"/>
    <w:rsid w:val="002F5D11"/>
    <w:rsid w:val="002F5FEC"/>
    <w:rsid w:val="002F64AF"/>
    <w:rsid w:val="002F6898"/>
    <w:rsid w:val="002F6A88"/>
    <w:rsid w:val="002F71B8"/>
    <w:rsid w:val="002F71F4"/>
    <w:rsid w:val="002F7731"/>
    <w:rsid w:val="002F79D0"/>
    <w:rsid w:val="002F7B6D"/>
    <w:rsid w:val="00300063"/>
    <w:rsid w:val="00300389"/>
    <w:rsid w:val="00300718"/>
    <w:rsid w:val="00301460"/>
    <w:rsid w:val="00301EA1"/>
    <w:rsid w:val="00301EF1"/>
    <w:rsid w:val="00301F26"/>
    <w:rsid w:val="003023A2"/>
    <w:rsid w:val="00302626"/>
    <w:rsid w:val="00302CC1"/>
    <w:rsid w:val="00302FCC"/>
    <w:rsid w:val="0030369B"/>
    <w:rsid w:val="00303941"/>
    <w:rsid w:val="00303E92"/>
    <w:rsid w:val="00305654"/>
    <w:rsid w:val="00305A3F"/>
    <w:rsid w:val="00305C8A"/>
    <w:rsid w:val="00305DB9"/>
    <w:rsid w:val="0030602E"/>
    <w:rsid w:val="003062AE"/>
    <w:rsid w:val="00306602"/>
    <w:rsid w:val="003066BC"/>
    <w:rsid w:val="00306A93"/>
    <w:rsid w:val="00307844"/>
    <w:rsid w:val="0030790C"/>
    <w:rsid w:val="00307AC0"/>
    <w:rsid w:val="00307CA3"/>
    <w:rsid w:val="00307F78"/>
    <w:rsid w:val="003100B2"/>
    <w:rsid w:val="0031033B"/>
    <w:rsid w:val="00310715"/>
    <w:rsid w:val="00310894"/>
    <w:rsid w:val="00310B3D"/>
    <w:rsid w:val="00310DEA"/>
    <w:rsid w:val="00310E37"/>
    <w:rsid w:val="00310EB5"/>
    <w:rsid w:val="00310FC5"/>
    <w:rsid w:val="00311033"/>
    <w:rsid w:val="003117D4"/>
    <w:rsid w:val="00311944"/>
    <w:rsid w:val="00311E32"/>
    <w:rsid w:val="00312894"/>
    <w:rsid w:val="003128BF"/>
    <w:rsid w:val="00312F82"/>
    <w:rsid w:val="00313CD0"/>
    <w:rsid w:val="0031480D"/>
    <w:rsid w:val="00314BFC"/>
    <w:rsid w:val="00314C1C"/>
    <w:rsid w:val="00314C95"/>
    <w:rsid w:val="00314DB1"/>
    <w:rsid w:val="003154A2"/>
    <w:rsid w:val="00315514"/>
    <w:rsid w:val="003155AF"/>
    <w:rsid w:val="00315D44"/>
    <w:rsid w:val="00315D8F"/>
    <w:rsid w:val="00316085"/>
    <w:rsid w:val="0031623E"/>
    <w:rsid w:val="003162AF"/>
    <w:rsid w:val="003162EB"/>
    <w:rsid w:val="0031640E"/>
    <w:rsid w:val="0031668E"/>
    <w:rsid w:val="003168B9"/>
    <w:rsid w:val="0031726A"/>
    <w:rsid w:val="0031744E"/>
    <w:rsid w:val="003176A5"/>
    <w:rsid w:val="00317E18"/>
    <w:rsid w:val="00317E54"/>
    <w:rsid w:val="00317EE3"/>
    <w:rsid w:val="00320238"/>
    <w:rsid w:val="0032041C"/>
    <w:rsid w:val="00320425"/>
    <w:rsid w:val="003208AE"/>
    <w:rsid w:val="003215E2"/>
    <w:rsid w:val="00321703"/>
    <w:rsid w:val="0032198A"/>
    <w:rsid w:val="00321B98"/>
    <w:rsid w:val="00321E6B"/>
    <w:rsid w:val="00321EA4"/>
    <w:rsid w:val="00323259"/>
    <w:rsid w:val="00323CDD"/>
    <w:rsid w:val="00323F02"/>
    <w:rsid w:val="0032407A"/>
    <w:rsid w:val="00324141"/>
    <w:rsid w:val="00324216"/>
    <w:rsid w:val="00324A43"/>
    <w:rsid w:val="00324B79"/>
    <w:rsid w:val="00324EA9"/>
    <w:rsid w:val="00324F23"/>
    <w:rsid w:val="003258C8"/>
    <w:rsid w:val="00325C94"/>
    <w:rsid w:val="0032662D"/>
    <w:rsid w:val="00326E14"/>
    <w:rsid w:val="00326EBB"/>
    <w:rsid w:val="00327148"/>
    <w:rsid w:val="0033091D"/>
    <w:rsid w:val="00330AF9"/>
    <w:rsid w:val="00331A16"/>
    <w:rsid w:val="00331B61"/>
    <w:rsid w:val="003320E1"/>
    <w:rsid w:val="003322FB"/>
    <w:rsid w:val="003329FE"/>
    <w:rsid w:val="00333098"/>
    <w:rsid w:val="00333B5A"/>
    <w:rsid w:val="00333C75"/>
    <w:rsid w:val="00333C84"/>
    <w:rsid w:val="003340FA"/>
    <w:rsid w:val="00334528"/>
    <w:rsid w:val="003347C0"/>
    <w:rsid w:val="0033491A"/>
    <w:rsid w:val="00334ACF"/>
    <w:rsid w:val="00334DC1"/>
    <w:rsid w:val="003350C8"/>
    <w:rsid w:val="00335BD8"/>
    <w:rsid w:val="00336325"/>
    <w:rsid w:val="0033661A"/>
    <w:rsid w:val="0033677C"/>
    <w:rsid w:val="00336E9E"/>
    <w:rsid w:val="00340590"/>
    <w:rsid w:val="00340AF7"/>
    <w:rsid w:val="00341A14"/>
    <w:rsid w:val="00341BD9"/>
    <w:rsid w:val="00341FBB"/>
    <w:rsid w:val="003422F0"/>
    <w:rsid w:val="0034235E"/>
    <w:rsid w:val="003429D1"/>
    <w:rsid w:val="0034321B"/>
    <w:rsid w:val="0034379F"/>
    <w:rsid w:val="003438CF"/>
    <w:rsid w:val="00343981"/>
    <w:rsid w:val="00343C1B"/>
    <w:rsid w:val="00343D22"/>
    <w:rsid w:val="00343F3D"/>
    <w:rsid w:val="0034471B"/>
    <w:rsid w:val="00344E2F"/>
    <w:rsid w:val="00345A50"/>
    <w:rsid w:val="00345E01"/>
    <w:rsid w:val="003464A6"/>
    <w:rsid w:val="00346943"/>
    <w:rsid w:val="00346FAE"/>
    <w:rsid w:val="00347197"/>
    <w:rsid w:val="003472A7"/>
    <w:rsid w:val="0034750B"/>
    <w:rsid w:val="00347EAC"/>
    <w:rsid w:val="00347F82"/>
    <w:rsid w:val="00350363"/>
    <w:rsid w:val="0035045D"/>
    <w:rsid w:val="00350C5F"/>
    <w:rsid w:val="00350D55"/>
    <w:rsid w:val="00350E73"/>
    <w:rsid w:val="00350FCF"/>
    <w:rsid w:val="00351196"/>
    <w:rsid w:val="00351381"/>
    <w:rsid w:val="003516F8"/>
    <w:rsid w:val="0035213C"/>
    <w:rsid w:val="00352856"/>
    <w:rsid w:val="00352CBB"/>
    <w:rsid w:val="003530A6"/>
    <w:rsid w:val="00353393"/>
    <w:rsid w:val="00353627"/>
    <w:rsid w:val="003536B5"/>
    <w:rsid w:val="00353CC9"/>
    <w:rsid w:val="003545EF"/>
    <w:rsid w:val="003550DC"/>
    <w:rsid w:val="003552FB"/>
    <w:rsid w:val="00355773"/>
    <w:rsid w:val="003558C6"/>
    <w:rsid w:val="00355CC4"/>
    <w:rsid w:val="00355F72"/>
    <w:rsid w:val="00356608"/>
    <w:rsid w:val="003568AA"/>
    <w:rsid w:val="00356E2D"/>
    <w:rsid w:val="00357657"/>
    <w:rsid w:val="0035771A"/>
    <w:rsid w:val="003578BF"/>
    <w:rsid w:val="00357E32"/>
    <w:rsid w:val="00357F41"/>
    <w:rsid w:val="0036014B"/>
    <w:rsid w:val="00360C53"/>
    <w:rsid w:val="00360CB6"/>
    <w:rsid w:val="00360E10"/>
    <w:rsid w:val="003615DA"/>
    <w:rsid w:val="003619AD"/>
    <w:rsid w:val="00361B70"/>
    <w:rsid w:val="00361E07"/>
    <w:rsid w:val="00362A26"/>
    <w:rsid w:val="00362CF9"/>
    <w:rsid w:val="0036300D"/>
    <w:rsid w:val="00363131"/>
    <w:rsid w:val="00363204"/>
    <w:rsid w:val="00363340"/>
    <w:rsid w:val="0036341E"/>
    <w:rsid w:val="00363487"/>
    <w:rsid w:val="003639A6"/>
    <w:rsid w:val="00363F52"/>
    <w:rsid w:val="003640CA"/>
    <w:rsid w:val="003645D5"/>
    <w:rsid w:val="00364B50"/>
    <w:rsid w:val="00364F9D"/>
    <w:rsid w:val="00366021"/>
    <w:rsid w:val="00366755"/>
    <w:rsid w:val="00367415"/>
    <w:rsid w:val="003679AE"/>
    <w:rsid w:val="00367D12"/>
    <w:rsid w:val="00370019"/>
    <w:rsid w:val="00370550"/>
    <w:rsid w:val="00370688"/>
    <w:rsid w:val="00370AD5"/>
    <w:rsid w:val="00370B08"/>
    <w:rsid w:val="0037124E"/>
    <w:rsid w:val="003714BA"/>
    <w:rsid w:val="00371998"/>
    <w:rsid w:val="00371AD9"/>
    <w:rsid w:val="00371FA4"/>
    <w:rsid w:val="003722DD"/>
    <w:rsid w:val="003723BD"/>
    <w:rsid w:val="00372601"/>
    <w:rsid w:val="0037267B"/>
    <w:rsid w:val="00372D7C"/>
    <w:rsid w:val="00372EA1"/>
    <w:rsid w:val="0037316D"/>
    <w:rsid w:val="003735E4"/>
    <w:rsid w:val="00373F81"/>
    <w:rsid w:val="0037425F"/>
    <w:rsid w:val="003746DE"/>
    <w:rsid w:val="003747ED"/>
    <w:rsid w:val="00374A7C"/>
    <w:rsid w:val="00374EE6"/>
    <w:rsid w:val="0037522A"/>
    <w:rsid w:val="0037578C"/>
    <w:rsid w:val="00375C7A"/>
    <w:rsid w:val="00375E37"/>
    <w:rsid w:val="00376372"/>
    <w:rsid w:val="003766E4"/>
    <w:rsid w:val="0037685D"/>
    <w:rsid w:val="003768AF"/>
    <w:rsid w:val="003769F9"/>
    <w:rsid w:val="00376BF4"/>
    <w:rsid w:val="0037703F"/>
    <w:rsid w:val="0037718A"/>
    <w:rsid w:val="00377B9A"/>
    <w:rsid w:val="00377C6C"/>
    <w:rsid w:val="0038019B"/>
    <w:rsid w:val="003802AE"/>
    <w:rsid w:val="00380794"/>
    <w:rsid w:val="00380BFB"/>
    <w:rsid w:val="00380E15"/>
    <w:rsid w:val="0038169B"/>
    <w:rsid w:val="003818BE"/>
    <w:rsid w:val="00381CB9"/>
    <w:rsid w:val="003826F4"/>
    <w:rsid w:val="00382764"/>
    <w:rsid w:val="0038281C"/>
    <w:rsid w:val="00382D90"/>
    <w:rsid w:val="00384896"/>
    <w:rsid w:val="00384B73"/>
    <w:rsid w:val="00384F6D"/>
    <w:rsid w:val="0038516B"/>
    <w:rsid w:val="003859F5"/>
    <w:rsid w:val="00385A64"/>
    <w:rsid w:val="003864E2"/>
    <w:rsid w:val="00386D1A"/>
    <w:rsid w:val="00387164"/>
    <w:rsid w:val="003901BE"/>
    <w:rsid w:val="0039045D"/>
    <w:rsid w:val="00390DB8"/>
    <w:rsid w:val="00391479"/>
    <w:rsid w:val="003915F9"/>
    <w:rsid w:val="0039182E"/>
    <w:rsid w:val="00392135"/>
    <w:rsid w:val="0039342B"/>
    <w:rsid w:val="00393850"/>
    <w:rsid w:val="00393CD6"/>
    <w:rsid w:val="00394549"/>
    <w:rsid w:val="00394C83"/>
    <w:rsid w:val="00395279"/>
    <w:rsid w:val="0039584D"/>
    <w:rsid w:val="00396339"/>
    <w:rsid w:val="003964E3"/>
    <w:rsid w:val="003964ED"/>
    <w:rsid w:val="00397170"/>
    <w:rsid w:val="00397A1B"/>
    <w:rsid w:val="00397D2B"/>
    <w:rsid w:val="003A00E1"/>
    <w:rsid w:val="003A04B8"/>
    <w:rsid w:val="003A096A"/>
    <w:rsid w:val="003A09F7"/>
    <w:rsid w:val="003A0A49"/>
    <w:rsid w:val="003A0F57"/>
    <w:rsid w:val="003A1036"/>
    <w:rsid w:val="003A1712"/>
    <w:rsid w:val="003A2257"/>
    <w:rsid w:val="003A2475"/>
    <w:rsid w:val="003A2C91"/>
    <w:rsid w:val="003A2DA5"/>
    <w:rsid w:val="003A2F0D"/>
    <w:rsid w:val="003A3433"/>
    <w:rsid w:val="003A3BE4"/>
    <w:rsid w:val="003A40A3"/>
    <w:rsid w:val="003A4494"/>
    <w:rsid w:val="003A537E"/>
    <w:rsid w:val="003A559A"/>
    <w:rsid w:val="003A6092"/>
    <w:rsid w:val="003A643A"/>
    <w:rsid w:val="003A660F"/>
    <w:rsid w:val="003A693E"/>
    <w:rsid w:val="003A6C15"/>
    <w:rsid w:val="003A6C36"/>
    <w:rsid w:val="003A717B"/>
    <w:rsid w:val="003A7595"/>
    <w:rsid w:val="003A79A4"/>
    <w:rsid w:val="003B0286"/>
    <w:rsid w:val="003B0334"/>
    <w:rsid w:val="003B0642"/>
    <w:rsid w:val="003B095E"/>
    <w:rsid w:val="003B0B10"/>
    <w:rsid w:val="003B108D"/>
    <w:rsid w:val="003B1675"/>
    <w:rsid w:val="003B1A4F"/>
    <w:rsid w:val="003B24C7"/>
    <w:rsid w:val="003B2913"/>
    <w:rsid w:val="003B2DB3"/>
    <w:rsid w:val="003B2DDC"/>
    <w:rsid w:val="003B3093"/>
    <w:rsid w:val="003B3140"/>
    <w:rsid w:val="003B352F"/>
    <w:rsid w:val="003B3605"/>
    <w:rsid w:val="003B399F"/>
    <w:rsid w:val="003B3C35"/>
    <w:rsid w:val="003B3CBF"/>
    <w:rsid w:val="003B4E69"/>
    <w:rsid w:val="003B51BB"/>
    <w:rsid w:val="003B568D"/>
    <w:rsid w:val="003B5FCA"/>
    <w:rsid w:val="003B6906"/>
    <w:rsid w:val="003B7303"/>
    <w:rsid w:val="003B7445"/>
    <w:rsid w:val="003B7656"/>
    <w:rsid w:val="003B772F"/>
    <w:rsid w:val="003B7ACF"/>
    <w:rsid w:val="003C0127"/>
    <w:rsid w:val="003C04C9"/>
    <w:rsid w:val="003C055D"/>
    <w:rsid w:val="003C0669"/>
    <w:rsid w:val="003C0694"/>
    <w:rsid w:val="003C0A4C"/>
    <w:rsid w:val="003C0EAF"/>
    <w:rsid w:val="003C11E3"/>
    <w:rsid w:val="003C13BA"/>
    <w:rsid w:val="003C1A9F"/>
    <w:rsid w:val="003C1C91"/>
    <w:rsid w:val="003C250A"/>
    <w:rsid w:val="003C2808"/>
    <w:rsid w:val="003C28B2"/>
    <w:rsid w:val="003C2902"/>
    <w:rsid w:val="003C2C79"/>
    <w:rsid w:val="003C3B61"/>
    <w:rsid w:val="003C3EED"/>
    <w:rsid w:val="003C4028"/>
    <w:rsid w:val="003C41EB"/>
    <w:rsid w:val="003C51FF"/>
    <w:rsid w:val="003C5495"/>
    <w:rsid w:val="003C549A"/>
    <w:rsid w:val="003C54D2"/>
    <w:rsid w:val="003C5CAA"/>
    <w:rsid w:val="003C6063"/>
    <w:rsid w:val="003C6067"/>
    <w:rsid w:val="003C62F1"/>
    <w:rsid w:val="003C62F3"/>
    <w:rsid w:val="003C671E"/>
    <w:rsid w:val="003C6A73"/>
    <w:rsid w:val="003C7132"/>
    <w:rsid w:val="003C777E"/>
    <w:rsid w:val="003C7808"/>
    <w:rsid w:val="003C7C61"/>
    <w:rsid w:val="003D002D"/>
    <w:rsid w:val="003D022E"/>
    <w:rsid w:val="003D0CB0"/>
    <w:rsid w:val="003D0D06"/>
    <w:rsid w:val="003D11A9"/>
    <w:rsid w:val="003D1451"/>
    <w:rsid w:val="003D1EF0"/>
    <w:rsid w:val="003D1FB3"/>
    <w:rsid w:val="003D2023"/>
    <w:rsid w:val="003D2A37"/>
    <w:rsid w:val="003D30AD"/>
    <w:rsid w:val="003D3357"/>
    <w:rsid w:val="003D3C49"/>
    <w:rsid w:val="003D3E6A"/>
    <w:rsid w:val="003D3EFE"/>
    <w:rsid w:val="003D4F59"/>
    <w:rsid w:val="003D526C"/>
    <w:rsid w:val="003D5658"/>
    <w:rsid w:val="003D643D"/>
    <w:rsid w:val="003D6537"/>
    <w:rsid w:val="003D68FF"/>
    <w:rsid w:val="003D69EF"/>
    <w:rsid w:val="003D6F20"/>
    <w:rsid w:val="003D7309"/>
    <w:rsid w:val="003D7A22"/>
    <w:rsid w:val="003D7EB6"/>
    <w:rsid w:val="003E024E"/>
    <w:rsid w:val="003E0EDB"/>
    <w:rsid w:val="003E11C6"/>
    <w:rsid w:val="003E121E"/>
    <w:rsid w:val="003E1D51"/>
    <w:rsid w:val="003E2417"/>
    <w:rsid w:val="003E268C"/>
    <w:rsid w:val="003E2A0E"/>
    <w:rsid w:val="003E2DA5"/>
    <w:rsid w:val="003E3383"/>
    <w:rsid w:val="003E36AD"/>
    <w:rsid w:val="003E378F"/>
    <w:rsid w:val="003E39F1"/>
    <w:rsid w:val="003E3C49"/>
    <w:rsid w:val="003E494E"/>
    <w:rsid w:val="003E5048"/>
    <w:rsid w:val="003E50B6"/>
    <w:rsid w:val="003E524C"/>
    <w:rsid w:val="003E561B"/>
    <w:rsid w:val="003E5C65"/>
    <w:rsid w:val="003E6196"/>
    <w:rsid w:val="003E6240"/>
    <w:rsid w:val="003E6475"/>
    <w:rsid w:val="003E6D8E"/>
    <w:rsid w:val="003E703B"/>
    <w:rsid w:val="003E7410"/>
    <w:rsid w:val="003E7428"/>
    <w:rsid w:val="003E749D"/>
    <w:rsid w:val="003E7765"/>
    <w:rsid w:val="003E7AFE"/>
    <w:rsid w:val="003E7C50"/>
    <w:rsid w:val="003F021E"/>
    <w:rsid w:val="003F0739"/>
    <w:rsid w:val="003F105A"/>
    <w:rsid w:val="003F143F"/>
    <w:rsid w:val="003F1627"/>
    <w:rsid w:val="003F1FE7"/>
    <w:rsid w:val="003F21B7"/>
    <w:rsid w:val="003F25AB"/>
    <w:rsid w:val="003F2CC6"/>
    <w:rsid w:val="003F2D29"/>
    <w:rsid w:val="003F2E26"/>
    <w:rsid w:val="003F2F6D"/>
    <w:rsid w:val="003F3D6F"/>
    <w:rsid w:val="003F4487"/>
    <w:rsid w:val="003F57E6"/>
    <w:rsid w:val="003F595D"/>
    <w:rsid w:val="003F5C60"/>
    <w:rsid w:val="003F6199"/>
    <w:rsid w:val="003F67AA"/>
    <w:rsid w:val="003F73BC"/>
    <w:rsid w:val="003F7450"/>
    <w:rsid w:val="003F7618"/>
    <w:rsid w:val="0040080B"/>
    <w:rsid w:val="00401482"/>
    <w:rsid w:val="0040155F"/>
    <w:rsid w:val="00401E77"/>
    <w:rsid w:val="00401F14"/>
    <w:rsid w:val="004029BB"/>
    <w:rsid w:val="004033BF"/>
    <w:rsid w:val="00403467"/>
    <w:rsid w:val="0040369A"/>
    <w:rsid w:val="00403C05"/>
    <w:rsid w:val="004044F2"/>
    <w:rsid w:val="00404B7C"/>
    <w:rsid w:val="00404C3E"/>
    <w:rsid w:val="004052FE"/>
    <w:rsid w:val="0040607B"/>
    <w:rsid w:val="004064B4"/>
    <w:rsid w:val="004067E0"/>
    <w:rsid w:val="004073DC"/>
    <w:rsid w:val="004101B1"/>
    <w:rsid w:val="00410526"/>
    <w:rsid w:val="004107E6"/>
    <w:rsid w:val="00410EDB"/>
    <w:rsid w:val="004112C2"/>
    <w:rsid w:val="00411B2B"/>
    <w:rsid w:val="00411B8A"/>
    <w:rsid w:val="00411D0E"/>
    <w:rsid w:val="00411F2D"/>
    <w:rsid w:val="00412C69"/>
    <w:rsid w:val="00413842"/>
    <w:rsid w:val="00413A3C"/>
    <w:rsid w:val="00413FE6"/>
    <w:rsid w:val="004144CE"/>
    <w:rsid w:val="00414755"/>
    <w:rsid w:val="0041498A"/>
    <w:rsid w:val="00414FDC"/>
    <w:rsid w:val="004153C5"/>
    <w:rsid w:val="0041543D"/>
    <w:rsid w:val="00416479"/>
    <w:rsid w:val="0041685C"/>
    <w:rsid w:val="00416C47"/>
    <w:rsid w:val="00416E0D"/>
    <w:rsid w:val="00417AC1"/>
    <w:rsid w:val="00417FC8"/>
    <w:rsid w:val="004201C6"/>
    <w:rsid w:val="00420432"/>
    <w:rsid w:val="00420540"/>
    <w:rsid w:val="00420A62"/>
    <w:rsid w:val="00420F81"/>
    <w:rsid w:val="00421450"/>
    <w:rsid w:val="004216F1"/>
    <w:rsid w:val="0042177B"/>
    <w:rsid w:val="00421B95"/>
    <w:rsid w:val="00421E3A"/>
    <w:rsid w:val="00421F6E"/>
    <w:rsid w:val="00422E70"/>
    <w:rsid w:val="00422F23"/>
    <w:rsid w:val="00423B7A"/>
    <w:rsid w:val="00423D7A"/>
    <w:rsid w:val="00423DCB"/>
    <w:rsid w:val="00423F3A"/>
    <w:rsid w:val="00424408"/>
    <w:rsid w:val="004248EB"/>
    <w:rsid w:val="00425029"/>
    <w:rsid w:val="004253E5"/>
    <w:rsid w:val="00425C1B"/>
    <w:rsid w:val="00425F94"/>
    <w:rsid w:val="00426090"/>
    <w:rsid w:val="00426401"/>
    <w:rsid w:val="00426C29"/>
    <w:rsid w:val="00426CD0"/>
    <w:rsid w:val="00426CF2"/>
    <w:rsid w:val="004273AD"/>
    <w:rsid w:val="00427A22"/>
    <w:rsid w:val="00427E55"/>
    <w:rsid w:val="004306CF"/>
    <w:rsid w:val="00430AA9"/>
    <w:rsid w:val="0043122F"/>
    <w:rsid w:val="00431767"/>
    <w:rsid w:val="00431AE9"/>
    <w:rsid w:val="0043219F"/>
    <w:rsid w:val="004327A7"/>
    <w:rsid w:val="00432CD2"/>
    <w:rsid w:val="00432FA1"/>
    <w:rsid w:val="004335DF"/>
    <w:rsid w:val="00433851"/>
    <w:rsid w:val="00433A8F"/>
    <w:rsid w:val="00433D72"/>
    <w:rsid w:val="00433D74"/>
    <w:rsid w:val="00433E4F"/>
    <w:rsid w:val="00434277"/>
    <w:rsid w:val="004346C4"/>
    <w:rsid w:val="00434C3A"/>
    <w:rsid w:val="00434CF1"/>
    <w:rsid w:val="00435525"/>
    <w:rsid w:val="00435C6C"/>
    <w:rsid w:val="00435DCF"/>
    <w:rsid w:val="00436077"/>
    <w:rsid w:val="004360BA"/>
    <w:rsid w:val="004365E6"/>
    <w:rsid w:val="004370FE"/>
    <w:rsid w:val="00437531"/>
    <w:rsid w:val="0043789D"/>
    <w:rsid w:val="00437A9D"/>
    <w:rsid w:val="00437BB5"/>
    <w:rsid w:val="00437DFF"/>
    <w:rsid w:val="00440F8A"/>
    <w:rsid w:val="00441308"/>
    <w:rsid w:val="00441431"/>
    <w:rsid w:val="004414D2"/>
    <w:rsid w:val="00441755"/>
    <w:rsid w:val="0044182F"/>
    <w:rsid w:val="00441962"/>
    <w:rsid w:val="00441F62"/>
    <w:rsid w:val="00442A2B"/>
    <w:rsid w:val="00442F1E"/>
    <w:rsid w:val="0044389C"/>
    <w:rsid w:val="0044401D"/>
    <w:rsid w:val="00445AD9"/>
    <w:rsid w:val="00445E3B"/>
    <w:rsid w:val="00445F47"/>
    <w:rsid w:val="004460E6"/>
    <w:rsid w:val="00446551"/>
    <w:rsid w:val="00446F57"/>
    <w:rsid w:val="004477EA"/>
    <w:rsid w:val="004501CE"/>
    <w:rsid w:val="004504BA"/>
    <w:rsid w:val="00450760"/>
    <w:rsid w:val="00450A9B"/>
    <w:rsid w:val="00451241"/>
    <w:rsid w:val="0045132E"/>
    <w:rsid w:val="00452298"/>
    <w:rsid w:val="00452798"/>
    <w:rsid w:val="00452AAF"/>
    <w:rsid w:val="00452BFA"/>
    <w:rsid w:val="00453719"/>
    <w:rsid w:val="0045389C"/>
    <w:rsid w:val="00453BAE"/>
    <w:rsid w:val="00453D59"/>
    <w:rsid w:val="00453E76"/>
    <w:rsid w:val="004548E9"/>
    <w:rsid w:val="00454945"/>
    <w:rsid w:val="00455919"/>
    <w:rsid w:val="004559EF"/>
    <w:rsid w:val="00455B5F"/>
    <w:rsid w:val="00455C2B"/>
    <w:rsid w:val="00455D46"/>
    <w:rsid w:val="00456242"/>
    <w:rsid w:val="00456738"/>
    <w:rsid w:val="00456868"/>
    <w:rsid w:val="00456BBE"/>
    <w:rsid w:val="00456E9E"/>
    <w:rsid w:val="004606A7"/>
    <w:rsid w:val="004609CE"/>
    <w:rsid w:val="00460AEA"/>
    <w:rsid w:val="00460B2B"/>
    <w:rsid w:val="00460B6A"/>
    <w:rsid w:val="00460DDB"/>
    <w:rsid w:val="0046174C"/>
    <w:rsid w:val="004619BB"/>
    <w:rsid w:val="00461D04"/>
    <w:rsid w:val="004622A1"/>
    <w:rsid w:val="004627D6"/>
    <w:rsid w:val="00462831"/>
    <w:rsid w:val="00463447"/>
    <w:rsid w:val="00463850"/>
    <w:rsid w:val="00463C56"/>
    <w:rsid w:val="00463DDA"/>
    <w:rsid w:val="00464088"/>
    <w:rsid w:val="0046505F"/>
    <w:rsid w:val="00465215"/>
    <w:rsid w:val="00465D3F"/>
    <w:rsid w:val="0046600B"/>
    <w:rsid w:val="0046621E"/>
    <w:rsid w:val="00466704"/>
    <w:rsid w:val="00466C3A"/>
    <w:rsid w:val="00470AFB"/>
    <w:rsid w:val="00470F65"/>
    <w:rsid w:val="00471859"/>
    <w:rsid w:val="00471CB5"/>
    <w:rsid w:val="00472140"/>
    <w:rsid w:val="00472322"/>
    <w:rsid w:val="00472BC7"/>
    <w:rsid w:val="00472D4D"/>
    <w:rsid w:val="00473128"/>
    <w:rsid w:val="00473705"/>
    <w:rsid w:val="004739F6"/>
    <w:rsid w:val="00473A2B"/>
    <w:rsid w:val="0047461B"/>
    <w:rsid w:val="0047505B"/>
    <w:rsid w:val="004756AF"/>
    <w:rsid w:val="00476545"/>
    <w:rsid w:val="00476626"/>
    <w:rsid w:val="00476771"/>
    <w:rsid w:val="00477031"/>
    <w:rsid w:val="0047708B"/>
    <w:rsid w:val="00477E5D"/>
    <w:rsid w:val="0048064A"/>
    <w:rsid w:val="00481549"/>
    <w:rsid w:val="00481579"/>
    <w:rsid w:val="004816DB"/>
    <w:rsid w:val="00482D9E"/>
    <w:rsid w:val="0048395C"/>
    <w:rsid w:val="00484741"/>
    <w:rsid w:val="0048478C"/>
    <w:rsid w:val="0048492B"/>
    <w:rsid w:val="00485436"/>
    <w:rsid w:val="00485836"/>
    <w:rsid w:val="00485AD6"/>
    <w:rsid w:val="00485B1F"/>
    <w:rsid w:val="004863B9"/>
    <w:rsid w:val="004865EA"/>
    <w:rsid w:val="00486627"/>
    <w:rsid w:val="0048761C"/>
    <w:rsid w:val="004908B7"/>
    <w:rsid w:val="00490A71"/>
    <w:rsid w:val="00490AF5"/>
    <w:rsid w:val="004912A6"/>
    <w:rsid w:val="0049142C"/>
    <w:rsid w:val="004918F9"/>
    <w:rsid w:val="004919DD"/>
    <w:rsid w:val="00492405"/>
    <w:rsid w:val="00492833"/>
    <w:rsid w:val="004935EF"/>
    <w:rsid w:val="00493D18"/>
    <w:rsid w:val="00494128"/>
    <w:rsid w:val="00494143"/>
    <w:rsid w:val="00494341"/>
    <w:rsid w:val="004943A5"/>
    <w:rsid w:val="004943BA"/>
    <w:rsid w:val="00494A0C"/>
    <w:rsid w:val="00494F34"/>
    <w:rsid w:val="00494F67"/>
    <w:rsid w:val="00494F7C"/>
    <w:rsid w:val="004953D1"/>
    <w:rsid w:val="00495792"/>
    <w:rsid w:val="00495B07"/>
    <w:rsid w:val="004968C6"/>
    <w:rsid w:val="00496EC6"/>
    <w:rsid w:val="00497216"/>
    <w:rsid w:val="004973FF"/>
    <w:rsid w:val="004975EE"/>
    <w:rsid w:val="004A0C6D"/>
    <w:rsid w:val="004A11B0"/>
    <w:rsid w:val="004A1B71"/>
    <w:rsid w:val="004A2DF5"/>
    <w:rsid w:val="004A3331"/>
    <w:rsid w:val="004A3CA4"/>
    <w:rsid w:val="004A4EF3"/>
    <w:rsid w:val="004A572D"/>
    <w:rsid w:val="004A5746"/>
    <w:rsid w:val="004A59FA"/>
    <w:rsid w:val="004A5B0C"/>
    <w:rsid w:val="004A5D26"/>
    <w:rsid w:val="004A6C36"/>
    <w:rsid w:val="004A7299"/>
    <w:rsid w:val="004A7B49"/>
    <w:rsid w:val="004A7C6F"/>
    <w:rsid w:val="004B010F"/>
    <w:rsid w:val="004B038E"/>
    <w:rsid w:val="004B085C"/>
    <w:rsid w:val="004B0BEE"/>
    <w:rsid w:val="004B0CAC"/>
    <w:rsid w:val="004B0FD3"/>
    <w:rsid w:val="004B1787"/>
    <w:rsid w:val="004B1BEA"/>
    <w:rsid w:val="004B1E87"/>
    <w:rsid w:val="004B2093"/>
    <w:rsid w:val="004B220E"/>
    <w:rsid w:val="004B227F"/>
    <w:rsid w:val="004B2590"/>
    <w:rsid w:val="004B25BA"/>
    <w:rsid w:val="004B3C00"/>
    <w:rsid w:val="004B3E3B"/>
    <w:rsid w:val="004B3F2E"/>
    <w:rsid w:val="004B3F4F"/>
    <w:rsid w:val="004B4143"/>
    <w:rsid w:val="004B4168"/>
    <w:rsid w:val="004B4320"/>
    <w:rsid w:val="004B4EB4"/>
    <w:rsid w:val="004B516F"/>
    <w:rsid w:val="004B5A1F"/>
    <w:rsid w:val="004B5E5F"/>
    <w:rsid w:val="004B5FE6"/>
    <w:rsid w:val="004B76CF"/>
    <w:rsid w:val="004B7A3D"/>
    <w:rsid w:val="004B7C08"/>
    <w:rsid w:val="004B7D80"/>
    <w:rsid w:val="004C000E"/>
    <w:rsid w:val="004C00C0"/>
    <w:rsid w:val="004C00E4"/>
    <w:rsid w:val="004C0777"/>
    <w:rsid w:val="004C0A09"/>
    <w:rsid w:val="004C0D98"/>
    <w:rsid w:val="004C0DF5"/>
    <w:rsid w:val="004C1D0C"/>
    <w:rsid w:val="004C2243"/>
    <w:rsid w:val="004C2704"/>
    <w:rsid w:val="004C292D"/>
    <w:rsid w:val="004C2FF3"/>
    <w:rsid w:val="004C3659"/>
    <w:rsid w:val="004C37B1"/>
    <w:rsid w:val="004C37B3"/>
    <w:rsid w:val="004C393F"/>
    <w:rsid w:val="004C3A61"/>
    <w:rsid w:val="004C3B63"/>
    <w:rsid w:val="004C3C85"/>
    <w:rsid w:val="004C3CF9"/>
    <w:rsid w:val="004C3D3C"/>
    <w:rsid w:val="004C445C"/>
    <w:rsid w:val="004C4629"/>
    <w:rsid w:val="004C4B4E"/>
    <w:rsid w:val="004C555B"/>
    <w:rsid w:val="004C559B"/>
    <w:rsid w:val="004C5F62"/>
    <w:rsid w:val="004C6990"/>
    <w:rsid w:val="004C6A76"/>
    <w:rsid w:val="004C70B9"/>
    <w:rsid w:val="004C7460"/>
    <w:rsid w:val="004C7C66"/>
    <w:rsid w:val="004D0798"/>
    <w:rsid w:val="004D0BA9"/>
    <w:rsid w:val="004D1006"/>
    <w:rsid w:val="004D1BF5"/>
    <w:rsid w:val="004D1D53"/>
    <w:rsid w:val="004D20FD"/>
    <w:rsid w:val="004D243C"/>
    <w:rsid w:val="004D312B"/>
    <w:rsid w:val="004D442C"/>
    <w:rsid w:val="004D45DF"/>
    <w:rsid w:val="004D48E3"/>
    <w:rsid w:val="004D4B83"/>
    <w:rsid w:val="004D4EC2"/>
    <w:rsid w:val="004D5203"/>
    <w:rsid w:val="004D5466"/>
    <w:rsid w:val="004D5955"/>
    <w:rsid w:val="004D5A65"/>
    <w:rsid w:val="004D6225"/>
    <w:rsid w:val="004D65FA"/>
    <w:rsid w:val="004D6936"/>
    <w:rsid w:val="004D6C1D"/>
    <w:rsid w:val="004D6FAC"/>
    <w:rsid w:val="004D7524"/>
    <w:rsid w:val="004D7EC9"/>
    <w:rsid w:val="004D7F30"/>
    <w:rsid w:val="004E02BD"/>
    <w:rsid w:val="004E03D8"/>
    <w:rsid w:val="004E094E"/>
    <w:rsid w:val="004E09B8"/>
    <w:rsid w:val="004E0C0B"/>
    <w:rsid w:val="004E172B"/>
    <w:rsid w:val="004E18B0"/>
    <w:rsid w:val="004E1A24"/>
    <w:rsid w:val="004E1F5A"/>
    <w:rsid w:val="004E1FEC"/>
    <w:rsid w:val="004E2125"/>
    <w:rsid w:val="004E2409"/>
    <w:rsid w:val="004E242A"/>
    <w:rsid w:val="004E2478"/>
    <w:rsid w:val="004E2564"/>
    <w:rsid w:val="004E2838"/>
    <w:rsid w:val="004E2BC6"/>
    <w:rsid w:val="004E2CB3"/>
    <w:rsid w:val="004E30C9"/>
    <w:rsid w:val="004E346E"/>
    <w:rsid w:val="004E38B4"/>
    <w:rsid w:val="004E4708"/>
    <w:rsid w:val="004E4CE8"/>
    <w:rsid w:val="004E5956"/>
    <w:rsid w:val="004E5AE3"/>
    <w:rsid w:val="004E5D65"/>
    <w:rsid w:val="004E5DAC"/>
    <w:rsid w:val="004E5F8F"/>
    <w:rsid w:val="004E6CFF"/>
    <w:rsid w:val="004E6D75"/>
    <w:rsid w:val="004E6DE3"/>
    <w:rsid w:val="004E706C"/>
    <w:rsid w:val="004E7AD4"/>
    <w:rsid w:val="004E7C23"/>
    <w:rsid w:val="004F03C5"/>
    <w:rsid w:val="004F0461"/>
    <w:rsid w:val="004F0A8A"/>
    <w:rsid w:val="004F0FEB"/>
    <w:rsid w:val="004F11F4"/>
    <w:rsid w:val="004F1802"/>
    <w:rsid w:val="004F1B24"/>
    <w:rsid w:val="004F1E3D"/>
    <w:rsid w:val="004F2248"/>
    <w:rsid w:val="004F2608"/>
    <w:rsid w:val="004F26D1"/>
    <w:rsid w:val="004F2A51"/>
    <w:rsid w:val="004F31EC"/>
    <w:rsid w:val="004F35ED"/>
    <w:rsid w:val="004F3688"/>
    <w:rsid w:val="004F3A16"/>
    <w:rsid w:val="004F3AAE"/>
    <w:rsid w:val="004F3DEF"/>
    <w:rsid w:val="004F4253"/>
    <w:rsid w:val="004F4485"/>
    <w:rsid w:val="004F4BDE"/>
    <w:rsid w:val="004F4C15"/>
    <w:rsid w:val="004F4FE1"/>
    <w:rsid w:val="004F58AB"/>
    <w:rsid w:val="004F5AB7"/>
    <w:rsid w:val="004F5B39"/>
    <w:rsid w:val="004F6296"/>
    <w:rsid w:val="004F6554"/>
    <w:rsid w:val="004F6900"/>
    <w:rsid w:val="004F69FE"/>
    <w:rsid w:val="004F6B26"/>
    <w:rsid w:val="004F6C36"/>
    <w:rsid w:val="004F72BB"/>
    <w:rsid w:val="004F764C"/>
    <w:rsid w:val="004F7CAC"/>
    <w:rsid w:val="00500BEF"/>
    <w:rsid w:val="00500EE9"/>
    <w:rsid w:val="0050175A"/>
    <w:rsid w:val="00501A38"/>
    <w:rsid w:val="00501A46"/>
    <w:rsid w:val="00502047"/>
    <w:rsid w:val="00502229"/>
    <w:rsid w:val="00502828"/>
    <w:rsid w:val="005032BF"/>
    <w:rsid w:val="005034AE"/>
    <w:rsid w:val="0050395C"/>
    <w:rsid w:val="00503965"/>
    <w:rsid w:val="00503AFE"/>
    <w:rsid w:val="00503B8B"/>
    <w:rsid w:val="00503DCB"/>
    <w:rsid w:val="00503E77"/>
    <w:rsid w:val="0050409D"/>
    <w:rsid w:val="005045DF"/>
    <w:rsid w:val="00504AF7"/>
    <w:rsid w:val="00504DA3"/>
    <w:rsid w:val="00504EF0"/>
    <w:rsid w:val="00504EF3"/>
    <w:rsid w:val="0050550D"/>
    <w:rsid w:val="005055D6"/>
    <w:rsid w:val="005063DF"/>
    <w:rsid w:val="005072B7"/>
    <w:rsid w:val="0050764E"/>
    <w:rsid w:val="0050769C"/>
    <w:rsid w:val="00507814"/>
    <w:rsid w:val="00507EC1"/>
    <w:rsid w:val="00507ECB"/>
    <w:rsid w:val="00507F6D"/>
    <w:rsid w:val="00507FF1"/>
    <w:rsid w:val="00510900"/>
    <w:rsid w:val="005109FB"/>
    <w:rsid w:val="00510A18"/>
    <w:rsid w:val="00511059"/>
    <w:rsid w:val="00511320"/>
    <w:rsid w:val="005117BD"/>
    <w:rsid w:val="005119C9"/>
    <w:rsid w:val="00511DEF"/>
    <w:rsid w:val="00511E85"/>
    <w:rsid w:val="0051265F"/>
    <w:rsid w:val="005126E1"/>
    <w:rsid w:val="00512A8C"/>
    <w:rsid w:val="00512B0F"/>
    <w:rsid w:val="00512B89"/>
    <w:rsid w:val="00513692"/>
    <w:rsid w:val="00513A0A"/>
    <w:rsid w:val="005143F9"/>
    <w:rsid w:val="00514AAE"/>
    <w:rsid w:val="00514E56"/>
    <w:rsid w:val="00515D88"/>
    <w:rsid w:val="00516566"/>
    <w:rsid w:val="00516662"/>
    <w:rsid w:val="005168DE"/>
    <w:rsid w:val="0051697D"/>
    <w:rsid w:val="005178A6"/>
    <w:rsid w:val="00517B35"/>
    <w:rsid w:val="00520C06"/>
    <w:rsid w:val="005211BA"/>
    <w:rsid w:val="0052155B"/>
    <w:rsid w:val="005218C3"/>
    <w:rsid w:val="005228AD"/>
    <w:rsid w:val="00523170"/>
    <w:rsid w:val="00523195"/>
    <w:rsid w:val="005241AC"/>
    <w:rsid w:val="0052464A"/>
    <w:rsid w:val="00524D76"/>
    <w:rsid w:val="0052530E"/>
    <w:rsid w:val="005259BE"/>
    <w:rsid w:val="005259DB"/>
    <w:rsid w:val="00525DB7"/>
    <w:rsid w:val="00526059"/>
    <w:rsid w:val="00526468"/>
    <w:rsid w:val="0052758B"/>
    <w:rsid w:val="00527777"/>
    <w:rsid w:val="00527A80"/>
    <w:rsid w:val="00530591"/>
    <w:rsid w:val="00530BA3"/>
    <w:rsid w:val="00530FC5"/>
    <w:rsid w:val="005314B2"/>
    <w:rsid w:val="0053174B"/>
    <w:rsid w:val="0053193A"/>
    <w:rsid w:val="0053193D"/>
    <w:rsid w:val="00531C11"/>
    <w:rsid w:val="00531F66"/>
    <w:rsid w:val="0053211C"/>
    <w:rsid w:val="005322EF"/>
    <w:rsid w:val="005324AA"/>
    <w:rsid w:val="005324C6"/>
    <w:rsid w:val="0053296F"/>
    <w:rsid w:val="00532B2A"/>
    <w:rsid w:val="00532DF1"/>
    <w:rsid w:val="00533272"/>
    <w:rsid w:val="0053350B"/>
    <w:rsid w:val="005336AA"/>
    <w:rsid w:val="005356D8"/>
    <w:rsid w:val="00535A5F"/>
    <w:rsid w:val="00535C74"/>
    <w:rsid w:val="00535D56"/>
    <w:rsid w:val="00535E9F"/>
    <w:rsid w:val="005361AB"/>
    <w:rsid w:val="00536BC1"/>
    <w:rsid w:val="005374AE"/>
    <w:rsid w:val="005376C3"/>
    <w:rsid w:val="00537DA9"/>
    <w:rsid w:val="0054016D"/>
    <w:rsid w:val="005402CF"/>
    <w:rsid w:val="00540BD7"/>
    <w:rsid w:val="00541353"/>
    <w:rsid w:val="005413AC"/>
    <w:rsid w:val="005416CF"/>
    <w:rsid w:val="00541C0C"/>
    <w:rsid w:val="00541D43"/>
    <w:rsid w:val="00542068"/>
    <w:rsid w:val="00542572"/>
    <w:rsid w:val="005425AF"/>
    <w:rsid w:val="00542A71"/>
    <w:rsid w:val="00542DE7"/>
    <w:rsid w:val="00542E04"/>
    <w:rsid w:val="005438D3"/>
    <w:rsid w:val="005439E5"/>
    <w:rsid w:val="00543AF9"/>
    <w:rsid w:val="00543D48"/>
    <w:rsid w:val="005443BA"/>
    <w:rsid w:val="00544C74"/>
    <w:rsid w:val="00544CAB"/>
    <w:rsid w:val="00544DE1"/>
    <w:rsid w:val="00544FA9"/>
    <w:rsid w:val="00545978"/>
    <w:rsid w:val="00545A5C"/>
    <w:rsid w:val="0054643F"/>
    <w:rsid w:val="005466C2"/>
    <w:rsid w:val="00546701"/>
    <w:rsid w:val="00546BAB"/>
    <w:rsid w:val="005474BB"/>
    <w:rsid w:val="00547CD2"/>
    <w:rsid w:val="00547EEA"/>
    <w:rsid w:val="00547FC0"/>
    <w:rsid w:val="00550343"/>
    <w:rsid w:val="0055072B"/>
    <w:rsid w:val="005512C3"/>
    <w:rsid w:val="00551906"/>
    <w:rsid w:val="00551DCF"/>
    <w:rsid w:val="00552033"/>
    <w:rsid w:val="005526D3"/>
    <w:rsid w:val="00552B61"/>
    <w:rsid w:val="00552F09"/>
    <w:rsid w:val="0055323C"/>
    <w:rsid w:val="005532FE"/>
    <w:rsid w:val="005535A0"/>
    <w:rsid w:val="00553BA4"/>
    <w:rsid w:val="005544D4"/>
    <w:rsid w:val="00554633"/>
    <w:rsid w:val="005547DC"/>
    <w:rsid w:val="00554808"/>
    <w:rsid w:val="00554846"/>
    <w:rsid w:val="005550C3"/>
    <w:rsid w:val="0055532F"/>
    <w:rsid w:val="00555820"/>
    <w:rsid w:val="00555857"/>
    <w:rsid w:val="005558A9"/>
    <w:rsid w:val="00555B0D"/>
    <w:rsid w:val="005562E3"/>
    <w:rsid w:val="00556357"/>
    <w:rsid w:val="005567D4"/>
    <w:rsid w:val="00556862"/>
    <w:rsid w:val="00556CBC"/>
    <w:rsid w:val="00556EDB"/>
    <w:rsid w:val="00557628"/>
    <w:rsid w:val="0055780A"/>
    <w:rsid w:val="00557BBC"/>
    <w:rsid w:val="00560033"/>
    <w:rsid w:val="00560115"/>
    <w:rsid w:val="00560B4A"/>
    <w:rsid w:val="00560BC3"/>
    <w:rsid w:val="00560CE6"/>
    <w:rsid w:val="00560D73"/>
    <w:rsid w:val="00560E12"/>
    <w:rsid w:val="0056121A"/>
    <w:rsid w:val="005617A3"/>
    <w:rsid w:val="005617DF"/>
    <w:rsid w:val="005617F4"/>
    <w:rsid w:val="00561B50"/>
    <w:rsid w:val="00561C88"/>
    <w:rsid w:val="00561CAD"/>
    <w:rsid w:val="00561D24"/>
    <w:rsid w:val="00561E9B"/>
    <w:rsid w:val="005627B0"/>
    <w:rsid w:val="00562B19"/>
    <w:rsid w:val="005635BB"/>
    <w:rsid w:val="00563E83"/>
    <w:rsid w:val="00563FEF"/>
    <w:rsid w:val="005641D6"/>
    <w:rsid w:val="0056427A"/>
    <w:rsid w:val="0056429D"/>
    <w:rsid w:val="005642FA"/>
    <w:rsid w:val="00564429"/>
    <w:rsid w:val="00564718"/>
    <w:rsid w:val="00564D8E"/>
    <w:rsid w:val="00564E7B"/>
    <w:rsid w:val="005655A2"/>
    <w:rsid w:val="00565A06"/>
    <w:rsid w:val="00565DEF"/>
    <w:rsid w:val="00566088"/>
    <w:rsid w:val="005663A1"/>
    <w:rsid w:val="00566926"/>
    <w:rsid w:val="00566BB4"/>
    <w:rsid w:val="00567033"/>
    <w:rsid w:val="005672A8"/>
    <w:rsid w:val="005676B9"/>
    <w:rsid w:val="005701DB"/>
    <w:rsid w:val="00570598"/>
    <w:rsid w:val="00571085"/>
    <w:rsid w:val="00571525"/>
    <w:rsid w:val="005718BC"/>
    <w:rsid w:val="0057198F"/>
    <w:rsid w:val="005719CE"/>
    <w:rsid w:val="00571C27"/>
    <w:rsid w:val="00571CD0"/>
    <w:rsid w:val="00571D72"/>
    <w:rsid w:val="00572BF5"/>
    <w:rsid w:val="00572F36"/>
    <w:rsid w:val="0057324A"/>
    <w:rsid w:val="00573260"/>
    <w:rsid w:val="005738A6"/>
    <w:rsid w:val="00574085"/>
    <w:rsid w:val="00574910"/>
    <w:rsid w:val="00575488"/>
    <w:rsid w:val="00575804"/>
    <w:rsid w:val="00575B97"/>
    <w:rsid w:val="00575D9C"/>
    <w:rsid w:val="00576ABE"/>
    <w:rsid w:val="00576ADE"/>
    <w:rsid w:val="00576AFB"/>
    <w:rsid w:val="00576E5F"/>
    <w:rsid w:val="005770BA"/>
    <w:rsid w:val="005772E8"/>
    <w:rsid w:val="00577726"/>
    <w:rsid w:val="00577A35"/>
    <w:rsid w:val="00577A4B"/>
    <w:rsid w:val="00577A6D"/>
    <w:rsid w:val="00577CFD"/>
    <w:rsid w:val="00577DEF"/>
    <w:rsid w:val="00577EE6"/>
    <w:rsid w:val="00580493"/>
    <w:rsid w:val="005811F2"/>
    <w:rsid w:val="00581366"/>
    <w:rsid w:val="005815D0"/>
    <w:rsid w:val="005816FD"/>
    <w:rsid w:val="00581B78"/>
    <w:rsid w:val="00582889"/>
    <w:rsid w:val="00582E05"/>
    <w:rsid w:val="0058334C"/>
    <w:rsid w:val="00583A18"/>
    <w:rsid w:val="00583C7B"/>
    <w:rsid w:val="00583F34"/>
    <w:rsid w:val="005845DB"/>
    <w:rsid w:val="00584B37"/>
    <w:rsid w:val="00584C81"/>
    <w:rsid w:val="005852AF"/>
    <w:rsid w:val="005852D8"/>
    <w:rsid w:val="00585EDB"/>
    <w:rsid w:val="00585FB6"/>
    <w:rsid w:val="005864A6"/>
    <w:rsid w:val="005867A6"/>
    <w:rsid w:val="00586A58"/>
    <w:rsid w:val="005871B5"/>
    <w:rsid w:val="00590DBD"/>
    <w:rsid w:val="00591FDF"/>
    <w:rsid w:val="00592121"/>
    <w:rsid w:val="005923EC"/>
    <w:rsid w:val="005925E3"/>
    <w:rsid w:val="00592829"/>
    <w:rsid w:val="00592FC3"/>
    <w:rsid w:val="00593002"/>
    <w:rsid w:val="005930B2"/>
    <w:rsid w:val="00593A64"/>
    <w:rsid w:val="00593E8D"/>
    <w:rsid w:val="00594734"/>
    <w:rsid w:val="00594808"/>
    <w:rsid w:val="00595157"/>
    <w:rsid w:val="005953D2"/>
    <w:rsid w:val="00595590"/>
    <w:rsid w:val="005955E7"/>
    <w:rsid w:val="00595767"/>
    <w:rsid w:val="00595786"/>
    <w:rsid w:val="005961D0"/>
    <w:rsid w:val="0059640D"/>
    <w:rsid w:val="00596BB4"/>
    <w:rsid w:val="00596F69"/>
    <w:rsid w:val="00597972"/>
    <w:rsid w:val="00597FAB"/>
    <w:rsid w:val="005A0506"/>
    <w:rsid w:val="005A0694"/>
    <w:rsid w:val="005A0C4C"/>
    <w:rsid w:val="005A1723"/>
    <w:rsid w:val="005A1CE3"/>
    <w:rsid w:val="005A1FFF"/>
    <w:rsid w:val="005A2B54"/>
    <w:rsid w:val="005A3026"/>
    <w:rsid w:val="005A3281"/>
    <w:rsid w:val="005A36B0"/>
    <w:rsid w:val="005A3B3F"/>
    <w:rsid w:val="005A4B3F"/>
    <w:rsid w:val="005A4C43"/>
    <w:rsid w:val="005A4E38"/>
    <w:rsid w:val="005A4FE7"/>
    <w:rsid w:val="005A5087"/>
    <w:rsid w:val="005A57D9"/>
    <w:rsid w:val="005A58B4"/>
    <w:rsid w:val="005A59F7"/>
    <w:rsid w:val="005A608D"/>
    <w:rsid w:val="005A621B"/>
    <w:rsid w:val="005A6542"/>
    <w:rsid w:val="005A754C"/>
    <w:rsid w:val="005A7568"/>
    <w:rsid w:val="005A7732"/>
    <w:rsid w:val="005A7932"/>
    <w:rsid w:val="005B0797"/>
    <w:rsid w:val="005B085D"/>
    <w:rsid w:val="005B104C"/>
    <w:rsid w:val="005B1844"/>
    <w:rsid w:val="005B1DBF"/>
    <w:rsid w:val="005B2746"/>
    <w:rsid w:val="005B29D5"/>
    <w:rsid w:val="005B373A"/>
    <w:rsid w:val="005B3C5E"/>
    <w:rsid w:val="005B429E"/>
    <w:rsid w:val="005B44C0"/>
    <w:rsid w:val="005B533C"/>
    <w:rsid w:val="005B5905"/>
    <w:rsid w:val="005B5957"/>
    <w:rsid w:val="005B59B8"/>
    <w:rsid w:val="005B5BEA"/>
    <w:rsid w:val="005B5DED"/>
    <w:rsid w:val="005B61AD"/>
    <w:rsid w:val="005B61EA"/>
    <w:rsid w:val="005B6B2B"/>
    <w:rsid w:val="005B6DD7"/>
    <w:rsid w:val="005B6EE8"/>
    <w:rsid w:val="005B7721"/>
    <w:rsid w:val="005B7C92"/>
    <w:rsid w:val="005B7CDD"/>
    <w:rsid w:val="005C006B"/>
    <w:rsid w:val="005C0647"/>
    <w:rsid w:val="005C0924"/>
    <w:rsid w:val="005C137F"/>
    <w:rsid w:val="005C19A7"/>
    <w:rsid w:val="005C1FBD"/>
    <w:rsid w:val="005C2085"/>
    <w:rsid w:val="005C2445"/>
    <w:rsid w:val="005C26F9"/>
    <w:rsid w:val="005C2881"/>
    <w:rsid w:val="005C3864"/>
    <w:rsid w:val="005C3A10"/>
    <w:rsid w:val="005C407E"/>
    <w:rsid w:val="005C4422"/>
    <w:rsid w:val="005C4817"/>
    <w:rsid w:val="005C4E15"/>
    <w:rsid w:val="005C5619"/>
    <w:rsid w:val="005C5DAE"/>
    <w:rsid w:val="005C6286"/>
    <w:rsid w:val="005C66B0"/>
    <w:rsid w:val="005C672F"/>
    <w:rsid w:val="005C6784"/>
    <w:rsid w:val="005C6936"/>
    <w:rsid w:val="005C6A66"/>
    <w:rsid w:val="005C6DA4"/>
    <w:rsid w:val="005C70BC"/>
    <w:rsid w:val="005C793C"/>
    <w:rsid w:val="005C7975"/>
    <w:rsid w:val="005C7FA5"/>
    <w:rsid w:val="005D0057"/>
    <w:rsid w:val="005D0A76"/>
    <w:rsid w:val="005D0BC0"/>
    <w:rsid w:val="005D1127"/>
    <w:rsid w:val="005D2471"/>
    <w:rsid w:val="005D2A03"/>
    <w:rsid w:val="005D300C"/>
    <w:rsid w:val="005D318F"/>
    <w:rsid w:val="005D328F"/>
    <w:rsid w:val="005D33A9"/>
    <w:rsid w:val="005D36F1"/>
    <w:rsid w:val="005D3727"/>
    <w:rsid w:val="005D3CE1"/>
    <w:rsid w:val="005D3FBF"/>
    <w:rsid w:val="005D52B5"/>
    <w:rsid w:val="005D532F"/>
    <w:rsid w:val="005D5740"/>
    <w:rsid w:val="005D5BA1"/>
    <w:rsid w:val="005D5C5A"/>
    <w:rsid w:val="005D6059"/>
    <w:rsid w:val="005D697E"/>
    <w:rsid w:val="005D6AD7"/>
    <w:rsid w:val="005D6D93"/>
    <w:rsid w:val="005E0760"/>
    <w:rsid w:val="005E0A63"/>
    <w:rsid w:val="005E0CCA"/>
    <w:rsid w:val="005E112E"/>
    <w:rsid w:val="005E1A2C"/>
    <w:rsid w:val="005E1C71"/>
    <w:rsid w:val="005E1C88"/>
    <w:rsid w:val="005E2240"/>
    <w:rsid w:val="005E2762"/>
    <w:rsid w:val="005E289F"/>
    <w:rsid w:val="005E2A12"/>
    <w:rsid w:val="005E2D9B"/>
    <w:rsid w:val="005E3643"/>
    <w:rsid w:val="005E38BD"/>
    <w:rsid w:val="005E3975"/>
    <w:rsid w:val="005E451D"/>
    <w:rsid w:val="005E48AC"/>
    <w:rsid w:val="005E49B2"/>
    <w:rsid w:val="005E5B05"/>
    <w:rsid w:val="005E6358"/>
    <w:rsid w:val="005E63D0"/>
    <w:rsid w:val="005E656E"/>
    <w:rsid w:val="005E66AD"/>
    <w:rsid w:val="005E67C9"/>
    <w:rsid w:val="005E6C3F"/>
    <w:rsid w:val="005E747B"/>
    <w:rsid w:val="005F0017"/>
    <w:rsid w:val="005F0030"/>
    <w:rsid w:val="005F0389"/>
    <w:rsid w:val="005F0AE8"/>
    <w:rsid w:val="005F0E36"/>
    <w:rsid w:val="005F1007"/>
    <w:rsid w:val="005F11C4"/>
    <w:rsid w:val="005F16CE"/>
    <w:rsid w:val="005F1FD6"/>
    <w:rsid w:val="005F2515"/>
    <w:rsid w:val="005F2533"/>
    <w:rsid w:val="005F2A6B"/>
    <w:rsid w:val="005F2C97"/>
    <w:rsid w:val="005F2D53"/>
    <w:rsid w:val="005F2FD3"/>
    <w:rsid w:val="005F3366"/>
    <w:rsid w:val="005F35E8"/>
    <w:rsid w:val="005F3EC8"/>
    <w:rsid w:val="005F40C1"/>
    <w:rsid w:val="005F4586"/>
    <w:rsid w:val="005F4826"/>
    <w:rsid w:val="005F50FB"/>
    <w:rsid w:val="005F526D"/>
    <w:rsid w:val="005F5446"/>
    <w:rsid w:val="005F59B5"/>
    <w:rsid w:val="005F5C57"/>
    <w:rsid w:val="005F5CE9"/>
    <w:rsid w:val="005F6A18"/>
    <w:rsid w:val="005F6FC4"/>
    <w:rsid w:val="005F7110"/>
    <w:rsid w:val="005F73E1"/>
    <w:rsid w:val="005F79B8"/>
    <w:rsid w:val="005F7C0B"/>
    <w:rsid w:val="005F7F1B"/>
    <w:rsid w:val="00600877"/>
    <w:rsid w:val="006008BF"/>
    <w:rsid w:val="006008E0"/>
    <w:rsid w:val="0060097C"/>
    <w:rsid w:val="00600A39"/>
    <w:rsid w:val="00600B26"/>
    <w:rsid w:val="0060109D"/>
    <w:rsid w:val="0060115D"/>
    <w:rsid w:val="00602071"/>
    <w:rsid w:val="00602437"/>
    <w:rsid w:val="006024D3"/>
    <w:rsid w:val="00602941"/>
    <w:rsid w:val="00602F06"/>
    <w:rsid w:val="00603370"/>
    <w:rsid w:val="00603636"/>
    <w:rsid w:val="00603B6F"/>
    <w:rsid w:val="006045C1"/>
    <w:rsid w:val="006046D8"/>
    <w:rsid w:val="00604745"/>
    <w:rsid w:val="006052F2"/>
    <w:rsid w:val="00605B55"/>
    <w:rsid w:val="00605D3A"/>
    <w:rsid w:val="00606051"/>
    <w:rsid w:val="0060646B"/>
    <w:rsid w:val="00606E9B"/>
    <w:rsid w:val="00606EF9"/>
    <w:rsid w:val="00606F71"/>
    <w:rsid w:val="0060706A"/>
    <w:rsid w:val="00607758"/>
    <w:rsid w:val="00607EAC"/>
    <w:rsid w:val="0061033E"/>
    <w:rsid w:val="00610582"/>
    <w:rsid w:val="00610674"/>
    <w:rsid w:val="00610D5E"/>
    <w:rsid w:val="006110E8"/>
    <w:rsid w:val="006112E3"/>
    <w:rsid w:val="00611C86"/>
    <w:rsid w:val="0061200B"/>
    <w:rsid w:val="006122A3"/>
    <w:rsid w:val="006129E4"/>
    <w:rsid w:val="00612A64"/>
    <w:rsid w:val="006132BE"/>
    <w:rsid w:val="00613467"/>
    <w:rsid w:val="00613512"/>
    <w:rsid w:val="00613FCE"/>
    <w:rsid w:val="00614047"/>
    <w:rsid w:val="006143F1"/>
    <w:rsid w:val="006147B1"/>
    <w:rsid w:val="00614BAE"/>
    <w:rsid w:val="0061504F"/>
    <w:rsid w:val="00615225"/>
    <w:rsid w:val="0061546E"/>
    <w:rsid w:val="006156FD"/>
    <w:rsid w:val="00615E5C"/>
    <w:rsid w:val="00616887"/>
    <w:rsid w:val="00616B14"/>
    <w:rsid w:val="00616C56"/>
    <w:rsid w:val="00616E08"/>
    <w:rsid w:val="00617213"/>
    <w:rsid w:val="00617CCF"/>
    <w:rsid w:val="00617F5C"/>
    <w:rsid w:val="00620223"/>
    <w:rsid w:val="0062027A"/>
    <w:rsid w:val="00620A83"/>
    <w:rsid w:val="00620DF2"/>
    <w:rsid w:val="0062279A"/>
    <w:rsid w:val="00622DC5"/>
    <w:rsid w:val="0062305B"/>
    <w:rsid w:val="00623092"/>
    <w:rsid w:val="006233F6"/>
    <w:rsid w:val="00623454"/>
    <w:rsid w:val="0062398E"/>
    <w:rsid w:val="00624315"/>
    <w:rsid w:val="006245AB"/>
    <w:rsid w:val="006245C7"/>
    <w:rsid w:val="00624778"/>
    <w:rsid w:val="00624A23"/>
    <w:rsid w:val="00624A30"/>
    <w:rsid w:val="00624B4F"/>
    <w:rsid w:val="00624B67"/>
    <w:rsid w:val="0062545B"/>
    <w:rsid w:val="0062552A"/>
    <w:rsid w:val="006256B5"/>
    <w:rsid w:val="00625D43"/>
    <w:rsid w:val="0062646F"/>
    <w:rsid w:val="0062665F"/>
    <w:rsid w:val="0062726F"/>
    <w:rsid w:val="006273A8"/>
    <w:rsid w:val="00627C70"/>
    <w:rsid w:val="00627CBD"/>
    <w:rsid w:val="00630496"/>
    <w:rsid w:val="00630F6D"/>
    <w:rsid w:val="006312E6"/>
    <w:rsid w:val="00631605"/>
    <w:rsid w:val="00631B16"/>
    <w:rsid w:val="00631EB8"/>
    <w:rsid w:val="00632BF0"/>
    <w:rsid w:val="00632D04"/>
    <w:rsid w:val="0063322D"/>
    <w:rsid w:val="006332BE"/>
    <w:rsid w:val="006333C5"/>
    <w:rsid w:val="0063476D"/>
    <w:rsid w:val="00634891"/>
    <w:rsid w:val="00634E03"/>
    <w:rsid w:val="00634FDA"/>
    <w:rsid w:val="006352BB"/>
    <w:rsid w:val="0063554C"/>
    <w:rsid w:val="00636D93"/>
    <w:rsid w:val="0063756A"/>
    <w:rsid w:val="0063757D"/>
    <w:rsid w:val="00637592"/>
    <w:rsid w:val="006375B5"/>
    <w:rsid w:val="00637C5B"/>
    <w:rsid w:val="0064072C"/>
    <w:rsid w:val="006408C3"/>
    <w:rsid w:val="00640E65"/>
    <w:rsid w:val="00641117"/>
    <w:rsid w:val="006415E5"/>
    <w:rsid w:val="006417E1"/>
    <w:rsid w:val="00641A3C"/>
    <w:rsid w:val="00641C85"/>
    <w:rsid w:val="00641F9D"/>
    <w:rsid w:val="006428AF"/>
    <w:rsid w:val="0064290C"/>
    <w:rsid w:val="00642A58"/>
    <w:rsid w:val="00642BAF"/>
    <w:rsid w:val="0064344A"/>
    <w:rsid w:val="006436B7"/>
    <w:rsid w:val="00643AFE"/>
    <w:rsid w:val="006448C0"/>
    <w:rsid w:val="00644A27"/>
    <w:rsid w:val="00644B1E"/>
    <w:rsid w:val="00644C9E"/>
    <w:rsid w:val="00645051"/>
    <w:rsid w:val="006452D4"/>
    <w:rsid w:val="006454BB"/>
    <w:rsid w:val="00645791"/>
    <w:rsid w:val="00645AB3"/>
    <w:rsid w:val="00645FD1"/>
    <w:rsid w:val="0064620D"/>
    <w:rsid w:val="0064719A"/>
    <w:rsid w:val="00647486"/>
    <w:rsid w:val="00647E02"/>
    <w:rsid w:val="006514AD"/>
    <w:rsid w:val="006516B0"/>
    <w:rsid w:val="006519DF"/>
    <w:rsid w:val="00651C07"/>
    <w:rsid w:val="00651F6F"/>
    <w:rsid w:val="0065226B"/>
    <w:rsid w:val="006525DF"/>
    <w:rsid w:val="00652A12"/>
    <w:rsid w:val="00653597"/>
    <w:rsid w:val="00654051"/>
    <w:rsid w:val="006545E6"/>
    <w:rsid w:val="00654797"/>
    <w:rsid w:val="006547C4"/>
    <w:rsid w:val="00655158"/>
    <w:rsid w:val="0065563C"/>
    <w:rsid w:val="006556B2"/>
    <w:rsid w:val="00656009"/>
    <w:rsid w:val="006564AA"/>
    <w:rsid w:val="00656559"/>
    <w:rsid w:val="006568AF"/>
    <w:rsid w:val="00656A27"/>
    <w:rsid w:val="00656D1D"/>
    <w:rsid w:val="00657754"/>
    <w:rsid w:val="00657CA8"/>
    <w:rsid w:val="00657FC6"/>
    <w:rsid w:val="006600C0"/>
    <w:rsid w:val="00660122"/>
    <w:rsid w:val="006604E5"/>
    <w:rsid w:val="0066127A"/>
    <w:rsid w:val="0066177D"/>
    <w:rsid w:val="006618AA"/>
    <w:rsid w:val="00661977"/>
    <w:rsid w:val="00661E25"/>
    <w:rsid w:val="00662892"/>
    <w:rsid w:val="006629DB"/>
    <w:rsid w:val="00662DFF"/>
    <w:rsid w:val="00663025"/>
    <w:rsid w:val="006632E6"/>
    <w:rsid w:val="006634D2"/>
    <w:rsid w:val="00664356"/>
    <w:rsid w:val="006645AA"/>
    <w:rsid w:val="006651A3"/>
    <w:rsid w:val="006651D5"/>
    <w:rsid w:val="0066527A"/>
    <w:rsid w:val="0066528E"/>
    <w:rsid w:val="006658AA"/>
    <w:rsid w:val="00665FC6"/>
    <w:rsid w:val="006665E1"/>
    <w:rsid w:val="006668D4"/>
    <w:rsid w:val="00666AED"/>
    <w:rsid w:val="00667104"/>
    <w:rsid w:val="0066737D"/>
    <w:rsid w:val="006673CF"/>
    <w:rsid w:val="00667B00"/>
    <w:rsid w:val="00667CBF"/>
    <w:rsid w:val="00667E00"/>
    <w:rsid w:val="00670642"/>
    <w:rsid w:val="00670EE9"/>
    <w:rsid w:val="0067157E"/>
    <w:rsid w:val="006717C3"/>
    <w:rsid w:val="006718A3"/>
    <w:rsid w:val="006719A9"/>
    <w:rsid w:val="00671A48"/>
    <w:rsid w:val="00671C25"/>
    <w:rsid w:val="00672105"/>
    <w:rsid w:val="00672120"/>
    <w:rsid w:val="00672285"/>
    <w:rsid w:val="00672CBC"/>
    <w:rsid w:val="0067327D"/>
    <w:rsid w:val="00673352"/>
    <w:rsid w:val="00673843"/>
    <w:rsid w:val="00673ADC"/>
    <w:rsid w:val="00673BD4"/>
    <w:rsid w:val="0067447B"/>
    <w:rsid w:val="00674568"/>
    <w:rsid w:val="00674912"/>
    <w:rsid w:val="00674D73"/>
    <w:rsid w:val="006759C9"/>
    <w:rsid w:val="00675CD7"/>
    <w:rsid w:val="00675F8F"/>
    <w:rsid w:val="00676E15"/>
    <w:rsid w:val="006770D5"/>
    <w:rsid w:val="006775A6"/>
    <w:rsid w:val="00677DF7"/>
    <w:rsid w:val="00680C9F"/>
    <w:rsid w:val="00681215"/>
    <w:rsid w:val="00681A68"/>
    <w:rsid w:val="00681AB5"/>
    <w:rsid w:val="00681C0E"/>
    <w:rsid w:val="00681C5B"/>
    <w:rsid w:val="00682390"/>
    <w:rsid w:val="006823F7"/>
    <w:rsid w:val="0068243E"/>
    <w:rsid w:val="006827AD"/>
    <w:rsid w:val="006829D1"/>
    <w:rsid w:val="00682F9C"/>
    <w:rsid w:val="0068326A"/>
    <w:rsid w:val="0068368C"/>
    <w:rsid w:val="006836F0"/>
    <w:rsid w:val="0068399D"/>
    <w:rsid w:val="00684131"/>
    <w:rsid w:val="00684374"/>
    <w:rsid w:val="0068446B"/>
    <w:rsid w:val="00685C44"/>
    <w:rsid w:val="00685CFC"/>
    <w:rsid w:val="00685F7B"/>
    <w:rsid w:val="00685FF9"/>
    <w:rsid w:val="0068650C"/>
    <w:rsid w:val="00686A71"/>
    <w:rsid w:val="006871A1"/>
    <w:rsid w:val="00687D6F"/>
    <w:rsid w:val="006903CA"/>
    <w:rsid w:val="0069123E"/>
    <w:rsid w:val="006915FC"/>
    <w:rsid w:val="00691913"/>
    <w:rsid w:val="00691BC4"/>
    <w:rsid w:val="0069211C"/>
    <w:rsid w:val="006926D5"/>
    <w:rsid w:val="006927DA"/>
    <w:rsid w:val="0069311B"/>
    <w:rsid w:val="00693399"/>
    <w:rsid w:val="00693671"/>
    <w:rsid w:val="006936DA"/>
    <w:rsid w:val="00693E9C"/>
    <w:rsid w:val="00694059"/>
    <w:rsid w:val="00694086"/>
    <w:rsid w:val="00694434"/>
    <w:rsid w:val="0069459A"/>
    <w:rsid w:val="0069459C"/>
    <w:rsid w:val="00694F6F"/>
    <w:rsid w:val="00695B00"/>
    <w:rsid w:val="00696842"/>
    <w:rsid w:val="00696919"/>
    <w:rsid w:val="0069791F"/>
    <w:rsid w:val="00697DC4"/>
    <w:rsid w:val="006A0598"/>
    <w:rsid w:val="006A0C47"/>
    <w:rsid w:val="006A0DD1"/>
    <w:rsid w:val="006A138B"/>
    <w:rsid w:val="006A1569"/>
    <w:rsid w:val="006A15B9"/>
    <w:rsid w:val="006A1BAB"/>
    <w:rsid w:val="006A1FBD"/>
    <w:rsid w:val="006A20F1"/>
    <w:rsid w:val="006A239A"/>
    <w:rsid w:val="006A23E5"/>
    <w:rsid w:val="006A24EC"/>
    <w:rsid w:val="006A3003"/>
    <w:rsid w:val="006A3339"/>
    <w:rsid w:val="006A358C"/>
    <w:rsid w:val="006A3862"/>
    <w:rsid w:val="006A3C87"/>
    <w:rsid w:val="006A3E2C"/>
    <w:rsid w:val="006A3EAD"/>
    <w:rsid w:val="006A3FF5"/>
    <w:rsid w:val="006A630D"/>
    <w:rsid w:val="006A644D"/>
    <w:rsid w:val="006A6899"/>
    <w:rsid w:val="006A6E77"/>
    <w:rsid w:val="006A7017"/>
    <w:rsid w:val="006A79F7"/>
    <w:rsid w:val="006A7C6C"/>
    <w:rsid w:val="006B0480"/>
    <w:rsid w:val="006B0865"/>
    <w:rsid w:val="006B0D16"/>
    <w:rsid w:val="006B0FBF"/>
    <w:rsid w:val="006B1140"/>
    <w:rsid w:val="006B1161"/>
    <w:rsid w:val="006B126A"/>
    <w:rsid w:val="006B140A"/>
    <w:rsid w:val="006B1C51"/>
    <w:rsid w:val="006B26D7"/>
    <w:rsid w:val="006B32AB"/>
    <w:rsid w:val="006B32AD"/>
    <w:rsid w:val="006B33D9"/>
    <w:rsid w:val="006B35F8"/>
    <w:rsid w:val="006B37FB"/>
    <w:rsid w:val="006B44EE"/>
    <w:rsid w:val="006B53A7"/>
    <w:rsid w:val="006B5569"/>
    <w:rsid w:val="006B5D29"/>
    <w:rsid w:val="006B5F54"/>
    <w:rsid w:val="006B6044"/>
    <w:rsid w:val="006B6C78"/>
    <w:rsid w:val="006B6DE4"/>
    <w:rsid w:val="006B7612"/>
    <w:rsid w:val="006B7C07"/>
    <w:rsid w:val="006B7FCF"/>
    <w:rsid w:val="006C014A"/>
    <w:rsid w:val="006C026E"/>
    <w:rsid w:val="006C03C7"/>
    <w:rsid w:val="006C0974"/>
    <w:rsid w:val="006C0B1C"/>
    <w:rsid w:val="006C0E87"/>
    <w:rsid w:val="006C1938"/>
    <w:rsid w:val="006C26D8"/>
    <w:rsid w:val="006C27C1"/>
    <w:rsid w:val="006C28EF"/>
    <w:rsid w:val="006C2B2D"/>
    <w:rsid w:val="006C318F"/>
    <w:rsid w:val="006C3486"/>
    <w:rsid w:val="006C35C7"/>
    <w:rsid w:val="006C385F"/>
    <w:rsid w:val="006C3942"/>
    <w:rsid w:val="006C4331"/>
    <w:rsid w:val="006C46C4"/>
    <w:rsid w:val="006C4906"/>
    <w:rsid w:val="006C4A95"/>
    <w:rsid w:val="006C504B"/>
    <w:rsid w:val="006C6910"/>
    <w:rsid w:val="006C6AA6"/>
    <w:rsid w:val="006C6AA7"/>
    <w:rsid w:val="006C7D5E"/>
    <w:rsid w:val="006D0E27"/>
    <w:rsid w:val="006D1234"/>
    <w:rsid w:val="006D12C3"/>
    <w:rsid w:val="006D1A18"/>
    <w:rsid w:val="006D1C6D"/>
    <w:rsid w:val="006D216D"/>
    <w:rsid w:val="006D25C7"/>
    <w:rsid w:val="006D27D4"/>
    <w:rsid w:val="006D2C1E"/>
    <w:rsid w:val="006D2DB1"/>
    <w:rsid w:val="006D30D4"/>
    <w:rsid w:val="006D3271"/>
    <w:rsid w:val="006D33C5"/>
    <w:rsid w:val="006D3409"/>
    <w:rsid w:val="006D3529"/>
    <w:rsid w:val="006D35B7"/>
    <w:rsid w:val="006D3907"/>
    <w:rsid w:val="006D3A08"/>
    <w:rsid w:val="006D4164"/>
    <w:rsid w:val="006D4E1F"/>
    <w:rsid w:val="006D574B"/>
    <w:rsid w:val="006D57B5"/>
    <w:rsid w:val="006D5C0C"/>
    <w:rsid w:val="006D5D03"/>
    <w:rsid w:val="006D5F43"/>
    <w:rsid w:val="006D7B5D"/>
    <w:rsid w:val="006D7D25"/>
    <w:rsid w:val="006E021F"/>
    <w:rsid w:val="006E0B6E"/>
    <w:rsid w:val="006E15DD"/>
    <w:rsid w:val="006E1E20"/>
    <w:rsid w:val="006E3017"/>
    <w:rsid w:val="006E4561"/>
    <w:rsid w:val="006E4A0A"/>
    <w:rsid w:val="006E5431"/>
    <w:rsid w:val="006E5B14"/>
    <w:rsid w:val="006E5C8F"/>
    <w:rsid w:val="006E5E81"/>
    <w:rsid w:val="006E5ED2"/>
    <w:rsid w:val="006E614D"/>
    <w:rsid w:val="006E62EC"/>
    <w:rsid w:val="006E6E3F"/>
    <w:rsid w:val="006E7302"/>
    <w:rsid w:val="006E7936"/>
    <w:rsid w:val="006E7D1D"/>
    <w:rsid w:val="006F133C"/>
    <w:rsid w:val="006F161E"/>
    <w:rsid w:val="006F176D"/>
    <w:rsid w:val="006F1BB3"/>
    <w:rsid w:val="006F1F48"/>
    <w:rsid w:val="006F2156"/>
    <w:rsid w:val="006F21CC"/>
    <w:rsid w:val="006F2216"/>
    <w:rsid w:val="006F283B"/>
    <w:rsid w:val="006F2B2F"/>
    <w:rsid w:val="006F350A"/>
    <w:rsid w:val="006F38B8"/>
    <w:rsid w:val="006F42F4"/>
    <w:rsid w:val="006F4629"/>
    <w:rsid w:val="006F4794"/>
    <w:rsid w:val="006F5B00"/>
    <w:rsid w:val="006F5D71"/>
    <w:rsid w:val="006F5D87"/>
    <w:rsid w:val="006F6378"/>
    <w:rsid w:val="006F6C47"/>
    <w:rsid w:val="006F6C9D"/>
    <w:rsid w:val="006F6D91"/>
    <w:rsid w:val="006F6FC5"/>
    <w:rsid w:val="006F74D6"/>
    <w:rsid w:val="00700159"/>
    <w:rsid w:val="0070021F"/>
    <w:rsid w:val="00700FE7"/>
    <w:rsid w:val="007024C4"/>
    <w:rsid w:val="00702C5C"/>
    <w:rsid w:val="00703418"/>
    <w:rsid w:val="0070344C"/>
    <w:rsid w:val="007061AA"/>
    <w:rsid w:val="007063D3"/>
    <w:rsid w:val="007068A4"/>
    <w:rsid w:val="00706A16"/>
    <w:rsid w:val="007072AC"/>
    <w:rsid w:val="007077B0"/>
    <w:rsid w:val="007102B6"/>
    <w:rsid w:val="00710485"/>
    <w:rsid w:val="007109D8"/>
    <w:rsid w:val="00710BB9"/>
    <w:rsid w:val="0071159C"/>
    <w:rsid w:val="007115E8"/>
    <w:rsid w:val="00711972"/>
    <w:rsid w:val="00711D2B"/>
    <w:rsid w:val="00712277"/>
    <w:rsid w:val="007122F0"/>
    <w:rsid w:val="00712C73"/>
    <w:rsid w:val="007133CE"/>
    <w:rsid w:val="007135A2"/>
    <w:rsid w:val="0071362E"/>
    <w:rsid w:val="0071408E"/>
    <w:rsid w:val="007145CA"/>
    <w:rsid w:val="00714600"/>
    <w:rsid w:val="00714A63"/>
    <w:rsid w:val="00714E0D"/>
    <w:rsid w:val="00714E57"/>
    <w:rsid w:val="00715033"/>
    <w:rsid w:val="007150E0"/>
    <w:rsid w:val="00716A95"/>
    <w:rsid w:val="007174AC"/>
    <w:rsid w:val="00717BBA"/>
    <w:rsid w:val="00717C8E"/>
    <w:rsid w:val="00717F4B"/>
    <w:rsid w:val="0072010A"/>
    <w:rsid w:val="007205A1"/>
    <w:rsid w:val="0072067B"/>
    <w:rsid w:val="00720A89"/>
    <w:rsid w:val="00720E59"/>
    <w:rsid w:val="00721327"/>
    <w:rsid w:val="00721551"/>
    <w:rsid w:val="00721A28"/>
    <w:rsid w:val="00721ED9"/>
    <w:rsid w:val="00722107"/>
    <w:rsid w:val="007223E8"/>
    <w:rsid w:val="00722446"/>
    <w:rsid w:val="007228D4"/>
    <w:rsid w:val="00723171"/>
    <w:rsid w:val="0072319F"/>
    <w:rsid w:val="0072327C"/>
    <w:rsid w:val="00723497"/>
    <w:rsid w:val="00723807"/>
    <w:rsid w:val="00723E1E"/>
    <w:rsid w:val="00723E54"/>
    <w:rsid w:val="00723FED"/>
    <w:rsid w:val="00724161"/>
    <w:rsid w:val="007249BA"/>
    <w:rsid w:val="00724CF9"/>
    <w:rsid w:val="00725106"/>
    <w:rsid w:val="007251B6"/>
    <w:rsid w:val="00725477"/>
    <w:rsid w:val="0072582A"/>
    <w:rsid w:val="00725B65"/>
    <w:rsid w:val="00726251"/>
    <w:rsid w:val="0072685C"/>
    <w:rsid w:val="0072685D"/>
    <w:rsid w:val="0072735B"/>
    <w:rsid w:val="00727361"/>
    <w:rsid w:val="00727422"/>
    <w:rsid w:val="007276B4"/>
    <w:rsid w:val="00727746"/>
    <w:rsid w:val="007277FC"/>
    <w:rsid w:val="00727978"/>
    <w:rsid w:val="00730D7F"/>
    <w:rsid w:val="0073103A"/>
    <w:rsid w:val="00731D94"/>
    <w:rsid w:val="00731FB0"/>
    <w:rsid w:val="00732201"/>
    <w:rsid w:val="00732596"/>
    <w:rsid w:val="00732608"/>
    <w:rsid w:val="007326C9"/>
    <w:rsid w:val="007330A5"/>
    <w:rsid w:val="007332EB"/>
    <w:rsid w:val="007334FD"/>
    <w:rsid w:val="0073417B"/>
    <w:rsid w:val="00734424"/>
    <w:rsid w:val="007344B3"/>
    <w:rsid w:val="00734794"/>
    <w:rsid w:val="007350C5"/>
    <w:rsid w:val="00735846"/>
    <w:rsid w:val="00735AF8"/>
    <w:rsid w:val="00735DE6"/>
    <w:rsid w:val="00735E70"/>
    <w:rsid w:val="00735F47"/>
    <w:rsid w:val="00735FE3"/>
    <w:rsid w:val="00736441"/>
    <w:rsid w:val="00736BD1"/>
    <w:rsid w:val="007372AA"/>
    <w:rsid w:val="00737B05"/>
    <w:rsid w:val="00737DDD"/>
    <w:rsid w:val="00740114"/>
    <w:rsid w:val="007401E9"/>
    <w:rsid w:val="0074029C"/>
    <w:rsid w:val="007408F2"/>
    <w:rsid w:val="00740B43"/>
    <w:rsid w:val="00740C0F"/>
    <w:rsid w:val="00740C58"/>
    <w:rsid w:val="007414BF"/>
    <w:rsid w:val="00741A8D"/>
    <w:rsid w:val="00741E78"/>
    <w:rsid w:val="007428E4"/>
    <w:rsid w:val="0074307B"/>
    <w:rsid w:val="007431E2"/>
    <w:rsid w:val="0074327C"/>
    <w:rsid w:val="0074339C"/>
    <w:rsid w:val="00743B7A"/>
    <w:rsid w:val="00743B80"/>
    <w:rsid w:val="00744331"/>
    <w:rsid w:val="00745603"/>
    <w:rsid w:val="00745827"/>
    <w:rsid w:val="00745AEC"/>
    <w:rsid w:val="00746342"/>
    <w:rsid w:val="0074656B"/>
    <w:rsid w:val="0074657B"/>
    <w:rsid w:val="00747380"/>
    <w:rsid w:val="00747C80"/>
    <w:rsid w:val="00747D15"/>
    <w:rsid w:val="007503C5"/>
    <w:rsid w:val="00750420"/>
    <w:rsid w:val="00750448"/>
    <w:rsid w:val="0075082C"/>
    <w:rsid w:val="007509A6"/>
    <w:rsid w:val="00750B5A"/>
    <w:rsid w:val="00750BFD"/>
    <w:rsid w:val="00750E8B"/>
    <w:rsid w:val="00750EA8"/>
    <w:rsid w:val="00751C6B"/>
    <w:rsid w:val="00751F15"/>
    <w:rsid w:val="00752AEA"/>
    <w:rsid w:val="00752DAE"/>
    <w:rsid w:val="007535A4"/>
    <w:rsid w:val="00753883"/>
    <w:rsid w:val="00753FC7"/>
    <w:rsid w:val="00754897"/>
    <w:rsid w:val="00754E85"/>
    <w:rsid w:val="00754EB1"/>
    <w:rsid w:val="007558C5"/>
    <w:rsid w:val="007558FA"/>
    <w:rsid w:val="00755BBA"/>
    <w:rsid w:val="00755FA6"/>
    <w:rsid w:val="0075636D"/>
    <w:rsid w:val="007564B3"/>
    <w:rsid w:val="00756501"/>
    <w:rsid w:val="00756A00"/>
    <w:rsid w:val="00756A80"/>
    <w:rsid w:val="00756AD4"/>
    <w:rsid w:val="00757C7E"/>
    <w:rsid w:val="0076020C"/>
    <w:rsid w:val="0076098F"/>
    <w:rsid w:val="007612D3"/>
    <w:rsid w:val="00761551"/>
    <w:rsid w:val="00761A4D"/>
    <w:rsid w:val="00761C18"/>
    <w:rsid w:val="00762373"/>
    <w:rsid w:val="00762583"/>
    <w:rsid w:val="00762905"/>
    <w:rsid w:val="00763900"/>
    <w:rsid w:val="00763AF1"/>
    <w:rsid w:val="0076446C"/>
    <w:rsid w:val="00764FE0"/>
    <w:rsid w:val="00765C4B"/>
    <w:rsid w:val="00765D6E"/>
    <w:rsid w:val="0076647A"/>
    <w:rsid w:val="00766A0A"/>
    <w:rsid w:val="00766EAD"/>
    <w:rsid w:val="00766F72"/>
    <w:rsid w:val="00767996"/>
    <w:rsid w:val="00770966"/>
    <w:rsid w:val="00770C93"/>
    <w:rsid w:val="00771DAF"/>
    <w:rsid w:val="00771DDF"/>
    <w:rsid w:val="00772113"/>
    <w:rsid w:val="007724F8"/>
    <w:rsid w:val="00772BD7"/>
    <w:rsid w:val="00772C70"/>
    <w:rsid w:val="00772D45"/>
    <w:rsid w:val="00773066"/>
    <w:rsid w:val="007732F5"/>
    <w:rsid w:val="00773880"/>
    <w:rsid w:val="00773912"/>
    <w:rsid w:val="00773D8D"/>
    <w:rsid w:val="007748A6"/>
    <w:rsid w:val="00774981"/>
    <w:rsid w:val="0077548D"/>
    <w:rsid w:val="00775B35"/>
    <w:rsid w:val="007766B4"/>
    <w:rsid w:val="00780892"/>
    <w:rsid w:val="00780921"/>
    <w:rsid w:val="00781148"/>
    <w:rsid w:val="00781777"/>
    <w:rsid w:val="00781C37"/>
    <w:rsid w:val="00781EC7"/>
    <w:rsid w:val="00781F4B"/>
    <w:rsid w:val="00782104"/>
    <w:rsid w:val="0078218C"/>
    <w:rsid w:val="0078286A"/>
    <w:rsid w:val="007828EC"/>
    <w:rsid w:val="00782BE3"/>
    <w:rsid w:val="00782E23"/>
    <w:rsid w:val="007831F9"/>
    <w:rsid w:val="007847FA"/>
    <w:rsid w:val="00784922"/>
    <w:rsid w:val="00785094"/>
    <w:rsid w:val="007850F4"/>
    <w:rsid w:val="00785408"/>
    <w:rsid w:val="00785413"/>
    <w:rsid w:val="00785B4E"/>
    <w:rsid w:val="00786243"/>
    <w:rsid w:val="00786BD6"/>
    <w:rsid w:val="007871E8"/>
    <w:rsid w:val="00787301"/>
    <w:rsid w:val="00787332"/>
    <w:rsid w:val="007879A1"/>
    <w:rsid w:val="0079004D"/>
    <w:rsid w:val="00790910"/>
    <w:rsid w:val="00790C20"/>
    <w:rsid w:val="00790E3B"/>
    <w:rsid w:val="00790EB9"/>
    <w:rsid w:val="007911B9"/>
    <w:rsid w:val="00791244"/>
    <w:rsid w:val="00791DE1"/>
    <w:rsid w:val="0079336E"/>
    <w:rsid w:val="00793426"/>
    <w:rsid w:val="007934EC"/>
    <w:rsid w:val="0079375E"/>
    <w:rsid w:val="00793BEA"/>
    <w:rsid w:val="00794220"/>
    <w:rsid w:val="00794BF1"/>
    <w:rsid w:val="0079515E"/>
    <w:rsid w:val="007953DF"/>
    <w:rsid w:val="00795607"/>
    <w:rsid w:val="00795DF2"/>
    <w:rsid w:val="00795E0C"/>
    <w:rsid w:val="00795F43"/>
    <w:rsid w:val="00796422"/>
    <w:rsid w:val="00797A25"/>
    <w:rsid w:val="00797BB2"/>
    <w:rsid w:val="00797D36"/>
    <w:rsid w:val="007A0667"/>
    <w:rsid w:val="007A0C10"/>
    <w:rsid w:val="007A0C94"/>
    <w:rsid w:val="007A15B8"/>
    <w:rsid w:val="007A1AEB"/>
    <w:rsid w:val="007A1D40"/>
    <w:rsid w:val="007A2130"/>
    <w:rsid w:val="007A2961"/>
    <w:rsid w:val="007A2E76"/>
    <w:rsid w:val="007A30C0"/>
    <w:rsid w:val="007A321D"/>
    <w:rsid w:val="007A37EA"/>
    <w:rsid w:val="007A396E"/>
    <w:rsid w:val="007A3A8C"/>
    <w:rsid w:val="007A3C51"/>
    <w:rsid w:val="007A3C62"/>
    <w:rsid w:val="007A3DAD"/>
    <w:rsid w:val="007A4500"/>
    <w:rsid w:val="007A4944"/>
    <w:rsid w:val="007A4D0C"/>
    <w:rsid w:val="007A4E78"/>
    <w:rsid w:val="007A4EC3"/>
    <w:rsid w:val="007A5066"/>
    <w:rsid w:val="007A51FA"/>
    <w:rsid w:val="007A53AD"/>
    <w:rsid w:val="007A546B"/>
    <w:rsid w:val="007A58E2"/>
    <w:rsid w:val="007A5FB6"/>
    <w:rsid w:val="007A6254"/>
    <w:rsid w:val="007A68E0"/>
    <w:rsid w:val="007A72EB"/>
    <w:rsid w:val="007A79A3"/>
    <w:rsid w:val="007A7B97"/>
    <w:rsid w:val="007A7E9A"/>
    <w:rsid w:val="007A7ED3"/>
    <w:rsid w:val="007A7F89"/>
    <w:rsid w:val="007B059F"/>
    <w:rsid w:val="007B05F7"/>
    <w:rsid w:val="007B0E0C"/>
    <w:rsid w:val="007B1720"/>
    <w:rsid w:val="007B1FA4"/>
    <w:rsid w:val="007B1FBF"/>
    <w:rsid w:val="007B20D7"/>
    <w:rsid w:val="007B23AF"/>
    <w:rsid w:val="007B2AF8"/>
    <w:rsid w:val="007B3444"/>
    <w:rsid w:val="007B36C6"/>
    <w:rsid w:val="007B373F"/>
    <w:rsid w:val="007B3D3B"/>
    <w:rsid w:val="007B41C9"/>
    <w:rsid w:val="007B42B1"/>
    <w:rsid w:val="007B44B1"/>
    <w:rsid w:val="007B4D04"/>
    <w:rsid w:val="007B4EBA"/>
    <w:rsid w:val="007B4ECC"/>
    <w:rsid w:val="007B562D"/>
    <w:rsid w:val="007B56BF"/>
    <w:rsid w:val="007B5B71"/>
    <w:rsid w:val="007B76DD"/>
    <w:rsid w:val="007B7DDE"/>
    <w:rsid w:val="007C0B18"/>
    <w:rsid w:val="007C0D0E"/>
    <w:rsid w:val="007C0DD6"/>
    <w:rsid w:val="007C1779"/>
    <w:rsid w:val="007C1C4E"/>
    <w:rsid w:val="007C26E5"/>
    <w:rsid w:val="007C2817"/>
    <w:rsid w:val="007C285D"/>
    <w:rsid w:val="007C28E6"/>
    <w:rsid w:val="007C2C10"/>
    <w:rsid w:val="007C3562"/>
    <w:rsid w:val="007C379B"/>
    <w:rsid w:val="007C3C67"/>
    <w:rsid w:val="007C415F"/>
    <w:rsid w:val="007C4343"/>
    <w:rsid w:val="007C4436"/>
    <w:rsid w:val="007C53E2"/>
    <w:rsid w:val="007C5410"/>
    <w:rsid w:val="007C62E4"/>
    <w:rsid w:val="007C6B1D"/>
    <w:rsid w:val="007C720A"/>
    <w:rsid w:val="007C7499"/>
    <w:rsid w:val="007C7B35"/>
    <w:rsid w:val="007C7CC6"/>
    <w:rsid w:val="007C7E2A"/>
    <w:rsid w:val="007D02E0"/>
    <w:rsid w:val="007D08BC"/>
    <w:rsid w:val="007D0BFF"/>
    <w:rsid w:val="007D0EE3"/>
    <w:rsid w:val="007D1092"/>
    <w:rsid w:val="007D118C"/>
    <w:rsid w:val="007D14C2"/>
    <w:rsid w:val="007D1537"/>
    <w:rsid w:val="007D1810"/>
    <w:rsid w:val="007D1924"/>
    <w:rsid w:val="007D1F5E"/>
    <w:rsid w:val="007D248B"/>
    <w:rsid w:val="007D25D6"/>
    <w:rsid w:val="007D2621"/>
    <w:rsid w:val="007D2F66"/>
    <w:rsid w:val="007D335A"/>
    <w:rsid w:val="007D3BEA"/>
    <w:rsid w:val="007D3BFB"/>
    <w:rsid w:val="007D56A5"/>
    <w:rsid w:val="007D572F"/>
    <w:rsid w:val="007D5CA8"/>
    <w:rsid w:val="007D5F21"/>
    <w:rsid w:val="007D6838"/>
    <w:rsid w:val="007D6B9E"/>
    <w:rsid w:val="007D6BE2"/>
    <w:rsid w:val="007D6C65"/>
    <w:rsid w:val="007D6D35"/>
    <w:rsid w:val="007D71AD"/>
    <w:rsid w:val="007E00B5"/>
    <w:rsid w:val="007E04ED"/>
    <w:rsid w:val="007E076C"/>
    <w:rsid w:val="007E089A"/>
    <w:rsid w:val="007E0CAF"/>
    <w:rsid w:val="007E1175"/>
    <w:rsid w:val="007E12E3"/>
    <w:rsid w:val="007E1E41"/>
    <w:rsid w:val="007E2079"/>
    <w:rsid w:val="007E23F5"/>
    <w:rsid w:val="007E28CC"/>
    <w:rsid w:val="007E299D"/>
    <w:rsid w:val="007E2D63"/>
    <w:rsid w:val="007E2DC5"/>
    <w:rsid w:val="007E2F09"/>
    <w:rsid w:val="007E31C0"/>
    <w:rsid w:val="007E46AD"/>
    <w:rsid w:val="007E584B"/>
    <w:rsid w:val="007E58EB"/>
    <w:rsid w:val="007E5C32"/>
    <w:rsid w:val="007E61D5"/>
    <w:rsid w:val="007E6FCC"/>
    <w:rsid w:val="007E7DF1"/>
    <w:rsid w:val="007F0302"/>
    <w:rsid w:val="007F041D"/>
    <w:rsid w:val="007F08CA"/>
    <w:rsid w:val="007F0969"/>
    <w:rsid w:val="007F0B46"/>
    <w:rsid w:val="007F0CE5"/>
    <w:rsid w:val="007F0D12"/>
    <w:rsid w:val="007F10F9"/>
    <w:rsid w:val="007F1734"/>
    <w:rsid w:val="007F17F8"/>
    <w:rsid w:val="007F19C3"/>
    <w:rsid w:val="007F23B0"/>
    <w:rsid w:val="007F2867"/>
    <w:rsid w:val="007F2A21"/>
    <w:rsid w:val="007F2DC4"/>
    <w:rsid w:val="007F2E42"/>
    <w:rsid w:val="007F2F64"/>
    <w:rsid w:val="007F32BB"/>
    <w:rsid w:val="007F3B6E"/>
    <w:rsid w:val="007F402B"/>
    <w:rsid w:val="007F4138"/>
    <w:rsid w:val="007F498C"/>
    <w:rsid w:val="007F4BED"/>
    <w:rsid w:val="007F4C86"/>
    <w:rsid w:val="007F5619"/>
    <w:rsid w:val="007F5801"/>
    <w:rsid w:val="007F5C25"/>
    <w:rsid w:val="007F6395"/>
    <w:rsid w:val="007F6743"/>
    <w:rsid w:val="007F7158"/>
    <w:rsid w:val="007F735F"/>
    <w:rsid w:val="007F799B"/>
    <w:rsid w:val="007F7AC2"/>
    <w:rsid w:val="008005C6"/>
    <w:rsid w:val="00800666"/>
    <w:rsid w:val="00800884"/>
    <w:rsid w:val="00800994"/>
    <w:rsid w:val="00800B17"/>
    <w:rsid w:val="00801E4A"/>
    <w:rsid w:val="0080225A"/>
    <w:rsid w:val="008023F2"/>
    <w:rsid w:val="008027DF"/>
    <w:rsid w:val="00802B63"/>
    <w:rsid w:val="00803310"/>
    <w:rsid w:val="00805640"/>
    <w:rsid w:val="00805A46"/>
    <w:rsid w:val="00806434"/>
    <w:rsid w:val="00806639"/>
    <w:rsid w:val="00806712"/>
    <w:rsid w:val="00806A06"/>
    <w:rsid w:val="00806A40"/>
    <w:rsid w:val="0080701B"/>
    <w:rsid w:val="00807155"/>
    <w:rsid w:val="00807559"/>
    <w:rsid w:val="00807799"/>
    <w:rsid w:val="008104E3"/>
    <w:rsid w:val="008105DC"/>
    <w:rsid w:val="00810F86"/>
    <w:rsid w:val="008115C2"/>
    <w:rsid w:val="008117BF"/>
    <w:rsid w:val="00811E7C"/>
    <w:rsid w:val="0081211C"/>
    <w:rsid w:val="00812513"/>
    <w:rsid w:val="008127AA"/>
    <w:rsid w:val="00812C58"/>
    <w:rsid w:val="0081311C"/>
    <w:rsid w:val="00813288"/>
    <w:rsid w:val="00814026"/>
    <w:rsid w:val="00814296"/>
    <w:rsid w:val="00814552"/>
    <w:rsid w:val="00814763"/>
    <w:rsid w:val="00814DD5"/>
    <w:rsid w:val="0081576E"/>
    <w:rsid w:val="00815F29"/>
    <w:rsid w:val="008160A1"/>
    <w:rsid w:val="00816611"/>
    <w:rsid w:val="00817447"/>
    <w:rsid w:val="00817B3F"/>
    <w:rsid w:val="00817DD4"/>
    <w:rsid w:val="008209F6"/>
    <w:rsid w:val="00820FD3"/>
    <w:rsid w:val="00821376"/>
    <w:rsid w:val="00821796"/>
    <w:rsid w:val="00821A29"/>
    <w:rsid w:val="00821C39"/>
    <w:rsid w:val="00821CFE"/>
    <w:rsid w:val="00821F0F"/>
    <w:rsid w:val="0082246A"/>
    <w:rsid w:val="00822A37"/>
    <w:rsid w:val="00822AE8"/>
    <w:rsid w:val="00822EA1"/>
    <w:rsid w:val="00823233"/>
    <w:rsid w:val="0082340D"/>
    <w:rsid w:val="00823471"/>
    <w:rsid w:val="00823B68"/>
    <w:rsid w:val="0082414E"/>
    <w:rsid w:val="00824426"/>
    <w:rsid w:val="00824B0E"/>
    <w:rsid w:val="00824C9D"/>
    <w:rsid w:val="00825EF8"/>
    <w:rsid w:val="008260B8"/>
    <w:rsid w:val="008268B0"/>
    <w:rsid w:val="00827126"/>
    <w:rsid w:val="008275A5"/>
    <w:rsid w:val="00827654"/>
    <w:rsid w:val="008276F9"/>
    <w:rsid w:val="00827A4C"/>
    <w:rsid w:val="00827C69"/>
    <w:rsid w:val="00827D21"/>
    <w:rsid w:val="008304AC"/>
    <w:rsid w:val="0083050A"/>
    <w:rsid w:val="00830597"/>
    <w:rsid w:val="00830BEC"/>
    <w:rsid w:val="00830E52"/>
    <w:rsid w:val="00830FB7"/>
    <w:rsid w:val="00831AB3"/>
    <w:rsid w:val="00831C7A"/>
    <w:rsid w:val="00831FCC"/>
    <w:rsid w:val="0083233F"/>
    <w:rsid w:val="00832369"/>
    <w:rsid w:val="008324E3"/>
    <w:rsid w:val="008327E8"/>
    <w:rsid w:val="00832A7F"/>
    <w:rsid w:val="00832ED3"/>
    <w:rsid w:val="008332D0"/>
    <w:rsid w:val="008334DC"/>
    <w:rsid w:val="008339A4"/>
    <w:rsid w:val="00833B9F"/>
    <w:rsid w:val="00833E29"/>
    <w:rsid w:val="00833E59"/>
    <w:rsid w:val="00834151"/>
    <w:rsid w:val="0083485E"/>
    <w:rsid w:val="0083497D"/>
    <w:rsid w:val="00834CCC"/>
    <w:rsid w:val="00834E55"/>
    <w:rsid w:val="008362F5"/>
    <w:rsid w:val="00836C22"/>
    <w:rsid w:val="00836E8D"/>
    <w:rsid w:val="00836F86"/>
    <w:rsid w:val="0083715E"/>
    <w:rsid w:val="00837235"/>
    <w:rsid w:val="008378F0"/>
    <w:rsid w:val="00837D8A"/>
    <w:rsid w:val="008401A3"/>
    <w:rsid w:val="0084026C"/>
    <w:rsid w:val="00840866"/>
    <w:rsid w:val="0084094C"/>
    <w:rsid w:val="00841172"/>
    <w:rsid w:val="008412E2"/>
    <w:rsid w:val="0084166B"/>
    <w:rsid w:val="00841BC0"/>
    <w:rsid w:val="00841D80"/>
    <w:rsid w:val="0084210E"/>
    <w:rsid w:val="008429E8"/>
    <w:rsid w:val="00842AA2"/>
    <w:rsid w:val="00842BB0"/>
    <w:rsid w:val="008430CA"/>
    <w:rsid w:val="00843164"/>
    <w:rsid w:val="008435B7"/>
    <w:rsid w:val="00843998"/>
    <w:rsid w:val="00843AAD"/>
    <w:rsid w:val="008440BF"/>
    <w:rsid w:val="00844268"/>
    <w:rsid w:val="00844347"/>
    <w:rsid w:val="0084437F"/>
    <w:rsid w:val="00844568"/>
    <w:rsid w:val="008450F3"/>
    <w:rsid w:val="00845645"/>
    <w:rsid w:val="00845946"/>
    <w:rsid w:val="00845C69"/>
    <w:rsid w:val="00846AA4"/>
    <w:rsid w:val="00846B7B"/>
    <w:rsid w:val="00846C08"/>
    <w:rsid w:val="00846C6F"/>
    <w:rsid w:val="00846DD9"/>
    <w:rsid w:val="00846E44"/>
    <w:rsid w:val="00846EE1"/>
    <w:rsid w:val="00847630"/>
    <w:rsid w:val="008476A0"/>
    <w:rsid w:val="0084779C"/>
    <w:rsid w:val="008478D2"/>
    <w:rsid w:val="00847FA5"/>
    <w:rsid w:val="0085001B"/>
    <w:rsid w:val="0085031A"/>
    <w:rsid w:val="0085041B"/>
    <w:rsid w:val="008508BD"/>
    <w:rsid w:val="008509E0"/>
    <w:rsid w:val="00850AAE"/>
    <w:rsid w:val="00851C5E"/>
    <w:rsid w:val="00852252"/>
    <w:rsid w:val="008525D4"/>
    <w:rsid w:val="00852666"/>
    <w:rsid w:val="00852DE4"/>
    <w:rsid w:val="00852F38"/>
    <w:rsid w:val="00853197"/>
    <w:rsid w:val="00854262"/>
    <w:rsid w:val="008545CF"/>
    <w:rsid w:val="00854937"/>
    <w:rsid w:val="00854EF0"/>
    <w:rsid w:val="00854F93"/>
    <w:rsid w:val="00855098"/>
    <w:rsid w:val="008561D8"/>
    <w:rsid w:val="00856442"/>
    <w:rsid w:val="0085681B"/>
    <w:rsid w:val="00856C34"/>
    <w:rsid w:val="00856CFC"/>
    <w:rsid w:val="00857F11"/>
    <w:rsid w:val="0086045E"/>
    <w:rsid w:val="00860F1E"/>
    <w:rsid w:val="0086103B"/>
    <w:rsid w:val="00861334"/>
    <w:rsid w:val="00861515"/>
    <w:rsid w:val="0086190D"/>
    <w:rsid w:val="00861AF4"/>
    <w:rsid w:val="008620B6"/>
    <w:rsid w:val="008621C6"/>
    <w:rsid w:val="008625CC"/>
    <w:rsid w:val="00862B69"/>
    <w:rsid w:val="008631B5"/>
    <w:rsid w:val="008632F4"/>
    <w:rsid w:val="0086343B"/>
    <w:rsid w:val="00863E95"/>
    <w:rsid w:val="00864293"/>
    <w:rsid w:val="00865546"/>
    <w:rsid w:val="00865C36"/>
    <w:rsid w:val="00865CEE"/>
    <w:rsid w:val="00865DC1"/>
    <w:rsid w:val="008664E8"/>
    <w:rsid w:val="00866956"/>
    <w:rsid w:val="00866959"/>
    <w:rsid w:val="008670CE"/>
    <w:rsid w:val="00867E67"/>
    <w:rsid w:val="00870112"/>
    <w:rsid w:val="0087057E"/>
    <w:rsid w:val="0087058A"/>
    <w:rsid w:val="00870C8E"/>
    <w:rsid w:val="00871A5A"/>
    <w:rsid w:val="00871FA6"/>
    <w:rsid w:val="00872B83"/>
    <w:rsid w:val="008730C3"/>
    <w:rsid w:val="0087365A"/>
    <w:rsid w:val="00873E9A"/>
    <w:rsid w:val="008743C7"/>
    <w:rsid w:val="008746CB"/>
    <w:rsid w:val="00874982"/>
    <w:rsid w:val="00874E2E"/>
    <w:rsid w:val="008750F9"/>
    <w:rsid w:val="00875341"/>
    <w:rsid w:val="0087536F"/>
    <w:rsid w:val="008754AF"/>
    <w:rsid w:val="008766B6"/>
    <w:rsid w:val="00876EDA"/>
    <w:rsid w:val="008773CC"/>
    <w:rsid w:val="0087794A"/>
    <w:rsid w:val="0088019E"/>
    <w:rsid w:val="00880A40"/>
    <w:rsid w:val="00880DBF"/>
    <w:rsid w:val="00880F84"/>
    <w:rsid w:val="008810DB"/>
    <w:rsid w:val="008814FC"/>
    <w:rsid w:val="00881C81"/>
    <w:rsid w:val="00881CA4"/>
    <w:rsid w:val="00882003"/>
    <w:rsid w:val="0088210A"/>
    <w:rsid w:val="00882A83"/>
    <w:rsid w:val="00882C06"/>
    <w:rsid w:val="00882CC7"/>
    <w:rsid w:val="008832CE"/>
    <w:rsid w:val="00883CC3"/>
    <w:rsid w:val="00883E29"/>
    <w:rsid w:val="00883EF6"/>
    <w:rsid w:val="00885242"/>
    <w:rsid w:val="00885F02"/>
    <w:rsid w:val="008869F4"/>
    <w:rsid w:val="00886CED"/>
    <w:rsid w:val="00886FB5"/>
    <w:rsid w:val="00887C54"/>
    <w:rsid w:val="0089014D"/>
    <w:rsid w:val="008907BD"/>
    <w:rsid w:val="00890A8F"/>
    <w:rsid w:val="0089111F"/>
    <w:rsid w:val="008911CB"/>
    <w:rsid w:val="00891E81"/>
    <w:rsid w:val="008920B8"/>
    <w:rsid w:val="0089238F"/>
    <w:rsid w:val="00892561"/>
    <w:rsid w:val="00892A57"/>
    <w:rsid w:val="00892DEC"/>
    <w:rsid w:val="00893E5A"/>
    <w:rsid w:val="00893EEF"/>
    <w:rsid w:val="00893F44"/>
    <w:rsid w:val="0089423C"/>
    <w:rsid w:val="00894512"/>
    <w:rsid w:val="008948B8"/>
    <w:rsid w:val="008948F1"/>
    <w:rsid w:val="00894CE0"/>
    <w:rsid w:val="008951DD"/>
    <w:rsid w:val="008952A2"/>
    <w:rsid w:val="00895435"/>
    <w:rsid w:val="00895A9B"/>
    <w:rsid w:val="00895AC4"/>
    <w:rsid w:val="00895DDE"/>
    <w:rsid w:val="00896360"/>
    <w:rsid w:val="008964E5"/>
    <w:rsid w:val="008966CB"/>
    <w:rsid w:val="00896925"/>
    <w:rsid w:val="00896EA2"/>
    <w:rsid w:val="008973CB"/>
    <w:rsid w:val="008975A2"/>
    <w:rsid w:val="00897B51"/>
    <w:rsid w:val="008A04D2"/>
    <w:rsid w:val="008A0638"/>
    <w:rsid w:val="008A12B3"/>
    <w:rsid w:val="008A14CB"/>
    <w:rsid w:val="008A1648"/>
    <w:rsid w:val="008A184F"/>
    <w:rsid w:val="008A205F"/>
    <w:rsid w:val="008A25A1"/>
    <w:rsid w:val="008A2B23"/>
    <w:rsid w:val="008A2C72"/>
    <w:rsid w:val="008A32C9"/>
    <w:rsid w:val="008A3425"/>
    <w:rsid w:val="008A34EF"/>
    <w:rsid w:val="008A354D"/>
    <w:rsid w:val="008A3ADD"/>
    <w:rsid w:val="008A3FF5"/>
    <w:rsid w:val="008A40BC"/>
    <w:rsid w:val="008A40DD"/>
    <w:rsid w:val="008A41CD"/>
    <w:rsid w:val="008A4880"/>
    <w:rsid w:val="008A52B1"/>
    <w:rsid w:val="008A5754"/>
    <w:rsid w:val="008A5B50"/>
    <w:rsid w:val="008A5D45"/>
    <w:rsid w:val="008A5DE7"/>
    <w:rsid w:val="008A5E0E"/>
    <w:rsid w:val="008A6FCD"/>
    <w:rsid w:val="008A7C36"/>
    <w:rsid w:val="008B008D"/>
    <w:rsid w:val="008B0303"/>
    <w:rsid w:val="008B07F2"/>
    <w:rsid w:val="008B0C53"/>
    <w:rsid w:val="008B1EF3"/>
    <w:rsid w:val="008B1F4E"/>
    <w:rsid w:val="008B1FFD"/>
    <w:rsid w:val="008B2287"/>
    <w:rsid w:val="008B2338"/>
    <w:rsid w:val="008B2C31"/>
    <w:rsid w:val="008B2E71"/>
    <w:rsid w:val="008B32A0"/>
    <w:rsid w:val="008B3302"/>
    <w:rsid w:val="008B3366"/>
    <w:rsid w:val="008B4A9D"/>
    <w:rsid w:val="008B4EA4"/>
    <w:rsid w:val="008B51BA"/>
    <w:rsid w:val="008B56E8"/>
    <w:rsid w:val="008B5B32"/>
    <w:rsid w:val="008B5E40"/>
    <w:rsid w:val="008B6AA7"/>
    <w:rsid w:val="008B6C3E"/>
    <w:rsid w:val="008B6C3F"/>
    <w:rsid w:val="008B6E62"/>
    <w:rsid w:val="008B7001"/>
    <w:rsid w:val="008B755A"/>
    <w:rsid w:val="008C04E1"/>
    <w:rsid w:val="008C0F0E"/>
    <w:rsid w:val="008C1806"/>
    <w:rsid w:val="008C1BBE"/>
    <w:rsid w:val="008C2989"/>
    <w:rsid w:val="008C2EC0"/>
    <w:rsid w:val="008C3161"/>
    <w:rsid w:val="008C3447"/>
    <w:rsid w:val="008C34DF"/>
    <w:rsid w:val="008C34E0"/>
    <w:rsid w:val="008C3552"/>
    <w:rsid w:val="008C3D0F"/>
    <w:rsid w:val="008C3FF5"/>
    <w:rsid w:val="008C41ED"/>
    <w:rsid w:val="008C460D"/>
    <w:rsid w:val="008C4EE5"/>
    <w:rsid w:val="008C5C60"/>
    <w:rsid w:val="008C5E32"/>
    <w:rsid w:val="008C6339"/>
    <w:rsid w:val="008C67E8"/>
    <w:rsid w:val="008C69C5"/>
    <w:rsid w:val="008C6BB6"/>
    <w:rsid w:val="008C6D07"/>
    <w:rsid w:val="008C6E75"/>
    <w:rsid w:val="008C6F14"/>
    <w:rsid w:val="008C735F"/>
    <w:rsid w:val="008C73C2"/>
    <w:rsid w:val="008D0501"/>
    <w:rsid w:val="008D09DD"/>
    <w:rsid w:val="008D0EA1"/>
    <w:rsid w:val="008D1029"/>
    <w:rsid w:val="008D140C"/>
    <w:rsid w:val="008D15D6"/>
    <w:rsid w:val="008D1784"/>
    <w:rsid w:val="008D1EA8"/>
    <w:rsid w:val="008D2076"/>
    <w:rsid w:val="008D269A"/>
    <w:rsid w:val="008D26EC"/>
    <w:rsid w:val="008D2768"/>
    <w:rsid w:val="008D2A2A"/>
    <w:rsid w:val="008D3168"/>
    <w:rsid w:val="008D32E3"/>
    <w:rsid w:val="008D3A8E"/>
    <w:rsid w:val="008D3EE3"/>
    <w:rsid w:val="008D41CE"/>
    <w:rsid w:val="008D4223"/>
    <w:rsid w:val="008D475B"/>
    <w:rsid w:val="008D4A17"/>
    <w:rsid w:val="008D4B9C"/>
    <w:rsid w:val="008D53FD"/>
    <w:rsid w:val="008D5588"/>
    <w:rsid w:val="008D6037"/>
    <w:rsid w:val="008D645A"/>
    <w:rsid w:val="008D6516"/>
    <w:rsid w:val="008D6538"/>
    <w:rsid w:val="008D6CDD"/>
    <w:rsid w:val="008D6E37"/>
    <w:rsid w:val="008D6F1D"/>
    <w:rsid w:val="008D78FF"/>
    <w:rsid w:val="008D7BF5"/>
    <w:rsid w:val="008E0321"/>
    <w:rsid w:val="008E0929"/>
    <w:rsid w:val="008E0D21"/>
    <w:rsid w:val="008E1252"/>
    <w:rsid w:val="008E34C5"/>
    <w:rsid w:val="008E50E4"/>
    <w:rsid w:val="008E520F"/>
    <w:rsid w:val="008E56C7"/>
    <w:rsid w:val="008E596F"/>
    <w:rsid w:val="008E5AB6"/>
    <w:rsid w:val="008E6F66"/>
    <w:rsid w:val="008E70A0"/>
    <w:rsid w:val="008E74CF"/>
    <w:rsid w:val="008E7763"/>
    <w:rsid w:val="008E78F2"/>
    <w:rsid w:val="008E7C95"/>
    <w:rsid w:val="008F0356"/>
    <w:rsid w:val="008F0717"/>
    <w:rsid w:val="008F07C2"/>
    <w:rsid w:val="008F07FC"/>
    <w:rsid w:val="008F1697"/>
    <w:rsid w:val="008F1869"/>
    <w:rsid w:val="008F1BD3"/>
    <w:rsid w:val="008F203B"/>
    <w:rsid w:val="008F21FF"/>
    <w:rsid w:val="008F24C1"/>
    <w:rsid w:val="008F2F3B"/>
    <w:rsid w:val="008F302D"/>
    <w:rsid w:val="008F349D"/>
    <w:rsid w:val="008F3519"/>
    <w:rsid w:val="008F3616"/>
    <w:rsid w:val="008F3794"/>
    <w:rsid w:val="008F3CB3"/>
    <w:rsid w:val="008F3FA7"/>
    <w:rsid w:val="008F47D8"/>
    <w:rsid w:val="008F4A7E"/>
    <w:rsid w:val="008F4CB3"/>
    <w:rsid w:val="008F4D20"/>
    <w:rsid w:val="008F5299"/>
    <w:rsid w:val="008F57A7"/>
    <w:rsid w:val="008F58BE"/>
    <w:rsid w:val="008F5938"/>
    <w:rsid w:val="008F5CA1"/>
    <w:rsid w:val="008F5E79"/>
    <w:rsid w:val="008F697F"/>
    <w:rsid w:val="008F69D4"/>
    <w:rsid w:val="008F703E"/>
    <w:rsid w:val="008F748F"/>
    <w:rsid w:val="008F7A37"/>
    <w:rsid w:val="008F7CAD"/>
    <w:rsid w:val="00900096"/>
    <w:rsid w:val="00900174"/>
    <w:rsid w:val="009003BE"/>
    <w:rsid w:val="00900D0E"/>
    <w:rsid w:val="009015DA"/>
    <w:rsid w:val="0090182B"/>
    <w:rsid w:val="00901C26"/>
    <w:rsid w:val="009021D8"/>
    <w:rsid w:val="009023B3"/>
    <w:rsid w:val="0090267D"/>
    <w:rsid w:val="00902951"/>
    <w:rsid w:val="00902A5C"/>
    <w:rsid w:val="00902EBE"/>
    <w:rsid w:val="00903E6C"/>
    <w:rsid w:val="00903E97"/>
    <w:rsid w:val="00903F33"/>
    <w:rsid w:val="009046AA"/>
    <w:rsid w:val="00904E8B"/>
    <w:rsid w:val="00905933"/>
    <w:rsid w:val="00905C46"/>
    <w:rsid w:val="00906199"/>
    <w:rsid w:val="009065B4"/>
    <w:rsid w:val="009067D1"/>
    <w:rsid w:val="00906C2F"/>
    <w:rsid w:val="00906DAD"/>
    <w:rsid w:val="00906F03"/>
    <w:rsid w:val="0090734D"/>
    <w:rsid w:val="00907899"/>
    <w:rsid w:val="0091037F"/>
    <w:rsid w:val="00910AFA"/>
    <w:rsid w:val="00910CA6"/>
    <w:rsid w:val="0091113E"/>
    <w:rsid w:val="00911847"/>
    <w:rsid w:val="00912180"/>
    <w:rsid w:val="0091238F"/>
    <w:rsid w:val="009124ED"/>
    <w:rsid w:val="009127FB"/>
    <w:rsid w:val="00912845"/>
    <w:rsid w:val="009129E0"/>
    <w:rsid w:val="00912C6E"/>
    <w:rsid w:val="00913447"/>
    <w:rsid w:val="00913682"/>
    <w:rsid w:val="00913FC6"/>
    <w:rsid w:val="00914573"/>
    <w:rsid w:val="00914DA7"/>
    <w:rsid w:val="0091577D"/>
    <w:rsid w:val="00915D4B"/>
    <w:rsid w:val="00915F63"/>
    <w:rsid w:val="00916753"/>
    <w:rsid w:val="00916AFA"/>
    <w:rsid w:val="00916B44"/>
    <w:rsid w:val="00916B64"/>
    <w:rsid w:val="00916CB1"/>
    <w:rsid w:val="00916FF9"/>
    <w:rsid w:val="009171E4"/>
    <w:rsid w:val="009175A7"/>
    <w:rsid w:val="009177E9"/>
    <w:rsid w:val="00917CA0"/>
    <w:rsid w:val="0092031C"/>
    <w:rsid w:val="00920D68"/>
    <w:rsid w:val="0092124E"/>
    <w:rsid w:val="009218D1"/>
    <w:rsid w:val="00921C16"/>
    <w:rsid w:val="00921C81"/>
    <w:rsid w:val="009221A0"/>
    <w:rsid w:val="009221AD"/>
    <w:rsid w:val="009224D3"/>
    <w:rsid w:val="009228FA"/>
    <w:rsid w:val="0092298C"/>
    <w:rsid w:val="00922B1D"/>
    <w:rsid w:val="00922B29"/>
    <w:rsid w:val="00923366"/>
    <w:rsid w:val="009234EB"/>
    <w:rsid w:val="00923946"/>
    <w:rsid w:val="00923B3D"/>
    <w:rsid w:val="009240B7"/>
    <w:rsid w:val="009243D1"/>
    <w:rsid w:val="00924407"/>
    <w:rsid w:val="00924F81"/>
    <w:rsid w:val="00925AB7"/>
    <w:rsid w:val="0092600B"/>
    <w:rsid w:val="009265C7"/>
    <w:rsid w:val="009266EB"/>
    <w:rsid w:val="0092752A"/>
    <w:rsid w:val="009275C2"/>
    <w:rsid w:val="0092773A"/>
    <w:rsid w:val="00927DDD"/>
    <w:rsid w:val="00930D09"/>
    <w:rsid w:val="00930F91"/>
    <w:rsid w:val="0093137E"/>
    <w:rsid w:val="00931432"/>
    <w:rsid w:val="009315A6"/>
    <w:rsid w:val="009317AF"/>
    <w:rsid w:val="009319C4"/>
    <w:rsid w:val="00931BCE"/>
    <w:rsid w:val="00931DEC"/>
    <w:rsid w:val="009327D9"/>
    <w:rsid w:val="009328C9"/>
    <w:rsid w:val="00932CCE"/>
    <w:rsid w:val="00932EF3"/>
    <w:rsid w:val="0093310F"/>
    <w:rsid w:val="009331CF"/>
    <w:rsid w:val="009334AC"/>
    <w:rsid w:val="00933932"/>
    <w:rsid w:val="00933A93"/>
    <w:rsid w:val="00933C75"/>
    <w:rsid w:val="00933FF3"/>
    <w:rsid w:val="00934060"/>
    <w:rsid w:val="009341D6"/>
    <w:rsid w:val="00934564"/>
    <w:rsid w:val="0093476C"/>
    <w:rsid w:val="00934AEA"/>
    <w:rsid w:val="00934B17"/>
    <w:rsid w:val="00934EB2"/>
    <w:rsid w:val="00935E03"/>
    <w:rsid w:val="009362EC"/>
    <w:rsid w:val="0093697B"/>
    <w:rsid w:val="009371B9"/>
    <w:rsid w:val="00937E53"/>
    <w:rsid w:val="00940274"/>
    <w:rsid w:val="0094146D"/>
    <w:rsid w:val="00941731"/>
    <w:rsid w:val="00941A22"/>
    <w:rsid w:val="00941BC3"/>
    <w:rsid w:val="00941ED9"/>
    <w:rsid w:val="00942010"/>
    <w:rsid w:val="009422D8"/>
    <w:rsid w:val="00942700"/>
    <w:rsid w:val="00942922"/>
    <w:rsid w:val="00943163"/>
    <w:rsid w:val="0094320A"/>
    <w:rsid w:val="00943EDD"/>
    <w:rsid w:val="009455E2"/>
    <w:rsid w:val="009457C2"/>
    <w:rsid w:val="00945A89"/>
    <w:rsid w:val="00945D9B"/>
    <w:rsid w:val="00945E96"/>
    <w:rsid w:val="0094614E"/>
    <w:rsid w:val="009468A2"/>
    <w:rsid w:val="00946F82"/>
    <w:rsid w:val="00947703"/>
    <w:rsid w:val="00947B2E"/>
    <w:rsid w:val="00947D3B"/>
    <w:rsid w:val="00947FA7"/>
    <w:rsid w:val="00950473"/>
    <w:rsid w:val="00950BEC"/>
    <w:rsid w:val="00950E2F"/>
    <w:rsid w:val="00950F4F"/>
    <w:rsid w:val="0095170D"/>
    <w:rsid w:val="00951F1A"/>
    <w:rsid w:val="00952632"/>
    <w:rsid w:val="00952AD6"/>
    <w:rsid w:val="00952E9A"/>
    <w:rsid w:val="0095307F"/>
    <w:rsid w:val="00953879"/>
    <w:rsid w:val="00953C18"/>
    <w:rsid w:val="00953D24"/>
    <w:rsid w:val="00953D5E"/>
    <w:rsid w:val="00954654"/>
    <w:rsid w:val="00954814"/>
    <w:rsid w:val="009548FF"/>
    <w:rsid w:val="0095532C"/>
    <w:rsid w:val="009553A1"/>
    <w:rsid w:val="00955526"/>
    <w:rsid w:val="0095654D"/>
    <w:rsid w:val="00956588"/>
    <w:rsid w:val="00956FC8"/>
    <w:rsid w:val="0095713D"/>
    <w:rsid w:val="00957958"/>
    <w:rsid w:val="00957CD6"/>
    <w:rsid w:val="00957EC3"/>
    <w:rsid w:val="00957FD5"/>
    <w:rsid w:val="0096032F"/>
    <w:rsid w:val="00960666"/>
    <w:rsid w:val="0096068B"/>
    <w:rsid w:val="009606F1"/>
    <w:rsid w:val="00961B8B"/>
    <w:rsid w:val="00961DE6"/>
    <w:rsid w:val="009624B8"/>
    <w:rsid w:val="009624F6"/>
    <w:rsid w:val="00962538"/>
    <w:rsid w:val="009626FF"/>
    <w:rsid w:val="00962811"/>
    <w:rsid w:val="00962853"/>
    <w:rsid w:val="0096348E"/>
    <w:rsid w:val="00963511"/>
    <w:rsid w:val="0096361F"/>
    <w:rsid w:val="009644FD"/>
    <w:rsid w:val="00964598"/>
    <w:rsid w:val="009646AD"/>
    <w:rsid w:val="009648DE"/>
    <w:rsid w:val="00964AAB"/>
    <w:rsid w:val="00965225"/>
    <w:rsid w:val="00965269"/>
    <w:rsid w:val="009654DF"/>
    <w:rsid w:val="009657EB"/>
    <w:rsid w:val="00965E11"/>
    <w:rsid w:val="00966C09"/>
    <w:rsid w:val="00967287"/>
    <w:rsid w:val="00967560"/>
    <w:rsid w:val="0096777F"/>
    <w:rsid w:val="00967CE3"/>
    <w:rsid w:val="009708C2"/>
    <w:rsid w:val="00970B84"/>
    <w:rsid w:val="00970D2A"/>
    <w:rsid w:val="00970D2E"/>
    <w:rsid w:val="00970F89"/>
    <w:rsid w:val="00971261"/>
    <w:rsid w:val="00971368"/>
    <w:rsid w:val="00971A94"/>
    <w:rsid w:val="00971B4B"/>
    <w:rsid w:val="00972284"/>
    <w:rsid w:val="0097229A"/>
    <w:rsid w:val="009727F2"/>
    <w:rsid w:val="009732E6"/>
    <w:rsid w:val="00973E9B"/>
    <w:rsid w:val="00974104"/>
    <w:rsid w:val="00974455"/>
    <w:rsid w:val="00974B76"/>
    <w:rsid w:val="00974E51"/>
    <w:rsid w:val="0097543B"/>
    <w:rsid w:val="00975A73"/>
    <w:rsid w:val="0097668C"/>
    <w:rsid w:val="0097670E"/>
    <w:rsid w:val="0097675D"/>
    <w:rsid w:val="00977E1A"/>
    <w:rsid w:val="009804B2"/>
    <w:rsid w:val="00980BE1"/>
    <w:rsid w:val="00980F04"/>
    <w:rsid w:val="00980F87"/>
    <w:rsid w:val="009810BB"/>
    <w:rsid w:val="00981427"/>
    <w:rsid w:val="00981467"/>
    <w:rsid w:val="009815B1"/>
    <w:rsid w:val="00981A8F"/>
    <w:rsid w:val="00981E09"/>
    <w:rsid w:val="009823BF"/>
    <w:rsid w:val="00982BCF"/>
    <w:rsid w:val="00982F0F"/>
    <w:rsid w:val="00982F68"/>
    <w:rsid w:val="00983334"/>
    <w:rsid w:val="009835D5"/>
    <w:rsid w:val="00984441"/>
    <w:rsid w:val="00984466"/>
    <w:rsid w:val="009844CF"/>
    <w:rsid w:val="009849B9"/>
    <w:rsid w:val="00984D63"/>
    <w:rsid w:val="00984DD8"/>
    <w:rsid w:val="009850A1"/>
    <w:rsid w:val="009850F0"/>
    <w:rsid w:val="00985497"/>
    <w:rsid w:val="00985636"/>
    <w:rsid w:val="00985BBD"/>
    <w:rsid w:val="00985CD2"/>
    <w:rsid w:val="00985FF8"/>
    <w:rsid w:val="00986C52"/>
    <w:rsid w:val="00986CED"/>
    <w:rsid w:val="0098733C"/>
    <w:rsid w:val="00987762"/>
    <w:rsid w:val="00987C7E"/>
    <w:rsid w:val="00990313"/>
    <w:rsid w:val="00990578"/>
    <w:rsid w:val="0099085F"/>
    <w:rsid w:val="00990EC2"/>
    <w:rsid w:val="00991155"/>
    <w:rsid w:val="009912E2"/>
    <w:rsid w:val="00991900"/>
    <w:rsid w:val="0099194D"/>
    <w:rsid w:val="00991980"/>
    <w:rsid w:val="00991D20"/>
    <w:rsid w:val="009920E0"/>
    <w:rsid w:val="009921D7"/>
    <w:rsid w:val="00992244"/>
    <w:rsid w:val="009923E4"/>
    <w:rsid w:val="009925DB"/>
    <w:rsid w:val="00992952"/>
    <w:rsid w:val="00993114"/>
    <w:rsid w:val="00993B72"/>
    <w:rsid w:val="00993CC9"/>
    <w:rsid w:val="009940A4"/>
    <w:rsid w:val="009945A3"/>
    <w:rsid w:val="00994B53"/>
    <w:rsid w:val="00994FC8"/>
    <w:rsid w:val="00995601"/>
    <w:rsid w:val="00995AD7"/>
    <w:rsid w:val="00995B5E"/>
    <w:rsid w:val="009962ED"/>
    <w:rsid w:val="009967E3"/>
    <w:rsid w:val="00996E05"/>
    <w:rsid w:val="00997799"/>
    <w:rsid w:val="00997AC5"/>
    <w:rsid w:val="00997FD0"/>
    <w:rsid w:val="009A0182"/>
    <w:rsid w:val="009A0D27"/>
    <w:rsid w:val="009A1166"/>
    <w:rsid w:val="009A1352"/>
    <w:rsid w:val="009A150C"/>
    <w:rsid w:val="009A15C3"/>
    <w:rsid w:val="009A1740"/>
    <w:rsid w:val="009A1784"/>
    <w:rsid w:val="009A1D77"/>
    <w:rsid w:val="009A2132"/>
    <w:rsid w:val="009A305B"/>
    <w:rsid w:val="009A31BF"/>
    <w:rsid w:val="009A3B33"/>
    <w:rsid w:val="009A3E7C"/>
    <w:rsid w:val="009A4305"/>
    <w:rsid w:val="009A4852"/>
    <w:rsid w:val="009A580E"/>
    <w:rsid w:val="009A5979"/>
    <w:rsid w:val="009A5A9D"/>
    <w:rsid w:val="009A5C91"/>
    <w:rsid w:val="009A63F8"/>
    <w:rsid w:val="009A66C8"/>
    <w:rsid w:val="009A6A4D"/>
    <w:rsid w:val="009A6F74"/>
    <w:rsid w:val="009A7B7F"/>
    <w:rsid w:val="009B0768"/>
    <w:rsid w:val="009B0DC5"/>
    <w:rsid w:val="009B0F90"/>
    <w:rsid w:val="009B0FAD"/>
    <w:rsid w:val="009B127B"/>
    <w:rsid w:val="009B1430"/>
    <w:rsid w:val="009B157F"/>
    <w:rsid w:val="009B1F49"/>
    <w:rsid w:val="009B1F8B"/>
    <w:rsid w:val="009B2138"/>
    <w:rsid w:val="009B219D"/>
    <w:rsid w:val="009B2B62"/>
    <w:rsid w:val="009B30A0"/>
    <w:rsid w:val="009B30AD"/>
    <w:rsid w:val="009B3288"/>
    <w:rsid w:val="009B3813"/>
    <w:rsid w:val="009B3915"/>
    <w:rsid w:val="009B3F02"/>
    <w:rsid w:val="009B41FF"/>
    <w:rsid w:val="009B4928"/>
    <w:rsid w:val="009B4D81"/>
    <w:rsid w:val="009B5045"/>
    <w:rsid w:val="009B50AC"/>
    <w:rsid w:val="009B50C6"/>
    <w:rsid w:val="009B5591"/>
    <w:rsid w:val="009B56F6"/>
    <w:rsid w:val="009B59F9"/>
    <w:rsid w:val="009B5AC4"/>
    <w:rsid w:val="009B5F3A"/>
    <w:rsid w:val="009B5F95"/>
    <w:rsid w:val="009B63D5"/>
    <w:rsid w:val="009B6426"/>
    <w:rsid w:val="009B6517"/>
    <w:rsid w:val="009B6F78"/>
    <w:rsid w:val="009B7126"/>
    <w:rsid w:val="009B7ABC"/>
    <w:rsid w:val="009C02F0"/>
    <w:rsid w:val="009C0CC4"/>
    <w:rsid w:val="009C0F03"/>
    <w:rsid w:val="009C115D"/>
    <w:rsid w:val="009C176D"/>
    <w:rsid w:val="009C1900"/>
    <w:rsid w:val="009C293A"/>
    <w:rsid w:val="009C320E"/>
    <w:rsid w:val="009C4198"/>
    <w:rsid w:val="009C4A3F"/>
    <w:rsid w:val="009C4BFE"/>
    <w:rsid w:val="009C4D08"/>
    <w:rsid w:val="009C4F22"/>
    <w:rsid w:val="009C5495"/>
    <w:rsid w:val="009C54F5"/>
    <w:rsid w:val="009C5A94"/>
    <w:rsid w:val="009C6BFD"/>
    <w:rsid w:val="009C6D88"/>
    <w:rsid w:val="009C7042"/>
    <w:rsid w:val="009C7132"/>
    <w:rsid w:val="009C7C9B"/>
    <w:rsid w:val="009C7EC3"/>
    <w:rsid w:val="009D0A54"/>
    <w:rsid w:val="009D0C7E"/>
    <w:rsid w:val="009D1582"/>
    <w:rsid w:val="009D166F"/>
    <w:rsid w:val="009D1788"/>
    <w:rsid w:val="009D1AE9"/>
    <w:rsid w:val="009D254E"/>
    <w:rsid w:val="009D2642"/>
    <w:rsid w:val="009D2770"/>
    <w:rsid w:val="009D2EA8"/>
    <w:rsid w:val="009D3237"/>
    <w:rsid w:val="009D348E"/>
    <w:rsid w:val="009D360C"/>
    <w:rsid w:val="009D3627"/>
    <w:rsid w:val="009D3628"/>
    <w:rsid w:val="009D36AA"/>
    <w:rsid w:val="009D3BEE"/>
    <w:rsid w:val="009D3DF3"/>
    <w:rsid w:val="009D442A"/>
    <w:rsid w:val="009D45C4"/>
    <w:rsid w:val="009D4C2A"/>
    <w:rsid w:val="009D60B3"/>
    <w:rsid w:val="009D63C5"/>
    <w:rsid w:val="009D6499"/>
    <w:rsid w:val="009D6914"/>
    <w:rsid w:val="009D717C"/>
    <w:rsid w:val="009D740A"/>
    <w:rsid w:val="009D74DF"/>
    <w:rsid w:val="009D7C47"/>
    <w:rsid w:val="009D7C9D"/>
    <w:rsid w:val="009E0303"/>
    <w:rsid w:val="009E03A2"/>
    <w:rsid w:val="009E0BD0"/>
    <w:rsid w:val="009E119D"/>
    <w:rsid w:val="009E1623"/>
    <w:rsid w:val="009E1A3C"/>
    <w:rsid w:val="009E1C22"/>
    <w:rsid w:val="009E2144"/>
    <w:rsid w:val="009E2481"/>
    <w:rsid w:val="009E2636"/>
    <w:rsid w:val="009E2745"/>
    <w:rsid w:val="009E27D9"/>
    <w:rsid w:val="009E2E87"/>
    <w:rsid w:val="009E31D7"/>
    <w:rsid w:val="009E37E4"/>
    <w:rsid w:val="009E38B9"/>
    <w:rsid w:val="009E3947"/>
    <w:rsid w:val="009E3950"/>
    <w:rsid w:val="009E3BA2"/>
    <w:rsid w:val="009E3C7E"/>
    <w:rsid w:val="009E3EC3"/>
    <w:rsid w:val="009E43E8"/>
    <w:rsid w:val="009E4985"/>
    <w:rsid w:val="009E4C70"/>
    <w:rsid w:val="009E4C91"/>
    <w:rsid w:val="009E5376"/>
    <w:rsid w:val="009E59C8"/>
    <w:rsid w:val="009E64DD"/>
    <w:rsid w:val="009E687B"/>
    <w:rsid w:val="009E6A84"/>
    <w:rsid w:val="009E6CBD"/>
    <w:rsid w:val="009E6E04"/>
    <w:rsid w:val="009E74C9"/>
    <w:rsid w:val="009E7696"/>
    <w:rsid w:val="009E7A04"/>
    <w:rsid w:val="009F0381"/>
    <w:rsid w:val="009F0407"/>
    <w:rsid w:val="009F0550"/>
    <w:rsid w:val="009F0D82"/>
    <w:rsid w:val="009F10E9"/>
    <w:rsid w:val="009F1166"/>
    <w:rsid w:val="009F11AC"/>
    <w:rsid w:val="009F1446"/>
    <w:rsid w:val="009F193A"/>
    <w:rsid w:val="009F1C00"/>
    <w:rsid w:val="009F2A02"/>
    <w:rsid w:val="009F2DE8"/>
    <w:rsid w:val="009F3631"/>
    <w:rsid w:val="009F363C"/>
    <w:rsid w:val="009F373D"/>
    <w:rsid w:val="009F3790"/>
    <w:rsid w:val="009F3ECF"/>
    <w:rsid w:val="009F42A2"/>
    <w:rsid w:val="009F476C"/>
    <w:rsid w:val="009F4E98"/>
    <w:rsid w:val="009F5087"/>
    <w:rsid w:val="009F5338"/>
    <w:rsid w:val="009F5565"/>
    <w:rsid w:val="009F5642"/>
    <w:rsid w:val="009F57D4"/>
    <w:rsid w:val="009F586C"/>
    <w:rsid w:val="009F5AA6"/>
    <w:rsid w:val="009F5D30"/>
    <w:rsid w:val="009F600A"/>
    <w:rsid w:val="009F6897"/>
    <w:rsid w:val="009F691B"/>
    <w:rsid w:val="009F741D"/>
    <w:rsid w:val="009F7A90"/>
    <w:rsid w:val="009F7C88"/>
    <w:rsid w:val="009F7CEB"/>
    <w:rsid w:val="00A00863"/>
    <w:rsid w:val="00A00DB9"/>
    <w:rsid w:val="00A01225"/>
    <w:rsid w:val="00A016DB"/>
    <w:rsid w:val="00A0228F"/>
    <w:rsid w:val="00A02878"/>
    <w:rsid w:val="00A03256"/>
    <w:rsid w:val="00A03258"/>
    <w:rsid w:val="00A033E0"/>
    <w:rsid w:val="00A03957"/>
    <w:rsid w:val="00A03A38"/>
    <w:rsid w:val="00A03EDF"/>
    <w:rsid w:val="00A03F13"/>
    <w:rsid w:val="00A040FD"/>
    <w:rsid w:val="00A0426A"/>
    <w:rsid w:val="00A04271"/>
    <w:rsid w:val="00A049F3"/>
    <w:rsid w:val="00A04C0D"/>
    <w:rsid w:val="00A05E44"/>
    <w:rsid w:val="00A06B16"/>
    <w:rsid w:val="00A07327"/>
    <w:rsid w:val="00A07365"/>
    <w:rsid w:val="00A0749E"/>
    <w:rsid w:val="00A1027C"/>
    <w:rsid w:val="00A10FBF"/>
    <w:rsid w:val="00A1123C"/>
    <w:rsid w:val="00A1156B"/>
    <w:rsid w:val="00A117A6"/>
    <w:rsid w:val="00A11CB2"/>
    <w:rsid w:val="00A11DCC"/>
    <w:rsid w:val="00A11EE4"/>
    <w:rsid w:val="00A1255B"/>
    <w:rsid w:val="00A12A44"/>
    <w:rsid w:val="00A12FCD"/>
    <w:rsid w:val="00A13730"/>
    <w:rsid w:val="00A13A3C"/>
    <w:rsid w:val="00A13AD5"/>
    <w:rsid w:val="00A13EC2"/>
    <w:rsid w:val="00A145B9"/>
    <w:rsid w:val="00A14632"/>
    <w:rsid w:val="00A1532B"/>
    <w:rsid w:val="00A15491"/>
    <w:rsid w:val="00A15722"/>
    <w:rsid w:val="00A16638"/>
    <w:rsid w:val="00A168D7"/>
    <w:rsid w:val="00A17250"/>
    <w:rsid w:val="00A17391"/>
    <w:rsid w:val="00A17490"/>
    <w:rsid w:val="00A177FF"/>
    <w:rsid w:val="00A179C8"/>
    <w:rsid w:val="00A17C36"/>
    <w:rsid w:val="00A17EB5"/>
    <w:rsid w:val="00A20201"/>
    <w:rsid w:val="00A2031F"/>
    <w:rsid w:val="00A20B1A"/>
    <w:rsid w:val="00A20CB4"/>
    <w:rsid w:val="00A20EB6"/>
    <w:rsid w:val="00A2142D"/>
    <w:rsid w:val="00A215A9"/>
    <w:rsid w:val="00A216E3"/>
    <w:rsid w:val="00A216F9"/>
    <w:rsid w:val="00A219FB"/>
    <w:rsid w:val="00A21C9B"/>
    <w:rsid w:val="00A22A39"/>
    <w:rsid w:val="00A22C5D"/>
    <w:rsid w:val="00A22D07"/>
    <w:rsid w:val="00A2315A"/>
    <w:rsid w:val="00A237F0"/>
    <w:rsid w:val="00A24566"/>
    <w:rsid w:val="00A2499C"/>
    <w:rsid w:val="00A24D3B"/>
    <w:rsid w:val="00A259DC"/>
    <w:rsid w:val="00A25A35"/>
    <w:rsid w:val="00A25CF3"/>
    <w:rsid w:val="00A26207"/>
    <w:rsid w:val="00A26531"/>
    <w:rsid w:val="00A2668F"/>
    <w:rsid w:val="00A266D3"/>
    <w:rsid w:val="00A2672F"/>
    <w:rsid w:val="00A269E0"/>
    <w:rsid w:val="00A26A21"/>
    <w:rsid w:val="00A26E4A"/>
    <w:rsid w:val="00A26F5F"/>
    <w:rsid w:val="00A27057"/>
    <w:rsid w:val="00A272AF"/>
    <w:rsid w:val="00A27587"/>
    <w:rsid w:val="00A27C8C"/>
    <w:rsid w:val="00A30297"/>
    <w:rsid w:val="00A3038E"/>
    <w:rsid w:val="00A304B7"/>
    <w:rsid w:val="00A30E82"/>
    <w:rsid w:val="00A3167E"/>
    <w:rsid w:val="00A31BD3"/>
    <w:rsid w:val="00A320F1"/>
    <w:rsid w:val="00A32299"/>
    <w:rsid w:val="00A3247C"/>
    <w:rsid w:val="00A327E1"/>
    <w:rsid w:val="00A32842"/>
    <w:rsid w:val="00A3355C"/>
    <w:rsid w:val="00A337F5"/>
    <w:rsid w:val="00A33F12"/>
    <w:rsid w:val="00A34222"/>
    <w:rsid w:val="00A34436"/>
    <w:rsid w:val="00A34B53"/>
    <w:rsid w:val="00A34F8D"/>
    <w:rsid w:val="00A35033"/>
    <w:rsid w:val="00A3569E"/>
    <w:rsid w:val="00A3622F"/>
    <w:rsid w:val="00A365BF"/>
    <w:rsid w:val="00A366B6"/>
    <w:rsid w:val="00A36A09"/>
    <w:rsid w:val="00A370F3"/>
    <w:rsid w:val="00A37525"/>
    <w:rsid w:val="00A3794E"/>
    <w:rsid w:val="00A37C40"/>
    <w:rsid w:val="00A37F8B"/>
    <w:rsid w:val="00A40599"/>
    <w:rsid w:val="00A40ADA"/>
    <w:rsid w:val="00A411A7"/>
    <w:rsid w:val="00A41659"/>
    <w:rsid w:val="00A41666"/>
    <w:rsid w:val="00A41CD6"/>
    <w:rsid w:val="00A41E5D"/>
    <w:rsid w:val="00A4234B"/>
    <w:rsid w:val="00A428EA"/>
    <w:rsid w:val="00A43248"/>
    <w:rsid w:val="00A444C2"/>
    <w:rsid w:val="00A445AF"/>
    <w:rsid w:val="00A449BE"/>
    <w:rsid w:val="00A44BCE"/>
    <w:rsid w:val="00A44BFE"/>
    <w:rsid w:val="00A45200"/>
    <w:rsid w:val="00A45378"/>
    <w:rsid w:val="00A453DC"/>
    <w:rsid w:val="00A4543E"/>
    <w:rsid w:val="00A45A63"/>
    <w:rsid w:val="00A474F0"/>
    <w:rsid w:val="00A50021"/>
    <w:rsid w:val="00A502B6"/>
    <w:rsid w:val="00A5043A"/>
    <w:rsid w:val="00A50C2E"/>
    <w:rsid w:val="00A51A61"/>
    <w:rsid w:val="00A51D8C"/>
    <w:rsid w:val="00A51EA6"/>
    <w:rsid w:val="00A5226C"/>
    <w:rsid w:val="00A52589"/>
    <w:rsid w:val="00A52FFA"/>
    <w:rsid w:val="00A534ED"/>
    <w:rsid w:val="00A535FB"/>
    <w:rsid w:val="00A53860"/>
    <w:rsid w:val="00A5398F"/>
    <w:rsid w:val="00A53A4F"/>
    <w:rsid w:val="00A53FA8"/>
    <w:rsid w:val="00A5453C"/>
    <w:rsid w:val="00A546BF"/>
    <w:rsid w:val="00A54852"/>
    <w:rsid w:val="00A550AE"/>
    <w:rsid w:val="00A55496"/>
    <w:rsid w:val="00A55B08"/>
    <w:rsid w:val="00A55B71"/>
    <w:rsid w:val="00A5650A"/>
    <w:rsid w:val="00A565B9"/>
    <w:rsid w:val="00A57094"/>
    <w:rsid w:val="00A57180"/>
    <w:rsid w:val="00A5722C"/>
    <w:rsid w:val="00A577C6"/>
    <w:rsid w:val="00A604A9"/>
    <w:rsid w:val="00A604EA"/>
    <w:rsid w:val="00A6092C"/>
    <w:rsid w:val="00A60CC2"/>
    <w:rsid w:val="00A60D8A"/>
    <w:rsid w:val="00A618FB"/>
    <w:rsid w:val="00A61964"/>
    <w:rsid w:val="00A61B06"/>
    <w:rsid w:val="00A62128"/>
    <w:rsid w:val="00A621B3"/>
    <w:rsid w:val="00A62942"/>
    <w:rsid w:val="00A62E39"/>
    <w:rsid w:val="00A62E60"/>
    <w:rsid w:val="00A62F5C"/>
    <w:rsid w:val="00A62FD7"/>
    <w:rsid w:val="00A63208"/>
    <w:rsid w:val="00A63630"/>
    <w:rsid w:val="00A6374D"/>
    <w:rsid w:val="00A64614"/>
    <w:rsid w:val="00A6517D"/>
    <w:rsid w:val="00A65211"/>
    <w:rsid w:val="00A656CC"/>
    <w:rsid w:val="00A65729"/>
    <w:rsid w:val="00A6580E"/>
    <w:rsid w:val="00A65C1F"/>
    <w:rsid w:val="00A662E7"/>
    <w:rsid w:val="00A6656C"/>
    <w:rsid w:val="00A66990"/>
    <w:rsid w:val="00A66B3E"/>
    <w:rsid w:val="00A66DC0"/>
    <w:rsid w:val="00A67C91"/>
    <w:rsid w:val="00A70511"/>
    <w:rsid w:val="00A70607"/>
    <w:rsid w:val="00A7105C"/>
    <w:rsid w:val="00A710B2"/>
    <w:rsid w:val="00A7169F"/>
    <w:rsid w:val="00A71857"/>
    <w:rsid w:val="00A720AC"/>
    <w:rsid w:val="00A72931"/>
    <w:rsid w:val="00A72D73"/>
    <w:rsid w:val="00A73A9C"/>
    <w:rsid w:val="00A73EA9"/>
    <w:rsid w:val="00A73FC6"/>
    <w:rsid w:val="00A74B0D"/>
    <w:rsid w:val="00A74B68"/>
    <w:rsid w:val="00A75112"/>
    <w:rsid w:val="00A75DA1"/>
    <w:rsid w:val="00A75DD6"/>
    <w:rsid w:val="00A75E5A"/>
    <w:rsid w:val="00A76DF3"/>
    <w:rsid w:val="00A76EA4"/>
    <w:rsid w:val="00A77086"/>
    <w:rsid w:val="00A7738E"/>
    <w:rsid w:val="00A77408"/>
    <w:rsid w:val="00A77BDE"/>
    <w:rsid w:val="00A77CBB"/>
    <w:rsid w:val="00A77F64"/>
    <w:rsid w:val="00A803F7"/>
    <w:rsid w:val="00A8049B"/>
    <w:rsid w:val="00A80817"/>
    <w:rsid w:val="00A81758"/>
    <w:rsid w:val="00A81902"/>
    <w:rsid w:val="00A81F82"/>
    <w:rsid w:val="00A82437"/>
    <w:rsid w:val="00A828BD"/>
    <w:rsid w:val="00A82E70"/>
    <w:rsid w:val="00A83311"/>
    <w:rsid w:val="00A834CB"/>
    <w:rsid w:val="00A838F0"/>
    <w:rsid w:val="00A839C0"/>
    <w:rsid w:val="00A83D5F"/>
    <w:rsid w:val="00A841B0"/>
    <w:rsid w:val="00A84222"/>
    <w:rsid w:val="00A84653"/>
    <w:rsid w:val="00A84CC5"/>
    <w:rsid w:val="00A84EAA"/>
    <w:rsid w:val="00A852C9"/>
    <w:rsid w:val="00A85651"/>
    <w:rsid w:val="00A85929"/>
    <w:rsid w:val="00A85A2B"/>
    <w:rsid w:val="00A85C9E"/>
    <w:rsid w:val="00A85FB8"/>
    <w:rsid w:val="00A86148"/>
    <w:rsid w:val="00A86519"/>
    <w:rsid w:val="00A873AF"/>
    <w:rsid w:val="00A876B3"/>
    <w:rsid w:val="00A8797E"/>
    <w:rsid w:val="00A87D9A"/>
    <w:rsid w:val="00A87EEE"/>
    <w:rsid w:val="00A90BD6"/>
    <w:rsid w:val="00A90F46"/>
    <w:rsid w:val="00A91211"/>
    <w:rsid w:val="00A912AD"/>
    <w:rsid w:val="00A91799"/>
    <w:rsid w:val="00A91EF2"/>
    <w:rsid w:val="00A924EF"/>
    <w:rsid w:val="00A93543"/>
    <w:rsid w:val="00A936E7"/>
    <w:rsid w:val="00A93F16"/>
    <w:rsid w:val="00A93F6B"/>
    <w:rsid w:val="00A943E1"/>
    <w:rsid w:val="00A94A13"/>
    <w:rsid w:val="00A94EC9"/>
    <w:rsid w:val="00A94EFC"/>
    <w:rsid w:val="00A952CA"/>
    <w:rsid w:val="00A95B52"/>
    <w:rsid w:val="00A95BC0"/>
    <w:rsid w:val="00A95CC8"/>
    <w:rsid w:val="00A95FA9"/>
    <w:rsid w:val="00A963DD"/>
    <w:rsid w:val="00A9644D"/>
    <w:rsid w:val="00A96628"/>
    <w:rsid w:val="00A9665F"/>
    <w:rsid w:val="00A96B78"/>
    <w:rsid w:val="00A96FB6"/>
    <w:rsid w:val="00A976A9"/>
    <w:rsid w:val="00A977CB"/>
    <w:rsid w:val="00A97BDF"/>
    <w:rsid w:val="00AA0547"/>
    <w:rsid w:val="00AA07C1"/>
    <w:rsid w:val="00AA08B7"/>
    <w:rsid w:val="00AA0E36"/>
    <w:rsid w:val="00AA1044"/>
    <w:rsid w:val="00AA1681"/>
    <w:rsid w:val="00AA1770"/>
    <w:rsid w:val="00AA1899"/>
    <w:rsid w:val="00AA1CEE"/>
    <w:rsid w:val="00AA1E9F"/>
    <w:rsid w:val="00AA2B7E"/>
    <w:rsid w:val="00AA2FA1"/>
    <w:rsid w:val="00AA32DB"/>
    <w:rsid w:val="00AA4B26"/>
    <w:rsid w:val="00AA51C1"/>
    <w:rsid w:val="00AA538B"/>
    <w:rsid w:val="00AA575B"/>
    <w:rsid w:val="00AA5BFF"/>
    <w:rsid w:val="00AA5E6C"/>
    <w:rsid w:val="00AA6156"/>
    <w:rsid w:val="00AA67A6"/>
    <w:rsid w:val="00AA6995"/>
    <w:rsid w:val="00AA69E4"/>
    <w:rsid w:val="00AA6CA2"/>
    <w:rsid w:val="00AA6D4E"/>
    <w:rsid w:val="00AA73AC"/>
    <w:rsid w:val="00AA75C0"/>
    <w:rsid w:val="00AA7B77"/>
    <w:rsid w:val="00AA7F85"/>
    <w:rsid w:val="00AB09BC"/>
    <w:rsid w:val="00AB0EEC"/>
    <w:rsid w:val="00AB1313"/>
    <w:rsid w:val="00AB1837"/>
    <w:rsid w:val="00AB187A"/>
    <w:rsid w:val="00AB1AB6"/>
    <w:rsid w:val="00AB2160"/>
    <w:rsid w:val="00AB2C72"/>
    <w:rsid w:val="00AB35D1"/>
    <w:rsid w:val="00AB3CE7"/>
    <w:rsid w:val="00AB3E9F"/>
    <w:rsid w:val="00AB4402"/>
    <w:rsid w:val="00AB4CCE"/>
    <w:rsid w:val="00AB514A"/>
    <w:rsid w:val="00AB545C"/>
    <w:rsid w:val="00AB5588"/>
    <w:rsid w:val="00AB5A2F"/>
    <w:rsid w:val="00AB6639"/>
    <w:rsid w:val="00AB68F1"/>
    <w:rsid w:val="00AB6D0F"/>
    <w:rsid w:val="00AB6EEF"/>
    <w:rsid w:val="00AB736A"/>
    <w:rsid w:val="00AB769C"/>
    <w:rsid w:val="00AB77C0"/>
    <w:rsid w:val="00AB78C1"/>
    <w:rsid w:val="00AC07AB"/>
    <w:rsid w:val="00AC0B97"/>
    <w:rsid w:val="00AC0E63"/>
    <w:rsid w:val="00AC1E12"/>
    <w:rsid w:val="00AC2150"/>
    <w:rsid w:val="00AC2285"/>
    <w:rsid w:val="00AC2D2E"/>
    <w:rsid w:val="00AC3217"/>
    <w:rsid w:val="00AC3991"/>
    <w:rsid w:val="00AC3AC2"/>
    <w:rsid w:val="00AC4B8A"/>
    <w:rsid w:val="00AC4C64"/>
    <w:rsid w:val="00AC4FEC"/>
    <w:rsid w:val="00AC50E3"/>
    <w:rsid w:val="00AC512D"/>
    <w:rsid w:val="00AC514C"/>
    <w:rsid w:val="00AC573B"/>
    <w:rsid w:val="00AC59CF"/>
    <w:rsid w:val="00AC5DB0"/>
    <w:rsid w:val="00AC6508"/>
    <w:rsid w:val="00AC6C56"/>
    <w:rsid w:val="00AC6DF3"/>
    <w:rsid w:val="00AC6E3B"/>
    <w:rsid w:val="00AC7101"/>
    <w:rsid w:val="00AC7FD8"/>
    <w:rsid w:val="00AD0070"/>
    <w:rsid w:val="00AD01D0"/>
    <w:rsid w:val="00AD071C"/>
    <w:rsid w:val="00AD13DC"/>
    <w:rsid w:val="00AD1C7A"/>
    <w:rsid w:val="00AD2319"/>
    <w:rsid w:val="00AD2BC1"/>
    <w:rsid w:val="00AD2FA6"/>
    <w:rsid w:val="00AD3509"/>
    <w:rsid w:val="00AD35BC"/>
    <w:rsid w:val="00AD431A"/>
    <w:rsid w:val="00AD45A7"/>
    <w:rsid w:val="00AD4613"/>
    <w:rsid w:val="00AD51C9"/>
    <w:rsid w:val="00AD542F"/>
    <w:rsid w:val="00AD6267"/>
    <w:rsid w:val="00AD627D"/>
    <w:rsid w:val="00AD64CD"/>
    <w:rsid w:val="00AD6992"/>
    <w:rsid w:val="00AD6DFA"/>
    <w:rsid w:val="00AD7291"/>
    <w:rsid w:val="00AD74FE"/>
    <w:rsid w:val="00AD7E4F"/>
    <w:rsid w:val="00AD7FFD"/>
    <w:rsid w:val="00AE032F"/>
    <w:rsid w:val="00AE0787"/>
    <w:rsid w:val="00AE08A5"/>
    <w:rsid w:val="00AE0AC6"/>
    <w:rsid w:val="00AE0FB8"/>
    <w:rsid w:val="00AE1071"/>
    <w:rsid w:val="00AE1AD0"/>
    <w:rsid w:val="00AE1B74"/>
    <w:rsid w:val="00AE2791"/>
    <w:rsid w:val="00AE2A68"/>
    <w:rsid w:val="00AE2F4C"/>
    <w:rsid w:val="00AE3302"/>
    <w:rsid w:val="00AE33B2"/>
    <w:rsid w:val="00AE36AC"/>
    <w:rsid w:val="00AE36E8"/>
    <w:rsid w:val="00AE3A5A"/>
    <w:rsid w:val="00AE4662"/>
    <w:rsid w:val="00AE519A"/>
    <w:rsid w:val="00AE551A"/>
    <w:rsid w:val="00AE55C5"/>
    <w:rsid w:val="00AE5A21"/>
    <w:rsid w:val="00AE6B8E"/>
    <w:rsid w:val="00AE6F39"/>
    <w:rsid w:val="00AE70A6"/>
    <w:rsid w:val="00AE772D"/>
    <w:rsid w:val="00AF04E2"/>
    <w:rsid w:val="00AF0B1C"/>
    <w:rsid w:val="00AF0DF9"/>
    <w:rsid w:val="00AF11DC"/>
    <w:rsid w:val="00AF11FB"/>
    <w:rsid w:val="00AF1A88"/>
    <w:rsid w:val="00AF1C0D"/>
    <w:rsid w:val="00AF1F79"/>
    <w:rsid w:val="00AF2036"/>
    <w:rsid w:val="00AF225A"/>
    <w:rsid w:val="00AF264B"/>
    <w:rsid w:val="00AF2907"/>
    <w:rsid w:val="00AF31E5"/>
    <w:rsid w:val="00AF351E"/>
    <w:rsid w:val="00AF3FA2"/>
    <w:rsid w:val="00AF437E"/>
    <w:rsid w:val="00AF4732"/>
    <w:rsid w:val="00AF4758"/>
    <w:rsid w:val="00AF48FD"/>
    <w:rsid w:val="00AF4908"/>
    <w:rsid w:val="00AF4B69"/>
    <w:rsid w:val="00AF4BE4"/>
    <w:rsid w:val="00AF4C16"/>
    <w:rsid w:val="00AF4DD9"/>
    <w:rsid w:val="00AF4EC1"/>
    <w:rsid w:val="00AF4FAF"/>
    <w:rsid w:val="00AF5464"/>
    <w:rsid w:val="00AF5650"/>
    <w:rsid w:val="00AF61F6"/>
    <w:rsid w:val="00AF627D"/>
    <w:rsid w:val="00AF6508"/>
    <w:rsid w:val="00AF68F0"/>
    <w:rsid w:val="00AF6A0B"/>
    <w:rsid w:val="00AF6BC8"/>
    <w:rsid w:val="00AF6BDB"/>
    <w:rsid w:val="00AF6D36"/>
    <w:rsid w:val="00AF6DA6"/>
    <w:rsid w:val="00AF7072"/>
    <w:rsid w:val="00AF7178"/>
    <w:rsid w:val="00AF7CC1"/>
    <w:rsid w:val="00AF7E84"/>
    <w:rsid w:val="00AF7F67"/>
    <w:rsid w:val="00B00D84"/>
    <w:rsid w:val="00B00DC9"/>
    <w:rsid w:val="00B0129F"/>
    <w:rsid w:val="00B0163D"/>
    <w:rsid w:val="00B0230D"/>
    <w:rsid w:val="00B03FC2"/>
    <w:rsid w:val="00B04CDD"/>
    <w:rsid w:val="00B05012"/>
    <w:rsid w:val="00B0529B"/>
    <w:rsid w:val="00B0545D"/>
    <w:rsid w:val="00B057E1"/>
    <w:rsid w:val="00B05A6C"/>
    <w:rsid w:val="00B05BF7"/>
    <w:rsid w:val="00B05CD6"/>
    <w:rsid w:val="00B05E1D"/>
    <w:rsid w:val="00B05E21"/>
    <w:rsid w:val="00B05F79"/>
    <w:rsid w:val="00B05FD4"/>
    <w:rsid w:val="00B06115"/>
    <w:rsid w:val="00B061FE"/>
    <w:rsid w:val="00B068C4"/>
    <w:rsid w:val="00B073A5"/>
    <w:rsid w:val="00B07553"/>
    <w:rsid w:val="00B10316"/>
    <w:rsid w:val="00B10487"/>
    <w:rsid w:val="00B106DA"/>
    <w:rsid w:val="00B11691"/>
    <w:rsid w:val="00B11E9A"/>
    <w:rsid w:val="00B11EA0"/>
    <w:rsid w:val="00B12139"/>
    <w:rsid w:val="00B122EA"/>
    <w:rsid w:val="00B1278C"/>
    <w:rsid w:val="00B12922"/>
    <w:rsid w:val="00B12B82"/>
    <w:rsid w:val="00B13338"/>
    <w:rsid w:val="00B135AF"/>
    <w:rsid w:val="00B13B92"/>
    <w:rsid w:val="00B13C97"/>
    <w:rsid w:val="00B14783"/>
    <w:rsid w:val="00B1479F"/>
    <w:rsid w:val="00B14F85"/>
    <w:rsid w:val="00B1542E"/>
    <w:rsid w:val="00B156B9"/>
    <w:rsid w:val="00B16163"/>
    <w:rsid w:val="00B17524"/>
    <w:rsid w:val="00B17FDB"/>
    <w:rsid w:val="00B17FE8"/>
    <w:rsid w:val="00B20473"/>
    <w:rsid w:val="00B2094B"/>
    <w:rsid w:val="00B20EA9"/>
    <w:rsid w:val="00B2138A"/>
    <w:rsid w:val="00B2154A"/>
    <w:rsid w:val="00B218C8"/>
    <w:rsid w:val="00B21B57"/>
    <w:rsid w:val="00B21BB1"/>
    <w:rsid w:val="00B21EED"/>
    <w:rsid w:val="00B225D0"/>
    <w:rsid w:val="00B22A5E"/>
    <w:rsid w:val="00B22D20"/>
    <w:rsid w:val="00B23009"/>
    <w:rsid w:val="00B235C9"/>
    <w:rsid w:val="00B23AF6"/>
    <w:rsid w:val="00B23D5B"/>
    <w:rsid w:val="00B23F82"/>
    <w:rsid w:val="00B240A1"/>
    <w:rsid w:val="00B2500E"/>
    <w:rsid w:val="00B2532C"/>
    <w:rsid w:val="00B256F2"/>
    <w:rsid w:val="00B257EE"/>
    <w:rsid w:val="00B259DF"/>
    <w:rsid w:val="00B25D68"/>
    <w:rsid w:val="00B260E4"/>
    <w:rsid w:val="00B26B30"/>
    <w:rsid w:val="00B2777B"/>
    <w:rsid w:val="00B27C7F"/>
    <w:rsid w:val="00B300F8"/>
    <w:rsid w:val="00B30120"/>
    <w:rsid w:val="00B30705"/>
    <w:rsid w:val="00B3099A"/>
    <w:rsid w:val="00B30A30"/>
    <w:rsid w:val="00B30D73"/>
    <w:rsid w:val="00B322C0"/>
    <w:rsid w:val="00B322EA"/>
    <w:rsid w:val="00B3291F"/>
    <w:rsid w:val="00B3336C"/>
    <w:rsid w:val="00B33393"/>
    <w:rsid w:val="00B33914"/>
    <w:rsid w:val="00B340B4"/>
    <w:rsid w:val="00B341D7"/>
    <w:rsid w:val="00B34862"/>
    <w:rsid w:val="00B34A96"/>
    <w:rsid w:val="00B34C1B"/>
    <w:rsid w:val="00B3598A"/>
    <w:rsid w:val="00B363D2"/>
    <w:rsid w:val="00B367E2"/>
    <w:rsid w:val="00B369D8"/>
    <w:rsid w:val="00B3706A"/>
    <w:rsid w:val="00B37384"/>
    <w:rsid w:val="00B373AB"/>
    <w:rsid w:val="00B40062"/>
    <w:rsid w:val="00B401C3"/>
    <w:rsid w:val="00B4220C"/>
    <w:rsid w:val="00B427B7"/>
    <w:rsid w:val="00B42814"/>
    <w:rsid w:val="00B42BFA"/>
    <w:rsid w:val="00B4357B"/>
    <w:rsid w:val="00B4375F"/>
    <w:rsid w:val="00B439D1"/>
    <w:rsid w:val="00B443D6"/>
    <w:rsid w:val="00B44435"/>
    <w:rsid w:val="00B44640"/>
    <w:rsid w:val="00B446C2"/>
    <w:rsid w:val="00B451B2"/>
    <w:rsid w:val="00B454EA"/>
    <w:rsid w:val="00B4551D"/>
    <w:rsid w:val="00B455FC"/>
    <w:rsid w:val="00B45971"/>
    <w:rsid w:val="00B4602B"/>
    <w:rsid w:val="00B46047"/>
    <w:rsid w:val="00B4656A"/>
    <w:rsid w:val="00B46CE8"/>
    <w:rsid w:val="00B470ED"/>
    <w:rsid w:val="00B472FA"/>
    <w:rsid w:val="00B474F6"/>
    <w:rsid w:val="00B5042A"/>
    <w:rsid w:val="00B50944"/>
    <w:rsid w:val="00B50FBC"/>
    <w:rsid w:val="00B513CB"/>
    <w:rsid w:val="00B517BD"/>
    <w:rsid w:val="00B5211C"/>
    <w:rsid w:val="00B526C7"/>
    <w:rsid w:val="00B53044"/>
    <w:rsid w:val="00B53BAC"/>
    <w:rsid w:val="00B5496E"/>
    <w:rsid w:val="00B54A74"/>
    <w:rsid w:val="00B54C35"/>
    <w:rsid w:val="00B5558B"/>
    <w:rsid w:val="00B55711"/>
    <w:rsid w:val="00B55B8F"/>
    <w:rsid w:val="00B55CAC"/>
    <w:rsid w:val="00B56195"/>
    <w:rsid w:val="00B56412"/>
    <w:rsid w:val="00B56877"/>
    <w:rsid w:val="00B5697A"/>
    <w:rsid w:val="00B56D6A"/>
    <w:rsid w:val="00B56EA2"/>
    <w:rsid w:val="00B57441"/>
    <w:rsid w:val="00B574E7"/>
    <w:rsid w:val="00B60312"/>
    <w:rsid w:val="00B60324"/>
    <w:rsid w:val="00B60397"/>
    <w:rsid w:val="00B604D4"/>
    <w:rsid w:val="00B60894"/>
    <w:rsid w:val="00B61598"/>
    <w:rsid w:val="00B61C4E"/>
    <w:rsid w:val="00B61CC4"/>
    <w:rsid w:val="00B622F3"/>
    <w:rsid w:val="00B629E0"/>
    <w:rsid w:val="00B633D9"/>
    <w:rsid w:val="00B63460"/>
    <w:rsid w:val="00B63FA8"/>
    <w:rsid w:val="00B65862"/>
    <w:rsid w:val="00B658DE"/>
    <w:rsid w:val="00B65BF1"/>
    <w:rsid w:val="00B65C48"/>
    <w:rsid w:val="00B65F01"/>
    <w:rsid w:val="00B668E0"/>
    <w:rsid w:val="00B66C04"/>
    <w:rsid w:val="00B66C37"/>
    <w:rsid w:val="00B67119"/>
    <w:rsid w:val="00B672ED"/>
    <w:rsid w:val="00B67831"/>
    <w:rsid w:val="00B678C4"/>
    <w:rsid w:val="00B67E2B"/>
    <w:rsid w:val="00B67F83"/>
    <w:rsid w:val="00B70334"/>
    <w:rsid w:val="00B70445"/>
    <w:rsid w:val="00B70522"/>
    <w:rsid w:val="00B70F1B"/>
    <w:rsid w:val="00B70F2C"/>
    <w:rsid w:val="00B7101C"/>
    <w:rsid w:val="00B7106B"/>
    <w:rsid w:val="00B71675"/>
    <w:rsid w:val="00B71AC2"/>
    <w:rsid w:val="00B71B62"/>
    <w:rsid w:val="00B71F9F"/>
    <w:rsid w:val="00B72101"/>
    <w:rsid w:val="00B721B9"/>
    <w:rsid w:val="00B721CA"/>
    <w:rsid w:val="00B7239C"/>
    <w:rsid w:val="00B727B2"/>
    <w:rsid w:val="00B7286C"/>
    <w:rsid w:val="00B7294C"/>
    <w:rsid w:val="00B72AD3"/>
    <w:rsid w:val="00B72B4C"/>
    <w:rsid w:val="00B7361E"/>
    <w:rsid w:val="00B736EC"/>
    <w:rsid w:val="00B73897"/>
    <w:rsid w:val="00B740C4"/>
    <w:rsid w:val="00B74399"/>
    <w:rsid w:val="00B74764"/>
    <w:rsid w:val="00B753A5"/>
    <w:rsid w:val="00B75BC0"/>
    <w:rsid w:val="00B760E8"/>
    <w:rsid w:val="00B7636B"/>
    <w:rsid w:val="00B76492"/>
    <w:rsid w:val="00B769A2"/>
    <w:rsid w:val="00B775EB"/>
    <w:rsid w:val="00B7796D"/>
    <w:rsid w:val="00B80B83"/>
    <w:rsid w:val="00B8111A"/>
    <w:rsid w:val="00B811C3"/>
    <w:rsid w:val="00B814EC"/>
    <w:rsid w:val="00B82171"/>
    <w:rsid w:val="00B8254D"/>
    <w:rsid w:val="00B82DF3"/>
    <w:rsid w:val="00B82E1F"/>
    <w:rsid w:val="00B83300"/>
    <w:rsid w:val="00B834E5"/>
    <w:rsid w:val="00B834E7"/>
    <w:rsid w:val="00B8380D"/>
    <w:rsid w:val="00B83975"/>
    <w:rsid w:val="00B84C0B"/>
    <w:rsid w:val="00B84D0F"/>
    <w:rsid w:val="00B84E82"/>
    <w:rsid w:val="00B85195"/>
    <w:rsid w:val="00B855BA"/>
    <w:rsid w:val="00B8560C"/>
    <w:rsid w:val="00B857ED"/>
    <w:rsid w:val="00B85BBA"/>
    <w:rsid w:val="00B85BC8"/>
    <w:rsid w:val="00B85F1B"/>
    <w:rsid w:val="00B863A0"/>
    <w:rsid w:val="00B8649A"/>
    <w:rsid w:val="00B868AA"/>
    <w:rsid w:val="00B86A58"/>
    <w:rsid w:val="00B87080"/>
    <w:rsid w:val="00B874FE"/>
    <w:rsid w:val="00B876B1"/>
    <w:rsid w:val="00B87AF7"/>
    <w:rsid w:val="00B913DE"/>
    <w:rsid w:val="00B914E1"/>
    <w:rsid w:val="00B9159F"/>
    <w:rsid w:val="00B91AF3"/>
    <w:rsid w:val="00B9229D"/>
    <w:rsid w:val="00B9286D"/>
    <w:rsid w:val="00B92A6D"/>
    <w:rsid w:val="00B937B9"/>
    <w:rsid w:val="00B93CBC"/>
    <w:rsid w:val="00B93CCD"/>
    <w:rsid w:val="00B94A41"/>
    <w:rsid w:val="00B95077"/>
    <w:rsid w:val="00B952C7"/>
    <w:rsid w:val="00B95913"/>
    <w:rsid w:val="00B964A6"/>
    <w:rsid w:val="00B964F6"/>
    <w:rsid w:val="00B965F7"/>
    <w:rsid w:val="00B967BA"/>
    <w:rsid w:val="00B96B37"/>
    <w:rsid w:val="00B96C32"/>
    <w:rsid w:val="00B97920"/>
    <w:rsid w:val="00B97BF1"/>
    <w:rsid w:val="00BA00F4"/>
    <w:rsid w:val="00BA01AB"/>
    <w:rsid w:val="00BA0578"/>
    <w:rsid w:val="00BA105F"/>
    <w:rsid w:val="00BA129D"/>
    <w:rsid w:val="00BA1978"/>
    <w:rsid w:val="00BA198D"/>
    <w:rsid w:val="00BA1A65"/>
    <w:rsid w:val="00BA1BA0"/>
    <w:rsid w:val="00BA1BAC"/>
    <w:rsid w:val="00BA1E06"/>
    <w:rsid w:val="00BA2815"/>
    <w:rsid w:val="00BA2FC7"/>
    <w:rsid w:val="00BA31FE"/>
    <w:rsid w:val="00BA3306"/>
    <w:rsid w:val="00BA3CA0"/>
    <w:rsid w:val="00BA3D70"/>
    <w:rsid w:val="00BA3DFB"/>
    <w:rsid w:val="00BA47B3"/>
    <w:rsid w:val="00BA4AB1"/>
    <w:rsid w:val="00BA4B4A"/>
    <w:rsid w:val="00BA56F2"/>
    <w:rsid w:val="00BA5724"/>
    <w:rsid w:val="00BA6292"/>
    <w:rsid w:val="00BA67AA"/>
    <w:rsid w:val="00BA6AF3"/>
    <w:rsid w:val="00BA7350"/>
    <w:rsid w:val="00BA73EE"/>
    <w:rsid w:val="00BA7E60"/>
    <w:rsid w:val="00BB0D21"/>
    <w:rsid w:val="00BB0E85"/>
    <w:rsid w:val="00BB0F3A"/>
    <w:rsid w:val="00BB14C5"/>
    <w:rsid w:val="00BB18A1"/>
    <w:rsid w:val="00BB1B21"/>
    <w:rsid w:val="00BB2329"/>
    <w:rsid w:val="00BB23B5"/>
    <w:rsid w:val="00BB3103"/>
    <w:rsid w:val="00BB3110"/>
    <w:rsid w:val="00BB3266"/>
    <w:rsid w:val="00BB33A8"/>
    <w:rsid w:val="00BB3A0E"/>
    <w:rsid w:val="00BB3A32"/>
    <w:rsid w:val="00BB3B73"/>
    <w:rsid w:val="00BB4569"/>
    <w:rsid w:val="00BB4667"/>
    <w:rsid w:val="00BB4C2B"/>
    <w:rsid w:val="00BB5227"/>
    <w:rsid w:val="00BB54A6"/>
    <w:rsid w:val="00BB57A2"/>
    <w:rsid w:val="00BB57B3"/>
    <w:rsid w:val="00BB5FF9"/>
    <w:rsid w:val="00BB60D4"/>
    <w:rsid w:val="00BB6875"/>
    <w:rsid w:val="00BB744E"/>
    <w:rsid w:val="00BC099C"/>
    <w:rsid w:val="00BC0B5F"/>
    <w:rsid w:val="00BC0E0A"/>
    <w:rsid w:val="00BC11F2"/>
    <w:rsid w:val="00BC132B"/>
    <w:rsid w:val="00BC19B1"/>
    <w:rsid w:val="00BC1C30"/>
    <w:rsid w:val="00BC1C70"/>
    <w:rsid w:val="00BC1CAF"/>
    <w:rsid w:val="00BC1ECD"/>
    <w:rsid w:val="00BC20AC"/>
    <w:rsid w:val="00BC2CC4"/>
    <w:rsid w:val="00BC347E"/>
    <w:rsid w:val="00BC3502"/>
    <w:rsid w:val="00BC3791"/>
    <w:rsid w:val="00BC394C"/>
    <w:rsid w:val="00BC3AF3"/>
    <w:rsid w:val="00BC3CAE"/>
    <w:rsid w:val="00BC3DC1"/>
    <w:rsid w:val="00BC40F0"/>
    <w:rsid w:val="00BC436C"/>
    <w:rsid w:val="00BC4433"/>
    <w:rsid w:val="00BC468B"/>
    <w:rsid w:val="00BC47B1"/>
    <w:rsid w:val="00BC49AA"/>
    <w:rsid w:val="00BC548F"/>
    <w:rsid w:val="00BC5965"/>
    <w:rsid w:val="00BC5986"/>
    <w:rsid w:val="00BC5B26"/>
    <w:rsid w:val="00BC71E9"/>
    <w:rsid w:val="00BC741E"/>
    <w:rsid w:val="00BC7436"/>
    <w:rsid w:val="00BC7EA2"/>
    <w:rsid w:val="00BD03EC"/>
    <w:rsid w:val="00BD0543"/>
    <w:rsid w:val="00BD07C0"/>
    <w:rsid w:val="00BD1540"/>
    <w:rsid w:val="00BD176E"/>
    <w:rsid w:val="00BD1C43"/>
    <w:rsid w:val="00BD1D69"/>
    <w:rsid w:val="00BD1E51"/>
    <w:rsid w:val="00BD2868"/>
    <w:rsid w:val="00BD2ECC"/>
    <w:rsid w:val="00BD2F55"/>
    <w:rsid w:val="00BD4CA7"/>
    <w:rsid w:val="00BD590A"/>
    <w:rsid w:val="00BD5C7A"/>
    <w:rsid w:val="00BD5D7F"/>
    <w:rsid w:val="00BD5DF2"/>
    <w:rsid w:val="00BD6204"/>
    <w:rsid w:val="00BD638B"/>
    <w:rsid w:val="00BD6655"/>
    <w:rsid w:val="00BD686D"/>
    <w:rsid w:val="00BD7305"/>
    <w:rsid w:val="00BD79AD"/>
    <w:rsid w:val="00BD7F0B"/>
    <w:rsid w:val="00BE07A4"/>
    <w:rsid w:val="00BE07C5"/>
    <w:rsid w:val="00BE083D"/>
    <w:rsid w:val="00BE0E43"/>
    <w:rsid w:val="00BE11B4"/>
    <w:rsid w:val="00BE1528"/>
    <w:rsid w:val="00BE1D7B"/>
    <w:rsid w:val="00BE2311"/>
    <w:rsid w:val="00BE26E3"/>
    <w:rsid w:val="00BE2BF7"/>
    <w:rsid w:val="00BE30FB"/>
    <w:rsid w:val="00BE37E9"/>
    <w:rsid w:val="00BE3CAA"/>
    <w:rsid w:val="00BE3D49"/>
    <w:rsid w:val="00BE3E02"/>
    <w:rsid w:val="00BE3E5F"/>
    <w:rsid w:val="00BE4F34"/>
    <w:rsid w:val="00BE512A"/>
    <w:rsid w:val="00BE53C7"/>
    <w:rsid w:val="00BE583A"/>
    <w:rsid w:val="00BE5F4E"/>
    <w:rsid w:val="00BE67D4"/>
    <w:rsid w:val="00BE74E5"/>
    <w:rsid w:val="00BE78BD"/>
    <w:rsid w:val="00BF05D4"/>
    <w:rsid w:val="00BF05DE"/>
    <w:rsid w:val="00BF066A"/>
    <w:rsid w:val="00BF0E86"/>
    <w:rsid w:val="00BF10F5"/>
    <w:rsid w:val="00BF206B"/>
    <w:rsid w:val="00BF2646"/>
    <w:rsid w:val="00BF2743"/>
    <w:rsid w:val="00BF291D"/>
    <w:rsid w:val="00BF2FF5"/>
    <w:rsid w:val="00BF3BE2"/>
    <w:rsid w:val="00BF42BE"/>
    <w:rsid w:val="00BF48E5"/>
    <w:rsid w:val="00BF5D8A"/>
    <w:rsid w:val="00BF5ED6"/>
    <w:rsid w:val="00BF5F6C"/>
    <w:rsid w:val="00BF613C"/>
    <w:rsid w:val="00BF658A"/>
    <w:rsid w:val="00BF77E8"/>
    <w:rsid w:val="00BF7A17"/>
    <w:rsid w:val="00BF7E30"/>
    <w:rsid w:val="00C005E4"/>
    <w:rsid w:val="00C00678"/>
    <w:rsid w:val="00C01106"/>
    <w:rsid w:val="00C01248"/>
    <w:rsid w:val="00C013B4"/>
    <w:rsid w:val="00C01634"/>
    <w:rsid w:val="00C016C6"/>
    <w:rsid w:val="00C01C95"/>
    <w:rsid w:val="00C01E3E"/>
    <w:rsid w:val="00C02559"/>
    <w:rsid w:val="00C025B2"/>
    <w:rsid w:val="00C0265A"/>
    <w:rsid w:val="00C027D4"/>
    <w:rsid w:val="00C031FA"/>
    <w:rsid w:val="00C038FD"/>
    <w:rsid w:val="00C0408D"/>
    <w:rsid w:val="00C046C6"/>
    <w:rsid w:val="00C04BF2"/>
    <w:rsid w:val="00C04FE8"/>
    <w:rsid w:val="00C053BC"/>
    <w:rsid w:val="00C05C2E"/>
    <w:rsid w:val="00C05EB4"/>
    <w:rsid w:val="00C06459"/>
    <w:rsid w:val="00C067DF"/>
    <w:rsid w:val="00C06DDB"/>
    <w:rsid w:val="00C07417"/>
    <w:rsid w:val="00C07B83"/>
    <w:rsid w:val="00C07BBA"/>
    <w:rsid w:val="00C07F3A"/>
    <w:rsid w:val="00C103CE"/>
    <w:rsid w:val="00C10407"/>
    <w:rsid w:val="00C1050A"/>
    <w:rsid w:val="00C10B20"/>
    <w:rsid w:val="00C10B79"/>
    <w:rsid w:val="00C11436"/>
    <w:rsid w:val="00C115F0"/>
    <w:rsid w:val="00C11A01"/>
    <w:rsid w:val="00C125A2"/>
    <w:rsid w:val="00C12655"/>
    <w:rsid w:val="00C12B42"/>
    <w:rsid w:val="00C130A9"/>
    <w:rsid w:val="00C133FE"/>
    <w:rsid w:val="00C13A53"/>
    <w:rsid w:val="00C13C2D"/>
    <w:rsid w:val="00C13D60"/>
    <w:rsid w:val="00C142CD"/>
    <w:rsid w:val="00C14BF7"/>
    <w:rsid w:val="00C14F5F"/>
    <w:rsid w:val="00C15A6B"/>
    <w:rsid w:val="00C15EDC"/>
    <w:rsid w:val="00C164A4"/>
    <w:rsid w:val="00C16562"/>
    <w:rsid w:val="00C16623"/>
    <w:rsid w:val="00C16790"/>
    <w:rsid w:val="00C169BD"/>
    <w:rsid w:val="00C16ACC"/>
    <w:rsid w:val="00C17105"/>
    <w:rsid w:val="00C177A2"/>
    <w:rsid w:val="00C17BA2"/>
    <w:rsid w:val="00C20F08"/>
    <w:rsid w:val="00C2162A"/>
    <w:rsid w:val="00C21EA3"/>
    <w:rsid w:val="00C21F73"/>
    <w:rsid w:val="00C221BF"/>
    <w:rsid w:val="00C226BE"/>
    <w:rsid w:val="00C226EB"/>
    <w:rsid w:val="00C22F5F"/>
    <w:rsid w:val="00C22FC5"/>
    <w:rsid w:val="00C234C5"/>
    <w:rsid w:val="00C234E4"/>
    <w:rsid w:val="00C236A6"/>
    <w:rsid w:val="00C23D8B"/>
    <w:rsid w:val="00C23E34"/>
    <w:rsid w:val="00C23FEA"/>
    <w:rsid w:val="00C2475C"/>
    <w:rsid w:val="00C24903"/>
    <w:rsid w:val="00C249EC"/>
    <w:rsid w:val="00C2509F"/>
    <w:rsid w:val="00C250E1"/>
    <w:rsid w:val="00C25382"/>
    <w:rsid w:val="00C2546E"/>
    <w:rsid w:val="00C25DE8"/>
    <w:rsid w:val="00C26073"/>
    <w:rsid w:val="00C262DC"/>
    <w:rsid w:val="00C268CF"/>
    <w:rsid w:val="00C271F9"/>
    <w:rsid w:val="00C27307"/>
    <w:rsid w:val="00C27365"/>
    <w:rsid w:val="00C302AE"/>
    <w:rsid w:val="00C3032C"/>
    <w:rsid w:val="00C305C6"/>
    <w:rsid w:val="00C30678"/>
    <w:rsid w:val="00C30D55"/>
    <w:rsid w:val="00C315B6"/>
    <w:rsid w:val="00C317F3"/>
    <w:rsid w:val="00C31A10"/>
    <w:rsid w:val="00C31A81"/>
    <w:rsid w:val="00C32157"/>
    <w:rsid w:val="00C32478"/>
    <w:rsid w:val="00C326A9"/>
    <w:rsid w:val="00C32873"/>
    <w:rsid w:val="00C32E24"/>
    <w:rsid w:val="00C32F1C"/>
    <w:rsid w:val="00C33049"/>
    <w:rsid w:val="00C335CF"/>
    <w:rsid w:val="00C33760"/>
    <w:rsid w:val="00C339CC"/>
    <w:rsid w:val="00C33A0F"/>
    <w:rsid w:val="00C34002"/>
    <w:rsid w:val="00C341E1"/>
    <w:rsid w:val="00C3447A"/>
    <w:rsid w:val="00C34503"/>
    <w:rsid w:val="00C34654"/>
    <w:rsid w:val="00C349C2"/>
    <w:rsid w:val="00C35242"/>
    <w:rsid w:val="00C35FA5"/>
    <w:rsid w:val="00C361F4"/>
    <w:rsid w:val="00C36790"/>
    <w:rsid w:val="00C367F0"/>
    <w:rsid w:val="00C36B10"/>
    <w:rsid w:val="00C36E49"/>
    <w:rsid w:val="00C37635"/>
    <w:rsid w:val="00C377EF"/>
    <w:rsid w:val="00C378C0"/>
    <w:rsid w:val="00C37988"/>
    <w:rsid w:val="00C401C2"/>
    <w:rsid w:val="00C41263"/>
    <w:rsid w:val="00C41558"/>
    <w:rsid w:val="00C42422"/>
    <w:rsid w:val="00C42451"/>
    <w:rsid w:val="00C432F2"/>
    <w:rsid w:val="00C434A2"/>
    <w:rsid w:val="00C437A6"/>
    <w:rsid w:val="00C43E3F"/>
    <w:rsid w:val="00C44461"/>
    <w:rsid w:val="00C44C37"/>
    <w:rsid w:val="00C45F6E"/>
    <w:rsid w:val="00C46AE5"/>
    <w:rsid w:val="00C46B5A"/>
    <w:rsid w:val="00C46E78"/>
    <w:rsid w:val="00C47654"/>
    <w:rsid w:val="00C47816"/>
    <w:rsid w:val="00C479F1"/>
    <w:rsid w:val="00C47E70"/>
    <w:rsid w:val="00C47EDD"/>
    <w:rsid w:val="00C5014E"/>
    <w:rsid w:val="00C50E86"/>
    <w:rsid w:val="00C50F84"/>
    <w:rsid w:val="00C51EB3"/>
    <w:rsid w:val="00C520D0"/>
    <w:rsid w:val="00C5244D"/>
    <w:rsid w:val="00C524F3"/>
    <w:rsid w:val="00C52BE0"/>
    <w:rsid w:val="00C53677"/>
    <w:rsid w:val="00C53A1C"/>
    <w:rsid w:val="00C54052"/>
    <w:rsid w:val="00C5547D"/>
    <w:rsid w:val="00C55591"/>
    <w:rsid w:val="00C55C33"/>
    <w:rsid w:val="00C5602E"/>
    <w:rsid w:val="00C56093"/>
    <w:rsid w:val="00C561F0"/>
    <w:rsid w:val="00C56883"/>
    <w:rsid w:val="00C56F48"/>
    <w:rsid w:val="00C57068"/>
    <w:rsid w:val="00C57180"/>
    <w:rsid w:val="00C57E4D"/>
    <w:rsid w:val="00C60D47"/>
    <w:rsid w:val="00C6124D"/>
    <w:rsid w:val="00C61543"/>
    <w:rsid w:val="00C61633"/>
    <w:rsid w:val="00C618B3"/>
    <w:rsid w:val="00C622A3"/>
    <w:rsid w:val="00C622D7"/>
    <w:rsid w:val="00C62474"/>
    <w:rsid w:val="00C626E2"/>
    <w:rsid w:val="00C628C8"/>
    <w:rsid w:val="00C62BE9"/>
    <w:rsid w:val="00C62C40"/>
    <w:rsid w:val="00C6312D"/>
    <w:rsid w:val="00C632D3"/>
    <w:rsid w:val="00C63884"/>
    <w:rsid w:val="00C639B3"/>
    <w:rsid w:val="00C63BB9"/>
    <w:rsid w:val="00C63E3D"/>
    <w:rsid w:val="00C648A9"/>
    <w:rsid w:val="00C6499E"/>
    <w:rsid w:val="00C6609F"/>
    <w:rsid w:val="00C6614C"/>
    <w:rsid w:val="00C6663D"/>
    <w:rsid w:val="00C66E29"/>
    <w:rsid w:val="00C673F8"/>
    <w:rsid w:val="00C677C7"/>
    <w:rsid w:val="00C70A89"/>
    <w:rsid w:val="00C70E91"/>
    <w:rsid w:val="00C710C9"/>
    <w:rsid w:val="00C71242"/>
    <w:rsid w:val="00C71383"/>
    <w:rsid w:val="00C71A5D"/>
    <w:rsid w:val="00C71ACE"/>
    <w:rsid w:val="00C71FAB"/>
    <w:rsid w:val="00C721CC"/>
    <w:rsid w:val="00C722CE"/>
    <w:rsid w:val="00C72344"/>
    <w:rsid w:val="00C7259E"/>
    <w:rsid w:val="00C727EE"/>
    <w:rsid w:val="00C72A00"/>
    <w:rsid w:val="00C73340"/>
    <w:rsid w:val="00C736B1"/>
    <w:rsid w:val="00C736E7"/>
    <w:rsid w:val="00C7398F"/>
    <w:rsid w:val="00C73CCE"/>
    <w:rsid w:val="00C744C6"/>
    <w:rsid w:val="00C745AD"/>
    <w:rsid w:val="00C74840"/>
    <w:rsid w:val="00C7519E"/>
    <w:rsid w:val="00C752AA"/>
    <w:rsid w:val="00C7575A"/>
    <w:rsid w:val="00C75E3C"/>
    <w:rsid w:val="00C7600C"/>
    <w:rsid w:val="00C76258"/>
    <w:rsid w:val="00C76FBC"/>
    <w:rsid w:val="00C77136"/>
    <w:rsid w:val="00C7730D"/>
    <w:rsid w:val="00C77BF4"/>
    <w:rsid w:val="00C807D7"/>
    <w:rsid w:val="00C8098D"/>
    <w:rsid w:val="00C813A2"/>
    <w:rsid w:val="00C81A12"/>
    <w:rsid w:val="00C81D68"/>
    <w:rsid w:val="00C81E1F"/>
    <w:rsid w:val="00C82261"/>
    <w:rsid w:val="00C824E4"/>
    <w:rsid w:val="00C8284F"/>
    <w:rsid w:val="00C8296F"/>
    <w:rsid w:val="00C82A49"/>
    <w:rsid w:val="00C82D70"/>
    <w:rsid w:val="00C8369D"/>
    <w:rsid w:val="00C83FDF"/>
    <w:rsid w:val="00C8401D"/>
    <w:rsid w:val="00C84355"/>
    <w:rsid w:val="00C844AB"/>
    <w:rsid w:val="00C846BE"/>
    <w:rsid w:val="00C84C02"/>
    <w:rsid w:val="00C84ECB"/>
    <w:rsid w:val="00C8530B"/>
    <w:rsid w:val="00C85923"/>
    <w:rsid w:val="00C85A4E"/>
    <w:rsid w:val="00C87120"/>
    <w:rsid w:val="00C8760A"/>
    <w:rsid w:val="00C8788E"/>
    <w:rsid w:val="00C87C65"/>
    <w:rsid w:val="00C87EA2"/>
    <w:rsid w:val="00C87F2E"/>
    <w:rsid w:val="00C87F4B"/>
    <w:rsid w:val="00C87F5E"/>
    <w:rsid w:val="00C90AFB"/>
    <w:rsid w:val="00C90CED"/>
    <w:rsid w:val="00C9161F"/>
    <w:rsid w:val="00C918A6"/>
    <w:rsid w:val="00C91DEF"/>
    <w:rsid w:val="00C91F17"/>
    <w:rsid w:val="00C920A1"/>
    <w:rsid w:val="00C925A8"/>
    <w:rsid w:val="00C92838"/>
    <w:rsid w:val="00C92AAC"/>
    <w:rsid w:val="00C92B07"/>
    <w:rsid w:val="00C931DE"/>
    <w:rsid w:val="00C9338F"/>
    <w:rsid w:val="00C934DC"/>
    <w:rsid w:val="00C9351E"/>
    <w:rsid w:val="00C93787"/>
    <w:rsid w:val="00C93901"/>
    <w:rsid w:val="00C94401"/>
    <w:rsid w:val="00C94FE8"/>
    <w:rsid w:val="00C94FE9"/>
    <w:rsid w:val="00C9588B"/>
    <w:rsid w:val="00C95E75"/>
    <w:rsid w:val="00C963DE"/>
    <w:rsid w:val="00C966E6"/>
    <w:rsid w:val="00C97028"/>
    <w:rsid w:val="00C972D0"/>
    <w:rsid w:val="00CA06E7"/>
    <w:rsid w:val="00CA0799"/>
    <w:rsid w:val="00CA0C26"/>
    <w:rsid w:val="00CA119B"/>
    <w:rsid w:val="00CA12DD"/>
    <w:rsid w:val="00CA1729"/>
    <w:rsid w:val="00CA1A48"/>
    <w:rsid w:val="00CA1E7B"/>
    <w:rsid w:val="00CA2361"/>
    <w:rsid w:val="00CA2CFF"/>
    <w:rsid w:val="00CA3884"/>
    <w:rsid w:val="00CA3888"/>
    <w:rsid w:val="00CA4225"/>
    <w:rsid w:val="00CA4440"/>
    <w:rsid w:val="00CA4789"/>
    <w:rsid w:val="00CA4E22"/>
    <w:rsid w:val="00CA5209"/>
    <w:rsid w:val="00CA52A5"/>
    <w:rsid w:val="00CA571C"/>
    <w:rsid w:val="00CA58E5"/>
    <w:rsid w:val="00CA592B"/>
    <w:rsid w:val="00CA5B52"/>
    <w:rsid w:val="00CA6381"/>
    <w:rsid w:val="00CA63CB"/>
    <w:rsid w:val="00CA63DD"/>
    <w:rsid w:val="00CA65EC"/>
    <w:rsid w:val="00CA68D3"/>
    <w:rsid w:val="00CA69AC"/>
    <w:rsid w:val="00CA6E94"/>
    <w:rsid w:val="00CA71EA"/>
    <w:rsid w:val="00CA7376"/>
    <w:rsid w:val="00CA75B3"/>
    <w:rsid w:val="00CA7884"/>
    <w:rsid w:val="00CA7E84"/>
    <w:rsid w:val="00CB03E3"/>
    <w:rsid w:val="00CB07A8"/>
    <w:rsid w:val="00CB0AF0"/>
    <w:rsid w:val="00CB13A2"/>
    <w:rsid w:val="00CB1A3B"/>
    <w:rsid w:val="00CB2072"/>
    <w:rsid w:val="00CB2283"/>
    <w:rsid w:val="00CB23B3"/>
    <w:rsid w:val="00CB2BDC"/>
    <w:rsid w:val="00CB32AB"/>
    <w:rsid w:val="00CB3B42"/>
    <w:rsid w:val="00CB3DC5"/>
    <w:rsid w:val="00CB43A3"/>
    <w:rsid w:val="00CB4C8E"/>
    <w:rsid w:val="00CB5389"/>
    <w:rsid w:val="00CB5E41"/>
    <w:rsid w:val="00CB6573"/>
    <w:rsid w:val="00CB727C"/>
    <w:rsid w:val="00CB76CD"/>
    <w:rsid w:val="00CC0B3B"/>
    <w:rsid w:val="00CC10E1"/>
    <w:rsid w:val="00CC1DB4"/>
    <w:rsid w:val="00CC21E0"/>
    <w:rsid w:val="00CC2FFB"/>
    <w:rsid w:val="00CC30A2"/>
    <w:rsid w:val="00CC3543"/>
    <w:rsid w:val="00CC35D0"/>
    <w:rsid w:val="00CC409E"/>
    <w:rsid w:val="00CC4C61"/>
    <w:rsid w:val="00CC6E99"/>
    <w:rsid w:val="00CC7138"/>
    <w:rsid w:val="00CC7166"/>
    <w:rsid w:val="00CC74E7"/>
    <w:rsid w:val="00CC79A7"/>
    <w:rsid w:val="00CD0471"/>
    <w:rsid w:val="00CD051B"/>
    <w:rsid w:val="00CD0D6B"/>
    <w:rsid w:val="00CD12E3"/>
    <w:rsid w:val="00CD2F74"/>
    <w:rsid w:val="00CD2F83"/>
    <w:rsid w:val="00CD3281"/>
    <w:rsid w:val="00CD38BE"/>
    <w:rsid w:val="00CD3934"/>
    <w:rsid w:val="00CD3CD8"/>
    <w:rsid w:val="00CD3DA0"/>
    <w:rsid w:val="00CD49A7"/>
    <w:rsid w:val="00CD5408"/>
    <w:rsid w:val="00CD5537"/>
    <w:rsid w:val="00CD5BEE"/>
    <w:rsid w:val="00CD5E8C"/>
    <w:rsid w:val="00CD5F0D"/>
    <w:rsid w:val="00CD6007"/>
    <w:rsid w:val="00CD6327"/>
    <w:rsid w:val="00CD6E19"/>
    <w:rsid w:val="00CD7253"/>
    <w:rsid w:val="00CD7389"/>
    <w:rsid w:val="00CD7445"/>
    <w:rsid w:val="00CD78EA"/>
    <w:rsid w:val="00CD7A48"/>
    <w:rsid w:val="00CD7D03"/>
    <w:rsid w:val="00CD7E8B"/>
    <w:rsid w:val="00CE02EB"/>
    <w:rsid w:val="00CE03B7"/>
    <w:rsid w:val="00CE04E6"/>
    <w:rsid w:val="00CE05D6"/>
    <w:rsid w:val="00CE05FC"/>
    <w:rsid w:val="00CE07F3"/>
    <w:rsid w:val="00CE0F6C"/>
    <w:rsid w:val="00CE119E"/>
    <w:rsid w:val="00CE17D0"/>
    <w:rsid w:val="00CE22FF"/>
    <w:rsid w:val="00CE2567"/>
    <w:rsid w:val="00CE277D"/>
    <w:rsid w:val="00CE2901"/>
    <w:rsid w:val="00CE2B78"/>
    <w:rsid w:val="00CE3505"/>
    <w:rsid w:val="00CE353B"/>
    <w:rsid w:val="00CE3B08"/>
    <w:rsid w:val="00CE3DEF"/>
    <w:rsid w:val="00CE40D7"/>
    <w:rsid w:val="00CE44B8"/>
    <w:rsid w:val="00CE4842"/>
    <w:rsid w:val="00CE4885"/>
    <w:rsid w:val="00CE4AD7"/>
    <w:rsid w:val="00CE5848"/>
    <w:rsid w:val="00CE5ABD"/>
    <w:rsid w:val="00CE5E7F"/>
    <w:rsid w:val="00CE6757"/>
    <w:rsid w:val="00CE686A"/>
    <w:rsid w:val="00CE6E1A"/>
    <w:rsid w:val="00CE702F"/>
    <w:rsid w:val="00CE74A3"/>
    <w:rsid w:val="00CE7936"/>
    <w:rsid w:val="00CE7962"/>
    <w:rsid w:val="00CE7966"/>
    <w:rsid w:val="00CE79DC"/>
    <w:rsid w:val="00CE7A3F"/>
    <w:rsid w:val="00CE7A98"/>
    <w:rsid w:val="00CF008C"/>
    <w:rsid w:val="00CF02DC"/>
    <w:rsid w:val="00CF0409"/>
    <w:rsid w:val="00CF128E"/>
    <w:rsid w:val="00CF12DC"/>
    <w:rsid w:val="00CF1319"/>
    <w:rsid w:val="00CF1FA5"/>
    <w:rsid w:val="00CF2363"/>
    <w:rsid w:val="00CF2B1F"/>
    <w:rsid w:val="00CF2B4F"/>
    <w:rsid w:val="00CF2B76"/>
    <w:rsid w:val="00CF30BF"/>
    <w:rsid w:val="00CF376C"/>
    <w:rsid w:val="00CF3804"/>
    <w:rsid w:val="00CF4240"/>
    <w:rsid w:val="00CF437B"/>
    <w:rsid w:val="00CF4D7F"/>
    <w:rsid w:val="00CF4F23"/>
    <w:rsid w:val="00CF50E4"/>
    <w:rsid w:val="00CF5203"/>
    <w:rsid w:val="00CF54EE"/>
    <w:rsid w:val="00CF56DC"/>
    <w:rsid w:val="00CF709A"/>
    <w:rsid w:val="00CF71E3"/>
    <w:rsid w:val="00D0047B"/>
    <w:rsid w:val="00D016AD"/>
    <w:rsid w:val="00D01887"/>
    <w:rsid w:val="00D026F7"/>
    <w:rsid w:val="00D02F9E"/>
    <w:rsid w:val="00D034DD"/>
    <w:rsid w:val="00D03846"/>
    <w:rsid w:val="00D0390F"/>
    <w:rsid w:val="00D03A14"/>
    <w:rsid w:val="00D03A6A"/>
    <w:rsid w:val="00D03F1B"/>
    <w:rsid w:val="00D0457A"/>
    <w:rsid w:val="00D0479F"/>
    <w:rsid w:val="00D04952"/>
    <w:rsid w:val="00D050E4"/>
    <w:rsid w:val="00D05B09"/>
    <w:rsid w:val="00D05BB9"/>
    <w:rsid w:val="00D06190"/>
    <w:rsid w:val="00D061F8"/>
    <w:rsid w:val="00D06209"/>
    <w:rsid w:val="00D0640B"/>
    <w:rsid w:val="00D06417"/>
    <w:rsid w:val="00D06A16"/>
    <w:rsid w:val="00D07706"/>
    <w:rsid w:val="00D07AAA"/>
    <w:rsid w:val="00D105AA"/>
    <w:rsid w:val="00D1061A"/>
    <w:rsid w:val="00D1078F"/>
    <w:rsid w:val="00D10B75"/>
    <w:rsid w:val="00D10E60"/>
    <w:rsid w:val="00D1110D"/>
    <w:rsid w:val="00D11C40"/>
    <w:rsid w:val="00D11C7B"/>
    <w:rsid w:val="00D11D45"/>
    <w:rsid w:val="00D11D5B"/>
    <w:rsid w:val="00D122F6"/>
    <w:rsid w:val="00D12550"/>
    <w:rsid w:val="00D129FE"/>
    <w:rsid w:val="00D12CD2"/>
    <w:rsid w:val="00D12CFC"/>
    <w:rsid w:val="00D1301A"/>
    <w:rsid w:val="00D130DA"/>
    <w:rsid w:val="00D136A4"/>
    <w:rsid w:val="00D13D0D"/>
    <w:rsid w:val="00D14577"/>
    <w:rsid w:val="00D14624"/>
    <w:rsid w:val="00D14D23"/>
    <w:rsid w:val="00D1508F"/>
    <w:rsid w:val="00D153C8"/>
    <w:rsid w:val="00D15755"/>
    <w:rsid w:val="00D15B63"/>
    <w:rsid w:val="00D15D8B"/>
    <w:rsid w:val="00D16171"/>
    <w:rsid w:val="00D1670B"/>
    <w:rsid w:val="00D16B28"/>
    <w:rsid w:val="00D17984"/>
    <w:rsid w:val="00D20003"/>
    <w:rsid w:val="00D21C27"/>
    <w:rsid w:val="00D2265A"/>
    <w:rsid w:val="00D2272E"/>
    <w:rsid w:val="00D229CD"/>
    <w:rsid w:val="00D22D25"/>
    <w:rsid w:val="00D22F94"/>
    <w:rsid w:val="00D23207"/>
    <w:rsid w:val="00D23ADA"/>
    <w:rsid w:val="00D242F1"/>
    <w:rsid w:val="00D24377"/>
    <w:rsid w:val="00D244C2"/>
    <w:rsid w:val="00D24D4B"/>
    <w:rsid w:val="00D24DAD"/>
    <w:rsid w:val="00D25008"/>
    <w:rsid w:val="00D25189"/>
    <w:rsid w:val="00D25644"/>
    <w:rsid w:val="00D25916"/>
    <w:rsid w:val="00D259FC"/>
    <w:rsid w:val="00D26B3F"/>
    <w:rsid w:val="00D26D97"/>
    <w:rsid w:val="00D26F6F"/>
    <w:rsid w:val="00D275C9"/>
    <w:rsid w:val="00D27683"/>
    <w:rsid w:val="00D277A4"/>
    <w:rsid w:val="00D277F8"/>
    <w:rsid w:val="00D27EB7"/>
    <w:rsid w:val="00D30272"/>
    <w:rsid w:val="00D304B8"/>
    <w:rsid w:val="00D30AA5"/>
    <w:rsid w:val="00D30E21"/>
    <w:rsid w:val="00D30F93"/>
    <w:rsid w:val="00D311C7"/>
    <w:rsid w:val="00D31382"/>
    <w:rsid w:val="00D3167B"/>
    <w:rsid w:val="00D317C2"/>
    <w:rsid w:val="00D31ACB"/>
    <w:rsid w:val="00D31CFE"/>
    <w:rsid w:val="00D31EFF"/>
    <w:rsid w:val="00D32344"/>
    <w:rsid w:val="00D326CC"/>
    <w:rsid w:val="00D329BA"/>
    <w:rsid w:val="00D329E6"/>
    <w:rsid w:val="00D32CA8"/>
    <w:rsid w:val="00D3386B"/>
    <w:rsid w:val="00D340C0"/>
    <w:rsid w:val="00D34183"/>
    <w:rsid w:val="00D345F9"/>
    <w:rsid w:val="00D348DF"/>
    <w:rsid w:val="00D34A09"/>
    <w:rsid w:val="00D34B50"/>
    <w:rsid w:val="00D350AF"/>
    <w:rsid w:val="00D362F7"/>
    <w:rsid w:val="00D3696A"/>
    <w:rsid w:val="00D37972"/>
    <w:rsid w:val="00D37F76"/>
    <w:rsid w:val="00D406D2"/>
    <w:rsid w:val="00D40896"/>
    <w:rsid w:val="00D4148C"/>
    <w:rsid w:val="00D41534"/>
    <w:rsid w:val="00D4155F"/>
    <w:rsid w:val="00D4177A"/>
    <w:rsid w:val="00D41AB7"/>
    <w:rsid w:val="00D427AF"/>
    <w:rsid w:val="00D42CE3"/>
    <w:rsid w:val="00D42D41"/>
    <w:rsid w:val="00D4365C"/>
    <w:rsid w:val="00D440AB"/>
    <w:rsid w:val="00D44A3F"/>
    <w:rsid w:val="00D44F9D"/>
    <w:rsid w:val="00D451FC"/>
    <w:rsid w:val="00D454C0"/>
    <w:rsid w:val="00D45AA5"/>
    <w:rsid w:val="00D45AA9"/>
    <w:rsid w:val="00D45B02"/>
    <w:rsid w:val="00D45FD2"/>
    <w:rsid w:val="00D463EB"/>
    <w:rsid w:val="00D468ED"/>
    <w:rsid w:val="00D46DBF"/>
    <w:rsid w:val="00D46EFC"/>
    <w:rsid w:val="00D46F02"/>
    <w:rsid w:val="00D4734E"/>
    <w:rsid w:val="00D47873"/>
    <w:rsid w:val="00D47CDD"/>
    <w:rsid w:val="00D47FF9"/>
    <w:rsid w:val="00D500F2"/>
    <w:rsid w:val="00D5067A"/>
    <w:rsid w:val="00D507D8"/>
    <w:rsid w:val="00D50913"/>
    <w:rsid w:val="00D50F47"/>
    <w:rsid w:val="00D51DD5"/>
    <w:rsid w:val="00D51FF7"/>
    <w:rsid w:val="00D5206B"/>
    <w:rsid w:val="00D5238F"/>
    <w:rsid w:val="00D52762"/>
    <w:rsid w:val="00D539B4"/>
    <w:rsid w:val="00D53F67"/>
    <w:rsid w:val="00D53F99"/>
    <w:rsid w:val="00D540E7"/>
    <w:rsid w:val="00D54192"/>
    <w:rsid w:val="00D54597"/>
    <w:rsid w:val="00D54FEC"/>
    <w:rsid w:val="00D55835"/>
    <w:rsid w:val="00D55E0F"/>
    <w:rsid w:val="00D55EDD"/>
    <w:rsid w:val="00D56336"/>
    <w:rsid w:val="00D566CB"/>
    <w:rsid w:val="00D56803"/>
    <w:rsid w:val="00D56B27"/>
    <w:rsid w:val="00D579FE"/>
    <w:rsid w:val="00D57A44"/>
    <w:rsid w:val="00D57B46"/>
    <w:rsid w:val="00D57BB4"/>
    <w:rsid w:val="00D57E51"/>
    <w:rsid w:val="00D6060D"/>
    <w:rsid w:val="00D60A33"/>
    <w:rsid w:val="00D6137D"/>
    <w:rsid w:val="00D61CD2"/>
    <w:rsid w:val="00D61D96"/>
    <w:rsid w:val="00D61DE2"/>
    <w:rsid w:val="00D61F15"/>
    <w:rsid w:val="00D6253F"/>
    <w:rsid w:val="00D625AE"/>
    <w:rsid w:val="00D62731"/>
    <w:rsid w:val="00D62D41"/>
    <w:rsid w:val="00D633CD"/>
    <w:rsid w:val="00D635D5"/>
    <w:rsid w:val="00D63C48"/>
    <w:rsid w:val="00D6405B"/>
    <w:rsid w:val="00D64289"/>
    <w:rsid w:val="00D645EC"/>
    <w:rsid w:val="00D64985"/>
    <w:rsid w:val="00D65178"/>
    <w:rsid w:val="00D663EF"/>
    <w:rsid w:val="00D6665A"/>
    <w:rsid w:val="00D6667B"/>
    <w:rsid w:val="00D66D2A"/>
    <w:rsid w:val="00D66EEE"/>
    <w:rsid w:val="00D678C1"/>
    <w:rsid w:val="00D70497"/>
    <w:rsid w:val="00D704D1"/>
    <w:rsid w:val="00D70685"/>
    <w:rsid w:val="00D70B36"/>
    <w:rsid w:val="00D70DD2"/>
    <w:rsid w:val="00D70EF0"/>
    <w:rsid w:val="00D71194"/>
    <w:rsid w:val="00D71400"/>
    <w:rsid w:val="00D7174E"/>
    <w:rsid w:val="00D7180B"/>
    <w:rsid w:val="00D71F79"/>
    <w:rsid w:val="00D725A7"/>
    <w:rsid w:val="00D7296B"/>
    <w:rsid w:val="00D72C5A"/>
    <w:rsid w:val="00D731EC"/>
    <w:rsid w:val="00D7323B"/>
    <w:rsid w:val="00D747D1"/>
    <w:rsid w:val="00D74A49"/>
    <w:rsid w:val="00D74AA5"/>
    <w:rsid w:val="00D74B18"/>
    <w:rsid w:val="00D75660"/>
    <w:rsid w:val="00D75A11"/>
    <w:rsid w:val="00D75FF5"/>
    <w:rsid w:val="00D762AB"/>
    <w:rsid w:val="00D766C1"/>
    <w:rsid w:val="00D77293"/>
    <w:rsid w:val="00D77B52"/>
    <w:rsid w:val="00D8048E"/>
    <w:rsid w:val="00D8054E"/>
    <w:rsid w:val="00D80C74"/>
    <w:rsid w:val="00D80DDF"/>
    <w:rsid w:val="00D818F3"/>
    <w:rsid w:val="00D81939"/>
    <w:rsid w:val="00D81ACA"/>
    <w:rsid w:val="00D82219"/>
    <w:rsid w:val="00D822CC"/>
    <w:rsid w:val="00D82543"/>
    <w:rsid w:val="00D82D12"/>
    <w:rsid w:val="00D83378"/>
    <w:rsid w:val="00D83633"/>
    <w:rsid w:val="00D8366B"/>
    <w:rsid w:val="00D8366C"/>
    <w:rsid w:val="00D83A00"/>
    <w:rsid w:val="00D83CE3"/>
    <w:rsid w:val="00D8441F"/>
    <w:rsid w:val="00D84B6C"/>
    <w:rsid w:val="00D84E54"/>
    <w:rsid w:val="00D8520A"/>
    <w:rsid w:val="00D8565D"/>
    <w:rsid w:val="00D8567F"/>
    <w:rsid w:val="00D860E5"/>
    <w:rsid w:val="00D862A1"/>
    <w:rsid w:val="00D862B0"/>
    <w:rsid w:val="00D86306"/>
    <w:rsid w:val="00D8668D"/>
    <w:rsid w:val="00D86A8E"/>
    <w:rsid w:val="00D86CF5"/>
    <w:rsid w:val="00D873F6"/>
    <w:rsid w:val="00D87809"/>
    <w:rsid w:val="00D87A50"/>
    <w:rsid w:val="00D9010C"/>
    <w:rsid w:val="00D90466"/>
    <w:rsid w:val="00D90993"/>
    <w:rsid w:val="00D90D1F"/>
    <w:rsid w:val="00D911C9"/>
    <w:rsid w:val="00D911F7"/>
    <w:rsid w:val="00D9125B"/>
    <w:rsid w:val="00D91848"/>
    <w:rsid w:val="00D9186B"/>
    <w:rsid w:val="00D91AC6"/>
    <w:rsid w:val="00D91C77"/>
    <w:rsid w:val="00D921A5"/>
    <w:rsid w:val="00D92B32"/>
    <w:rsid w:val="00D93937"/>
    <w:rsid w:val="00D93D75"/>
    <w:rsid w:val="00D948C9"/>
    <w:rsid w:val="00D95394"/>
    <w:rsid w:val="00D9584D"/>
    <w:rsid w:val="00D95974"/>
    <w:rsid w:val="00D95B3C"/>
    <w:rsid w:val="00D95C2B"/>
    <w:rsid w:val="00D9602C"/>
    <w:rsid w:val="00D960E8"/>
    <w:rsid w:val="00D96636"/>
    <w:rsid w:val="00D9667F"/>
    <w:rsid w:val="00D966F1"/>
    <w:rsid w:val="00D970E7"/>
    <w:rsid w:val="00D970E8"/>
    <w:rsid w:val="00D97D1B"/>
    <w:rsid w:val="00D97F94"/>
    <w:rsid w:val="00DA01E5"/>
    <w:rsid w:val="00DA032B"/>
    <w:rsid w:val="00DA0456"/>
    <w:rsid w:val="00DA05A4"/>
    <w:rsid w:val="00DA0705"/>
    <w:rsid w:val="00DA104F"/>
    <w:rsid w:val="00DA105B"/>
    <w:rsid w:val="00DA1277"/>
    <w:rsid w:val="00DA1692"/>
    <w:rsid w:val="00DA171B"/>
    <w:rsid w:val="00DA1DE8"/>
    <w:rsid w:val="00DA2207"/>
    <w:rsid w:val="00DA2212"/>
    <w:rsid w:val="00DA2308"/>
    <w:rsid w:val="00DA2B83"/>
    <w:rsid w:val="00DA2E5D"/>
    <w:rsid w:val="00DA335E"/>
    <w:rsid w:val="00DA358F"/>
    <w:rsid w:val="00DA39EA"/>
    <w:rsid w:val="00DA423C"/>
    <w:rsid w:val="00DA46DB"/>
    <w:rsid w:val="00DA4990"/>
    <w:rsid w:val="00DA55BB"/>
    <w:rsid w:val="00DA58BF"/>
    <w:rsid w:val="00DA592A"/>
    <w:rsid w:val="00DA59E8"/>
    <w:rsid w:val="00DA5E60"/>
    <w:rsid w:val="00DA6718"/>
    <w:rsid w:val="00DA6764"/>
    <w:rsid w:val="00DA6FE9"/>
    <w:rsid w:val="00DA7141"/>
    <w:rsid w:val="00DA73EE"/>
    <w:rsid w:val="00DA77DC"/>
    <w:rsid w:val="00DA7975"/>
    <w:rsid w:val="00DA7A67"/>
    <w:rsid w:val="00DB067E"/>
    <w:rsid w:val="00DB06A3"/>
    <w:rsid w:val="00DB0BC4"/>
    <w:rsid w:val="00DB1275"/>
    <w:rsid w:val="00DB249B"/>
    <w:rsid w:val="00DB3702"/>
    <w:rsid w:val="00DB3BE6"/>
    <w:rsid w:val="00DB3CE6"/>
    <w:rsid w:val="00DB3F28"/>
    <w:rsid w:val="00DB3F94"/>
    <w:rsid w:val="00DB4323"/>
    <w:rsid w:val="00DB4358"/>
    <w:rsid w:val="00DB52F6"/>
    <w:rsid w:val="00DB628A"/>
    <w:rsid w:val="00DB64BA"/>
    <w:rsid w:val="00DB6CB6"/>
    <w:rsid w:val="00DB6CC0"/>
    <w:rsid w:val="00DB72F3"/>
    <w:rsid w:val="00DB7A60"/>
    <w:rsid w:val="00DB7B9F"/>
    <w:rsid w:val="00DB7CD5"/>
    <w:rsid w:val="00DB7EC6"/>
    <w:rsid w:val="00DB7F14"/>
    <w:rsid w:val="00DB7F65"/>
    <w:rsid w:val="00DC008C"/>
    <w:rsid w:val="00DC035C"/>
    <w:rsid w:val="00DC09BB"/>
    <w:rsid w:val="00DC1076"/>
    <w:rsid w:val="00DC13F1"/>
    <w:rsid w:val="00DC1469"/>
    <w:rsid w:val="00DC1743"/>
    <w:rsid w:val="00DC17F6"/>
    <w:rsid w:val="00DC1929"/>
    <w:rsid w:val="00DC273B"/>
    <w:rsid w:val="00DC2A52"/>
    <w:rsid w:val="00DC2F27"/>
    <w:rsid w:val="00DC34BF"/>
    <w:rsid w:val="00DC37E8"/>
    <w:rsid w:val="00DC3848"/>
    <w:rsid w:val="00DC3D7E"/>
    <w:rsid w:val="00DC4CC9"/>
    <w:rsid w:val="00DC53C9"/>
    <w:rsid w:val="00DC624A"/>
    <w:rsid w:val="00DC6465"/>
    <w:rsid w:val="00DC6F32"/>
    <w:rsid w:val="00DC7746"/>
    <w:rsid w:val="00DC7F2D"/>
    <w:rsid w:val="00DD0059"/>
    <w:rsid w:val="00DD1D92"/>
    <w:rsid w:val="00DD2365"/>
    <w:rsid w:val="00DD2409"/>
    <w:rsid w:val="00DD3049"/>
    <w:rsid w:val="00DD30CC"/>
    <w:rsid w:val="00DD364F"/>
    <w:rsid w:val="00DD373C"/>
    <w:rsid w:val="00DD3DF6"/>
    <w:rsid w:val="00DD429F"/>
    <w:rsid w:val="00DD4613"/>
    <w:rsid w:val="00DD4AB8"/>
    <w:rsid w:val="00DD5645"/>
    <w:rsid w:val="00DD5714"/>
    <w:rsid w:val="00DD624A"/>
    <w:rsid w:val="00DD77A4"/>
    <w:rsid w:val="00DD7812"/>
    <w:rsid w:val="00DD7BC8"/>
    <w:rsid w:val="00DD7BE9"/>
    <w:rsid w:val="00DE09DE"/>
    <w:rsid w:val="00DE106D"/>
    <w:rsid w:val="00DE14AF"/>
    <w:rsid w:val="00DE1A00"/>
    <w:rsid w:val="00DE1B4C"/>
    <w:rsid w:val="00DE1F52"/>
    <w:rsid w:val="00DE25C0"/>
    <w:rsid w:val="00DE283D"/>
    <w:rsid w:val="00DE30E2"/>
    <w:rsid w:val="00DE3158"/>
    <w:rsid w:val="00DE3A9A"/>
    <w:rsid w:val="00DE3BA8"/>
    <w:rsid w:val="00DE3D75"/>
    <w:rsid w:val="00DE5035"/>
    <w:rsid w:val="00DE5A31"/>
    <w:rsid w:val="00DE6173"/>
    <w:rsid w:val="00DE6421"/>
    <w:rsid w:val="00DE706B"/>
    <w:rsid w:val="00DE74A7"/>
    <w:rsid w:val="00DE7788"/>
    <w:rsid w:val="00DE7889"/>
    <w:rsid w:val="00DE79B5"/>
    <w:rsid w:val="00DF060F"/>
    <w:rsid w:val="00DF0689"/>
    <w:rsid w:val="00DF06D2"/>
    <w:rsid w:val="00DF0E92"/>
    <w:rsid w:val="00DF0F10"/>
    <w:rsid w:val="00DF168C"/>
    <w:rsid w:val="00DF16C0"/>
    <w:rsid w:val="00DF1A90"/>
    <w:rsid w:val="00DF26D7"/>
    <w:rsid w:val="00DF2D1A"/>
    <w:rsid w:val="00DF2D46"/>
    <w:rsid w:val="00DF3A42"/>
    <w:rsid w:val="00DF3B71"/>
    <w:rsid w:val="00DF3FC1"/>
    <w:rsid w:val="00DF48A2"/>
    <w:rsid w:val="00DF5172"/>
    <w:rsid w:val="00DF527F"/>
    <w:rsid w:val="00DF548B"/>
    <w:rsid w:val="00DF5EE7"/>
    <w:rsid w:val="00DF70CC"/>
    <w:rsid w:val="00DF7431"/>
    <w:rsid w:val="00DF760D"/>
    <w:rsid w:val="00DF7A4A"/>
    <w:rsid w:val="00E00C39"/>
    <w:rsid w:val="00E01465"/>
    <w:rsid w:val="00E01735"/>
    <w:rsid w:val="00E018A5"/>
    <w:rsid w:val="00E01D22"/>
    <w:rsid w:val="00E02007"/>
    <w:rsid w:val="00E03777"/>
    <w:rsid w:val="00E03C69"/>
    <w:rsid w:val="00E03FB3"/>
    <w:rsid w:val="00E041E4"/>
    <w:rsid w:val="00E04CB4"/>
    <w:rsid w:val="00E04EA4"/>
    <w:rsid w:val="00E05062"/>
    <w:rsid w:val="00E05840"/>
    <w:rsid w:val="00E059CE"/>
    <w:rsid w:val="00E05FBC"/>
    <w:rsid w:val="00E06724"/>
    <w:rsid w:val="00E07D49"/>
    <w:rsid w:val="00E07E98"/>
    <w:rsid w:val="00E1007A"/>
    <w:rsid w:val="00E109F8"/>
    <w:rsid w:val="00E10B54"/>
    <w:rsid w:val="00E10B7D"/>
    <w:rsid w:val="00E10CF1"/>
    <w:rsid w:val="00E1242B"/>
    <w:rsid w:val="00E12539"/>
    <w:rsid w:val="00E126E9"/>
    <w:rsid w:val="00E12F38"/>
    <w:rsid w:val="00E13E96"/>
    <w:rsid w:val="00E141E2"/>
    <w:rsid w:val="00E147EC"/>
    <w:rsid w:val="00E14DFD"/>
    <w:rsid w:val="00E15033"/>
    <w:rsid w:val="00E1560A"/>
    <w:rsid w:val="00E15A2E"/>
    <w:rsid w:val="00E16530"/>
    <w:rsid w:val="00E16DD0"/>
    <w:rsid w:val="00E1700B"/>
    <w:rsid w:val="00E1791E"/>
    <w:rsid w:val="00E17D0D"/>
    <w:rsid w:val="00E17D71"/>
    <w:rsid w:val="00E202FD"/>
    <w:rsid w:val="00E20705"/>
    <w:rsid w:val="00E20BAF"/>
    <w:rsid w:val="00E20D64"/>
    <w:rsid w:val="00E21861"/>
    <w:rsid w:val="00E21AFC"/>
    <w:rsid w:val="00E2267B"/>
    <w:rsid w:val="00E227EA"/>
    <w:rsid w:val="00E23426"/>
    <w:rsid w:val="00E23660"/>
    <w:rsid w:val="00E236E3"/>
    <w:rsid w:val="00E236FB"/>
    <w:rsid w:val="00E237CD"/>
    <w:rsid w:val="00E23F47"/>
    <w:rsid w:val="00E24F7B"/>
    <w:rsid w:val="00E254A3"/>
    <w:rsid w:val="00E264A6"/>
    <w:rsid w:val="00E26BDA"/>
    <w:rsid w:val="00E26E82"/>
    <w:rsid w:val="00E2761D"/>
    <w:rsid w:val="00E27C0E"/>
    <w:rsid w:val="00E27D1A"/>
    <w:rsid w:val="00E31326"/>
    <w:rsid w:val="00E31A1E"/>
    <w:rsid w:val="00E31B9C"/>
    <w:rsid w:val="00E31EF7"/>
    <w:rsid w:val="00E32246"/>
    <w:rsid w:val="00E32406"/>
    <w:rsid w:val="00E324D0"/>
    <w:rsid w:val="00E32C18"/>
    <w:rsid w:val="00E3309F"/>
    <w:rsid w:val="00E3346B"/>
    <w:rsid w:val="00E336F1"/>
    <w:rsid w:val="00E33D8F"/>
    <w:rsid w:val="00E34484"/>
    <w:rsid w:val="00E345BE"/>
    <w:rsid w:val="00E34752"/>
    <w:rsid w:val="00E348E4"/>
    <w:rsid w:val="00E34A34"/>
    <w:rsid w:val="00E34E2D"/>
    <w:rsid w:val="00E3597B"/>
    <w:rsid w:val="00E35CC1"/>
    <w:rsid w:val="00E35F6A"/>
    <w:rsid w:val="00E36269"/>
    <w:rsid w:val="00E36373"/>
    <w:rsid w:val="00E363A3"/>
    <w:rsid w:val="00E36677"/>
    <w:rsid w:val="00E366DB"/>
    <w:rsid w:val="00E37323"/>
    <w:rsid w:val="00E37424"/>
    <w:rsid w:val="00E37BB8"/>
    <w:rsid w:val="00E37D50"/>
    <w:rsid w:val="00E40266"/>
    <w:rsid w:val="00E402AF"/>
    <w:rsid w:val="00E40541"/>
    <w:rsid w:val="00E40921"/>
    <w:rsid w:val="00E40F83"/>
    <w:rsid w:val="00E4158B"/>
    <w:rsid w:val="00E41C13"/>
    <w:rsid w:val="00E41E46"/>
    <w:rsid w:val="00E4339D"/>
    <w:rsid w:val="00E437C8"/>
    <w:rsid w:val="00E43CB9"/>
    <w:rsid w:val="00E43D48"/>
    <w:rsid w:val="00E44201"/>
    <w:rsid w:val="00E4431C"/>
    <w:rsid w:val="00E44C0B"/>
    <w:rsid w:val="00E44F48"/>
    <w:rsid w:val="00E44FD0"/>
    <w:rsid w:val="00E450A8"/>
    <w:rsid w:val="00E45180"/>
    <w:rsid w:val="00E45198"/>
    <w:rsid w:val="00E45305"/>
    <w:rsid w:val="00E4583F"/>
    <w:rsid w:val="00E45900"/>
    <w:rsid w:val="00E45E7E"/>
    <w:rsid w:val="00E46858"/>
    <w:rsid w:val="00E46AC9"/>
    <w:rsid w:val="00E47390"/>
    <w:rsid w:val="00E47393"/>
    <w:rsid w:val="00E477D7"/>
    <w:rsid w:val="00E50673"/>
    <w:rsid w:val="00E50EDD"/>
    <w:rsid w:val="00E51A8A"/>
    <w:rsid w:val="00E51B23"/>
    <w:rsid w:val="00E52217"/>
    <w:rsid w:val="00E524E8"/>
    <w:rsid w:val="00E525FE"/>
    <w:rsid w:val="00E5265C"/>
    <w:rsid w:val="00E53407"/>
    <w:rsid w:val="00E53B49"/>
    <w:rsid w:val="00E53DB6"/>
    <w:rsid w:val="00E53E47"/>
    <w:rsid w:val="00E53F4E"/>
    <w:rsid w:val="00E540C4"/>
    <w:rsid w:val="00E541FC"/>
    <w:rsid w:val="00E54ACA"/>
    <w:rsid w:val="00E54FB3"/>
    <w:rsid w:val="00E5580B"/>
    <w:rsid w:val="00E55904"/>
    <w:rsid w:val="00E559C0"/>
    <w:rsid w:val="00E55E72"/>
    <w:rsid w:val="00E55EEE"/>
    <w:rsid w:val="00E569BD"/>
    <w:rsid w:val="00E57521"/>
    <w:rsid w:val="00E577B9"/>
    <w:rsid w:val="00E57DA0"/>
    <w:rsid w:val="00E60005"/>
    <w:rsid w:val="00E6034E"/>
    <w:rsid w:val="00E60616"/>
    <w:rsid w:val="00E60876"/>
    <w:rsid w:val="00E60A9F"/>
    <w:rsid w:val="00E60E72"/>
    <w:rsid w:val="00E6157A"/>
    <w:rsid w:val="00E6172A"/>
    <w:rsid w:val="00E61B99"/>
    <w:rsid w:val="00E61BA8"/>
    <w:rsid w:val="00E621DC"/>
    <w:rsid w:val="00E628AA"/>
    <w:rsid w:val="00E628DC"/>
    <w:rsid w:val="00E62E0A"/>
    <w:rsid w:val="00E631C2"/>
    <w:rsid w:val="00E6346D"/>
    <w:rsid w:val="00E6372F"/>
    <w:rsid w:val="00E64002"/>
    <w:rsid w:val="00E64DF0"/>
    <w:rsid w:val="00E6595C"/>
    <w:rsid w:val="00E65B25"/>
    <w:rsid w:val="00E65E8A"/>
    <w:rsid w:val="00E66614"/>
    <w:rsid w:val="00E66924"/>
    <w:rsid w:val="00E673E2"/>
    <w:rsid w:val="00E675DE"/>
    <w:rsid w:val="00E67EA2"/>
    <w:rsid w:val="00E701CA"/>
    <w:rsid w:val="00E7176C"/>
    <w:rsid w:val="00E71CEB"/>
    <w:rsid w:val="00E71F49"/>
    <w:rsid w:val="00E7231A"/>
    <w:rsid w:val="00E7255E"/>
    <w:rsid w:val="00E73456"/>
    <w:rsid w:val="00E737C1"/>
    <w:rsid w:val="00E7398B"/>
    <w:rsid w:val="00E74154"/>
    <w:rsid w:val="00E75062"/>
    <w:rsid w:val="00E753E9"/>
    <w:rsid w:val="00E76374"/>
    <w:rsid w:val="00E76A74"/>
    <w:rsid w:val="00E76A87"/>
    <w:rsid w:val="00E77198"/>
    <w:rsid w:val="00E776DA"/>
    <w:rsid w:val="00E77855"/>
    <w:rsid w:val="00E778CF"/>
    <w:rsid w:val="00E77BE0"/>
    <w:rsid w:val="00E77DE4"/>
    <w:rsid w:val="00E80035"/>
    <w:rsid w:val="00E803C8"/>
    <w:rsid w:val="00E80446"/>
    <w:rsid w:val="00E807E6"/>
    <w:rsid w:val="00E8088A"/>
    <w:rsid w:val="00E80FB5"/>
    <w:rsid w:val="00E8115C"/>
    <w:rsid w:val="00E816E6"/>
    <w:rsid w:val="00E81C87"/>
    <w:rsid w:val="00E823DC"/>
    <w:rsid w:val="00E82579"/>
    <w:rsid w:val="00E8269B"/>
    <w:rsid w:val="00E8299C"/>
    <w:rsid w:val="00E82DCA"/>
    <w:rsid w:val="00E82E7F"/>
    <w:rsid w:val="00E82F4C"/>
    <w:rsid w:val="00E843F6"/>
    <w:rsid w:val="00E84F30"/>
    <w:rsid w:val="00E850B1"/>
    <w:rsid w:val="00E8548E"/>
    <w:rsid w:val="00E85860"/>
    <w:rsid w:val="00E85936"/>
    <w:rsid w:val="00E859C6"/>
    <w:rsid w:val="00E85BE8"/>
    <w:rsid w:val="00E872DB"/>
    <w:rsid w:val="00E8788B"/>
    <w:rsid w:val="00E87BF3"/>
    <w:rsid w:val="00E87F3B"/>
    <w:rsid w:val="00E90EAE"/>
    <w:rsid w:val="00E915AB"/>
    <w:rsid w:val="00E919B9"/>
    <w:rsid w:val="00E91EDE"/>
    <w:rsid w:val="00E925DA"/>
    <w:rsid w:val="00E92643"/>
    <w:rsid w:val="00E92B30"/>
    <w:rsid w:val="00E92C22"/>
    <w:rsid w:val="00E92F55"/>
    <w:rsid w:val="00E930FA"/>
    <w:rsid w:val="00E93104"/>
    <w:rsid w:val="00E93202"/>
    <w:rsid w:val="00E934FE"/>
    <w:rsid w:val="00E9357A"/>
    <w:rsid w:val="00E93AC4"/>
    <w:rsid w:val="00E93BEC"/>
    <w:rsid w:val="00E93C0B"/>
    <w:rsid w:val="00E9463E"/>
    <w:rsid w:val="00E94EB4"/>
    <w:rsid w:val="00E95182"/>
    <w:rsid w:val="00E96B3E"/>
    <w:rsid w:val="00E976DF"/>
    <w:rsid w:val="00E9798A"/>
    <w:rsid w:val="00E97C3A"/>
    <w:rsid w:val="00E97EC0"/>
    <w:rsid w:val="00EA04F2"/>
    <w:rsid w:val="00EA0D94"/>
    <w:rsid w:val="00EA1417"/>
    <w:rsid w:val="00EA1B29"/>
    <w:rsid w:val="00EA24BF"/>
    <w:rsid w:val="00EA2B07"/>
    <w:rsid w:val="00EA2B5E"/>
    <w:rsid w:val="00EA342E"/>
    <w:rsid w:val="00EA344A"/>
    <w:rsid w:val="00EA3CFC"/>
    <w:rsid w:val="00EA45EC"/>
    <w:rsid w:val="00EA4784"/>
    <w:rsid w:val="00EA4CAB"/>
    <w:rsid w:val="00EA5518"/>
    <w:rsid w:val="00EA5552"/>
    <w:rsid w:val="00EA5662"/>
    <w:rsid w:val="00EA59DD"/>
    <w:rsid w:val="00EA6545"/>
    <w:rsid w:val="00EA655D"/>
    <w:rsid w:val="00EA66E6"/>
    <w:rsid w:val="00EA6CF7"/>
    <w:rsid w:val="00EA6D3B"/>
    <w:rsid w:val="00EA701D"/>
    <w:rsid w:val="00EA7104"/>
    <w:rsid w:val="00EA77E6"/>
    <w:rsid w:val="00EA7BCF"/>
    <w:rsid w:val="00EB0314"/>
    <w:rsid w:val="00EB046C"/>
    <w:rsid w:val="00EB0D87"/>
    <w:rsid w:val="00EB0F91"/>
    <w:rsid w:val="00EB1E4F"/>
    <w:rsid w:val="00EB21D4"/>
    <w:rsid w:val="00EB295A"/>
    <w:rsid w:val="00EB2C66"/>
    <w:rsid w:val="00EB33F2"/>
    <w:rsid w:val="00EB360C"/>
    <w:rsid w:val="00EB364F"/>
    <w:rsid w:val="00EB405D"/>
    <w:rsid w:val="00EB4135"/>
    <w:rsid w:val="00EB426B"/>
    <w:rsid w:val="00EB47B0"/>
    <w:rsid w:val="00EB4E02"/>
    <w:rsid w:val="00EB4F9F"/>
    <w:rsid w:val="00EB5064"/>
    <w:rsid w:val="00EB5242"/>
    <w:rsid w:val="00EB5A9B"/>
    <w:rsid w:val="00EB5C73"/>
    <w:rsid w:val="00EB5E6D"/>
    <w:rsid w:val="00EB5E77"/>
    <w:rsid w:val="00EB6852"/>
    <w:rsid w:val="00EB6AFD"/>
    <w:rsid w:val="00EB7D1A"/>
    <w:rsid w:val="00EC03B8"/>
    <w:rsid w:val="00EC10FB"/>
    <w:rsid w:val="00EC2770"/>
    <w:rsid w:val="00EC296D"/>
    <w:rsid w:val="00EC300D"/>
    <w:rsid w:val="00EC3156"/>
    <w:rsid w:val="00EC32A5"/>
    <w:rsid w:val="00EC3B63"/>
    <w:rsid w:val="00EC4758"/>
    <w:rsid w:val="00EC47C6"/>
    <w:rsid w:val="00EC5439"/>
    <w:rsid w:val="00EC57D3"/>
    <w:rsid w:val="00EC5EB6"/>
    <w:rsid w:val="00EC6741"/>
    <w:rsid w:val="00EC72E4"/>
    <w:rsid w:val="00EC757D"/>
    <w:rsid w:val="00EC7E7E"/>
    <w:rsid w:val="00EC7FBC"/>
    <w:rsid w:val="00ED04B3"/>
    <w:rsid w:val="00ED0791"/>
    <w:rsid w:val="00ED0EF9"/>
    <w:rsid w:val="00ED12A2"/>
    <w:rsid w:val="00ED13F4"/>
    <w:rsid w:val="00ED1762"/>
    <w:rsid w:val="00ED1A4F"/>
    <w:rsid w:val="00ED1A99"/>
    <w:rsid w:val="00ED1BAB"/>
    <w:rsid w:val="00ED1C9F"/>
    <w:rsid w:val="00ED1E1B"/>
    <w:rsid w:val="00ED1F59"/>
    <w:rsid w:val="00ED2360"/>
    <w:rsid w:val="00ED24E3"/>
    <w:rsid w:val="00ED292C"/>
    <w:rsid w:val="00ED29A2"/>
    <w:rsid w:val="00ED2AFE"/>
    <w:rsid w:val="00ED30E0"/>
    <w:rsid w:val="00ED3141"/>
    <w:rsid w:val="00ED3BDB"/>
    <w:rsid w:val="00ED3FFE"/>
    <w:rsid w:val="00ED4122"/>
    <w:rsid w:val="00ED45DF"/>
    <w:rsid w:val="00ED49F2"/>
    <w:rsid w:val="00ED4EAC"/>
    <w:rsid w:val="00ED5042"/>
    <w:rsid w:val="00ED50E4"/>
    <w:rsid w:val="00ED50F3"/>
    <w:rsid w:val="00ED5266"/>
    <w:rsid w:val="00ED56B5"/>
    <w:rsid w:val="00ED5A59"/>
    <w:rsid w:val="00ED5AB8"/>
    <w:rsid w:val="00ED5B5E"/>
    <w:rsid w:val="00ED5BB3"/>
    <w:rsid w:val="00ED5EC8"/>
    <w:rsid w:val="00ED630B"/>
    <w:rsid w:val="00ED6908"/>
    <w:rsid w:val="00ED6FB6"/>
    <w:rsid w:val="00ED7019"/>
    <w:rsid w:val="00ED71A2"/>
    <w:rsid w:val="00ED7509"/>
    <w:rsid w:val="00ED78AA"/>
    <w:rsid w:val="00ED7997"/>
    <w:rsid w:val="00ED7A8B"/>
    <w:rsid w:val="00EE0208"/>
    <w:rsid w:val="00EE05C3"/>
    <w:rsid w:val="00EE06E3"/>
    <w:rsid w:val="00EE093F"/>
    <w:rsid w:val="00EE0D22"/>
    <w:rsid w:val="00EE1190"/>
    <w:rsid w:val="00EE14C6"/>
    <w:rsid w:val="00EE1BEE"/>
    <w:rsid w:val="00EE269E"/>
    <w:rsid w:val="00EE26CF"/>
    <w:rsid w:val="00EE2852"/>
    <w:rsid w:val="00EE2AEF"/>
    <w:rsid w:val="00EE348F"/>
    <w:rsid w:val="00EE3941"/>
    <w:rsid w:val="00EE39A9"/>
    <w:rsid w:val="00EE3C57"/>
    <w:rsid w:val="00EE46E2"/>
    <w:rsid w:val="00EE4C1F"/>
    <w:rsid w:val="00EE4CFE"/>
    <w:rsid w:val="00EE5014"/>
    <w:rsid w:val="00EE570F"/>
    <w:rsid w:val="00EE58B0"/>
    <w:rsid w:val="00EE65F2"/>
    <w:rsid w:val="00EE67CE"/>
    <w:rsid w:val="00EE6C11"/>
    <w:rsid w:val="00EE7208"/>
    <w:rsid w:val="00EE77FE"/>
    <w:rsid w:val="00EF0119"/>
    <w:rsid w:val="00EF01FB"/>
    <w:rsid w:val="00EF0568"/>
    <w:rsid w:val="00EF06EE"/>
    <w:rsid w:val="00EF0AAB"/>
    <w:rsid w:val="00EF0BA9"/>
    <w:rsid w:val="00EF1348"/>
    <w:rsid w:val="00EF17D7"/>
    <w:rsid w:val="00EF2238"/>
    <w:rsid w:val="00EF28E1"/>
    <w:rsid w:val="00EF30D9"/>
    <w:rsid w:val="00EF3278"/>
    <w:rsid w:val="00EF3E72"/>
    <w:rsid w:val="00EF3E8B"/>
    <w:rsid w:val="00EF4178"/>
    <w:rsid w:val="00EF4B82"/>
    <w:rsid w:val="00EF4C27"/>
    <w:rsid w:val="00EF5195"/>
    <w:rsid w:val="00EF5364"/>
    <w:rsid w:val="00EF54D4"/>
    <w:rsid w:val="00EF5CBD"/>
    <w:rsid w:val="00EF5F8C"/>
    <w:rsid w:val="00EF612C"/>
    <w:rsid w:val="00EF7008"/>
    <w:rsid w:val="00EF72EE"/>
    <w:rsid w:val="00EF74E4"/>
    <w:rsid w:val="00EF769F"/>
    <w:rsid w:val="00EF784C"/>
    <w:rsid w:val="00EF7BB3"/>
    <w:rsid w:val="00EF7E62"/>
    <w:rsid w:val="00F00633"/>
    <w:rsid w:val="00F00678"/>
    <w:rsid w:val="00F00859"/>
    <w:rsid w:val="00F00F8C"/>
    <w:rsid w:val="00F013F3"/>
    <w:rsid w:val="00F0152D"/>
    <w:rsid w:val="00F01723"/>
    <w:rsid w:val="00F02037"/>
    <w:rsid w:val="00F029F7"/>
    <w:rsid w:val="00F02E02"/>
    <w:rsid w:val="00F0342E"/>
    <w:rsid w:val="00F03595"/>
    <w:rsid w:val="00F04239"/>
    <w:rsid w:val="00F0437D"/>
    <w:rsid w:val="00F04652"/>
    <w:rsid w:val="00F04819"/>
    <w:rsid w:val="00F049EC"/>
    <w:rsid w:val="00F04EBE"/>
    <w:rsid w:val="00F04F1F"/>
    <w:rsid w:val="00F0500E"/>
    <w:rsid w:val="00F05150"/>
    <w:rsid w:val="00F052DF"/>
    <w:rsid w:val="00F053B5"/>
    <w:rsid w:val="00F0542E"/>
    <w:rsid w:val="00F05F4E"/>
    <w:rsid w:val="00F0645B"/>
    <w:rsid w:val="00F066BE"/>
    <w:rsid w:val="00F067C5"/>
    <w:rsid w:val="00F06855"/>
    <w:rsid w:val="00F068D0"/>
    <w:rsid w:val="00F0696B"/>
    <w:rsid w:val="00F0716B"/>
    <w:rsid w:val="00F07DD5"/>
    <w:rsid w:val="00F07E10"/>
    <w:rsid w:val="00F07E57"/>
    <w:rsid w:val="00F07EBB"/>
    <w:rsid w:val="00F102FC"/>
    <w:rsid w:val="00F11247"/>
    <w:rsid w:val="00F1131A"/>
    <w:rsid w:val="00F1142D"/>
    <w:rsid w:val="00F1146D"/>
    <w:rsid w:val="00F12DFE"/>
    <w:rsid w:val="00F12ED0"/>
    <w:rsid w:val="00F1374C"/>
    <w:rsid w:val="00F137A4"/>
    <w:rsid w:val="00F1399F"/>
    <w:rsid w:val="00F139F5"/>
    <w:rsid w:val="00F13BF3"/>
    <w:rsid w:val="00F13CFE"/>
    <w:rsid w:val="00F1437A"/>
    <w:rsid w:val="00F14471"/>
    <w:rsid w:val="00F145A6"/>
    <w:rsid w:val="00F15257"/>
    <w:rsid w:val="00F15313"/>
    <w:rsid w:val="00F1546C"/>
    <w:rsid w:val="00F15A89"/>
    <w:rsid w:val="00F15AAA"/>
    <w:rsid w:val="00F15F37"/>
    <w:rsid w:val="00F16187"/>
    <w:rsid w:val="00F16853"/>
    <w:rsid w:val="00F16870"/>
    <w:rsid w:val="00F1690E"/>
    <w:rsid w:val="00F1698E"/>
    <w:rsid w:val="00F16DA0"/>
    <w:rsid w:val="00F1759B"/>
    <w:rsid w:val="00F17A3F"/>
    <w:rsid w:val="00F20264"/>
    <w:rsid w:val="00F207AD"/>
    <w:rsid w:val="00F216A1"/>
    <w:rsid w:val="00F219E1"/>
    <w:rsid w:val="00F219E2"/>
    <w:rsid w:val="00F219F6"/>
    <w:rsid w:val="00F21DFC"/>
    <w:rsid w:val="00F223EF"/>
    <w:rsid w:val="00F2247F"/>
    <w:rsid w:val="00F226A1"/>
    <w:rsid w:val="00F22C87"/>
    <w:rsid w:val="00F22FBD"/>
    <w:rsid w:val="00F233AA"/>
    <w:rsid w:val="00F23451"/>
    <w:rsid w:val="00F237B4"/>
    <w:rsid w:val="00F23C2F"/>
    <w:rsid w:val="00F23F11"/>
    <w:rsid w:val="00F2460C"/>
    <w:rsid w:val="00F24D7A"/>
    <w:rsid w:val="00F25B4E"/>
    <w:rsid w:val="00F25DD6"/>
    <w:rsid w:val="00F25F0E"/>
    <w:rsid w:val="00F26024"/>
    <w:rsid w:val="00F2607B"/>
    <w:rsid w:val="00F26242"/>
    <w:rsid w:val="00F2639A"/>
    <w:rsid w:val="00F26B4B"/>
    <w:rsid w:val="00F26DFE"/>
    <w:rsid w:val="00F2706C"/>
    <w:rsid w:val="00F27270"/>
    <w:rsid w:val="00F27286"/>
    <w:rsid w:val="00F27A42"/>
    <w:rsid w:val="00F30020"/>
    <w:rsid w:val="00F30289"/>
    <w:rsid w:val="00F30372"/>
    <w:rsid w:val="00F3046E"/>
    <w:rsid w:val="00F308F6"/>
    <w:rsid w:val="00F3094A"/>
    <w:rsid w:val="00F3106A"/>
    <w:rsid w:val="00F31806"/>
    <w:rsid w:val="00F3195C"/>
    <w:rsid w:val="00F31DDF"/>
    <w:rsid w:val="00F31FEB"/>
    <w:rsid w:val="00F324CB"/>
    <w:rsid w:val="00F32627"/>
    <w:rsid w:val="00F32D5D"/>
    <w:rsid w:val="00F338E1"/>
    <w:rsid w:val="00F33A6A"/>
    <w:rsid w:val="00F34029"/>
    <w:rsid w:val="00F34068"/>
    <w:rsid w:val="00F342D2"/>
    <w:rsid w:val="00F34401"/>
    <w:rsid w:val="00F3453F"/>
    <w:rsid w:val="00F3481B"/>
    <w:rsid w:val="00F34927"/>
    <w:rsid w:val="00F34DF3"/>
    <w:rsid w:val="00F3542A"/>
    <w:rsid w:val="00F35740"/>
    <w:rsid w:val="00F36331"/>
    <w:rsid w:val="00F36589"/>
    <w:rsid w:val="00F36987"/>
    <w:rsid w:val="00F36DAA"/>
    <w:rsid w:val="00F36DD9"/>
    <w:rsid w:val="00F37864"/>
    <w:rsid w:val="00F37935"/>
    <w:rsid w:val="00F37A01"/>
    <w:rsid w:val="00F409BE"/>
    <w:rsid w:val="00F40CF1"/>
    <w:rsid w:val="00F40D06"/>
    <w:rsid w:val="00F40F61"/>
    <w:rsid w:val="00F410C8"/>
    <w:rsid w:val="00F414DA"/>
    <w:rsid w:val="00F41529"/>
    <w:rsid w:val="00F42095"/>
    <w:rsid w:val="00F424B3"/>
    <w:rsid w:val="00F432FC"/>
    <w:rsid w:val="00F43E43"/>
    <w:rsid w:val="00F442DD"/>
    <w:rsid w:val="00F4445A"/>
    <w:rsid w:val="00F445BE"/>
    <w:rsid w:val="00F44945"/>
    <w:rsid w:val="00F44D5B"/>
    <w:rsid w:val="00F44DA3"/>
    <w:rsid w:val="00F45BCB"/>
    <w:rsid w:val="00F45D81"/>
    <w:rsid w:val="00F46127"/>
    <w:rsid w:val="00F46223"/>
    <w:rsid w:val="00F468D2"/>
    <w:rsid w:val="00F4691D"/>
    <w:rsid w:val="00F4699F"/>
    <w:rsid w:val="00F46D2B"/>
    <w:rsid w:val="00F46FCD"/>
    <w:rsid w:val="00F47D82"/>
    <w:rsid w:val="00F505E2"/>
    <w:rsid w:val="00F50A8F"/>
    <w:rsid w:val="00F50C26"/>
    <w:rsid w:val="00F50CA5"/>
    <w:rsid w:val="00F512F7"/>
    <w:rsid w:val="00F51470"/>
    <w:rsid w:val="00F51673"/>
    <w:rsid w:val="00F51A5D"/>
    <w:rsid w:val="00F51B9C"/>
    <w:rsid w:val="00F522EB"/>
    <w:rsid w:val="00F527F7"/>
    <w:rsid w:val="00F52FAD"/>
    <w:rsid w:val="00F539FA"/>
    <w:rsid w:val="00F545B4"/>
    <w:rsid w:val="00F551A5"/>
    <w:rsid w:val="00F5576D"/>
    <w:rsid w:val="00F55A43"/>
    <w:rsid w:val="00F561B8"/>
    <w:rsid w:val="00F56314"/>
    <w:rsid w:val="00F564EF"/>
    <w:rsid w:val="00F567D5"/>
    <w:rsid w:val="00F57298"/>
    <w:rsid w:val="00F573E3"/>
    <w:rsid w:val="00F57630"/>
    <w:rsid w:val="00F578E9"/>
    <w:rsid w:val="00F6003F"/>
    <w:rsid w:val="00F6012F"/>
    <w:rsid w:val="00F60633"/>
    <w:rsid w:val="00F6073A"/>
    <w:rsid w:val="00F607BD"/>
    <w:rsid w:val="00F60AC2"/>
    <w:rsid w:val="00F6165C"/>
    <w:rsid w:val="00F6177B"/>
    <w:rsid w:val="00F61E38"/>
    <w:rsid w:val="00F625F2"/>
    <w:rsid w:val="00F62717"/>
    <w:rsid w:val="00F62764"/>
    <w:rsid w:val="00F62979"/>
    <w:rsid w:val="00F62B31"/>
    <w:rsid w:val="00F62EF3"/>
    <w:rsid w:val="00F62F4E"/>
    <w:rsid w:val="00F630C9"/>
    <w:rsid w:val="00F63148"/>
    <w:rsid w:val="00F639D4"/>
    <w:rsid w:val="00F63D8F"/>
    <w:rsid w:val="00F64968"/>
    <w:rsid w:val="00F64E21"/>
    <w:rsid w:val="00F650BC"/>
    <w:rsid w:val="00F663F9"/>
    <w:rsid w:val="00F664D9"/>
    <w:rsid w:val="00F66D57"/>
    <w:rsid w:val="00F66DC6"/>
    <w:rsid w:val="00F6722B"/>
    <w:rsid w:val="00F6729F"/>
    <w:rsid w:val="00F67419"/>
    <w:rsid w:val="00F67734"/>
    <w:rsid w:val="00F704E9"/>
    <w:rsid w:val="00F70525"/>
    <w:rsid w:val="00F717FB"/>
    <w:rsid w:val="00F71C19"/>
    <w:rsid w:val="00F7245D"/>
    <w:rsid w:val="00F72727"/>
    <w:rsid w:val="00F72808"/>
    <w:rsid w:val="00F72B42"/>
    <w:rsid w:val="00F72BB2"/>
    <w:rsid w:val="00F72BF2"/>
    <w:rsid w:val="00F72E03"/>
    <w:rsid w:val="00F730C9"/>
    <w:rsid w:val="00F733F3"/>
    <w:rsid w:val="00F73A39"/>
    <w:rsid w:val="00F73E47"/>
    <w:rsid w:val="00F73E6C"/>
    <w:rsid w:val="00F74152"/>
    <w:rsid w:val="00F7423A"/>
    <w:rsid w:val="00F74A5F"/>
    <w:rsid w:val="00F74B4A"/>
    <w:rsid w:val="00F74FA7"/>
    <w:rsid w:val="00F753FF"/>
    <w:rsid w:val="00F75455"/>
    <w:rsid w:val="00F755F1"/>
    <w:rsid w:val="00F75622"/>
    <w:rsid w:val="00F758FF"/>
    <w:rsid w:val="00F7598B"/>
    <w:rsid w:val="00F75D3A"/>
    <w:rsid w:val="00F764C0"/>
    <w:rsid w:val="00F76C16"/>
    <w:rsid w:val="00F76E10"/>
    <w:rsid w:val="00F779BF"/>
    <w:rsid w:val="00F77F0E"/>
    <w:rsid w:val="00F80139"/>
    <w:rsid w:val="00F8024E"/>
    <w:rsid w:val="00F805AA"/>
    <w:rsid w:val="00F80ED1"/>
    <w:rsid w:val="00F8257B"/>
    <w:rsid w:val="00F825B5"/>
    <w:rsid w:val="00F82EA5"/>
    <w:rsid w:val="00F8357E"/>
    <w:rsid w:val="00F83831"/>
    <w:rsid w:val="00F839A1"/>
    <w:rsid w:val="00F83D66"/>
    <w:rsid w:val="00F83F3E"/>
    <w:rsid w:val="00F841CA"/>
    <w:rsid w:val="00F8528D"/>
    <w:rsid w:val="00F85FB8"/>
    <w:rsid w:val="00F868A3"/>
    <w:rsid w:val="00F86F6C"/>
    <w:rsid w:val="00F87B19"/>
    <w:rsid w:val="00F87C31"/>
    <w:rsid w:val="00F902B7"/>
    <w:rsid w:val="00F904B2"/>
    <w:rsid w:val="00F91BF3"/>
    <w:rsid w:val="00F91F7F"/>
    <w:rsid w:val="00F9212E"/>
    <w:rsid w:val="00F92829"/>
    <w:rsid w:val="00F92C11"/>
    <w:rsid w:val="00F92F9F"/>
    <w:rsid w:val="00F93137"/>
    <w:rsid w:val="00F932D6"/>
    <w:rsid w:val="00F93337"/>
    <w:rsid w:val="00F935BB"/>
    <w:rsid w:val="00F936F3"/>
    <w:rsid w:val="00F93CAC"/>
    <w:rsid w:val="00F93D61"/>
    <w:rsid w:val="00F93DC3"/>
    <w:rsid w:val="00F94223"/>
    <w:rsid w:val="00F9445F"/>
    <w:rsid w:val="00F94D75"/>
    <w:rsid w:val="00F94F4B"/>
    <w:rsid w:val="00F9500E"/>
    <w:rsid w:val="00F951D3"/>
    <w:rsid w:val="00F95668"/>
    <w:rsid w:val="00F95F0A"/>
    <w:rsid w:val="00F95F5A"/>
    <w:rsid w:val="00F967E1"/>
    <w:rsid w:val="00F96886"/>
    <w:rsid w:val="00F96B6E"/>
    <w:rsid w:val="00F96B81"/>
    <w:rsid w:val="00F96D60"/>
    <w:rsid w:val="00F96E21"/>
    <w:rsid w:val="00F97010"/>
    <w:rsid w:val="00F9784A"/>
    <w:rsid w:val="00F9786F"/>
    <w:rsid w:val="00F978ED"/>
    <w:rsid w:val="00FA0329"/>
    <w:rsid w:val="00FA07CF"/>
    <w:rsid w:val="00FA103F"/>
    <w:rsid w:val="00FA13C3"/>
    <w:rsid w:val="00FA13EA"/>
    <w:rsid w:val="00FA1777"/>
    <w:rsid w:val="00FA1A77"/>
    <w:rsid w:val="00FA1BF0"/>
    <w:rsid w:val="00FA2057"/>
    <w:rsid w:val="00FA25CB"/>
    <w:rsid w:val="00FA2B8E"/>
    <w:rsid w:val="00FA31C0"/>
    <w:rsid w:val="00FA31F6"/>
    <w:rsid w:val="00FA32A2"/>
    <w:rsid w:val="00FA355D"/>
    <w:rsid w:val="00FA3738"/>
    <w:rsid w:val="00FA39F2"/>
    <w:rsid w:val="00FA51E6"/>
    <w:rsid w:val="00FA5504"/>
    <w:rsid w:val="00FA5705"/>
    <w:rsid w:val="00FA57F4"/>
    <w:rsid w:val="00FA63FA"/>
    <w:rsid w:val="00FA6407"/>
    <w:rsid w:val="00FA68C9"/>
    <w:rsid w:val="00FA6B7E"/>
    <w:rsid w:val="00FA6D3B"/>
    <w:rsid w:val="00FA7560"/>
    <w:rsid w:val="00FA762B"/>
    <w:rsid w:val="00FA775C"/>
    <w:rsid w:val="00FA7B20"/>
    <w:rsid w:val="00FA7E79"/>
    <w:rsid w:val="00FA7ED3"/>
    <w:rsid w:val="00FB0F77"/>
    <w:rsid w:val="00FB1ED4"/>
    <w:rsid w:val="00FB26A2"/>
    <w:rsid w:val="00FB2A33"/>
    <w:rsid w:val="00FB2BC3"/>
    <w:rsid w:val="00FB2D8E"/>
    <w:rsid w:val="00FB2DD7"/>
    <w:rsid w:val="00FB3328"/>
    <w:rsid w:val="00FB3E4E"/>
    <w:rsid w:val="00FB400B"/>
    <w:rsid w:val="00FB4012"/>
    <w:rsid w:val="00FB41E4"/>
    <w:rsid w:val="00FB45E6"/>
    <w:rsid w:val="00FB495B"/>
    <w:rsid w:val="00FB57DB"/>
    <w:rsid w:val="00FB6222"/>
    <w:rsid w:val="00FB6669"/>
    <w:rsid w:val="00FB6A9B"/>
    <w:rsid w:val="00FB6DAF"/>
    <w:rsid w:val="00FB7663"/>
    <w:rsid w:val="00FB7667"/>
    <w:rsid w:val="00FB7864"/>
    <w:rsid w:val="00FC06E3"/>
    <w:rsid w:val="00FC0FF3"/>
    <w:rsid w:val="00FC1F1C"/>
    <w:rsid w:val="00FC22AB"/>
    <w:rsid w:val="00FC272E"/>
    <w:rsid w:val="00FC294A"/>
    <w:rsid w:val="00FC2C74"/>
    <w:rsid w:val="00FC2D63"/>
    <w:rsid w:val="00FC2EF2"/>
    <w:rsid w:val="00FC30F3"/>
    <w:rsid w:val="00FC329C"/>
    <w:rsid w:val="00FC35C7"/>
    <w:rsid w:val="00FC3EF5"/>
    <w:rsid w:val="00FC3FD2"/>
    <w:rsid w:val="00FC3FF0"/>
    <w:rsid w:val="00FC4836"/>
    <w:rsid w:val="00FC4DBD"/>
    <w:rsid w:val="00FC5486"/>
    <w:rsid w:val="00FC594B"/>
    <w:rsid w:val="00FC5AE9"/>
    <w:rsid w:val="00FC6182"/>
    <w:rsid w:val="00FC6463"/>
    <w:rsid w:val="00FC6AED"/>
    <w:rsid w:val="00FC761E"/>
    <w:rsid w:val="00FC7788"/>
    <w:rsid w:val="00FC7DDB"/>
    <w:rsid w:val="00FC7EF4"/>
    <w:rsid w:val="00FC7FC7"/>
    <w:rsid w:val="00FD04CE"/>
    <w:rsid w:val="00FD05DD"/>
    <w:rsid w:val="00FD07C6"/>
    <w:rsid w:val="00FD0D6F"/>
    <w:rsid w:val="00FD0DA5"/>
    <w:rsid w:val="00FD0E01"/>
    <w:rsid w:val="00FD1088"/>
    <w:rsid w:val="00FD11CE"/>
    <w:rsid w:val="00FD1FDB"/>
    <w:rsid w:val="00FD2394"/>
    <w:rsid w:val="00FD2767"/>
    <w:rsid w:val="00FD284C"/>
    <w:rsid w:val="00FD2A65"/>
    <w:rsid w:val="00FD2E62"/>
    <w:rsid w:val="00FD36E6"/>
    <w:rsid w:val="00FD38F5"/>
    <w:rsid w:val="00FD3B23"/>
    <w:rsid w:val="00FD3B75"/>
    <w:rsid w:val="00FD3EFD"/>
    <w:rsid w:val="00FD4211"/>
    <w:rsid w:val="00FD481A"/>
    <w:rsid w:val="00FD5120"/>
    <w:rsid w:val="00FD5726"/>
    <w:rsid w:val="00FD5789"/>
    <w:rsid w:val="00FD5BC7"/>
    <w:rsid w:val="00FD5F5F"/>
    <w:rsid w:val="00FD5FAA"/>
    <w:rsid w:val="00FD61F0"/>
    <w:rsid w:val="00FD6765"/>
    <w:rsid w:val="00FD73EF"/>
    <w:rsid w:val="00FD7841"/>
    <w:rsid w:val="00FD7A35"/>
    <w:rsid w:val="00FE01BB"/>
    <w:rsid w:val="00FE0398"/>
    <w:rsid w:val="00FE104B"/>
    <w:rsid w:val="00FE1713"/>
    <w:rsid w:val="00FE1B08"/>
    <w:rsid w:val="00FE1DC1"/>
    <w:rsid w:val="00FE2431"/>
    <w:rsid w:val="00FE2938"/>
    <w:rsid w:val="00FE2966"/>
    <w:rsid w:val="00FE2C8A"/>
    <w:rsid w:val="00FE2F95"/>
    <w:rsid w:val="00FE3477"/>
    <w:rsid w:val="00FE3605"/>
    <w:rsid w:val="00FE36AB"/>
    <w:rsid w:val="00FE3850"/>
    <w:rsid w:val="00FE3FE4"/>
    <w:rsid w:val="00FE42E1"/>
    <w:rsid w:val="00FE4394"/>
    <w:rsid w:val="00FE447E"/>
    <w:rsid w:val="00FE47AC"/>
    <w:rsid w:val="00FE4C58"/>
    <w:rsid w:val="00FE4D3A"/>
    <w:rsid w:val="00FE4FCF"/>
    <w:rsid w:val="00FE5028"/>
    <w:rsid w:val="00FE5B92"/>
    <w:rsid w:val="00FE5E59"/>
    <w:rsid w:val="00FE6746"/>
    <w:rsid w:val="00FE6C38"/>
    <w:rsid w:val="00FE6DD5"/>
    <w:rsid w:val="00FE72AD"/>
    <w:rsid w:val="00FE74DF"/>
    <w:rsid w:val="00FE79AB"/>
    <w:rsid w:val="00FE79E2"/>
    <w:rsid w:val="00FE7AEC"/>
    <w:rsid w:val="00FE7EE9"/>
    <w:rsid w:val="00FE7FCE"/>
    <w:rsid w:val="00FF0728"/>
    <w:rsid w:val="00FF0B31"/>
    <w:rsid w:val="00FF0F2B"/>
    <w:rsid w:val="00FF148A"/>
    <w:rsid w:val="00FF180F"/>
    <w:rsid w:val="00FF194B"/>
    <w:rsid w:val="00FF1AAA"/>
    <w:rsid w:val="00FF2293"/>
    <w:rsid w:val="00FF2550"/>
    <w:rsid w:val="00FF2D71"/>
    <w:rsid w:val="00FF3120"/>
    <w:rsid w:val="00FF321A"/>
    <w:rsid w:val="00FF339F"/>
    <w:rsid w:val="00FF3592"/>
    <w:rsid w:val="00FF392D"/>
    <w:rsid w:val="00FF3F91"/>
    <w:rsid w:val="00FF4310"/>
    <w:rsid w:val="00FF4529"/>
    <w:rsid w:val="00FF460C"/>
    <w:rsid w:val="00FF5289"/>
    <w:rsid w:val="00FF5299"/>
    <w:rsid w:val="00FF56A6"/>
    <w:rsid w:val="00FF5BDD"/>
    <w:rsid w:val="00FF6077"/>
    <w:rsid w:val="00FF610D"/>
    <w:rsid w:val="00FF64B8"/>
    <w:rsid w:val="00FF6C0A"/>
    <w:rsid w:val="00FF6F8B"/>
    <w:rsid w:val="00FF7CC3"/>
    <w:rsid w:val="00FF7E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D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qFormat="1"/>
    <w:lsdException w:name="heading 6" w:semiHidden="1" w:uiPriority="12" w:unhideWhenUsed="1" w:qFormat="1"/>
    <w:lsdException w:name="heading 7" w:semiHidden="1" w:uiPriority="12" w:unhideWhenUsed="1" w:qFormat="1"/>
    <w:lsdException w:name="heading 8" w:semiHidden="1" w:uiPriority="7" w:unhideWhenUsed="1" w:qFormat="1"/>
    <w:lsdException w:name="heading 9" w:semiHidden="1" w:uiPriority="12"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19"/>
    <w:pPr>
      <w:spacing w:before="120" w:line="240" w:lineRule="auto"/>
      <w:jc w:val="both"/>
    </w:pPr>
    <w:rPr>
      <w:sz w:val="24"/>
    </w:rPr>
  </w:style>
  <w:style w:type="paragraph" w:styleId="Heading1">
    <w:name w:val="heading 1"/>
    <w:next w:val="MSACESParagraph"/>
    <w:link w:val="Heading1Char"/>
    <w:uiPriority w:val="2"/>
    <w:qFormat/>
    <w:rsid w:val="005C2085"/>
    <w:pPr>
      <w:keepNext/>
      <w:keepLines/>
      <w:numPr>
        <w:numId w:val="3"/>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numPr>
        <w:ilvl w:val="3"/>
        <w:numId w:val="3"/>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186307"/>
    <w:pPr>
      <w:keepNext/>
      <w:keepLines/>
      <w:numPr>
        <w:ilvl w:val="5"/>
        <w:numId w:val="3"/>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qFormat/>
    <w:rsid w:val="003B095E"/>
    <w:pPr>
      <w:numPr>
        <w:ilvl w:val="0"/>
        <w:numId w:val="0"/>
      </w:numPr>
      <w:outlineLvl w:val="4"/>
    </w:pPr>
  </w:style>
  <w:style w:type="paragraph" w:styleId="Heading6">
    <w:name w:val="heading 6"/>
    <w:aliases w:val="Heading 3 - Body"/>
    <w:basedOn w:val="Heading3"/>
    <w:next w:val="Normal"/>
    <w:link w:val="Heading6Char"/>
    <w:uiPriority w:val="12"/>
    <w:semiHidden/>
    <w:qFormat/>
    <w:rsid w:val="00624315"/>
    <w:pPr>
      <w:outlineLvl w:val="5"/>
    </w:pPr>
    <w:rPr>
      <w:sz w:val="24"/>
    </w:rPr>
  </w:style>
  <w:style w:type="paragraph" w:styleId="Heading7">
    <w:name w:val="heading 7"/>
    <w:basedOn w:val="Heading1"/>
    <w:next w:val="Normal"/>
    <w:link w:val="Heading7Char"/>
    <w:uiPriority w:val="12"/>
    <w:semiHidden/>
    <w:qFormat/>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qFormat/>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Bullet List,Summary Bullets,Footer Setting,FooterText,numbered,Paragraphe de liste1"/>
    <w:basedOn w:val="Normal"/>
    <w:link w:val="ListParagraphChar"/>
    <w:uiPriority w:val="34"/>
    <w:qFormat/>
    <w:rsid w:val="004908B7"/>
    <w:pPr>
      <w:numPr>
        <w:ilvl w:val="4"/>
        <w:numId w:val="1"/>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HTAtableplain,HealthConsult,PBAC table,Lash Style Table,Dossier table,Summary Table"/>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c"/>
    <w:next w:val="Normal"/>
    <w:link w:val="CaptionChar"/>
    <w:uiPriority w:val="35"/>
    <w:qFormat/>
    <w:rsid w:val="00593A64"/>
    <w:pPr>
      <w:keepNext/>
      <w:keepLines/>
      <w:widowControl w:val="0"/>
      <w:spacing w:after="0" w:line="240" w:lineRule="auto"/>
      <w:ind w:left="1134" w:hanging="1134"/>
      <w:jc w:val="both"/>
    </w:pPr>
    <w:rPr>
      <w:rFonts w:ascii="Arial Narrow" w:hAnsi="Arial Narrow"/>
      <w:b/>
      <w:iCs/>
      <w:sz w:val="20"/>
      <w:szCs w:val="18"/>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aliases w:val="Footnote Text Char Char,Footnote Text Char2,Footnote Text Char Char1"/>
    <w:basedOn w:val="Normal"/>
    <w:link w:val="FootnoteTextChar"/>
    <w:uiPriority w:val="99"/>
    <w:qFormat/>
    <w:rsid w:val="00BA3306"/>
    <w:pPr>
      <w:spacing w:before="0" w:after="0"/>
    </w:pPr>
    <w:rPr>
      <w:sz w:val="18"/>
      <w:szCs w:val="20"/>
    </w:rPr>
  </w:style>
  <w:style w:type="character" w:customStyle="1" w:styleId="FootnoteTextChar">
    <w:name w:val="Footnote Text Char"/>
    <w:aliases w:val="Footnote Text Char Char Char,Footnote Text Char2 Char,Footnote Text Char Char1 Char"/>
    <w:basedOn w:val="DefaultParagraphFont"/>
    <w:link w:val="FootnoteText"/>
    <w:uiPriority w:val="99"/>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Table HEADER PBAC,-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link w:val="Caption"/>
    <w:uiPriority w:val="35"/>
    <w:rsid w:val="00593A64"/>
    <w:rPr>
      <w:rFonts w:ascii="Arial Narrow" w:hAnsi="Arial Narrow"/>
      <w:b/>
      <w:iCs/>
      <w:sz w:val="20"/>
      <w:szCs w:val="18"/>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102FC"/>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Bullet List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Yu Gothic Medium" w:hAnsi="@Yu Gothic Medium"/>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Yu Gothic Medium" w:hAnsi="@Yu Gothic Medium"/>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Yu Gothic Medium" w:hAnsi="@Yu Gothic Medium"/>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7"/>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0"/>
        <w:numId w:val="0"/>
      </w:numPr>
      <w:ind w:left="720" w:hanging="720"/>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ind w:left="720" w:hanging="720"/>
    </w:pPr>
    <w:rPr>
      <w:i w:val="0"/>
      <w:smallCaps/>
      <w:sz w:val="32"/>
    </w:rPr>
  </w:style>
  <w:style w:type="paragraph" w:customStyle="1" w:styleId="PBACESHeading3">
    <w:name w:val="PBAC ES Heading 3"/>
    <w:basedOn w:val="PBACESHeading2"/>
    <w:link w:val="PBACESHeading3Char"/>
    <w:uiPriority w:val="1"/>
    <w:qFormat/>
    <w:rsid w:val="00396339"/>
    <w:pPr>
      <w:numPr>
        <w:ilvl w:val="3"/>
      </w:numPr>
      <w:ind w:left="720" w:hanging="720"/>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8"/>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1"/>
      </w:numPr>
      <w:spacing w:before="160" w:after="240"/>
    </w:pPr>
    <w:rPr>
      <w:rFonts w:ascii="Arial" w:hAnsi="Arial"/>
      <w:sz w:val="24"/>
    </w:rPr>
  </w:style>
  <w:style w:type="paragraph" w:customStyle="1" w:styleId="MSACESParagraph">
    <w:name w:val="MSAC ES Paragraph"/>
    <w:link w:val="MSACESParagraphChar"/>
    <w:uiPriority w:val="1"/>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4"/>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5"/>
      </w:numPr>
    </w:pPr>
  </w:style>
  <w:style w:type="paragraph" w:customStyle="1" w:styleId="MainBodyBulletPoint">
    <w:name w:val="MainBody Bullet Point"/>
    <w:basedOn w:val="InstructionBulletpoint"/>
    <w:link w:val="MainBodyBulletPointChar"/>
    <w:uiPriority w:val="1"/>
    <w:qFormat/>
    <w:rsid w:val="002532B4"/>
    <w:pPr>
      <w:numPr>
        <w:numId w:val="6"/>
      </w:numPr>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9"/>
      </w:numPr>
    </w:pPr>
  </w:style>
  <w:style w:type="numbering" w:customStyle="1" w:styleId="Style2">
    <w:name w:val="Style2"/>
    <w:uiPriority w:val="99"/>
    <w:rsid w:val="002A391F"/>
    <w:pPr>
      <w:numPr>
        <w:numId w:val="11"/>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Comment Text Char Char Char,Comment Text Char Char"/>
    <w:basedOn w:val="Normal"/>
    <w:link w:val="CommentTextChar"/>
    <w:unhideWhenUsed/>
    <w:rsid w:val="001952BB"/>
    <w:rPr>
      <w:sz w:val="20"/>
      <w:szCs w:val="20"/>
    </w:rPr>
  </w:style>
  <w:style w:type="character" w:customStyle="1" w:styleId="CommentTextChar">
    <w:name w:val="Comment Text Char"/>
    <w:aliases w:val="Comment Text Char Char Char Char,Comment Text Char Char Char1"/>
    <w:basedOn w:val="DefaultParagraphFont"/>
    <w:link w:val="CommentText"/>
    <w:rsid w:val="001952BB"/>
    <w:rPr>
      <w:sz w:val="20"/>
      <w:szCs w:val="20"/>
    </w:rPr>
  </w:style>
  <w:style w:type="paragraph" w:customStyle="1" w:styleId="Guidelinescross-ref">
    <w:name w:val="Guidelines cross-ref"/>
    <w:basedOn w:val="Normal"/>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qFormat/>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rsid w:val="008A41CD"/>
    <w:pPr>
      <w:spacing w:before="360"/>
    </w:pPr>
  </w:style>
  <w:style w:type="paragraph" w:customStyle="1" w:styleId="Instructionaltext-bullet">
    <w:name w:val="Instructional text - bullet"/>
    <w:basedOn w:val="Instructionaltext0"/>
    <w:qFormat/>
    <w:rsid w:val="00FD07C6"/>
    <w:pPr>
      <w:numPr>
        <w:numId w:val="13"/>
      </w:numPr>
      <w:spacing w:before="0" w:after="0"/>
      <w:ind w:left="714" w:hanging="357"/>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15"/>
      </w:numPr>
      <w:spacing w:after="120"/>
      <w:jc w:val="left"/>
    </w:pPr>
    <w:rPr>
      <w:sz w:val="22"/>
    </w:rPr>
  </w:style>
  <w:style w:type="paragraph" w:customStyle="1" w:styleId="Summaryboxheading">
    <w:name w:val="Summary box heading"/>
    <w:basedOn w:val="Normal"/>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uiPriority w:val="99"/>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qFormat/>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uiPriority w:val="39"/>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636D93"/>
    <w:pPr>
      <w:numPr>
        <w:ilvl w:val="0"/>
        <w:numId w:val="16"/>
      </w:numPr>
      <w:spacing w:before="0" w:after="120"/>
      <w:contextualSpacing/>
    </w:pPr>
    <w:rPr>
      <w:rFonts w:eastAsia="Times New Roman" w:cs="Arial"/>
      <w:snapToGrid w:val="0"/>
      <w:color w:val="auto"/>
      <w:szCs w:val="24"/>
      <w:lang w:eastAsia="en-AU"/>
    </w:rPr>
  </w:style>
  <w:style w:type="paragraph" w:customStyle="1" w:styleId="Commentitalics">
    <w:name w:val="Comment (italics)"/>
    <w:basedOn w:val="Normal"/>
    <w:next w:val="Normal"/>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numPr>
        <w:ilvl w:val="0"/>
        <w:numId w:val="0"/>
      </w:numPr>
      <w:spacing w:before="0" w:after="120"/>
      <w:ind w:left="720" w:hanging="7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aliases w:val="- H16,Char1,Body Text PP,Body Text Char1 Char,Body Text Char3 Char Char,Body Text Char2 Char1 Char Char,Body Text Char1 Char Char1 Char Char,Body Text Char Char Char Char1 Char Char,Body Text Char1 Char Char Char Char1 Char Char"/>
    <w:basedOn w:val="Normal"/>
    <w:link w:val="BodyTextChar"/>
    <w:uiPriority w:val="4"/>
    <w:unhideWhenUsed/>
    <w:qFormat/>
    <w:rsid w:val="009E2636"/>
    <w:pPr>
      <w:spacing w:after="120"/>
    </w:pPr>
  </w:style>
  <w:style w:type="character" w:customStyle="1" w:styleId="BodyTextChar">
    <w:name w:val="Body Text Char"/>
    <w:aliases w:val="- H16 Char,Char1 Char,Body Text PP Char,Body Text Char1 Char Char,Body Text Char3 Char Char Char,Body Text Char2 Char1 Char Char Char,Body Text Char1 Char Char1 Char Char Char,Body Text Char Char Char Char1 Char Char Char"/>
    <w:basedOn w:val="DefaultParagraphFont"/>
    <w:link w:val="BodyText"/>
    <w:uiPriority w:val="4"/>
    <w:rsid w:val="009E2636"/>
    <w:rPr>
      <w:sz w:val="24"/>
    </w:rPr>
  </w:style>
  <w:style w:type="paragraph" w:customStyle="1" w:styleId="4-SubsectionHeading">
    <w:name w:val="4-Subsection Heading"/>
    <w:basedOn w:val="Heading2"/>
    <w:next w:val="3-BodyText"/>
    <w:link w:val="4-SubsectionHeadingChar"/>
    <w:qFormat/>
    <w:rsid w:val="00F029F7"/>
    <w:pPr>
      <w:keepLines w:val="0"/>
      <w:numPr>
        <w:ilvl w:val="2"/>
        <w:numId w:val="1"/>
      </w:numPr>
      <w:spacing w:before="120"/>
      <w:ind w:left="0" w:firstLine="0"/>
      <w:jc w:val="both"/>
    </w:pPr>
    <w:rPr>
      <w:rFonts w:asciiTheme="minorHAnsi" w:hAnsiTheme="minorHAnsi"/>
      <w:snapToGrid/>
      <w:spacing w:val="5"/>
      <w:kern w:val="28"/>
      <w:szCs w:val="36"/>
      <w:lang w:eastAsia="en-AU"/>
    </w:rPr>
  </w:style>
  <w:style w:type="character" w:customStyle="1" w:styleId="4-SubsectionHeadingChar">
    <w:name w:val="4-Subsection Heading Char"/>
    <w:basedOn w:val="Heading2Char"/>
    <w:link w:val="4-SubsectionHeading"/>
    <w:rsid w:val="00F029F7"/>
    <w:rPr>
      <w:rFonts w:ascii="Arial" w:eastAsiaTheme="majorEastAsia" w:hAnsi="Arial" w:cstheme="majorBidi"/>
      <w:b/>
      <w:i/>
      <w:snapToGrid/>
      <w:spacing w:val="5"/>
      <w:kern w:val="28"/>
      <w:sz w:val="28"/>
      <w:szCs w:val="36"/>
      <w:lang w:eastAsia="en-AU"/>
    </w:rPr>
  </w:style>
  <w:style w:type="paragraph" w:customStyle="1" w:styleId="TableHeading">
    <w:name w:val="TableHeading"/>
    <w:basedOn w:val="Normal"/>
    <w:link w:val="TableHeadingChar"/>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paragraph" w:customStyle="1" w:styleId="TableNotes">
    <w:name w:val="Table Notes"/>
    <w:basedOn w:val="Normal"/>
    <w:link w:val="TableNotesChar"/>
    <w:uiPriority w:val="6"/>
    <w:qFormat/>
    <w:rsid w:val="00C027D4"/>
    <w:pPr>
      <w:spacing w:before="0" w:after="40"/>
    </w:pPr>
    <w:rPr>
      <w:rFonts w:ascii="Arial Narrow" w:eastAsiaTheme="majorEastAsia" w:hAnsi="Arial Narrow" w:cstheme="majorBidi"/>
      <w:sz w:val="16"/>
    </w:rPr>
  </w:style>
  <w:style w:type="character" w:customStyle="1" w:styleId="TableNotesChar">
    <w:name w:val="Table Notes Char"/>
    <w:basedOn w:val="DefaultParagraphFont"/>
    <w:link w:val="TableNotes"/>
    <w:uiPriority w:val="6"/>
    <w:locked/>
    <w:rsid w:val="00C027D4"/>
    <w:rPr>
      <w:rFonts w:ascii="Arial Narrow" w:eastAsiaTheme="majorEastAsia" w:hAnsi="Arial Narrow" w:cstheme="majorBidi"/>
      <w:sz w:val="16"/>
    </w:rPr>
  </w:style>
  <w:style w:type="paragraph" w:customStyle="1" w:styleId="TableNumbered">
    <w:name w:val="Table Numbered"/>
    <w:basedOn w:val="Normal"/>
    <w:qFormat/>
    <w:rsid w:val="00DD3DF6"/>
    <w:pPr>
      <w:numPr>
        <w:numId w:val="17"/>
      </w:numPr>
      <w:spacing w:before="40" w:after="40"/>
      <w:ind w:left="357" w:hanging="357"/>
    </w:pPr>
    <w:rPr>
      <w:rFonts w:ascii="Arial Narrow" w:hAnsi="Arial Narrow"/>
      <w:sz w:val="20"/>
    </w:rPr>
  </w:style>
  <w:style w:type="paragraph" w:customStyle="1" w:styleId="Heading1B">
    <w:name w:val="Heading 1B"/>
    <w:basedOn w:val="Heading1"/>
    <w:qFormat/>
    <w:rsid w:val="001229AE"/>
    <w:pPr>
      <w:keepNext w:val="0"/>
      <w:keepLines w:val="0"/>
      <w:numPr>
        <w:numId w:val="18"/>
      </w:numPr>
      <w:spacing w:before="0" w:after="240" w:line="240" w:lineRule="auto"/>
      <w:contextualSpacing/>
      <w:jc w:val="both"/>
    </w:pPr>
    <w:rPr>
      <w:rFonts w:ascii="Verdana" w:hAnsi="Verdana"/>
      <w:spacing w:val="5"/>
      <w:szCs w:val="36"/>
    </w:rPr>
  </w:style>
  <w:style w:type="paragraph" w:customStyle="1" w:styleId="Heading3B">
    <w:name w:val="Heading 3B"/>
    <w:basedOn w:val="Normal"/>
    <w:qFormat/>
    <w:rsid w:val="001229AE"/>
    <w:pPr>
      <w:numPr>
        <w:ilvl w:val="2"/>
        <w:numId w:val="18"/>
      </w:numPr>
      <w:spacing w:before="0" w:after="240"/>
      <w:contextualSpacing/>
      <w:outlineLvl w:val="2"/>
    </w:pPr>
    <w:rPr>
      <w:rFonts w:ascii="Verdana" w:eastAsiaTheme="majorEastAsia" w:hAnsi="Verdana" w:cstheme="majorBidi"/>
      <w:b/>
      <w:bCs/>
      <w:sz w:val="26"/>
      <w:szCs w:val="26"/>
    </w:rPr>
  </w:style>
  <w:style w:type="paragraph" w:customStyle="1" w:styleId="Heading4B">
    <w:name w:val="Heading 4B"/>
    <w:basedOn w:val="Heading3B"/>
    <w:qFormat/>
    <w:rsid w:val="001229AE"/>
    <w:pPr>
      <w:numPr>
        <w:ilvl w:val="3"/>
      </w:numPr>
    </w:pPr>
    <w:rPr>
      <w:sz w:val="22"/>
    </w:rPr>
  </w:style>
  <w:style w:type="paragraph" w:customStyle="1" w:styleId="TableTextCA">
    <w:name w:val="Table Text CA"/>
    <w:basedOn w:val="Normal"/>
    <w:qFormat/>
    <w:rsid w:val="00F74152"/>
    <w:pPr>
      <w:spacing w:before="40" w:after="40"/>
      <w:jc w:val="center"/>
    </w:pPr>
    <w:rPr>
      <w:rFonts w:ascii="Arial Narrow" w:hAnsi="Arial Narrow"/>
      <w:sz w:val="20"/>
    </w:rPr>
  </w:style>
  <w:style w:type="character" w:customStyle="1" w:styleId="cf01">
    <w:name w:val="cf01"/>
    <w:basedOn w:val="DefaultParagraphFont"/>
    <w:rsid w:val="00387164"/>
    <w:rPr>
      <w:rFonts w:ascii="Segoe UI" w:hAnsi="Segoe UI" w:cs="Segoe UI" w:hint="default"/>
      <w:sz w:val="18"/>
      <w:szCs w:val="18"/>
      <w:shd w:val="clear" w:color="auto" w:fill="FFFF00"/>
    </w:rPr>
  </w:style>
  <w:style w:type="paragraph" w:customStyle="1" w:styleId="pf0">
    <w:name w:val="pf0"/>
    <w:basedOn w:val="Normal"/>
    <w:rsid w:val="00FC3EF5"/>
    <w:pPr>
      <w:spacing w:before="100" w:beforeAutospacing="1" w:after="100" w:afterAutospacing="1"/>
      <w:jc w:val="left"/>
    </w:pPr>
    <w:rPr>
      <w:rFonts w:ascii="Times New Roman" w:eastAsia="Times New Roman" w:hAnsi="Times New Roman" w:cs="Times New Roman"/>
      <w:szCs w:val="24"/>
      <w:lang w:eastAsia="en-AU"/>
    </w:rPr>
  </w:style>
  <w:style w:type="character" w:customStyle="1" w:styleId="cf11">
    <w:name w:val="cf11"/>
    <w:basedOn w:val="DefaultParagraphFont"/>
    <w:rsid w:val="00FC3EF5"/>
    <w:rPr>
      <w:rFonts w:ascii="Segoe UI" w:hAnsi="Segoe UI" w:cs="Segoe UI" w:hint="default"/>
      <w:sz w:val="18"/>
      <w:szCs w:val="18"/>
      <w:shd w:val="clear" w:color="auto" w:fill="FFFF00"/>
    </w:rPr>
  </w:style>
  <w:style w:type="paragraph" w:customStyle="1" w:styleId="TableBodyText-H54">
    <w:name w:val="Table Body Text - H54"/>
    <w:basedOn w:val="BodyText"/>
    <w:link w:val="TableBodyText-H54Char"/>
    <w:qFormat/>
    <w:rsid w:val="00FE2F95"/>
    <w:pPr>
      <w:keepNext/>
      <w:widowControl w:val="0"/>
      <w:spacing w:before="20" w:after="20" w:line="360" w:lineRule="auto"/>
      <w:jc w:val="left"/>
    </w:pPr>
    <w:rPr>
      <w:rFonts w:ascii="Arial Narrow" w:eastAsia="Times New Roman" w:hAnsi="Arial Narrow" w:cs="Times New Roman"/>
      <w:color w:val="000000" w:themeColor="text1"/>
      <w:sz w:val="20"/>
      <w:szCs w:val="20"/>
      <w:lang w:val="en-GB"/>
    </w:rPr>
  </w:style>
  <w:style w:type="character" w:customStyle="1" w:styleId="TableBodyText-H54Char">
    <w:name w:val="Table Body Text - H54 Char"/>
    <w:basedOn w:val="DefaultParagraphFont"/>
    <w:link w:val="TableBodyText-H54"/>
    <w:rsid w:val="00FE2F95"/>
    <w:rPr>
      <w:rFonts w:ascii="Arial Narrow" w:eastAsia="Times New Roman" w:hAnsi="Arial Narrow" w:cs="Times New Roman"/>
      <w:color w:val="000000" w:themeColor="text1"/>
      <w:sz w:val="20"/>
      <w:szCs w:val="20"/>
      <w:lang w:val="en-GB"/>
    </w:rPr>
  </w:style>
  <w:style w:type="character" w:customStyle="1" w:styleId="TableBold">
    <w:name w:val="Table Bold"/>
    <w:uiPriority w:val="4"/>
    <w:qFormat/>
    <w:rsid w:val="00BD1C43"/>
    <w:rPr>
      <w:rFonts w:ascii="Arial Narrow" w:hAnsi="Arial Narrow" w:cs="Times New Roman"/>
      <w:b/>
      <w:sz w:val="20"/>
      <w:lang w:val="en-AU"/>
    </w:rPr>
  </w:style>
  <w:style w:type="character" w:customStyle="1" w:styleId="Bold">
    <w:name w:val="Bold"/>
    <w:basedOn w:val="DefaultParagraphFont"/>
    <w:uiPriority w:val="1"/>
    <w:qFormat/>
    <w:rsid w:val="00710BB9"/>
    <w:rPr>
      <w:rFonts w:ascii="Candara" w:hAnsi="Candara" w:cs="Times New Roman"/>
      <w:b/>
      <w:sz w:val="24"/>
    </w:rPr>
  </w:style>
  <w:style w:type="paragraph" w:customStyle="1" w:styleId="MainText">
    <w:name w:val="Main Text"/>
    <w:basedOn w:val="Normal"/>
    <w:qFormat/>
    <w:rsid w:val="00AE55C5"/>
    <w:pPr>
      <w:suppressAutoHyphens/>
      <w:spacing w:before="0" w:after="0" w:line="480" w:lineRule="auto"/>
      <w:jc w:val="left"/>
    </w:pPr>
    <w:rPr>
      <w:rFonts w:ascii="Calibri" w:eastAsia="SimSun" w:hAnsi="Calibri" w:cs="font1100"/>
      <w:sz w:val="22"/>
      <w:lang w:val="en-US" w:eastAsia="ar-SA"/>
    </w:rPr>
  </w:style>
  <w:style w:type="paragraph" w:customStyle="1" w:styleId="Heading1A">
    <w:name w:val="Heading 1A"/>
    <w:basedOn w:val="Heading1"/>
    <w:qFormat/>
    <w:rsid w:val="00B061FE"/>
    <w:pPr>
      <w:keepNext w:val="0"/>
      <w:keepLines w:val="0"/>
      <w:numPr>
        <w:numId w:val="19"/>
      </w:numPr>
      <w:spacing w:before="0" w:after="240" w:line="240" w:lineRule="auto"/>
      <w:contextualSpacing/>
      <w:jc w:val="both"/>
    </w:pPr>
    <w:rPr>
      <w:rFonts w:ascii="Verdana" w:hAnsi="Verdana"/>
      <w:spacing w:val="5"/>
      <w:szCs w:val="36"/>
    </w:rPr>
  </w:style>
  <w:style w:type="paragraph" w:customStyle="1" w:styleId="Heading2A">
    <w:name w:val="Heading 2A"/>
    <w:basedOn w:val="Heading1A"/>
    <w:qFormat/>
    <w:rsid w:val="00B061FE"/>
    <w:pPr>
      <w:numPr>
        <w:ilvl w:val="1"/>
      </w:numPr>
      <w:ind w:left="1418" w:hanging="1418"/>
    </w:pPr>
    <w:rPr>
      <w:sz w:val="28"/>
      <w:szCs w:val="32"/>
    </w:rPr>
  </w:style>
  <w:style w:type="paragraph" w:customStyle="1" w:styleId="Heading3A">
    <w:name w:val="Heading 3A"/>
    <w:basedOn w:val="Heading2A"/>
    <w:link w:val="Heading3AChar"/>
    <w:qFormat/>
    <w:rsid w:val="00B061FE"/>
    <w:pPr>
      <w:numPr>
        <w:ilvl w:val="2"/>
      </w:numPr>
    </w:pPr>
    <w:rPr>
      <w:sz w:val="26"/>
      <w:szCs w:val="26"/>
    </w:rPr>
  </w:style>
  <w:style w:type="paragraph" w:customStyle="1" w:styleId="Heading4A">
    <w:name w:val="Heading 4A"/>
    <w:basedOn w:val="Heading3A"/>
    <w:link w:val="Heading4AChar"/>
    <w:qFormat/>
    <w:rsid w:val="00B061FE"/>
    <w:pPr>
      <w:numPr>
        <w:ilvl w:val="3"/>
      </w:numPr>
      <w:ind w:left="3600" w:hanging="360"/>
      <w:outlineLvl w:val="3"/>
    </w:pPr>
    <w:rPr>
      <w:sz w:val="22"/>
      <w:szCs w:val="22"/>
    </w:rPr>
  </w:style>
  <w:style w:type="character" w:customStyle="1" w:styleId="Heading3AChar">
    <w:name w:val="Heading 3A Char"/>
    <w:basedOn w:val="DefaultParagraphFont"/>
    <w:link w:val="Heading3A"/>
    <w:rsid w:val="00B061FE"/>
    <w:rPr>
      <w:rFonts w:ascii="Verdana" w:eastAsiaTheme="majorEastAsia" w:hAnsi="Verdana" w:cstheme="majorBidi"/>
      <w:b/>
      <w:spacing w:val="5"/>
      <w:sz w:val="26"/>
      <w:szCs w:val="26"/>
    </w:rPr>
  </w:style>
  <w:style w:type="paragraph" w:customStyle="1" w:styleId="Heading5A">
    <w:name w:val="Heading 5A"/>
    <w:basedOn w:val="Heading4A"/>
    <w:link w:val="Heading5AChar"/>
    <w:qFormat/>
    <w:rsid w:val="00B061FE"/>
    <w:pPr>
      <w:numPr>
        <w:ilvl w:val="4"/>
      </w:numPr>
      <w:spacing w:after="160"/>
      <w:ind w:left="4320" w:hanging="360"/>
      <w:outlineLvl w:val="4"/>
    </w:pPr>
    <w:rPr>
      <w:rFonts w:ascii="Candara" w:hAnsi="Candara"/>
      <w:sz w:val="24"/>
      <w:szCs w:val="24"/>
    </w:rPr>
  </w:style>
  <w:style w:type="character" w:customStyle="1" w:styleId="Heading5AChar">
    <w:name w:val="Heading 5A Char"/>
    <w:basedOn w:val="DefaultParagraphFont"/>
    <w:link w:val="Heading5A"/>
    <w:rsid w:val="003E494E"/>
    <w:rPr>
      <w:rFonts w:ascii="Candara" w:eastAsiaTheme="majorEastAsia" w:hAnsi="Candara" w:cstheme="majorBidi"/>
      <w:b/>
      <w:spacing w:val="5"/>
      <w:sz w:val="24"/>
      <w:szCs w:val="24"/>
    </w:rPr>
  </w:style>
  <w:style w:type="character" w:styleId="UnresolvedMention">
    <w:name w:val="Unresolved Mention"/>
    <w:basedOn w:val="DefaultParagraphFont"/>
    <w:uiPriority w:val="99"/>
    <w:unhideWhenUsed/>
    <w:rsid w:val="00796422"/>
    <w:rPr>
      <w:color w:val="605E5C"/>
      <w:shd w:val="clear" w:color="auto" w:fill="E1DFDD"/>
    </w:rPr>
  </w:style>
  <w:style w:type="paragraph" w:customStyle="1" w:styleId="H2S2">
    <w:name w:val="H2 S2"/>
    <w:basedOn w:val="Heading2"/>
    <w:uiPriority w:val="99"/>
    <w:qFormat/>
    <w:rsid w:val="006F6FC5"/>
    <w:pPr>
      <w:numPr>
        <w:ilvl w:val="1"/>
        <w:numId w:val="20"/>
      </w:numPr>
      <w:spacing w:before="0" w:after="200" w:line="276" w:lineRule="auto"/>
      <w:ind w:left="1191"/>
    </w:pPr>
    <w:rPr>
      <w:rFonts w:eastAsiaTheme="minorHAnsi" w:cs="Tahoma"/>
      <w:snapToGrid/>
      <w:szCs w:val="22"/>
    </w:rPr>
  </w:style>
  <w:style w:type="paragraph" w:customStyle="1" w:styleId="H1S2">
    <w:name w:val="H1 S2"/>
    <w:basedOn w:val="Heading1"/>
    <w:uiPriority w:val="99"/>
    <w:qFormat/>
    <w:rsid w:val="006F6FC5"/>
    <w:pPr>
      <w:keepLines w:val="0"/>
      <w:numPr>
        <w:numId w:val="20"/>
      </w:numPr>
      <w:spacing w:before="0" w:after="200" w:line="276" w:lineRule="auto"/>
    </w:pPr>
    <w:rPr>
      <w:rFonts w:eastAsiaTheme="minorHAnsi" w:cs="Tahoma"/>
      <w:szCs w:val="22"/>
    </w:rPr>
  </w:style>
  <w:style w:type="paragraph" w:customStyle="1" w:styleId="H3S2">
    <w:name w:val="H3 S2"/>
    <w:basedOn w:val="Heading3"/>
    <w:next w:val="BodyText"/>
    <w:uiPriority w:val="99"/>
    <w:qFormat/>
    <w:rsid w:val="006F6FC5"/>
    <w:pPr>
      <w:numPr>
        <w:ilvl w:val="2"/>
        <w:numId w:val="20"/>
      </w:numPr>
      <w:spacing w:before="0" w:after="200" w:line="276" w:lineRule="auto"/>
      <w:jc w:val="left"/>
    </w:pPr>
    <w:rPr>
      <w:rFonts w:ascii="Arial" w:eastAsiaTheme="minorHAnsi" w:hAnsi="Arial" w:cs="Tahoma"/>
      <w:szCs w:val="22"/>
    </w:rPr>
  </w:style>
  <w:style w:type="character" w:customStyle="1" w:styleId="Italics">
    <w:name w:val="Italics"/>
    <w:basedOn w:val="DefaultParagraphFont"/>
    <w:uiPriority w:val="1"/>
    <w:qFormat/>
    <w:rsid w:val="00F36DD9"/>
    <w:rPr>
      <w:rFonts w:ascii="Candara" w:hAnsi="Candara" w:cs="Times New Roman"/>
      <w:i/>
      <w:sz w:val="24"/>
    </w:rPr>
  </w:style>
  <w:style w:type="table" w:customStyle="1" w:styleId="AZTable11">
    <w:name w:val="AZ Table11"/>
    <w:basedOn w:val="TableNormal"/>
    <w:uiPriority w:val="99"/>
    <w:rsid w:val="009E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Open Sans" w:hAnsi="Open Sans"/>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Open Sans" w:hAnsi="Open San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Open Sans" w:hAnsi="Open Sans"/>
        <w:i/>
        <w:iCs/>
        <w:sz w:val="20"/>
      </w:rPr>
    </w:tblStylePr>
  </w:style>
  <w:style w:type="character" w:customStyle="1" w:styleId="cf21">
    <w:name w:val="cf21"/>
    <w:basedOn w:val="DefaultParagraphFont"/>
    <w:rsid w:val="00550343"/>
    <w:rPr>
      <w:rFonts w:ascii="Segoe UI" w:hAnsi="Segoe UI" w:cs="Segoe UI" w:hint="default"/>
      <w:color w:val="FFC000"/>
      <w:sz w:val="18"/>
      <w:szCs w:val="18"/>
    </w:rPr>
  </w:style>
  <w:style w:type="character" w:customStyle="1" w:styleId="cf31">
    <w:name w:val="cf31"/>
    <w:basedOn w:val="DefaultParagraphFont"/>
    <w:rsid w:val="00550343"/>
    <w:rPr>
      <w:rFonts w:ascii="Segoe UI" w:hAnsi="Segoe UI" w:cs="Segoe UI" w:hint="default"/>
      <w:i/>
      <w:iCs/>
      <w:sz w:val="18"/>
      <w:szCs w:val="18"/>
    </w:rPr>
  </w:style>
  <w:style w:type="character" w:customStyle="1" w:styleId="cf41">
    <w:name w:val="cf41"/>
    <w:basedOn w:val="DefaultParagraphFont"/>
    <w:rsid w:val="00550343"/>
    <w:rPr>
      <w:rFonts w:ascii="Segoe UI" w:hAnsi="Segoe UI" w:cs="Segoe UI" w:hint="default"/>
      <w:i/>
      <w:iCs/>
      <w:color w:val="00B050"/>
      <w:sz w:val="18"/>
      <w:szCs w:val="18"/>
    </w:rPr>
  </w:style>
  <w:style w:type="character" w:customStyle="1" w:styleId="cf51">
    <w:name w:val="cf51"/>
    <w:basedOn w:val="DefaultParagraphFont"/>
    <w:rsid w:val="00550343"/>
    <w:rPr>
      <w:rFonts w:ascii="Segoe UI" w:hAnsi="Segoe UI" w:cs="Segoe UI" w:hint="default"/>
      <w:i/>
      <w:iCs/>
      <w:color w:val="FFC000"/>
      <w:sz w:val="18"/>
      <w:szCs w:val="18"/>
    </w:rPr>
  </w:style>
  <w:style w:type="character" w:customStyle="1" w:styleId="Heading4AChar">
    <w:name w:val="Heading 4A Char"/>
    <w:basedOn w:val="Heading3AChar"/>
    <w:link w:val="Heading4A"/>
    <w:rsid w:val="00644C9E"/>
    <w:rPr>
      <w:rFonts w:ascii="Verdana" w:eastAsiaTheme="majorEastAsia" w:hAnsi="Verdana" w:cstheme="majorBidi"/>
      <w:b/>
      <w:spacing w:val="5"/>
      <w:sz w:val="26"/>
      <w:szCs w:val="26"/>
    </w:rPr>
  </w:style>
  <w:style w:type="table" w:customStyle="1" w:styleId="Submissionstandard">
    <w:name w:val="Submission standard"/>
    <w:basedOn w:val="TableNormal"/>
    <w:uiPriority w:val="99"/>
    <w:qFormat/>
    <w:rsid w:val="004F0A8A"/>
    <w:pPr>
      <w:spacing w:after="0" w:line="240" w:lineRule="auto"/>
    </w:pPr>
    <w:rPr>
      <w:rFonts w:ascii="Arial Narrow" w:eastAsiaTheme="majorEastAsia" w:hAnsi="Arial Narrow" w:cstheme="majorBid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UI Emoji" w:hAnsi="Segoe UI Emoji" w:cstheme="majorBidi"/>
        <w:b/>
        <w:sz w:val="20"/>
      </w:rPr>
      <w:tblPr/>
      <w:tcPr>
        <w:shd w:val="clear" w:color="auto" w:fill="BFBFBF" w:themeFill="background1" w:themeFillShade="BF"/>
      </w:tcPr>
    </w:tblStylePr>
  </w:style>
  <w:style w:type="table" w:styleId="PlainTable1">
    <w:name w:val="Plain Table 1"/>
    <w:basedOn w:val="TableNormal"/>
    <w:uiPriority w:val="41"/>
    <w:rsid w:val="00953D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ewstyle1">
    <w:name w:val="new style1"/>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2">
    <w:name w:val="new style2"/>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etteredlist">
    <w:name w:val="Table lettered list"/>
    <w:basedOn w:val="Normal"/>
    <w:uiPriority w:val="3"/>
    <w:qFormat/>
    <w:rsid w:val="001C20DD"/>
    <w:pPr>
      <w:numPr>
        <w:numId w:val="22"/>
      </w:numPr>
      <w:spacing w:before="0" w:after="0"/>
      <w:ind w:left="432" w:hanging="432"/>
      <w:jc w:val="left"/>
    </w:pPr>
    <w:rPr>
      <w:rFonts w:ascii="Arial Narrow" w:eastAsia="MS Gothic" w:hAnsi="Arial Narrow" w:cs="Times New Roman"/>
      <w:sz w:val="20"/>
      <w:lang w:bidi="en-US"/>
    </w:rPr>
  </w:style>
  <w:style w:type="table" w:customStyle="1" w:styleId="newstyle3">
    <w:name w:val="new style3"/>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4">
    <w:name w:val="new style4"/>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5">
    <w:name w:val="new style5"/>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6">
    <w:name w:val="new style6"/>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7">
    <w:name w:val="new style7"/>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8">
    <w:name w:val="new style8"/>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SDTableGrid1">
    <w:name w:val="MSD Table Grid1"/>
    <w:basedOn w:val="TableNormal"/>
    <w:next w:val="TableGrid"/>
    <w:uiPriority w:val="39"/>
    <w:rsid w:val="001C20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9">
    <w:name w:val="new style9"/>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odyHeading-H54">
    <w:name w:val="Table Body Heading - H54"/>
    <w:basedOn w:val="Normal"/>
    <w:uiPriority w:val="99"/>
    <w:qFormat/>
    <w:rsid w:val="001C20DD"/>
    <w:pPr>
      <w:keepNext/>
      <w:widowControl w:val="0"/>
      <w:spacing w:before="0" w:after="0"/>
      <w:jc w:val="left"/>
    </w:pPr>
    <w:rPr>
      <w:rFonts w:ascii="Arial Narrow" w:eastAsia="Times New Roman" w:hAnsi="Arial Narrow" w:cs="Times New Roman"/>
      <w:b/>
      <w:bCs/>
      <w:color w:val="000000" w:themeColor="text1"/>
      <w:sz w:val="20"/>
      <w:szCs w:val="20"/>
      <w:lang w:val="en-GB" w:eastAsia="zh-CN"/>
    </w:rPr>
  </w:style>
  <w:style w:type="paragraph" w:customStyle="1" w:styleId="TableHeading0">
    <w:name w:val="Table Heading"/>
    <w:basedOn w:val="TableText"/>
    <w:link w:val="TableHeadingChar0"/>
    <w:qFormat/>
    <w:rsid w:val="001C20DD"/>
    <w:pPr>
      <w:keepNext/>
      <w:keepLines/>
      <w:widowControl/>
      <w:spacing w:before="20" w:after="20" w:line="276" w:lineRule="auto"/>
      <w:jc w:val="both"/>
    </w:pPr>
    <w:rPr>
      <w:rFonts w:eastAsiaTheme="majorEastAsia" w:cs="Arial"/>
      <w:b/>
      <w:szCs w:val="20"/>
      <w:lang w:eastAsia="en-AU" w:bidi="en-US"/>
    </w:rPr>
  </w:style>
  <w:style w:type="table" w:customStyle="1" w:styleId="AZTable">
    <w:name w:val="AZ Table"/>
    <w:basedOn w:val="TableNormal"/>
    <w:uiPriority w:val="99"/>
    <w:rsid w:val="001C2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Open Sans" w:hAnsi="Open Sans"/>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Open Sans" w:hAnsi="Open San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Open Sans" w:hAnsi="Open Sans"/>
        <w:i/>
        <w:iCs/>
        <w:sz w:val="20"/>
      </w:rPr>
    </w:tblStylePr>
  </w:style>
  <w:style w:type="character" w:customStyle="1" w:styleId="TableHeadingChar0">
    <w:name w:val="Table Heading Char"/>
    <w:basedOn w:val="DefaultParagraphFont"/>
    <w:link w:val="TableHeading0"/>
    <w:locked/>
    <w:rsid w:val="001C20DD"/>
    <w:rPr>
      <w:rFonts w:ascii="Arial Narrow" w:eastAsiaTheme="majorEastAsia" w:hAnsi="Arial Narrow" w:cs="Arial"/>
      <w:b/>
      <w:sz w:val="20"/>
      <w:szCs w:val="20"/>
      <w:lang w:eastAsia="en-AU" w:bidi="en-US"/>
    </w:rPr>
  </w:style>
  <w:style w:type="table" w:customStyle="1" w:styleId="newstyle10">
    <w:name w:val="new style10"/>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1">
    <w:name w:val="new style11"/>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2">
    <w:name w:val="new style12"/>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3">
    <w:name w:val="new style13"/>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4">
    <w:name w:val="new style14"/>
    <w:basedOn w:val="TableNormal"/>
    <w:next w:val="TableGrid"/>
    <w:uiPriority w:val="59"/>
    <w:rsid w:val="001C20DD"/>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1C20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F967E1"/>
    <w:pPr>
      <w:numPr>
        <w:ilvl w:val="1"/>
      </w:numPr>
      <w:spacing w:before="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967E1"/>
    <w:rPr>
      <w:rFonts w:eastAsiaTheme="minorEastAsia"/>
      <w:color w:val="5A5A5A" w:themeColor="text1" w:themeTint="A5"/>
      <w:spacing w:val="15"/>
    </w:rPr>
  </w:style>
  <w:style w:type="paragraph" w:styleId="EndnoteText">
    <w:name w:val="endnote text"/>
    <w:basedOn w:val="Normal"/>
    <w:link w:val="EndnoteTextChar"/>
    <w:uiPriority w:val="99"/>
    <w:semiHidden/>
    <w:rsid w:val="00F967E1"/>
    <w:pPr>
      <w:spacing w:before="0" w:after="0"/>
    </w:pPr>
    <w:rPr>
      <w:sz w:val="20"/>
      <w:szCs w:val="20"/>
    </w:rPr>
  </w:style>
  <w:style w:type="character" w:customStyle="1" w:styleId="EndnoteTextChar">
    <w:name w:val="Endnote Text Char"/>
    <w:basedOn w:val="DefaultParagraphFont"/>
    <w:link w:val="EndnoteText"/>
    <w:uiPriority w:val="99"/>
    <w:semiHidden/>
    <w:rsid w:val="00F967E1"/>
    <w:rPr>
      <w:sz w:val="20"/>
      <w:szCs w:val="20"/>
    </w:rPr>
  </w:style>
  <w:style w:type="character" w:styleId="EndnoteReference">
    <w:name w:val="endnote reference"/>
    <w:basedOn w:val="DefaultParagraphFont"/>
    <w:uiPriority w:val="99"/>
    <w:semiHidden/>
    <w:rsid w:val="00F967E1"/>
    <w:rPr>
      <w:vertAlign w:val="superscript"/>
    </w:rPr>
  </w:style>
  <w:style w:type="character" w:customStyle="1" w:styleId="Underlined">
    <w:name w:val="Underlined"/>
    <w:basedOn w:val="DefaultParagraphFont"/>
    <w:uiPriority w:val="1"/>
    <w:qFormat/>
    <w:rsid w:val="00F967E1"/>
    <w:rPr>
      <w:rFonts w:ascii="Candara" w:hAnsi="Candara" w:cs="Times New Roman" w:hint="default"/>
      <w:sz w:val="24"/>
      <w:u w:val="single"/>
    </w:rPr>
  </w:style>
  <w:style w:type="character" w:customStyle="1" w:styleId="year">
    <w:name w:val="year"/>
    <w:basedOn w:val="DefaultParagraphFont"/>
    <w:rsid w:val="00E93BEC"/>
  </w:style>
  <w:style w:type="character" w:styleId="Strong">
    <w:name w:val="Strong"/>
    <w:basedOn w:val="DefaultParagraphFont"/>
    <w:uiPriority w:val="22"/>
    <w:rsid w:val="00E93BEC"/>
    <w:rPr>
      <w:b/>
    </w:rPr>
  </w:style>
  <w:style w:type="table" w:customStyle="1" w:styleId="Submissionstandard1">
    <w:name w:val="Submission standard1"/>
    <w:basedOn w:val="TableNormal"/>
    <w:uiPriority w:val="99"/>
    <w:qFormat/>
    <w:rsid w:val="00E93BEC"/>
    <w:pPr>
      <w:spacing w:after="0" w:line="240" w:lineRule="auto"/>
    </w:pPr>
    <w:rPr>
      <w:rFonts w:ascii="Arial Narrow" w:eastAsiaTheme="majorEastAsia" w:hAnsi="Arial Narrow" w:cstheme="majorBid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Open Sans" w:hAnsi="Open Sans" w:cstheme="majorBidi"/>
        <w:b/>
        <w:sz w:val="20"/>
      </w:rPr>
      <w:tblPr/>
      <w:tcPr>
        <w:shd w:val="clear" w:color="auto" w:fill="BFBFBF" w:themeFill="background1" w:themeFillShade="BF"/>
      </w:tcPr>
    </w:tblStylePr>
  </w:style>
  <w:style w:type="table" w:customStyle="1" w:styleId="ASDTable2">
    <w:name w:val="ASD Table2"/>
    <w:basedOn w:val="TableNormal"/>
    <w:next w:val="TableGrid"/>
    <w:uiPriority w:val="39"/>
    <w:rsid w:val="0084399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0">
    <w:name w:val="Tablenotes"/>
    <w:basedOn w:val="Normal"/>
    <w:link w:val="TablenotesChar0"/>
    <w:qFormat/>
    <w:rsid w:val="00843998"/>
    <w:pPr>
      <w:widowControl w:val="0"/>
      <w:spacing w:before="0" w:after="360" w:line="269" w:lineRule="auto"/>
      <w:contextualSpacing/>
      <w:jc w:val="left"/>
    </w:pPr>
    <w:rPr>
      <w:rFonts w:ascii="Arial Narrow" w:eastAsia="Times New Roman" w:hAnsi="Arial Narrow" w:cs="Arial"/>
      <w:snapToGrid w:val="0"/>
      <w:sz w:val="18"/>
      <w:szCs w:val="20"/>
    </w:rPr>
  </w:style>
  <w:style w:type="character" w:customStyle="1" w:styleId="TablenotesChar0">
    <w:name w:val="Tablenotes Char"/>
    <w:basedOn w:val="DefaultParagraphFont"/>
    <w:link w:val="Tablenotes0"/>
    <w:rsid w:val="00843998"/>
    <w:rPr>
      <w:rFonts w:ascii="Arial Narrow" w:eastAsia="Times New Roman" w:hAnsi="Arial Narrow" w:cs="Arial"/>
      <w:snapToGrid w:val="0"/>
      <w:sz w:val="18"/>
      <w:szCs w:val="20"/>
    </w:rPr>
  </w:style>
  <w:style w:type="character" w:styleId="Mention">
    <w:name w:val="Mention"/>
    <w:basedOn w:val="DefaultParagraphFont"/>
    <w:uiPriority w:val="99"/>
    <w:unhideWhenUsed/>
    <w:rsid w:val="009F600A"/>
    <w:rPr>
      <w:color w:val="2B579A"/>
      <w:shd w:val="clear" w:color="auto" w:fill="E1DFDD"/>
    </w:rPr>
  </w:style>
  <w:style w:type="table" w:customStyle="1" w:styleId="newstyle15">
    <w:name w:val="new style15"/>
    <w:basedOn w:val="TableNormal"/>
    <w:next w:val="TableGrid"/>
    <w:uiPriority w:val="39"/>
    <w:rsid w:val="00B46047"/>
    <w:pPr>
      <w:spacing w:after="0" w:line="240" w:lineRule="auto"/>
    </w:pPr>
    <w:rPr>
      <w:rFonts w:ascii="Arial Narrow" w:eastAsia="Times New Roman"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MainHeading">
    <w:name w:val="1-Main Heading"/>
    <w:link w:val="1-MainHeadingChar"/>
    <w:qFormat/>
    <w:rsid w:val="00F36589"/>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F36589"/>
    <w:rPr>
      <w:rFonts w:eastAsiaTheme="majorEastAsia" w:cstheme="majorBidi"/>
      <w:b/>
      <w:spacing w:val="5"/>
      <w:kern w:val="28"/>
      <w:sz w:val="36"/>
      <w:szCs w:val="36"/>
      <w:lang w:eastAsia="en-AU"/>
    </w:rPr>
  </w:style>
  <w:style w:type="paragraph" w:customStyle="1" w:styleId="PBACHeading1">
    <w:name w:val="PBAC Heading 1"/>
    <w:qFormat/>
    <w:rsid w:val="00F40CF1"/>
    <w:pPr>
      <w:spacing w:after="0" w:line="240" w:lineRule="auto"/>
      <w:ind w:left="720" w:hanging="720"/>
      <w:outlineLvl w:val="0"/>
    </w:pPr>
    <w:rPr>
      <w:rFonts w:ascii="Calibri" w:eastAsia="Times New Roman" w:hAnsi="Calibri" w:cs="Calibri"/>
      <w:b/>
      <w:snapToGrid w:val="0"/>
      <w:sz w:val="32"/>
      <w:szCs w:val="32"/>
    </w:rPr>
  </w:style>
  <w:style w:type="character" w:customStyle="1" w:styleId="UnresolvedMention1">
    <w:name w:val="Unresolved Mention1"/>
    <w:basedOn w:val="DefaultParagraphFont"/>
    <w:uiPriority w:val="99"/>
    <w:unhideWhenUsed/>
    <w:rsid w:val="000E1566"/>
    <w:rPr>
      <w:color w:val="605E5C"/>
      <w:shd w:val="clear" w:color="auto" w:fill="E1DFDD"/>
    </w:rPr>
  </w:style>
  <w:style w:type="character" w:customStyle="1" w:styleId="Mention1">
    <w:name w:val="Mention1"/>
    <w:basedOn w:val="DefaultParagraphFont"/>
    <w:uiPriority w:val="99"/>
    <w:unhideWhenUsed/>
    <w:rsid w:val="000E1566"/>
    <w:rPr>
      <w:color w:val="2B579A"/>
      <w:shd w:val="clear" w:color="auto" w:fill="E1DFDD"/>
    </w:rPr>
  </w:style>
  <w:style w:type="numbering" w:customStyle="1" w:styleId="NoList1">
    <w:name w:val="No List1"/>
    <w:next w:val="NoList"/>
    <w:uiPriority w:val="99"/>
    <w:semiHidden/>
    <w:unhideWhenUsed/>
    <w:rsid w:val="00994B53"/>
  </w:style>
  <w:style w:type="table" w:customStyle="1" w:styleId="PBACtable1">
    <w:name w:val="PBAC table1"/>
    <w:basedOn w:val="TableNormal"/>
    <w:next w:val="TableGrid"/>
    <w:uiPriority w:val="59"/>
    <w:rsid w:val="00994B53"/>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Headings1">
    <w:name w:val="Headings1"/>
    <w:uiPriority w:val="99"/>
    <w:rsid w:val="00994B53"/>
    <w:pPr>
      <w:numPr>
        <w:numId w:val="2"/>
      </w:numPr>
    </w:pPr>
  </w:style>
  <w:style w:type="table" w:customStyle="1" w:styleId="PBACTableStyle1">
    <w:name w:val="PBAC Table Style1"/>
    <w:basedOn w:val="TableGrid1"/>
    <w:uiPriority w:val="99"/>
    <w:rsid w:val="00994B53"/>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Yu Gothic UI Semilight" w:hAnsi="Yu Gothic UI Semiligh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Yu Gothic UI Semilight" w:hAnsi="Yu Gothic UI Semiligh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Yu Gothic UI Semilight" w:hAnsi="Yu Gothic UI Semilight"/>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2">
    <w:name w:val="List Table 1 Light2"/>
    <w:basedOn w:val="TableNormal"/>
    <w:next w:val="ListTable1Light"/>
    <w:uiPriority w:val="46"/>
    <w:rsid w:val="00994B5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2">
    <w:name w:val="List Table 7 Colorful - Accent 62"/>
    <w:basedOn w:val="TableNormal"/>
    <w:next w:val="ListTable7Colorful-Accent6"/>
    <w:uiPriority w:val="52"/>
    <w:rsid w:val="00994B5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1">
    <w:name w:val="Table Grid 11"/>
    <w:basedOn w:val="TableNormal"/>
    <w:next w:val="TableGrid1"/>
    <w:uiPriority w:val="99"/>
    <w:semiHidden/>
    <w:unhideWhenUsed/>
    <w:rsid w:val="00994B5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MSACESBulletpoints1">
    <w:name w:val="MSAC ES Bullet points1"/>
    <w:uiPriority w:val="99"/>
    <w:rsid w:val="00994B53"/>
    <w:pPr>
      <w:numPr>
        <w:numId w:val="6"/>
      </w:numPr>
    </w:pPr>
  </w:style>
  <w:style w:type="numbering" w:customStyle="1" w:styleId="Style11">
    <w:name w:val="Style11"/>
    <w:uiPriority w:val="99"/>
    <w:rsid w:val="00994B53"/>
    <w:pPr>
      <w:numPr>
        <w:numId w:val="1"/>
      </w:numPr>
    </w:pPr>
  </w:style>
  <w:style w:type="numbering" w:customStyle="1" w:styleId="Style21">
    <w:name w:val="Style21"/>
    <w:uiPriority w:val="99"/>
    <w:rsid w:val="00994B53"/>
    <w:pPr>
      <w:numPr>
        <w:numId w:val="12"/>
      </w:numPr>
    </w:pPr>
  </w:style>
  <w:style w:type="table" w:customStyle="1" w:styleId="ListTable1Light11">
    <w:name w:val="List Table 1 Light11"/>
    <w:basedOn w:val="TableNormal"/>
    <w:uiPriority w:val="46"/>
    <w:rsid w:val="00994B5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1">
    <w:name w:val="List Table 7 Colorful - Accent 611"/>
    <w:basedOn w:val="TableNormal"/>
    <w:uiPriority w:val="52"/>
    <w:rsid w:val="00994B5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tyle31">
    <w:name w:val="Style31"/>
    <w:uiPriority w:val="99"/>
    <w:rsid w:val="00994B53"/>
    <w:pPr>
      <w:numPr>
        <w:numId w:val="13"/>
      </w:numPr>
    </w:pPr>
  </w:style>
  <w:style w:type="table" w:customStyle="1" w:styleId="ASDTable11">
    <w:name w:val="ASD Table11"/>
    <w:basedOn w:val="TableNormal"/>
    <w:next w:val="TableGrid"/>
    <w:uiPriority w:val="39"/>
    <w:rsid w:val="00994B5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111">
    <w:name w:val="AZ Table111"/>
    <w:basedOn w:val="TableNormal"/>
    <w:uiPriority w:val="99"/>
    <w:rsid w:val="0099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Open Sans" w:hAnsi="Open Sans"/>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Open Sans" w:hAnsi="Open San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Open Sans" w:hAnsi="Open Sans"/>
        <w:i/>
        <w:iCs/>
        <w:sz w:val="20"/>
      </w:rPr>
    </w:tblStylePr>
  </w:style>
  <w:style w:type="table" w:customStyle="1" w:styleId="Submissionstandard2">
    <w:name w:val="Submission standard2"/>
    <w:basedOn w:val="TableNormal"/>
    <w:uiPriority w:val="99"/>
    <w:qFormat/>
    <w:rsid w:val="00994B53"/>
    <w:pPr>
      <w:spacing w:after="0" w:line="240" w:lineRule="auto"/>
    </w:pPr>
    <w:rPr>
      <w:rFonts w:ascii="Arial Narrow" w:eastAsiaTheme="majorEastAsia" w:hAnsi="Arial Narrow" w:cstheme="majorBid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UI Semibold" w:hAnsi="Segoe UI Semibold" w:cstheme="majorBidi"/>
        <w:b/>
        <w:sz w:val="20"/>
      </w:rPr>
      <w:tblPr/>
      <w:tcPr>
        <w:shd w:val="clear" w:color="auto" w:fill="BFBFBF" w:themeFill="background1" w:themeFillShade="BF"/>
      </w:tcPr>
    </w:tblStylePr>
  </w:style>
  <w:style w:type="table" w:customStyle="1" w:styleId="PlainTable11">
    <w:name w:val="Plain Table 11"/>
    <w:basedOn w:val="TableNormal"/>
    <w:next w:val="PlainTable1"/>
    <w:uiPriority w:val="41"/>
    <w:rsid w:val="00994B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ewstyle16">
    <w:name w:val="new style16"/>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21">
    <w:name w:val="new style2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31">
    <w:name w:val="new style3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41">
    <w:name w:val="new style4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51">
    <w:name w:val="new style5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61">
    <w:name w:val="new style6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71">
    <w:name w:val="new style7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81">
    <w:name w:val="new style8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SDTableGrid11">
    <w:name w:val="MSD Table Grid11"/>
    <w:basedOn w:val="TableNormal"/>
    <w:next w:val="TableGrid"/>
    <w:uiPriority w:val="39"/>
    <w:rsid w:val="00994B5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91">
    <w:name w:val="new style9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ZTable1">
    <w:name w:val="AZ Table1"/>
    <w:basedOn w:val="TableNormal"/>
    <w:uiPriority w:val="99"/>
    <w:rsid w:val="0099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Open Sans" w:hAnsi="Open Sans"/>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Open Sans" w:hAnsi="Open Sans"/>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Open Sans" w:hAnsi="Open Sans"/>
        <w:i/>
        <w:iCs/>
        <w:sz w:val="20"/>
      </w:rPr>
    </w:tblStylePr>
  </w:style>
  <w:style w:type="table" w:customStyle="1" w:styleId="newstyle101">
    <w:name w:val="new style10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11">
    <w:name w:val="new style11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21">
    <w:name w:val="new style12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31">
    <w:name w:val="new style13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141">
    <w:name w:val="new style141"/>
    <w:basedOn w:val="TableNormal"/>
    <w:next w:val="TableGrid"/>
    <w:uiPriority w:val="59"/>
    <w:rsid w:val="00994B53"/>
    <w:pPr>
      <w:spacing w:after="0" w:line="240" w:lineRule="auto"/>
    </w:pPr>
    <w:rPr>
      <w:rFonts w:ascii="Arial Narrow" w:eastAsia="MS Gothic"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994B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ubmissionstandard11">
    <w:name w:val="Submission standard11"/>
    <w:basedOn w:val="TableNormal"/>
    <w:uiPriority w:val="99"/>
    <w:qFormat/>
    <w:rsid w:val="00994B53"/>
    <w:pPr>
      <w:spacing w:after="0" w:line="240" w:lineRule="auto"/>
    </w:pPr>
    <w:rPr>
      <w:rFonts w:ascii="Arial Narrow" w:eastAsiaTheme="majorEastAsia" w:hAnsi="Arial Narrow" w:cstheme="majorBid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Open Sans" w:hAnsi="Open Sans" w:cstheme="majorBidi"/>
        <w:b/>
        <w:sz w:val="20"/>
      </w:rPr>
      <w:tblPr/>
      <w:tcPr>
        <w:shd w:val="clear" w:color="auto" w:fill="BFBFBF" w:themeFill="background1" w:themeFillShade="BF"/>
      </w:tcPr>
    </w:tblStylePr>
  </w:style>
  <w:style w:type="table" w:customStyle="1" w:styleId="ASDTable21">
    <w:name w:val="ASD Table21"/>
    <w:basedOn w:val="TableNormal"/>
    <w:next w:val="TableGrid"/>
    <w:uiPriority w:val="39"/>
    <w:rsid w:val="00994B5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51">
    <w:name w:val="new style151"/>
    <w:basedOn w:val="TableNormal"/>
    <w:next w:val="TableGrid"/>
    <w:uiPriority w:val="39"/>
    <w:rsid w:val="00994B53"/>
    <w:pPr>
      <w:spacing w:after="0" w:line="240" w:lineRule="auto"/>
    </w:pPr>
    <w:rPr>
      <w:rFonts w:ascii="Arial Narrow" w:eastAsia="Times New Roman" w:hAnsi="Arial Narrow"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SDTable3">
    <w:name w:val="ASD Table3"/>
    <w:basedOn w:val="TableNormal"/>
    <w:next w:val="TableGrid"/>
    <w:uiPriority w:val="59"/>
    <w:rsid w:val="00994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abletext0"/>
    <w:link w:val="TabletitleChar"/>
    <w:qFormat/>
    <w:rsid w:val="00F76E10"/>
    <w:rPr>
      <w:rFonts w:eastAsia="Calibri" w:cs="Arial"/>
      <w:b/>
      <w:snapToGrid/>
      <w:szCs w:val="20"/>
    </w:rPr>
  </w:style>
  <w:style w:type="character" w:customStyle="1" w:styleId="TabletitleChar">
    <w:name w:val="Table title Char"/>
    <w:basedOn w:val="TabletextChar0"/>
    <w:link w:val="Tabletitle"/>
    <w:rsid w:val="00F76E10"/>
    <w:rPr>
      <w:rFonts w:ascii="Arial Narrow" w:eastAsia="Calibri" w:hAnsi="Arial Narrow" w:cs="Arial"/>
      <w:b/>
      <w:snapToGrid/>
      <w:sz w:val="20"/>
      <w:szCs w:val="20"/>
      <w:lang w:eastAsia="en-AU"/>
    </w:rPr>
  </w:style>
  <w:style w:type="table" w:customStyle="1" w:styleId="PBACtable2">
    <w:name w:val="PBAC table2"/>
    <w:basedOn w:val="TableNormal"/>
    <w:next w:val="TableGrid"/>
    <w:uiPriority w:val="39"/>
    <w:rsid w:val="00F76E10"/>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EndNoteBibliography">
    <w:name w:val="EndNote Bibliography"/>
    <w:basedOn w:val="Normal"/>
    <w:link w:val="EndNoteBibliographyChar"/>
    <w:rsid w:val="00D56336"/>
    <w:pPr>
      <w:spacing w:before="0" w:after="0"/>
    </w:pPr>
    <w:rPr>
      <w:rFonts w:ascii="Calibri" w:eastAsia="Times New Roman" w:hAnsi="Calibri" w:cs="Calibri"/>
      <w:noProof/>
      <w:szCs w:val="24"/>
      <w:lang w:eastAsia="en-AU"/>
    </w:rPr>
  </w:style>
  <w:style w:type="character" w:customStyle="1" w:styleId="EndNoteBibliographyChar">
    <w:name w:val="EndNote Bibliography Char"/>
    <w:basedOn w:val="DefaultParagraphFont"/>
    <w:link w:val="EndNoteBibliography"/>
    <w:rsid w:val="00D56336"/>
    <w:rPr>
      <w:rFonts w:ascii="Calibri" w:eastAsia="Times New Roman" w:hAnsi="Calibri" w:cs="Calibri"/>
      <w:noProof/>
      <w:sz w:val="24"/>
      <w:szCs w:val="24"/>
      <w:lang w:eastAsia="en-AU"/>
    </w:rPr>
  </w:style>
  <w:style w:type="character" w:customStyle="1" w:styleId="COMTabletextChar">
    <w:name w:val="COM Table text Char"/>
    <w:basedOn w:val="DefaultParagraphFont"/>
    <w:link w:val="COMTabletext"/>
    <w:locked/>
    <w:rsid w:val="00C26073"/>
    <w:rPr>
      <w:rFonts w:ascii="Arial Narrow" w:eastAsiaTheme="majorEastAsia" w:hAnsi="Arial Narrow" w:cstheme="majorBidi"/>
      <w:bCs/>
      <w:szCs w:val="24"/>
    </w:rPr>
  </w:style>
  <w:style w:type="paragraph" w:customStyle="1" w:styleId="COMTabletext">
    <w:name w:val="COM Table text"/>
    <w:link w:val="COMTabletextChar"/>
    <w:qFormat/>
    <w:rsid w:val="00C26073"/>
    <w:pPr>
      <w:keepNext/>
      <w:spacing w:after="0" w:line="240" w:lineRule="auto"/>
    </w:pPr>
    <w:rPr>
      <w:rFonts w:ascii="Arial Narrow" w:eastAsiaTheme="majorEastAsia" w:hAnsi="Arial Narrow" w:cstheme="majorBidi"/>
      <w:bCs/>
      <w:szCs w:val="24"/>
    </w:rPr>
  </w:style>
  <w:style w:type="character" w:customStyle="1" w:styleId="COMtablefigcaptionChar">
    <w:name w:val="COM table/fig caption Char"/>
    <w:basedOn w:val="DefaultParagraphFont"/>
    <w:link w:val="COMtablefigcaption"/>
    <w:locked/>
    <w:rsid w:val="00C26073"/>
    <w:rPr>
      <w:rFonts w:ascii="Arial Narrow" w:eastAsiaTheme="majorEastAsia" w:hAnsi="Arial Narrow" w:cstheme="majorBidi"/>
      <w:b/>
      <w:bCs/>
      <w:szCs w:val="24"/>
    </w:rPr>
  </w:style>
  <w:style w:type="paragraph" w:customStyle="1" w:styleId="COMtablefigcaption">
    <w:name w:val="COM table/fig caption"/>
    <w:next w:val="Normal"/>
    <w:link w:val="COMtablefigcaptionChar"/>
    <w:qFormat/>
    <w:rsid w:val="00C26073"/>
    <w:pPr>
      <w:keepNext/>
      <w:spacing w:after="0" w:line="240" w:lineRule="auto"/>
    </w:pPr>
    <w:rPr>
      <w:rFonts w:ascii="Arial Narrow" w:eastAsiaTheme="majorEastAsia" w:hAnsi="Arial Narrow"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658">
      <w:bodyDiv w:val="1"/>
      <w:marLeft w:val="0"/>
      <w:marRight w:val="0"/>
      <w:marTop w:val="0"/>
      <w:marBottom w:val="0"/>
      <w:divBdr>
        <w:top w:val="none" w:sz="0" w:space="0" w:color="auto"/>
        <w:left w:val="none" w:sz="0" w:space="0" w:color="auto"/>
        <w:bottom w:val="none" w:sz="0" w:space="0" w:color="auto"/>
        <w:right w:val="none" w:sz="0" w:space="0" w:color="auto"/>
      </w:divBdr>
    </w:div>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674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81600557">
      <w:bodyDiv w:val="1"/>
      <w:marLeft w:val="0"/>
      <w:marRight w:val="0"/>
      <w:marTop w:val="0"/>
      <w:marBottom w:val="0"/>
      <w:divBdr>
        <w:top w:val="none" w:sz="0" w:space="0" w:color="auto"/>
        <w:left w:val="none" w:sz="0" w:space="0" w:color="auto"/>
        <w:bottom w:val="none" w:sz="0" w:space="0" w:color="auto"/>
        <w:right w:val="none" w:sz="0" w:space="0" w:color="auto"/>
      </w:divBdr>
    </w:div>
    <w:div w:id="197083153">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71275640">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1281901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494541036">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29529">
      <w:bodyDiv w:val="1"/>
      <w:marLeft w:val="0"/>
      <w:marRight w:val="0"/>
      <w:marTop w:val="0"/>
      <w:marBottom w:val="0"/>
      <w:divBdr>
        <w:top w:val="none" w:sz="0" w:space="0" w:color="auto"/>
        <w:left w:val="none" w:sz="0" w:space="0" w:color="auto"/>
        <w:bottom w:val="none" w:sz="0" w:space="0" w:color="auto"/>
        <w:right w:val="none" w:sz="0" w:space="0" w:color="auto"/>
      </w:divBdr>
    </w:div>
    <w:div w:id="589893279">
      <w:bodyDiv w:val="1"/>
      <w:marLeft w:val="0"/>
      <w:marRight w:val="0"/>
      <w:marTop w:val="0"/>
      <w:marBottom w:val="0"/>
      <w:divBdr>
        <w:top w:val="none" w:sz="0" w:space="0" w:color="auto"/>
        <w:left w:val="none" w:sz="0" w:space="0" w:color="auto"/>
        <w:bottom w:val="none" w:sz="0" w:space="0" w:color="auto"/>
        <w:right w:val="none" w:sz="0" w:space="0" w:color="auto"/>
      </w:divBdr>
      <w:divsChild>
        <w:div w:id="167184667">
          <w:marLeft w:val="360"/>
          <w:marRight w:val="0"/>
          <w:marTop w:val="0"/>
          <w:marBottom w:val="0"/>
          <w:divBdr>
            <w:top w:val="none" w:sz="0" w:space="0" w:color="auto"/>
            <w:left w:val="none" w:sz="0" w:space="0" w:color="auto"/>
            <w:bottom w:val="none" w:sz="0" w:space="0" w:color="auto"/>
            <w:right w:val="none" w:sz="0" w:space="0" w:color="auto"/>
          </w:divBdr>
        </w:div>
        <w:div w:id="473063535">
          <w:marLeft w:val="360"/>
          <w:marRight w:val="0"/>
          <w:marTop w:val="0"/>
          <w:marBottom w:val="0"/>
          <w:divBdr>
            <w:top w:val="none" w:sz="0" w:space="0" w:color="auto"/>
            <w:left w:val="none" w:sz="0" w:space="0" w:color="auto"/>
            <w:bottom w:val="none" w:sz="0" w:space="0" w:color="auto"/>
            <w:right w:val="none" w:sz="0" w:space="0" w:color="auto"/>
          </w:divBdr>
        </w:div>
        <w:div w:id="747726809">
          <w:marLeft w:val="1080"/>
          <w:marRight w:val="0"/>
          <w:marTop w:val="0"/>
          <w:marBottom w:val="0"/>
          <w:divBdr>
            <w:top w:val="none" w:sz="0" w:space="0" w:color="auto"/>
            <w:left w:val="none" w:sz="0" w:space="0" w:color="auto"/>
            <w:bottom w:val="none" w:sz="0" w:space="0" w:color="auto"/>
            <w:right w:val="none" w:sz="0" w:space="0" w:color="auto"/>
          </w:divBdr>
        </w:div>
        <w:div w:id="1223755625">
          <w:marLeft w:val="1080"/>
          <w:marRight w:val="0"/>
          <w:marTop w:val="0"/>
          <w:marBottom w:val="0"/>
          <w:divBdr>
            <w:top w:val="none" w:sz="0" w:space="0" w:color="auto"/>
            <w:left w:val="none" w:sz="0" w:space="0" w:color="auto"/>
            <w:bottom w:val="none" w:sz="0" w:space="0" w:color="auto"/>
            <w:right w:val="none" w:sz="0" w:space="0" w:color="auto"/>
          </w:divBdr>
        </w:div>
        <w:div w:id="1422991904">
          <w:marLeft w:val="1080"/>
          <w:marRight w:val="0"/>
          <w:marTop w:val="0"/>
          <w:marBottom w:val="0"/>
          <w:divBdr>
            <w:top w:val="none" w:sz="0" w:space="0" w:color="auto"/>
            <w:left w:val="none" w:sz="0" w:space="0" w:color="auto"/>
            <w:bottom w:val="none" w:sz="0" w:space="0" w:color="auto"/>
            <w:right w:val="none" w:sz="0" w:space="0" w:color="auto"/>
          </w:divBdr>
        </w:div>
      </w:divsChild>
    </w:div>
    <w:div w:id="613899434">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33606616">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697">
      <w:bodyDiv w:val="1"/>
      <w:marLeft w:val="0"/>
      <w:marRight w:val="0"/>
      <w:marTop w:val="0"/>
      <w:marBottom w:val="0"/>
      <w:divBdr>
        <w:top w:val="none" w:sz="0" w:space="0" w:color="auto"/>
        <w:left w:val="none" w:sz="0" w:space="0" w:color="auto"/>
        <w:bottom w:val="none" w:sz="0" w:space="0" w:color="auto"/>
        <w:right w:val="none" w:sz="0" w:space="0" w:color="auto"/>
      </w:divBdr>
      <w:divsChild>
        <w:div w:id="563954382">
          <w:marLeft w:val="360"/>
          <w:marRight w:val="0"/>
          <w:marTop w:val="200"/>
          <w:marBottom w:val="0"/>
          <w:divBdr>
            <w:top w:val="none" w:sz="0" w:space="0" w:color="auto"/>
            <w:left w:val="none" w:sz="0" w:space="0" w:color="auto"/>
            <w:bottom w:val="none" w:sz="0" w:space="0" w:color="auto"/>
            <w:right w:val="none" w:sz="0" w:space="0" w:color="auto"/>
          </w:divBdr>
        </w:div>
        <w:div w:id="565065279">
          <w:marLeft w:val="360"/>
          <w:marRight w:val="0"/>
          <w:marTop w:val="200"/>
          <w:marBottom w:val="0"/>
          <w:divBdr>
            <w:top w:val="none" w:sz="0" w:space="0" w:color="auto"/>
            <w:left w:val="none" w:sz="0" w:space="0" w:color="auto"/>
            <w:bottom w:val="none" w:sz="0" w:space="0" w:color="auto"/>
            <w:right w:val="none" w:sz="0" w:space="0" w:color="auto"/>
          </w:divBdr>
        </w:div>
      </w:divsChild>
    </w:div>
    <w:div w:id="747654178">
      <w:bodyDiv w:val="1"/>
      <w:marLeft w:val="0"/>
      <w:marRight w:val="0"/>
      <w:marTop w:val="0"/>
      <w:marBottom w:val="0"/>
      <w:divBdr>
        <w:top w:val="none" w:sz="0" w:space="0" w:color="auto"/>
        <w:left w:val="none" w:sz="0" w:space="0" w:color="auto"/>
        <w:bottom w:val="none" w:sz="0" w:space="0" w:color="auto"/>
        <w:right w:val="none" w:sz="0" w:space="0" w:color="auto"/>
      </w:divBdr>
    </w:div>
    <w:div w:id="751201173">
      <w:bodyDiv w:val="1"/>
      <w:marLeft w:val="0"/>
      <w:marRight w:val="0"/>
      <w:marTop w:val="0"/>
      <w:marBottom w:val="0"/>
      <w:divBdr>
        <w:top w:val="none" w:sz="0" w:space="0" w:color="auto"/>
        <w:left w:val="none" w:sz="0" w:space="0" w:color="auto"/>
        <w:bottom w:val="none" w:sz="0" w:space="0" w:color="auto"/>
        <w:right w:val="none" w:sz="0" w:space="0" w:color="auto"/>
      </w:divBdr>
      <w:divsChild>
        <w:div w:id="553779549">
          <w:marLeft w:val="1080"/>
          <w:marRight w:val="0"/>
          <w:marTop w:val="100"/>
          <w:marBottom w:val="0"/>
          <w:divBdr>
            <w:top w:val="none" w:sz="0" w:space="0" w:color="auto"/>
            <w:left w:val="none" w:sz="0" w:space="0" w:color="auto"/>
            <w:bottom w:val="none" w:sz="0" w:space="0" w:color="auto"/>
            <w:right w:val="none" w:sz="0" w:space="0" w:color="auto"/>
          </w:divBdr>
        </w:div>
        <w:div w:id="609551648">
          <w:marLeft w:val="1800"/>
          <w:marRight w:val="0"/>
          <w:marTop w:val="100"/>
          <w:marBottom w:val="0"/>
          <w:divBdr>
            <w:top w:val="none" w:sz="0" w:space="0" w:color="auto"/>
            <w:left w:val="none" w:sz="0" w:space="0" w:color="auto"/>
            <w:bottom w:val="none" w:sz="0" w:space="0" w:color="auto"/>
            <w:right w:val="none" w:sz="0" w:space="0" w:color="auto"/>
          </w:divBdr>
        </w:div>
        <w:div w:id="1446803018">
          <w:marLeft w:val="1800"/>
          <w:marRight w:val="0"/>
          <w:marTop w:val="100"/>
          <w:marBottom w:val="0"/>
          <w:divBdr>
            <w:top w:val="none" w:sz="0" w:space="0" w:color="auto"/>
            <w:left w:val="none" w:sz="0" w:space="0" w:color="auto"/>
            <w:bottom w:val="none" w:sz="0" w:space="0" w:color="auto"/>
            <w:right w:val="none" w:sz="0" w:space="0" w:color="auto"/>
          </w:divBdr>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6625988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5669">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05099752">
      <w:bodyDiv w:val="1"/>
      <w:marLeft w:val="0"/>
      <w:marRight w:val="0"/>
      <w:marTop w:val="0"/>
      <w:marBottom w:val="0"/>
      <w:divBdr>
        <w:top w:val="none" w:sz="0" w:space="0" w:color="auto"/>
        <w:left w:val="none" w:sz="0" w:space="0" w:color="auto"/>
        <w:bottom w:val="none" w:sz="0" w:space="0" w:color="auto"/>
        <w:right w:val="none" w:sz="0" w:space="0" w:color="auto"/>
      </w:divBdr>
      <w:divsChild>
        <w:div w:id="276258376">
          <w:marLeft w:val="360"/>
          <w:marRight w:val="0"/>
          <w:marTop w:val="200"/>
          <w:marBottom w:val="0"/>
          <w:divBdr>
            <w:top w:val="none" w:sz="0" w:space="0" w:color="auto"/>
            <w:left w:val="none" w:sz="0" w:space="0" w:color="auto"/>
            <w:bottom w:val="none" w:sz="0" w:space="0" w:color="auto"/>
            <w:right w:val="none" w:sz="0" w:space="0" w:color="auto"/>
          </w:divBdr>
        </w:div>
        <w:div w:id="1839077393">
          <w:marLeft w:val="360"/>
          <w:marRight w:val="0"/>
          <w:marTop w:val="200"/>
          <w:marBottom w:val="0"/>
          <w:divBdr>
            <w:top w:val="none" w:sz="0" w:space="0" w:color="auto"/>
            <w:left w:val="none" w:sz="0" w:space="0" w:color="auto"/>
            <w:bottom w:val="none" w:sz="0" w:space="0" w:color="auto"/>
            <w:right w:val="none" w:sz="0" w:space="0" w:color="auto"/>
          </w:divBdr>
        </w:div>
      </w:divsChild>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47497562">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85769840">
      <w:bodyDiv w:val="1"/>
      <w:marLeft w:val="0"/>
      <w:marRight w:val="0"/>
      <w:marTop w:val="0"/>
      <w:marBottom w:val="0"/>
      <w:divBdr>
        <w:top w:val="none" w:sz="0" w:space="0" w:color="auto"/>
        <w:left w:val="none" w:sz="0" w:space="0" w:color="auto"/>
        <w:bottom w:val="none" w:sz="0" w:space="0" w:color="auto"/>
        <w:right w:val="none" w:sz="0" w:space="0" w:color="auto"/>
      </w:divBdr>
      <w:divsChild>
        <w:div w:id="1340502089">
          <w:marLeft w:val="446"/>
          <w:marRight w:val="0"/>
          <w:marTop w:val="0"/>
          <w:marBottom w:val="0"/>
          <w:divBdr>
            <w:top w:val="none" w:sz="0" w:space="0" w:color="auto"/>
            <w:left w:val="none" w:sz="0" w:space="0" w:color="auto"/>
            <w:bottom w:val="none" w:sz="0" w:space="0" w:color="auto"/>
            <w:right w:val="none" w:sz="0" w:space="0" w:color="auto"/>
          </w:divBdr>
        </w:div>
        <w:div w:id="1613392569">
          <w:marLeft w:val="446"/>
          <w:marRight w:val="0"/>
          <w:marTop w:val="0"/>
          <w:marBottom w:val="0"/>
          <w:divBdr>
            <w:top w:val="none" w:sz="0" w:space="0" w:color="auto"/>
            <w:left w:val="none" w:sz="0" w:space="0" w:color="auto"/>
            <w:bottom w:val="none" w:sz="0" w:space="0" w:color="auto"/>
            <w:right w:val="none" w:sz="0" w:space="0" w:color="auto"/>
          </w:divBdr>
        </w:div>
      </w:divsChild>
    </w:div>
    <w:div w:id="1288311706">
      <w:bodyDiv w:val="1"/>
      <w:marLeft w:val="0"/>
      <w:marRight w:val="0"/>
      <w:marTop w:val="0"/>
      <w:marBottom w:val="0"/>
      <w:divBdr>
        <w:top w:val="none" w:sz="0" w:space="0" w:color="auto"/>
        <w:left w:val="none" w:sz="0" w:space="0" w:color="auto"/>
        <w:bottom w:val="none" w:sz="0" w:space="0" w:color="auto"/>
        <w:right w:val="none" w:sz="0" w:space="0" w:color="auto"/>
      </w:divBdr>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67214589">
      <w:bodyDiv w:val="1"/>
      <w:marLeft w:val="0"/>
      <w:marRight w:val="0"/>
      <w:marTop w:val="0"/>
      <w:marBottom w:val="0"/>
      <w:divBdr>
        <w:top w:val="none" w:sz="0" w:space="0" w:color="auto"/>
        <w:left w:val="none" w:sz="0" w:space="0" w:color="auto"/>
        <w:bottom w:val="none" w:sz="0" w:space="0" w:color="auto"/>
        <w:right w:val="none" w:sz="0" w:space="0" w:color="auto"/>
      </w:divBdr>
    </w:div>
    <w:div w:id="1372731103">
      <w:bodyDiv w:val="1"/>
      <w:marLeft w:val="0"/>
      <w:marRight w:val="0"/>
      <w:marTop w:val="0"/>
      <w:marBottom w:val="0"/>
      <w:divBdr>
        <w:top w:val="none" w:sz="0" w:space="0" w:color="auto"/>
        <w:left w:val="none" w:sz="0" w:space="0" w:color="auto"/>
        <w:bottom w:val="none" w:sz="0" w:space="0" w:color="auto"/>
        <w:right w:val="none" w:sz="0" w:space="0" w:color="auto"/>
      </w:divBdr>
      <w:divsChild>
        <w:div w:id="316880922">
          <w:marLeft w:val="360"/>
          <w:marRight w:val="0"/>
          <w:marTop w:val="200"/>
          <w:marBottom w:val="0"/>
          <w:divBdr>
            <w:top w:val="none" w:sz="0" w:space="0" w:color="auto"/>
            <w:left w:val="none" w:sz="0" w:space="0" w:color="auto"/>
            <w:bottom w:val="none" w:sz="0" w:space="0" w:color="auto"/>
            <w:right w:val="none" w:sz="0" w:space="0" w:color="auto"/>
          </w:divBdr>
        </w:div>
      </w:divsChild>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499467451">
      <w:bodyDiv w:val="1"/>
      <w:marLeft w:val="0"/>
      <w:marRight w:val="0"/>
      <w:marTop w:val="0"/>
      <w:marBottom w:val="0"/>
      <w:divBdr>
        <w:top w:val="none" w:sz="0" w:space="0" w:color="auto"/>
        <w:left w:val="none" w:sz="0" w:space="0" w:color="auto"/>
        <w:bottom w:val="none" w:sz="0" w:space="0" w:color="auto"/>
        <w:right w:val="none" w:sz="0" w:space="0" w:color="auto"/>
      </w:divBdr>
      <w:divsChild>
        <w:div w:id="203760665">
          <w:marLeft w:val="360"/>
          <w:marRight w:val="0"/>
          <w:marTop w:val="200"/>
          <w:marBottom w:val="0"/>
          <w:divBdr>
            <w:top w:val="none" w:sz="0" w:space="0" w:color="auto"/>
            <w:left w:val="none" w:sz="0" w:space="0" w:color="auto"/>
            <w:bottom w:val="none" w:sz="0" w:space="0" w:color="auto"/>
            <w:right w:val="none" w:sz="0" w:space="0" w:color="auto"/>
          </w:divBdr>
        </w:div>
      </w:divsChild>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38336455">
      <w:bodyDiv w:val="1"/>
      <w:marLeft w:val="0"/>
      <w:marRight w:val="0"/>
      <w:marTop w:val="0"/>
      <w:marBottom w:val="0"/>
      <w:divBdr>
        <w:top w:val="none" w:sz="0" w:space="0" w:color="auto"/>
        <w:left w:val="none" w:sz="0" w:space="0" w:color="auto"/>
        <w:bottom w:val="none" w:sz="0" w:space="0" w:color="auto"/>
        <w:right w:val="none" w:sz="0" w:space="0" w:color="auto"/>
      </w:divBdr>
      <w:divsChild>
        <w:div w:id="479999566">
          <w:marLeft w:val="1080"/>
          <w:marRight w:val="0"/>
          <w:marTop w:val="0"/>
          <w:marBottom w:val="0"/>
          <w:divBdr>
            <w:top w:val="none" w:sz="0" w:space="0" w:color="auto"/>
            <w:left w:val="none" w:sz="0" w:space="0" w:color="auto"/>
            <w:bottom w:val="none" w:sz="0" w:space="0" w:color="auto"/>
            <w:right w:val="none" w:sz="0" w:space="0" w:color="auto"/>
          </w:divBdr>
        </w:div>
        <w:div w:id="1009914898">
          <w:marLeft w:val="1080"/>
          <w:marRight w:val="0"/>
          <w:marTop w:val="0"/>
          <w:marBottom w:val="0"/>
          <w:divBdr>
            <w:top w:val="none" w:sz="0" w:space="0" w:color="auto"/>
            <w:left w:val="none" w:sz="0" w:space="0" w:color="auto"/>
            <w:bottom w:val="none" w:sz="0" w:space="0" w:color="auto"/>
            <w:right w:val="none" w:sz="0" w:space="0" w:color="auto"/>
          </w:divBdr>
        </w:div>
        <w:div w:id="2064939479">
          <w:marLeft w:val="1080"/>
          <w:marRight w:val="0"/>
          <w:marTop w:val="0"/>
          <w:marBottom w:val="0"/>
          <w:divBdr>
            <w:top w:val="none" w:sz="0" w:space="0" w:color="auto"/>
            <w:left w:val="none" w:sz="0" w:space="0" w:color="auto"/>
            <w:bottom w:val="none" w:sz="0" w:space="0" w:color="auto"/>
            <w:right w:val="none" w:sz="0" w:space="0" w:color="auto"/>
          </w:divBdr>
        </w:div>
      </w:divsChild>
    </w:div>
    <w:div w:id="1638682063">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72372960">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787236946">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3824">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895771509">
      <w:bodyDiv w:val="1"/>
      <w:marLeft w:val="0"/>
      <w:marRight w:val="0"/>
      <w:marTop w:val="0"/>
      <w:marBottom w:val="0"/>
      <w:divBdr>
        <w:top w:val="none" w:sz="0" w:space="0" w:color="auto"/>
        <w:left w:val="none" w:sz="0" w:space="0" w:color="auto"/>
        <w:bottom w:val="none" w:sz="0" w:space="0" w:color="auto"/>
        <w:right w:val="none" w:sz="0" w:space="0" w:color="auto"/>
      </w:divBdr>
      <w:divsChild>
        <w:div w:id="256133937">
          <w:marLeft w:val="360"/>
          <w:marRight w:val="0"/>
          <w:marTop w:val="200"/>
          <w:marBottom w:val="0"/>
          <w:divBdr>
            <w:top w:val="none" w:sz="0" w:space="0" w:color="auto"/>
            <w:left w:val="none" w:sz="0" w:space="0" w:color="auto"/>
            <w:bottom w:val="none" w:sz="0" w:space="0" w:color="auto"/>
            <w:right w:val="none" w:sz="0" w:space="0" w:color="auto"/>
          </w:divBdr>
        </w:div>
        <w:div w:id="292029313">
          <w:marLeft w:val="360"/>
          <w:marRight w:val="0"/>
          <w:marTop w:val="200"/>
          <w:marBottom w:val="0"/>
          <w:divBdr>
            <w:top w:val="none" w:sz="0" w:space="0" w:color="auto"/>
            <w:left w:val="none" w:sz="0" w:space="0" w:color="auto"/>
            <w:bottom w:val="none" w:sz="0" w:space="0" w:color="auto"/>
            <w:right w:val="none" w:sz="0" w:space="0" w:color="auto"/>
          </w:divBdr>
        </w:div>
        <w:div w:id="1244023961">
          <w:marLeft w:val="360"/>
          <w:marRight w:val="0"/>
          <w:marTop w:val="200"/>
          <w:marBottom w:val="0"/>
          <w:divBdr>
            <w:top w:val="none" w:sz="0" w:space="0" w:color="auto"/>
            <w:left w:val="none" w:sz="0" w:space="0" w:color="auto"/>
            <w:bottom w:val="none" w:sz="0" w:space="0" w:color="auto"/>
            <w:right w:val="none" w:sz="0" w:space="0" w:color="auto"/>
          </w:divBdr>
        </w:div>
        <w:div w:id="1570966790">
          <w:marLeft w:val="360"/>
          <w:marRight w:val="0"/>
          <w:marTop w:val="200"/>
          <w:marBottom w:val="0"/>
          <w:divBdr>
            <w:top w:val="none" w:sz="0" w:space="0" w:color="auto"/>
            <w:left w:val="none" w:sz="0" w:space="0" w:color="auto"/>
            <w:bottom w:val="none" w:sz="0" w:space="0" w:color="auto"/>
            <w:right w:val="none" w:sz="0" w:space="0" w:color="auto"/>
          </w:divBdr>
        </w:div>
        <w:div w:id="1836145957">
          <w:marLeft w:val="360"/>
          <w:marRight w:val="0"/>
          <w:marTop w:val="200"/>
          <w:marBottom w:val="0"/>
          <w:divBdr>
            <w:top w:val="none" w:sz="0" w:space="0" w:color="auto"/>
            <w:left w:val="none" w:sz="0" w:space="0" w:color="auto"/>
            <w:bottom w:val="none" w:sz="0" w:space="0" w:color="auto"/>
            <w:right w:val="none" w:sz="0" w:space="0" w:color="auto"/>
          </w:divBdr>
        </w:div>
        <w:div w:id="2047875870">
          <w:marLeft w:val="360"/>
          <w:marRight w:val="0"/>
          <w:marTop w:val="200"/>
          <w:marBottom w:val="0"/>
          <w:divBdr>
            <w:top w:val="none" w:sz="0" w:space="0" w:color="auto"/>
            <w:left w:val="none" w:sz="0" w:space="0" w:color="auto"/>
            <w:bottom w:val="none" w:sz="0" w:space="0" w:color="auto"/>
            <w:right w:val="none" w:sz="0" w:space="0" w:color="auto"/>
          </w:divBdr>
        </w:div>
      </w:divsChild>
    </w:div>
    <w:div w:id="1911188696">
      <w:bodyDiv w:val="1"/>
      <w:marLeft w:val="0"/>
      <w:marRight w:val="0"/>
      <w:marTop w:val="0"/>
      <w:marBottom w:val="0"/>
      <w:divBdr>
        <w:top w:val="none" w:sz="0" w:space="0" w:color="auto"/>
        <w:left w:val="none" w:sz="0" w:space="0" w:color="auto"/>
        <w:bottom w:val="none" w:sz="0" w:space="0" w:color="auto"/>
        <w:right w:val="none" w:sz="0" w:space="0" w:color="auto"/>
      </w:divBdr>
      <w:divsChild>
        <w:div w:id="1133865310">
          <w:marLeft w:val="1080"/>
          <w:marRight w:val="0"/>
          <w:marTop w:val="100"/>
          <w:marBottom w:val="0"/>
          <w:divBdr>
            <w:top w:val="none" w:sz="0" w:space="0" w:color="auto"/>
            <w:left w:val="none" w:sz="0" w:space="0" w:color="auto"/>
            <w:bottom w:val="none" w:sz="0" w:space="0" w:color="auto"/>
            <w:right w:val="none" w:sz="0" w:space="0" w:color="auto"/>
          </w:divBdr>
        </w:div>
      </w:divsChild>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52135">
      <w:bodyDiv w:val="1"/>
      <w:marLeft w:val="0"/>
      <w:marRight w:val="0"/>
      <w:marTop w:val="0"/>
      <w:marBottom w:val="0"/>
      <w:divBdr>
        <w:top w:val="none" w:sz="0" w:space="0" w:color="auto"/>
        <w:left w:val="none" w:sz="0" w:space="0" w:color="auto"/>
        <w:bottom w:val="none" w:sz="0" w:space="0" w:color="auto"/>
        <w:right w:val="none" w:sz="0" w:space="0" w:color="auto"/>
      </w:divBdr>
    </w:div>
    <w:div w:id="1993025295">
      <w:bodyDiv w:val="1"/>
      <w:marLeft w:val="0"/>
      <w:marRight w:val="0"/>
      <w:marTop w:val="0"/>
      <w:marBottom w:val="0"/>
      <w:divBdr>
        <w:top w:val="none" w:sz="0" w:space="0" w:color="auto"/>
        <w:left w:val="none" w:sz="0" w:space="0" w:color="auto"/>
        <w:bottom w:val="none" w:sz="0" w:space="0" w:color="auto"/>
        <w:right w:val="none" w:sz="0" w:space="0" w:color="auto"/>
      </w:divBdr>
      <w:divsChild>
        <w:div w:id="413085509">
          <w:marLeft w:val="1080"/>
          <w:marRight w:val="0"/>
          <w:marTop w:val="100"/>
          <w:marBottom w:val="0"/>
          <w:divBdr>
            <w:top w:val="none" w:sz="0" w:space="0" w:color="auto"/>
            <w:left w:val="none" w:sz="0" w:space="0" w:color="auto"/>
            <w:bottom w:val="none" w:sz="0" w:space="0" w:color="auto"/>
            <w:right w:val="none" w:sz="0" w:space="0" w:color="auto"/>
          </w:divBdr>
        </w:div>
        <w:div w:id="574054275">
          <w:marLeft w:val="360"/>
          <w:marRight w:val="0"/>
          <w:marTop w:val="200"/>
          <w:marBottom w:val="0"/>
          <w:divBdr>
            <w:top w:val="none" w:sz="0" w:space="0" w:color="auto"/>
            <w:left w:val="none" w:sz="0" w:space="0" w:color="auto"/>
            <w:bottom w:val="none" w:sz="0" w:space="0" w:color="auto"/>
            <w:right w:val="none" w:sz="0" w:space="0" w:color="auto"/>
          </w:divBdr>
        </w:div>
        <w:div w:id="1468934656">
          <w:marLeft w:val="1080"/>
          <w:marRight w:val="0"/>
          <w:marTop w:val="100"/>
          <w:marBottom w:val="0"/>
          <w:divBdr>
            <w:top w:val="none" w:sz="0" w:space="0" w:color="auto"/>
            <w:left w:val="none" w:sz="0" w:space="0" w:color="auto"/>
            <w:bottom w:val="none" w:sz="0" w:space="0" w:color="auto"/>
            <w:right w:val="none" w:sz="0" w:space="0" w:color="auto"/>
          </w:divBdr>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52916610">
      <w:bodyDiv w:val="1"/>
      <w:marLeft w:val="0"/>
      <w:marRight w:val="0"/>
      <w:marTop w:val="0"/>
      <w:marBottom w:val="0"/>
      <w:divBdr>
        <w:top w:val="none" w:sz="0" w:space="0" w:color="auto"/>
        <w:left w:val="none" w:sz="0" w:space="0" w:color="auto"/>
        <w:bottom w:val="none" w:sz="0" w:space="0" w:color="auto"/>
        <w:right w:val="none" w:sz="0" w:space="0" w:color="auto"/>
      </w:divBdr>
    </w:div>
    <w:div w:id="2107381771">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16366971">
      <w:bodyDiv w:val="1"/>
      <w:marLeft w:val="0"/>
      <w:marRight w:val="0"/>
      <w:marTop w:val="0"/>
      <w:marBottom w:val="0"/>
      <w:divBdr>
        <w:top w:val="none" w:sz="0" w:space="0" w:color="auto"/>
        <w:left w:val="none" w:sz="0" w:space="0" w:color="auto"/>
        <w:bottom w:val="none" w:sz="0" w:space="0" w:color="auto"/>
        <w:right w:val="none" w:sz="0" w:space="0" w:color="auto"/>
      </w:divBdr>
      <w:divsChild>
        <w:div w:id="589657291">
          <w:marLeft w:val="1080"/>
          <w:marRight w:val="0"/>
          <w:marTop w:val="100"/>
          <w:marBottom w:val="0"/>
          <w:divBdr>
            <w:top w:val="none" w:sz="0" w:space="0" w:color="auto"/>
            <w:left w:val="none" w:sz="0" w:space="0" w:color="auto"/>
            <w:bottom w:val="none" w:sz="0" w:space="0" w:color="auto"/>
            <w:right w:val="none" w:sz="0" w:space="0" w:color="auto"/>
          </w:divBdr>
        </w:div>
        <w:div w:id="766390853">
          <w:marLeft w:val="1080"/>
          <w:marRight w:val="0"/>
          <w:marTop w:val="100"/>
          <w:marBottom w:val="0"/>
          <w:divBdr>
            <w:top w:val="none" w:sz="0" w:space="0" w:color="auto"/>
            <w:left w:val="none" w:sz="0" w:space="0" w:color="auto"/>
            <w:bottom w:val="none" w:sz="0" w:space="0" w:color="auto"/>
            <w:right w:val="none" w:sz="0" w:space="0" w:color="auto"/>
          </w:divBdr>
        </w:div>
        <w:div w:id="1224175079">
          <w:marLeft w:val="1080"/>
          <w:marRight w:val="0"/>
          <w:marTop w:val="100"/>
          <w:marBottom w:val="0"/>
          <w:divBdr>
            <w:top w:val="none" w:sz="0" w:space="0" w:color="auto"/>
            <w:left w:val="none" w:sz="0" w:space="0" w:color="auto"/>
            <w:bottom w:val="none" w:sz="0" w:space="0" w:color="auto"/>
            <w:right w:val="none" w:sz="0" w:space="0" w:color="auto"/>
          </w:divBdr>
        </w:div>
        <w:div w:id="2027169181">
          <w:marLeft w:val="1080"/>
          <w:marRight w:val="0"/>
          <w:marTop w:val="100"/>
          <w:marBottom w:val="0"/>
          <w:divBdr>
            <w:top w:val="none" w:sz="0" w:space="0" w:color="auto"/>
            <w:left w:val="none" w:sz="0" w:space="0" w:color="auto"/>
            <w:bottom w:val="none" w:sz="0" w:space="0" w:color="auto"/>
            <w:right w:val="none" w:sz="0" w:space="0" w:color="auto"/>
          </w:divBdr>
        </w:div>
      </w:divsChild>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14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pbs.gov.au/medicine/item/13112d"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pbs.gov.au/medicine/item/1309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C239F-1674-44D9-9079-07753DDD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25875</Words>
  <Characters>147489</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2023-10-25T04:08:00Z</dcterms:created>
  <dcterms:modified xsi:type="dcterms:W3CDTF">2023-10-25T04:08:00Z</dcterms:modified>
</cp:coreProperties>
</file>