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DCA0" w14:textId="59418ED5" w:rsidR="009709BB" w:rsidRPr="009709BB" w:rsidRDefault="009709BB" w:rsidP="009709BB">
      <w:pPr>
        <w:jc w:val="left"/>
        <w:rPr>
          <w:rFonts w:asciiTheme="minorHAnsi" w:hAnsiTheme="minorHAnsi" w:cstheme="minorHAnsi"/>
          <w:bCs/>
          <w:color w:val="FF0000"/>
        </w:rPr>
      </w:pPr>
      <w:bookmarkStart w:id="0" w:name="_Toc135232211"/>
      <w:r w:rsidRPr="00061CBE">
        <w:rPr>
          <w:rFonts w:asciiTheme="minorHAnsi" w:hAnsiTheme="minorHAnsi" w:cstheme="minorHAnsi"/>
          <w:bCs/>
          <w:color w:val="FF0000"/>
        </w:rPr>
        <w:t>An addendum to this public summary document has been included at the end of the document.</w:t>
      </w:r>
    </w:p>
    <w:p w14:paraId="51C6701A" w14:textId="38381EDD" w:rsidR="00B60939" w:rsidRPr="00C13E80" w:rsidRDefault="00501EBB" w:rsidP="000A2C17">
      <w:pPr>
        <w:pStyle w:val="1-MainHeading"/>
        <w:ind w:left="851" w:hanging="851"/>
      </w:pPr>
      <w:r w:rsidRPr="00C13E80">
        <w:t>4.01</w:t>
      </w:r>
      <w:r w:rsidR="00163F66" w:rsidRPr="00C13E80">
        <w:tab/>
      </w:r>
      <w:r w:rsidR="004A5AC1" w:rsidRPr="00C13E80">
        <w:t>MOLNUPIRAVIR</w:t>
      </w:r>
      <w:r w:rsidR="00163F66" w:rsidRPr="00C13E80">
        <w:t>,</w:t>
      </w:r>
      <w:r w:rsidR="007E0832" w:rsidRPr="00C13E80">
        <w:t xml:space="preserve"> </w:t>
      </w:r>
      <w:r w:rsidR="00163F66" w:rsidRPr="00C13E80">
        <w:br/>
      </w:r>
      <w:r w:rsidR="000D689C" w:rsidRPr="00C13E80">
        <w:t>C</w:t>
      </w:r>
      <w:r w:rsidR="004A5AC1" w:rsidRPr="00C13E80">
        <w:t>apsule</w:t>
      </w:r>
      <w:r w:rsidR="000D689C" w:rsidRPr="00C13E80">
        <w:t xml:space="preserve"> </w:t>
      </w:r>
      <w:r w:rsidR="004A5AC1" w:rsidRPr="00C13E80">
        <w:t>200 mg</w:t>
      </w:r>
      <w:r w:rsidR="00163F66" w:rsidRPr="00C13E80">
        <w:t>,</w:t>
      </w:r>
      <w:r w:rsidR="00163F66" w:rsidRPr="00C13E80">
        <w:br/>
      </w:r>
      <w:r w:rsidR="00113BBE" w:rsidRPr="00C13E80">
        <w:t>Lagevrio</w:t>
      </w:r>
      <w:r w:rsidR="00B60939" w:rsidRPr="00C13E80">
        <w:rPr>
          <w:vertAlign w:val="superscript"/>
        </w:rPr>
        <w:t>®</w:t>
      </w:r>
      <w:r w:rsidR="004A6040" w:rsidRPr="00C13E80">
        <w:t>,</w:t>
      </w:r>
      <w:r w:rsidR="004A6040" w:rsidRPr="00C13E80">
        <w:br/>
      </w:r>
      <w:bookmarkStart w:id="1" w:name="_Hlk134025667"/>
      <w:r w:rsidR="00BB3AA4" w:rsidRPr="00C13E80">
        <w:t>Merck Sharp &amp; Dohme (Australia) Pty Ltd</w:t>
      </w:r>
      <w:r w:rsidR="00B60939" w:rsidRPr="00C13E80">
        <w:t>.</w:t>
      </w:r>
      <w:bookmarkEnd w:id="0"/>
      <w:bookmarkEnd w:id="1"/>
    </w:p>
    <w:p w14:paraId="11C00795" w14:textId="69FEC596" w:rsidR="00B50DB8" w:rsidRPr="00C13E80" w:rsidRDefault="00B50DB8" w:rsidP="00B46FE9">
      <w:pPr>
        <w:pStyle w:val="2-SectionHeading"/>
      </w:pPr>
      <w:bookmarkStart w:id="2" w:name="_Toc135232213"/>
      <w:r w:rsidRPr="00C13E80">
        <w:t xml:space="preserve">Purpose of </w:t>
      </w:r>
      <w:r w:rsidR="00CD7193" w:rsidRPr="00C13E80">
        <w:t>s</w:t>
      </w:r>
      <w:r w:rsidR="00BB3A45" w:rsidRPr="00C13E80">
        <w:t>ubmission</w:t>
      </w:r>
      <w:bookmarkEnd w:id="2"/>
    </w:p>
    <w:p w14:paraId="19414AA1" w14:textId="3FEB57A2" w:rsidR="002C2775" w:rsidRPr="00C13E80" w:rsidRDefault="007170DA" w:rsidP="00B46FE9">
      <w:pPr>
        <w:pStyle w:val="3-BodyText"/>
      </w:pPr>
      <w:r w:rsidRPr="00C13E80">
        <w:t xml:space="preserve">The </w:t>
      </w:r>
      <w:r w:rsidR="00573432" w:rsidRPr="00C13E80">
        <w:t>Category 2</w:t>
      </w:r>
      <w:r w:rsidR="00F73E08" w:rsidRPr="00C13E80">
        <w:t xml:space="preserve"> </w:t>
      </w:r>
      <w:r w:rsidRPr="00C13E80">
        <w:t xml:space="preserve">submission </w:t>
      </w:r>
      <w:r w:rsidR="006C08B9" w:rsidRPr="00C13E80">
        <w:t>from Merck Sharp &amp; Dohme (Australia) Pty Ltd (hereafter MSD)</w:t>
      </w:r>
      <w:r w:rsidRPr="00C13E80">
        <w:t xml:space="preserve"> </w:t>
      </w:r>
      <w:r w:rsidR="006D5599" w:rsidRPr="00C13E80">
        <w:t xml:space="preserve">has </w:t>
      </w:r>
      <w:r w:rsidRPr="00C13E80">
        <w:t>requeste</w:t>
      </w:r>
      <w:r w:rsidR="00B9733A" w:rsidRPr="00C13E80">
        <w:t>d</w:t>
      </w:r>
      <w:r w:rsidR="005C40BD" w:rsidRPr="00C13E80">
        <w:t xml:space="preserve"> </w:t>
      </w:r>
      <w:r w:rsidR="006D5599" w:rsidRPr="00C13E80">
        <w:t xml:space="preserve">maintenance of </w:t>
      </w:r>
      <w:r w:rsidR="005C40BD" w:rsidRPr="00C13E80">
        <w:t xml:space="preserve">a General Schedule Authority Required (STREAMLINED) listing for the treatment of patients with mild to moderate </w:t>
      </w:r>
      <w:r w:rsidR="00C32EE8" w:rsidRPr="00C13E80">
        <w:t>Coronavirus disease (</w:t>
      </w:r>
      <w:r w:rsidR="005C40BD" w:rsidRPr="00C13E80">
        <w:t>COVID-19</w:t>
      </w:r>
      <w:r w:rsidR="00C32EE8" w:rsidRPr="00C13E80">
        <w:t>)</w:t>
      </w:r>
      <w:r w:rsidR="006D5599" w:rsidRPr="00C13E80">
        <w:t xml:space="preserve"> who are at high risk of severe disease requiring hospitalisation</w:t>
      </w:r>
      <w:r w:rsidR="005C40BD" w:rsidRPr="00C13E80">
        <w:t>.</w:t>
      </w:r>
    </w:p>
    <w:p w14:paraId="4F40AF18" w14:textId="601D3136" w:rsidR="006964F1" w:rsidRPr="00C13E80" w:rsidRDefault="00B90B46" w:rsidP="00B46FE9">
      <w:pPr>
        <w:pStyle w:val="3-BodyText"/>
      </w:pPr>
      <w:r w:rsidRPr="00C13E80">
        <w:t xml:space="preserve">Molnupiravir </w:t>
      </w:r>
      <w:r w:rsidR="001C0A82" w:rsidRPr="00C13E80">
        <w:t xml:space="preserve">was included on the </w:t>
      </w:r>
      <w:r w:rsidR="00E83160" w:rsidRPr="00C13E80">
        <w:t xml:space="preserve">Pharmaceutical Benefits Scheme </w:t>
      </w:r>
      <w:r w:rsidR="007B7D97" w:rsidRPr="00C13E80">
        <w:t xml:space="preserve">(PBS) </w:t>
      </w:r>
      <w:r w:rsidR="00E83160" w:rsidRPr="00C13E80">
        <w:t>on 1</w:t>
      </w:r>
      <w:r w:rsidR="000A2C17">
        <w:t> </w:t>
      </w:r>
      <w:r w:rsidR="00E83160" w:rsidRPr="00C13E80">
        <w:t>March</w:t>
      </w:r>
      <w:r w:rsidR="000A2C17">
        <w:t> </w:t>
      </w:r>
      <w:r w:rsidR="00E83160" w:rsidRPr="00C13E80">
        <w:t xml:space="preserve">2022 </w:t>
      </w:r>
      <w:r w:rsidR="009A4896" w:rsidRPr="00C13E80">
        <w:t>following consideration of an</w:t>
      </w:r>
      <w:r w:rsidR="00851394" w:rsidRPr="00C13E80">
        <w:t xml:space="preserve"> independent </w:t>
      </w:r>
      <w:r w:rsidR="00E83160" w:rsidRPr="00C13E80">
        <w:t>rapid health technology assessment</w:t>
      </w:r>
      <w:r w:rsidR="00FA5E55" w:rsidRPr="00C13E80">
        <w:t xml:space="preserve"> (rHTA)</w:t>
      </w:r>
      <w:r w:rsidR="00E83160" w:rsidRPr="00C13E80">
        <w:t xml:space="preserve"> </w:t>
      </w:r>
      <w:r w:rsidR="006E32B4" w:rsidRPr="00C13E80">
        <w:t>by the P</w:t>
      </w:r>
      <w:r w:rsidR="007B7D97" w:rsidRPr="00C13E80">
        <w:t>harmaceutical Benefits Advi</w:t>
      </w:r>
      <w:r w:rsidR="00CE650D" w:rsidRPr="00C13E80">
        <w:t>sory Committee</w:t>
      </w:r>
      <w:r w:rsidR="00955F35" w:rsidRPr="00C13E80">
        <w:t xml:space="preserve"> (PBAC)</w:t>
      </w:r>
      <w:r w:rsidR="00CE650D" w:rsidRPr="00C13E80">
        <w:t xml:space="preserve"> at a</w:t>
      </w:r>
      <w:r w:rsidR="00F15C45" w:rsidRPr="00C13E80">
        <w:t>n</w:t>
      </w:r>
      <w:r w:rsidR="00CE650D" w:rsidRPr="00C13E80">
        <w:t xml:space="preserve"> out</w:t>
      </w:r>
      <w:r w:rsidR="00503A50" w:rsidRPr="00C13E80">
        <w:noBreakHyphen/>
      </w:r>
      <w:r w:rsidR="00CE650D" w:rsidRPr="00C13E80">
        <w:t>of</w:t>
      </w:r>
      <w:r w:rsidR="00E9263C" w:rsidRPr="00C13E80">
        <w:noBreakHyphen/>
      </w:r>
      <w:r w:rsidR="00CE650D" w:rsidRPr="00C13E80">
        <w:t xml:space="preserve">session meeting </w:t>
      </w:r>
      <w:r w:rsidR="00845C42" w:rsidRPr="00C13E80">
        <w:t xml:space="preserve">in </w:t>
      </w:r>
      <w:r w:rsidR="00CE650D" w:rsidRPr="00C13E80">
        <w:t>February 2022</w:t>
      </w:r>
      <w:r w:rsidRPr="00C13E80">
        <w:t xml:space="preserve">. </w:t>
      </w:r>
      <w:r w:rsidR="00851394" w:rsidRPr="00C13E80">
        <w:t>The primary source of evidence at the time was the</w:t>
      </w:r>
      <w:r w:rsidRPr="00C13E80">
        <w:t xml:space="preserve"> </w:t>
      </w:r>
      <w:r w:rsidR="00F910CB" w:rsidRPr="00C13E80">
        <w:t>MOVe</w:t>
      </w:r>
      <w:r w:rsidRPr="00C13E80">
        <w:t>-OUT trial</w:t>
      </w:r>
      <w:r w:rsidR="00F056DC" w:rsidRPr="00C13E80">
        <w:t xml:space="preserve">. </w:t>
      </w:r>
      <w:r w:rsidR="00FA5E55" w:rsidRPr="00C13E80">
        <w:t xml:space="preserve">On the basis of the clinical and economic </w:t>
      </w:r>
      <w:r w:rsidR="00D12EA8" w:rsidRPr="00C13E80">
        <w:t>analyses</w:t>
      </w:r>
      <w:r w:rsidR="00FA5E55" w:rsidRPr="00C13E80">
        <w:t xml:space="preserve"> included in the report of the rHTA</w:t>
      </w:r>
      <w:r w:rsidR="00005160" w:rsidRPr="00C13E80">
        <w:t>, t</w:t>
      </w:r>
      <w:r w:rsidRPr="00C13E80">
        <w:t>he PBAC was satisfied that molnupiravir</w:t>
      </w:r>
      <w:r w:rsidR="00254C01" w:rsidRPr="00C13E80">
        <w:t xml:space="preserve"> (added to usual care) </w:t>
      </w:r>
      <w:r w:rsidRPr="00C13E80">
        <w:t xml:space="preserve">was likely to provide, for some patients, a significant improvement in efficacy over </w:t>
      </w:r>
      <w:r w:rsidR="00ED5A94" w:rsidRPr="00C13E80">
        <w:t xml:space="preserve">usual care (i.e., </w:t>
      </w:r>
      <w:r w:rsidR="0026047A" w:rsidRPr="00C13E80">
        <w:t>symptomatic management</w:t>
      </w:r>
      <w:r w:rsidR="0009708D" w:rsidRPr="00C13E80">
        <w:t xml:space="preserve"> of COVID-19</w:t>
      </w:r>
      <w:r w:rsidR="00ED5A94" w:rsidRPr="00C13E80">
        <w:t>)</w:t>
      </w:r>
      <w:r w:rsidRPr="00C13E80">
        <w:t xml:space="preserve"> in terms of a reduction in the risk of developing severe disease requiring admission to hospital.</w:t>
      </w:r>
      <w:r w:rsidR="0091507A" w:rsidRPr="00C13E80">
        <w:t xml:space="preserve"> Molnupiravir was listed on the basis of a cost-effectiveness analysis </w:t>
      </w:r>
      <w:r w:rsidR="00254C01" w:rsidRPr="00C13E80">
        <w:t xml:space="preserve">comparing molnupiravir (added to usual care) </w:t>
      </w:r>
      <w:r w:rsidR="00920B20" w:rsidRPr="00C13E80">
        <w:t>to</w:t>
      </w:r>
      <w:r w:rsidR="002B08E3" w:rsidRPr="00C13E80">
        <w:t xml:space="preserve"> usual care (without</w:t>
      </w:r>
      <w:r w:rsidR="00C60B67" w:rsidRPr="00C13E80">
        <w:t xml:space="preserve"> use of</w:t>
      </w:r>
      <w:r w:rsidR="00A52FD7" w:rsidRPr="00C13E80">
        <w:t xml:space="preserve"> a</w:t>
      </w:r>
      <w:r w:rsidR="005C11A4" w:rsidRPr="00C13E80">
        <w:t>ntiviral treatment</w:t>
      </w:r>
      <w:r w:rsidR="00C60B67" w:rsidRPr="00C13E80">
        <w:t>s</w:t>
      </w:r>
      <w:r w:rsidR="002B08E3" w:rsidRPr="00C13E80">
        <w:t>)</w:t>
      </w:r>
      <w:r w:rsidR="00501226" w:rsidRPr="00C13E80">
        <w:t>.</w:t>
      </w:r>
      <w:r w:rsidR="001F42D0" w:rsidRPr="00C13E80">
        <w:t xml:space="preserve"> At the time of the </w:t>
      </w:r>
      <w:r w:rsidR="00D250B7" w:rsidRPr="00C13E80">
        <w:t xml:space="preserve">PBAC’s </w:t>
      </w:r>
      <w:r w:rsidR="001F42D0" w:rsidRPr="00C13E80">
        <w:t>original consideration</w:t>
      </w:r>
      <w:r w:rsidR="003A5D9E" w:rsidRPr="00C13E80">
        <w:t xml:space="preserve"> of molnupiravir</w:t>
      </w:r>
      <w:r w:rsidR="00FC1392" w:rsidRPr="00C13E80">
        <w:t>, nirmatrelvir and ritonavir (Paxlovid®) had not been considered</w:t>
      </w:r>
      <w:r w:rsidR="00F7063D" w:rsidRPr="00C13E80">
        <w:t xml:space="preserve"> by the PBAC</w:t>
      </w:r>
      <w:r w:rsidR="004A0B0D" w:rsidRPr="00C13E80">
        <w:t xml:space="preserve"> for inclusion on the PBS.</w:t>
      </w:r>
      <w:r w:rsidR="00920B20" w:rsidRPr="00C13E80">
        <w:t xml:space="preserve"> Molnupiravir was thus the first oral antiviral listed on the PBS </w:t>
      </w:r>
      <w:r w:rsidR="003B6AEE" w:rsidRPr="00C13E80">
        <w:t xml:space="preserve">for patients with symptomatic COVID-19 at high risk of developing severe disease </w:t>
      </w:r>
      <w:r w:rsidR="00C177EA" w:rsidRPr="00C13E80">
        <w:t xml:space="preserve">that </w:t>
      </w:r>
      <w:r w:rsidR="003B6AEE" w:rsidRPr="00C13E80">
        <w:t>necessita</w:t>
      </w:r>
      <w:r w:rsidR="00C177EA" w:rsidRPr="00C13E80">
        <w:t>ted</w:t>
      </w:r>
      <w:r w:rsidR="003B6AEE" w:rsidRPr="00C13E80">
        <w:t xml:space="preserve"> hospitalisation.</w:t>
      </w:r>
      <w:r w:rsidR="00A90BE2" w:rsidRPr="00C13E80">
        <w:t xml:space="preserve"> </w:t>
      </w:r>
    </w:p>
    <w:p w14:paraId="60A2CDC5" w14:textId="79594707" w:rsidR="00B90B46" w:rsidRPr="00C13E80" w:rsidRDefault="00B90B46" w:rsidP="00B46FE9">
      <w:pPr>
        <w:pStyle w:val="3-BodyText"/>
      </w:pPr>
      <w:r w:rsidRPr="00C13E80">
        <w:t xml:space="preserve">The purpose of </w:t>
      </w:r>
      <w:r w:rsidR="00615339" w:rsidRPr="00C13E80">
        <w:t xml:space="preserve">the current </w:t>
      </w:r>
      <w:r w:rsidRPr="00C13E80">
        <w:t xml:space="preserve">submission </w:t>
      </w:r>
      <w:r w:rsidR="00807133" w:rsidRPr="00C13E80">
        <w:t>was</w:t>
      </w:r>
      <w:r w:rsidRPr="00C13E80">
        <w:t xml:space="preserve"> to meet the requirements of the original PBAC assessment</w:t>
      </w:r>
      <w:r w:rsidR="00EC1E38" w:rsidRPr="00C13E80">
        <w:t>, which</w:t>
      </w:r>
      <w:r w:rsidRPr="00C13E80">
        <w:t xml:space="preserve"> requested th</w:t>
      </w:r>
      <w:r w:rsidR="00EC1E38" w:rsidRPr="00C13E80">
        <w:t>at the</w:t>
      </w:r>
      <w:r w:rsidRPr="00C13E80">
        <w:t xml:space="preserve"> sponsor provide a </w:t>
      </w:r>
      <w:r w:rsidR="009709BB">
        <w:rPr>
          <w:iCs/>
        </w:rPr>
        <w:t>‘</w:t>
      </w:r>
      <w:r w:rsidRPr="00C13E80">
        <w:rPr>
          <w:iCs/>
        </w:rPr>
        <w:t>a full update on the effectiveness, safety and cost-effectiveness of molnupiravir when used in patients who are eligible to receive this medicine under the PBS no later than the cut-off for the July 2023 PBAC meeting</w:t>
      </w:r>
      <w:r w:rsidR="009709BB">
        <w:rPr>
          <w:iCs/>
        </w:rPr>
        <w:t>’</w:t>
      </w:r>
      <w:r w:rsidRPr="00C13E80">
        <w:t xml:space="preserve">. </w:t>
      </w:r>
    </w:p>
    <w:p w14:paraId="69EDE458" w14:textId="77777777" w:rsidR="003F0CBC" w:rsidRPr="00C13E80" w:rsidRDefault="00061A1D" w:rsidP="000A2C17">
      <w:pPr>
        <w:pStyle w:val="3-BodyText"/>
      </w:pPr>
      <w:r w:rsidRPr="00C13E80">
        <w:t xml:space="preserve">The original listing of molnupiravir </w:t>
      </w:r>
      <w:r w:rsidR="00FA68E9" w:rsidRPr="00C13E80">
        <w:t>on the PBS</w:t>
      </w:r>
      <w:r w:rsidRPr="00C13E80">
        <w:t xml:space="preserve"> limited use to</w:t>
      </w:r>
      <w:r w:rsidR="00AD1C56" w:rsidRPr="00C13E80">
        <w:t xml:space="preserve"> </w:t>
      </w:r>
      <w:r w:rsidR="0039180B" w:rsidRPr="00C13E80">
        <w:t>three</w:t>
      </w:r>
      <w:r w:rsidR="00AD1C56" w:rsidRPr="00C13E80">
        <w:t xml:space="preserve"> populations</w:t>
      </w:r>
      <w:r w:rsidR="002B4B33" w:rsidRPr="00C13E80">
        <w:t xml:space="preserve"> with mild to moderat</w:t>
      </w:r>
      <w:r w:rsidR="00935C39" w:rsidRPr="00C13E80">
        <w:t>e</w:t>
      </w:r>
      <w:r w:rsidR="002B4B33" w:rsidRPr="00C13E80">
        <w:t xml:space="preserve"> COVID-19</w:t>
      </w:r>
      <w:r w:rsidR="00AD1C56" w:rsidRPr="00C13E80">
        <w:t xml:space="preserve"> who were considered to be at </w:t>
      </w:r>
      <w:r w:rsidR="00F9282B" w:rsidRPr="00C13E80">
        <w:t xml:space="preserve">higher risk of </w:t>
      </w:r>
      <w:r w:rsidR="002B4B33" w:rsidRPr="00C13E80">
        <w:t xml:space="preserve">developing severe disease requiring </w:t>
      </w:r>
      <w:r w:rsidR="00AD1C56" w:rsidRPr="00C13E80">
        <w:t>hospitalisation</w:t>
      </w:r>
      <w:r w:rsidRPr="00C13E80">
        <w:t>:</w:t>
      </w:r>
    </w:p>
    <w:p w14:paraId="7CD5CA5C" w14:textId="46C15DD8" w:rsidR="0050398E" w:rsidRPr="00C13E80" w:rsidRDefault="003C0221" w:rsidP="000A2C17">
      <w:pPr>
        <w:pStyle w:val="3-BodyText"/>
        <w:numPr>
          <w:ilvl w:val="0"/>
          <w:numId w:val="12"/>
        </w:numPr>
        <w:ind w:left="1134" w:hanging="414"/>
      </w:pPr>
      <w:r w:rsidRPr="00C13E80">
        <w:t>people a</w:t>
      </w:r>
      <w:r w:rsidR="00095978" w:rsidRPr="00C13E80">
        <w:t>ged ≥</w:t>
      </w:r>
      <w:r w:rsidR="0079795E">
        <w:t> </w:t>
      </w:r>
      <w:r w:rsidR="00095978" w:rsidRPr="00C13E80">
        <w:t>65 years with two or more risk factor</w:t>
      </w:r>
      <w:r w:rsidR="00F64C6C" w:rsidRPr="00C13E80">
        <w:t>s</w:t>
      </w:r>
    </w:p>
    <w:p w14:paraId="42F9B25D" w14:textId="033A04FC" w:rsidR="0050398E" w:rsidRPr="00C13E80" w:rsidRDefault="003C0221" w:rsidP="000A2C17">
      <w:pPr>
        <w:pStyle w:val="3-BodyText"/>
        <w:numPr>
          <w:ilvl w:val="0"/>
          <w:numId w:val="12"/>
        </w:numPr>
        <w:ind w:left="1134" w:hanging="414"/>
      </w:pPr>
      <w:r w:rsidRPr="00C13E80">
        <w:lastRenderedPageBreak/>
        <w:t>people a</w:t>
      </w:r>
      <w:r w:rsidR="00095978" w:rsidRPr="00C13E80">
        <w:t>ged ≥</w:t>
      </w:r>
      <w:r w:rsidR="0079795E">
        <w:t> </w:t>
      </w:r>
      <w:r w:rsidR="00095978" w:rsidRPr="00C13E80">
        <w:t>18 years</w:t>
      </w:r>
      <w:r w:rsidR="00721C91" w:rsidRPr="00C13E80">
        <w:t xml:space="preserve"> who are</w:t>
      </w:r>
      <w:r w:rsidR="00095978" w:rsidRPr="00C13E80">
        <w:t xml:space="preserve"> moderately to severely immunocompromised and at risk of progression to severe disease, and</w:t>
      </w:r>
    </w:p>
    <w:p w14:paraId="5660FB99" w14:textId="3DCA5D3F" w:rsidR="00061A1D" w:rsidRPr="00C13E80" w:rsidRDefault="00736616" w:rsidP="000A2C17">
      <w:pPr>
        <w:pStyle w:val="3-BodyText"/>
        <w:numPr>
          <w:ilvl w:val="0"/>
          <w:numId w:val="12"/>
        </w:numPr>
        <w:ind w:left="1134" w:hanging="414"/>
      </w:pPr>
      <w:r w:rsidRPr="00C13E80">
        <w:t>Aboriginal or Torres Strait Islander</w:t>
      </w:r>
      <w:r w:rsidR="00A506F7" w:rsidRPr="00C13E80">
        <w:t xml:space="preserve"> people</w:t>
      </w:r>
      <w:r w:rsidRPr="00C13E80">
        <w:t xml:space="preserve"> a</w:t>
      </w:r>
      <w:r w:rsidR="00095978" w:rsidRPr="00C13E80">
        <w:t>ged ≥</w:t>
      </w:r>
      <w:r w:rsidR="000A2C17">
        <w:t> </w:t>
      </w:r>
      <w:r w:rsidR="00095978" w:rsidRPr="00C13E80">
        <w:t>50 years with two or more risk factors.</w:t>
      </w:r>
    </w:p>
    <w:p w14:paraId="6452D3EE" w14:textId="0B96BBFC" w:rsidR="001A34A3" w:rsidRPr="00C13E80" w:rsidRDefault="00DD4ED9" w:rsidP="00B46FE9">
      <w:pPr>
        <w:pStyle w:val="3-BodyText"/>
      </w:pPr>
      <w:bookmarkStart w:id="3" w:name="_Ref134304076"/>
      <w:bookmarkStart w:id="4" w:name="_Hlk134310052"/>
      <w:r w:rsidRPr="00C13E80">
        <w:t>Over time</w:t>
      </w:r>
      <w:r w:rsidR="00C25D1F" w:rsidRPr="00C13E80">
        <w:t>,</w:t>
      </w:r>
      <w:r w:rsidRPr="00C13E80">
        <w:t xml:space="preserve"> the PBAC recommended </w:t>
      </w:r>
      <w:r w:rsidR="005D3C20" w:rsidRPr="00C13E80">
        <w:t xml:space="preserve">various </w:t>
      </w:r>
      <w:r w:rsidRPr="00C13E80">
        <w:t>changes to the PBS listing of molnupiravir</w:t>
      </w:r>
      <w:r w:rsidR="005D3C20" w:rsidRPr="00C13E80">
        <w:t xml:space="preserve">. </w:t>
      </w:r>
      <w:r w:rsidR="00F229AE" w:rsidRPr="00C13E80">
        <w:t xml:space="preserve">Of particular relevance to the consideration of this submission, </w:t>
      </w:r>
      <w:r w:rsidR="001413F7" w:rsidRPr="00C13E80">
        <w:t>the PBAC, at its meeting in November 2022</w:t>
      </w:r>
      <w:r w:rsidR="004A13D7" w:rsidRPr="00C13E80">
        <w:rPr>
          <w:rStyle w:val="FootnoteReference"/>
        </w:rPr>
        <w:footnoteReference w:id="2"/>
      </w:r>
      <w:r w:rsidR="001413F7" w:rsidRPr="00C13E80">
        <w:t xml:space="preserve"> </w:t>
      </w:r>
      <w:r w:rsidR="00A1781B" w:rsidRPr="00C13E80">
        <w:t>reviewed outcomes from</w:t>
      </w:r>
      <w:r w:rsidR="009B5C38" w:rsidRPr="00C13E80">
        <w:t xml:space="preserve"> several additional studies of the use of molnupiravir a</w:t>
      </w:r>
      <w:r w:rsidR="008D0A5F" w:rsidRPr="00C13E80">
        <w:t xml:space="preserve">nd concluded that </w:t>
      </w:r>
      <w:r w:rsidR="00C03459" w:rsidRPr="00C13E80">
        <w:t xml:space="preserve">although </w:t>
      </w:r>
      <w:r w:rsidR="007772E5" w:rsidRPr="00C13E80">
        <w:t>nirmatrelvir and ritonavir may be preferred for many patients with mild to moderate COVID-19 at high risk of progression to severe disease, in many common clinical circumstances nirmatrelvir and ritonavir will be contraindicated or unsuitable for use, and molnupiravir remain</w:t>
      </w:r>
      <w:r w:rsidR="006F588A" w:rsidRPr="00C13E80">
        <w:t>ed</w:t>
      </w:r>
      <w:r w:rsidR="007772E5" w:rsidRPr="00C13E80">
        <w:t xml:space="preserve"> a suitable option in such patients. On this basis, the PBAC recommended that </w:t>
      </w:r>
      <w:r w:rsidR="00F229AE" w:rsidRPr="00C13E80">
        <w:t>an administrative n</w:t>
      </w:r>
      <w:r w:rsidR="00ED51EF" w:rsidRPr="00C13E80">
        <w:t xml:space="preserve">ote </w:t>
      </w:r>
      <w:r w:rsidR="007B4CEA" w:rsidRPr="00C13E80">
        <w:t xml:space="preserve">should </w:t>
      </w:r>
      <w:r w:rsidR="0008184F" w:rsidRPr="00C13E80">
        <w:t>be</w:t>
      </w:r>
      <w:r w:rsidR="00F229AE" w:rsidRPr="00C13E80">
        <w:t xml:space="preserve"> </w:t>
      </w:r>
      <w:r w:rsidR="00ED51EF" w:rsidRPr="00C13E80">
        <w:t xml:space="preserve">added to </w:t>
      </w:r>
      <w:r w:rsidR="0087619C" w:rsidRPr="00C13E80">
        <w:t xml:space="preserve">the </w:t>
      </w:r>
      <w:r w:rsidR="00F229AE" w:rsidRPr="00C13E80">
        <w:t xml:space="preserve">PBS </w:t>
      </w:r>
      <w:r w:rsidR="00D07E80" w:rsidRPr="00C13E80">
        <w:t>listing of molnupiravir</w:t>
      </w:r>
      <w:r w:rsidR="00811D98" w:rsidRPr="00C13E80">
        <w:t xml:space="preserve"> </w:t>
      </w:r>
      <w:r w:rsidR="00D07E80" w:rsidRPr="00C13E80">
        <w:t xml:space="preserve">stating that </w:t>
      </w:r>
      <w:bookmarkStart w:id="5" w:name="_Hlk134311941"/>
      <w:r w:rsidR="00BD0BE4" w:rsidRPr="00C13E80">
        <w:t>molnupiravir</w:t>
      </w:r>
      <w:r w:rsidR="001A34A3" w:rsidRPr="00C13E80">
        <w:t xml:space="preserve"> should be considered for use only if nirmatrelvir </w:t>
      </w:r>
      <w:r w:rsidR="00BD0BE4" w:rsidRPr="00C13E80">
        <w:t xml:space="preserve">and </w:t>
      </w:r>
      <w:r w:rsidR="001A34A3" w:rsidRPr="00C13E80">
        <w:t>ritonavir is contraindicated or otherwise unsuitable.</w:t>
      </w:r>
      <w:bookmarkEnd w:id="5"/>
      <w:r w:rsidR="001A34A3" w:rsidRPr="00C13E80">
        <w:t xml:space="preserve"> </w:t>
      </w:r>
      <w:r w:rsidR="00BD0BE4" w:rsidRPr="00C13E80">
        <w:t xml:space="preserve">The administrative note was </w:t>
      </w:r>
      <w:r w:rsidR="007B4CEA" w:rsidRPr="00C13E80">
        <w:t>incorporated into</w:t>
      </w:r>
      <w:r w:rsidR="00BD0BE4" w:rsidRPr="00C13E80">
        <w:t xml:space="preserve"> the listing in January 2023.</w:t>
      </w:r>
      <w:r w:rsidR="00967703" w:rsidRPr="00C13E80">
        <w:t xml:space="preserve"> </w:t>
      </w:r>
      <w:r w:rsidR="00EC26F0" w:rsidRPr="00C13E80">
        <w:t>The submission note</w:t>
      </w:r>
      <w:r w:rsidR="00807133" w:rsidRPr="00C13E80">
        <w:t>d</w:t>
      </w:r>
      <w:r w:rsidR="00EC26F0" w:rsidRPr="00C13E80">
        <w:t xml:space="preserve"> </w:t>
      </w:r>
      <w:r w:rsidR="00967703" w:rsidRPr="00C13E80">
        <w:t>that the</w:t>
      </w:r>
      <w:r w:rsidR="00DD467C">
        <w:t xml:space="preserve"> </w:t>
      </w:r>
      <w:r w:rsidR="00613CE9" w:rsidRPr="00C13E80">
        <w:t xml:space="preserve">absence of a definition for the phrase </w:t>
      </w:r>
      <w:r w:rsidR="009709BB">
        <w:rPr>
          <w:iCs/>
        </w:rPr>
        <w:t>‘</w:t>
      </w:r>
      <w:r w:rsidR="00613CE9" w:rsidRPr="00C13E80">
        <w:rPr>
          <w:iCs/>
        </w:rPr>
        <w:t>contraindicated or otherwise unsuitable</w:t>
      </w:r>
      <w:r w:rsidR="009709BB">
        <w:rPr>
          <w:iCs/>
        </w:rPr>
        <w:t>’</w:t>
      </w:r>
      <w:r w:rsidR="00613CE9" w:rsidRPr="00C13E80">
        <w:t xml:space="preserve"> leaves </w:t>
      </w:r>
      <w:r w:rsidR="009F1C96" w:rsidRPr="00C13E80">
        <w:t>the phrase</w:t>
      </w:r>
      <w:r w:rsidR="00613CE9" w:rsidRPr="00C13E80">
        <w:t xml:space="preserve"> open to a broad range of interpretations.</w:t>
      </w:r>
      <w:bookmarkEnd w:id="3"/>
      <w:r w:rsidR="009F1C96" w:rsidRPr="00C13E80">
        <w:t xml:space="preserve"> </w:t>
      </w:r>
      <w:r w:rsidR="00A90BE2" w:rsidRPr="00C13E80">
        <w:rPr>
          <w:iCs/>
        </w:rPr>
        <w:t xml:space="preserve">The </w:t>
      </w:r>
      <w:r w:rsidR="001D62CE">
        <w:rPr>
          <w:iCs/>
        </w:rPr>
        <w:t xml:space="preserve">PBAC noted </w:t>
      </w:r>
      <w:r w:rsidR="00A90BE2" w:rsidRPr="00C13E80">
        <w:rPr>
          <w:iCs/>
        </w:rPr>
        <w:t>that, g</w:t>
      </w:r>
      <w:r w:rsidR="00A90BE2" w:rsidRPr="00C13E80">
        <w:rPr>
          <w:iCs/>
          <w:color w:val="000000" w:themeColor="text1"/>
        </w:rPr>
        <w:t xml:space="preserve">iven the time pressures general practitioners face, it would not be unreasonable to expect that GPs </w:t>
      </w:r>
      <w:r w:rsidR="00FC3785" w:rsidRPr="00C13E80">
        <w:rPr>
          <w:iCs/>
          <w:color w:val="000000" w:themeColor="text1"/>
        </w:rPr>
        <w:t>sometimes</w:t>
      </w:r>
      <w:r w:rsidR="00A90BE2" w:rsidRPr="00C13E80">
        <w:rPr>
          <w:iCs/>
          <w:color w:val="000000" w:themeColor="text1"/>
        </w:rPr>
        <w:t xml:space="preserve"> prescribe molnupiravir when a patient is on any therapy that could potentially interact with nirmatrelvir and ritonavir even though it may be possible to manage the potential for an interaction.</w:t>
      </w:r>
    </w:p>
    <w:p w14:paraId="17A773F8" w14:textId="62C3F58C" w:rsidR="0050398E" w:rsidRPr="00C13E80" w:rsidRDefault="00EB5F3D" w:rsidP="000A2C17">
      <w:pPr>
        <w:pStyle w:val="3-BodyText"/>
      </w:pPr>
      <w:bookmarkStart w:id="6" w:name="_Ref134302992"/>
      <w:bookmarkEnd w:id="4"/>
      <w:r w:rsidRPr="00C13E80">
        <w:t xml:space="preserve">Since February 2023, molnupiravir </w:t>
      </w:r>
      <w:r w:rsidR="009B7863" w:rsidRPr="00C13E80">
        <w:t>has been</w:t>
      </w:r>
      <w:r w:rsidRPr="00C13E80">
        <w:t xml:space="preserve"> listed for the following populations</w:t>
      </w:r>
      <w:r w:rsidR="0035571F" w:rsidRPr="00C13E80">
        <w:t xml:space="preserve"> with mild to moderate COVID-19 who </w:t>
      </w:r>
      <w:r w:rsidR="00227331" w:rsidRPr="00C13E80">
        <w:t>are</w:t>
      </w:r>
      <w:r w:rsidR="0035571F" w:rsidRPr="00C13E80">
        <w:t xml:space="preserve"> at high risk of developing severe disease requiring hospitalisation</w:t>
      </w:r>
      <w:r w:rsidR="00415104" w:rsidRPr="00C13E80">
        <w:t>:</w:t>
      </w:r>
      <w:bookmarkEnd w:id="6"/>
    </w:p>
    <w:p w14:paraId="16035D42" w14:textId="75D0E511" w:rsidR="00F06043" w:rsidRPr="00C13E80" w:rsidRDefault="00674419" w:rsidP="000A2C17">
      <w:pPr>
        <w:pStyle w:val="3-BodyText"/>
        <w:numPr>
          <w:ilvl w:val="0"/>
          <w:numId w:val="13"/>
        </w:numPr>
        <w:ind w:left="1134" w:hanging="414"/>
      </w:pPr>
      <w:r w:rsidRPr="00C13E80">
        <w:t xml:space="preserve">people aged </w:t>
      </w:r>
      <w:r w:rsidR="00867128" w:rsidRPr="00C13E80">
        <w:t>≥</w:t>
      </w:r>
      <w:r w:rsidR="00867128">
        <w:t> </w:t>
      </w:r>
      <w:r w:rsidRPr="00C13E80">
        <w:t xml:space="preserve">70 years </w:t>
      </w:r>
      <w:r w:rsidR="006D20B2" w:rsidRPr="00C13E80">
        <w:t xml:space="preserve">(hereafter, </w:t>
      </w:r>
      <w:r w:rsidR="009709BB">
        <w:t>‘</w:t>
      </w:r>
      <w:r w:rsidR="006D20B2" w:rsidRPr="00C13E80">
        <w:t>70+</w:t>
      </w:r>
      <w:r w:rsidR="009709BB">
        <w:t>’</w:t>
      </w:r>
      <w:r w:rsidR="006D20B2" w:rsidRPr="00C13E80">
        <w:t xml:space="preserve"> subgroup)</w:t>
      </w:r>
      <w:r w:rsidR="00F06043" w:rsidRPr="00C13E80">
        <w:t>;</w:t>
      </w:r>
    </w:p>
    <w:p w14:paraId="70EDB7E6" w14:textId="264A0CC5" w:rsidR="008A2D6B" w:rsidRPr="00C13E80" w:rsidRDefault="00FB242E" w:rsidP="000A2C17">
      <w:pPr>
        <w:pStyle w:val="3-BodyText"/>
        <w:numPr>
          <w:ilvl w:val="0"/>
          <w:numId w:val="13"/>
        </w:numPr>
        <w:ind w:left="1134" w:hanging="414"/>
      </w:pPr>
      <w:r w:rsidRPr="00C13E80">
        <w:t>people a</w:t>
      </w:r>
      <w:r w:rsidR="00674419" w:rsidRPr="00C13E80">
        <w:t>ged ≥</w:t>
      </w:r>
      <w:r w:rsidR="00867128">
        <w:t> </w:t>
      </w:r>
      <w:r w:rsidR="00674419" w:rsidRPr="00C13E80">
        <w:t>50 years with two or more risk factors or a past COVID-19 infection episode resulting in hospitalisation (</w:t>
      </w:r>
      <w:r w:rsidR="00CA6635" w:rsidRPr="00C13E80">
        <w:t xml:space="preserve">hereafter </w:t>
      </w:r>
      <w:r w:rsidR="009709BB">
        <w:t>‘</w:t>
      </w:r>
      <w:r w:rsidR="00B71F86" w:rsidRPr="00C13E80">
        <w:t>50-69 high risk</w:t>
      </w:r>
      <w:r w:rsidR="009709BB">
        <w:t>’</w:t>
      </w:r>
      <w:r w:rsidR="00B71F86" w:rsidRPr="00C13E80">
        <w:t xml:space="preserve"> subgroup)</w:t>
      </w:r>
      <w:r w:rsidR="0096589F" w:rsidRPr="00C13E80">
        <w:t>;</w:t>
      </w:r>
    </w:p>
    <w:p w14:paraId="7BE727EF" w14:textId="7A800750" w:rsidR="00A15236" w:rsidRPr="00C13E80" w:rsidRDefault="0096589F" w:rsidP="000A2C17">
      <w:pPr>
        <w:pStyle w:val="3-BodyText"/>
        <w:numPr>
          <w:ilvl w:val="0"/>
          <w:numId w:val="13"/>
        </w:numPr>
        <w:ind w:left="1134" w:hanging="414"/>
      </w:pPr>
      <w:r w:rsidRPr="00C13E80">
        <w:t>people a</w:t>
      </w:r>
      <w:r w:rsidR="00674419" w:rsidRPr="00C13E80">
        <w:t>ged ≥</w:t>
      </w:r>
      <w:r w:rsidR="000A2C17">
        <w:t> </w:t>
      </w:r>
      <w:r w:rsidR="00674419" w:rsidRPr="00C13E80">
        <w:t>18 years</w:t>
      </w:r>
      <w:r w:rsidR="00190184" w:rsidRPr="00C13E80">
        <w:t xml:space="preserve"> who are either </w:t>
      </w:r>
      <w:r w:rsidR="00674419" w:rsidRPr="00C13E80">
        <w:t>moderately to severely immunocompromised with risk of progression to severe COVID-19 disease</w:t>
      </w:r>
      <w:r w:rsidR="006B29BC" w:rsidRPr="00C13E80">
        <w:t xml:space="preserve"> or</w:t>
      </w:r>
      <w:r w:rsidR="00674419" w:rsidRPr="00C13E80">
        <w:t xml:space="preserve"> ha</w:t>
      </w:r>
      <w:r w:rsidR="00855565" w:rsidRPr="00C13E80">
        <w:t>ve</w:t>
      </w:r>
      <w:r w:rsidR="00674419" w:rsidRPr="00C13E80">
        <w:t xml:space="preserve"> experienced past COVID-19 infection resulting in hospitalisation </w:t>
      </w:r>
      <w:r w:rsidR="00C96856" w:rsidRPr="00C13E80">
        <w:t xml:space="preserve">and subsequently reinfected </w:t>
      </w:r>
      <w:r w:rsidR="006A6F61" w:rsidRPr="00C13E80">
        <w:t>(hereafter</w:t>
      </w:r>
      <w:r w:rsidR="00F50A3B" w:rsidRPr="00C13E80">
        <w:t xml:space="preserve"> </w:t>
      </w:r>
      <w:r w:rsidR="009709BB">
        <w:t>‘</w:t>
      </w:r>
      <w:r w:rsidR="00C31023" w:rsidRPr="00C13E80">
        <w:t>IC or previously hospitalised</w:t>
      </w:r>
      <w:r w:rsidR="009709BB">
        <w:t>’</w:t>
      </w:r>
      <w:r w:rsidR="008E415E" w:rsidRPr="00C13E80">
        <w:t xml:space="preserve"> </w:t>
      </w:r>
      <w:r w:rsidR="00517232" w:rsidRPr="00C13E80">
        <w:t>sub</w:t>
      </w:r>
      <w:r w:rsidR="00860586" w:rsidRPr="00C13E80">
        <w:t>group</w:t>
      </w:r>
      <w:r w:rsidR="00540C68" w:rsidRPr="00C13E80">
        <w:t>)</w:t>
      </w:r>
      <w:r w:rsidR="00B401DF" w:rsidRPr="00C13E80">
        <w:t>; and</w:t>
      </w:r>
    </w:p>
    <w:p w14:paraId="5C8C2C0A" w14:textId="679BE724" w:rsidR="00736616" w:rsidRPr="00C13E80" w:rsidRDefault="00674419" w:rsidP="000A2C17">
      <w:pPr>
        <w:pStyle w:val="3-BodyText"/>
        <w:numPr>
          <w:ilvl w:val="0"/>
          <w:numId w:val="13"/>
        </w:numPr>
        <w:ind w:left="1134" w:hanging="414"/>
      </w:pPr>
      <w:r w:rsidRPr="00C13E80">
        <w:t xml:space="preserve">Aboriginal or Torres Strait Islander </w:t>
      </w:r>
      <w:r w:rsidR="00F1596E" w:rsidRPr="00C13E80">
        <w:t>people</w:t>
      </w:r>
      <w:r w:rsidR="000E077E" w:rsidRPr="00C13E80">
        <w:t xml:space="preserve"> a</w:t>
      </w:r>
      <w:r w:rsidRPr="00C13E80">
        <w:t>ged ≥</w:t>
      </w:r>
      <w:r w:rsidR="00867128">
        <w:t> </w:t>
      </w:r>
      <w:r w:rsidRPr="00C13E80">
        <w:t>30 years with one or more risk factors (</w:t>
      </w:r>
      <w:r w:rsidR="00D33517" w:rsidRPr="00C13E80">
        <w:t xml:space="preserve">hereafter </w:t>
      </w:r>
      <w:r w:rsidR="009709BB">
        <w:t>‘</w:t>
      </w:r>
      <w:r w:rsidR="00A321E0" w:rsidRPr="00C13E80">
        <w:t>Indigenous</w:t>
      </w:r>
      <w:r w:rsidR="0078071C" w:rsidRPr="00C13E80">
        <w:t xml:space="preserve"> </w:t>
      </w:r>
      <w:r w:rsidRPr="00C13E80">
        <w:t>high risk</w:t>
      </w:r>
      <w:r w:rsidR="009709BB">
        <w:t>’</w:t>
      </w:r>
      <w:r w:rsidR="00D33517" w:rsidRPr="00C13E80">
        <w:t xml:space="preserve"> subgroup)</w:t>
      </w:r>
      <w:r w:rsidR="00B03A31" w:rsidRPr="00C13E80">
        <w:t>.</w:t>
      </w:r>
    </w:p>
    <w:p w14:paraId="4E9FBCB5" w14:textId="35C57043" w:rsidR="00C2778B" w:rsidRPr="00C13E80" w:rsidRDefault="00C264C5" w:rsidP="00B46FE9">
      <w:pPr>
        <w:pStyle w:val="3-BodyText"/>
      </w:pPr>
      <w:r w:rsidRPr="00C13E80">
        <w:lastRenderedPageBreak/>
        <w:fldChar w:fldCharType="begin" w:fldLock="1"/>
      </w:r>
      <w:r w:rsidRPr="00C13E80">
        <w:instrText xml:space="preserve"> REF _Ref134017851 \h </w:instrText>
      </w:r>
      <w:r w:rsidRPr="00C13E80">
        <w:fldChar w:fldCharType="separate"/>
      </w:r>
      <w:r w:rsidR="00701DEF" w:rsidRPr="00C13E80">
        <w:t xml:space="preserve">Table </w:t>
      </w:r>
      <w:r w:rsidR="00701DEF">
        <w:rPr>
          <w:noProof/>
        </w:rPr>
        <w:t>1</w:t>
      </w:r>
      <w:r w:rsidRPr="00C13E80">
        <w:fldChar w:fldCharType="end"/>
      </w:r>
      <w:r w:rsidRPr="00C13E80">
        <w:t xml:space="preserve"> summarises the key components of the clinical issue addressed by the submission. </w:t>
      </w:r>
      <w:r w:rsidR="006A0F0B" w:rsidRPr="00C13E80">
        <w:t xml:space="preserve">The submission </w:t>
      </w:r>
      <w:r w:rsidR="00D571CC" w:rsidRPr="00C13E80">
        <w:t>sought</w:t>
      </w:r>
      <w:r w:rsidR="006A0F0B" w:rsidRPr="00C13E80">
        <w:t xml:space="preserve"> continued l</w:t>
      </w:r>
      <w:r w:rsidR="005750C5" w:rsidRPr="00C13E80">
        <w:t xml:space="preserve">isting </w:t>
      </w:r>
      <w:r w:rsidR="006A0F0B" w:rsidRPr="00C13E80">
        <w:t>of molnupiravir</w:t>
      </w:r>
      <w:r w:rsidR="00ED198F" w:rsidRPr="00C13E80">
        <w:t xml:space="preserve"> for the four populations </w:t>
      </w:r>
      <w:r w:rsidR="008B5C62" w:rsidRPr="00C13E80">
        <w:t>for which it is currently listed</w:t>
      </w:r>
      <w:r w:rsidR="006A0F0B" w:rsidRPr="00C13E80">
        <w:t xml:space="preserve"> </w:t>
      </w:r>
      <w:r w:rsidR="005750C5" w:rsidRPr="00C13E80">
        <w:t xml:space="preserve">on the basis of a cost-effectiveness analysis versus </w:t>
      </w:r>
      <w:r w:rsidR="00282A8D" w:rsidRPr="00C13E80">
        <w:t>usual</w:t>
      </w:r>
      <w:r w:rsidR="00EF412F" w:rsidRPr="00C13E80">
        <w:t xml:space="preserve"> </w:t>
      </w:r>
      <w:r w:rsidR="001E19C7" w:rsidRPr="00C13E80">
        <w:t>care excluding use of</w:t>
      </w:r>
      <w:r w:rsidR="00EF412F" w:rsidRPr="00C13E80">
        <w:t xml:space="preserve"> antiviral </w:t>
      </w:r>
      <w:r w:rsidR="001E19C7" w:rsidRPr="00C13E80">
        <w:t>treatments</w:t>
      </w:r>
      <w:r w:rsidR="005750C5" w:rsidRPr="00C13E80">
        <w:t xml:space="preserve">. </w:t>
      </w:r>
      <w:r w:rsidR="005F5180" w:rsidRPr="00C13E80">
        <w:t>The submission also assume</w:t>
      </w:r>
      <w:r w:rsidR="00D571CC" w:rsidRPr="00C13E80">
        <w:t>d</w:t>
      </w:r>
      <w:r w:rsidR="005F5180" w:rsidRPr="00C13E80">
        <w:t xml:space="preserve"> continuation of the prescriber bag listing of molnupiravir.</w:t>
      </w:r>
    </w:p>
    <w:p w14:paraId="3718DE61" w14:textId="03AD0994" w:rsidR="008B1757" w:rsidRPr="00C13E80" w:rsidRDefault="00696EF9" w:rsidP="000A2C17">
      <w:pPr>
        <w:pStyle w:val="TableFigureHeading"/>
        <w:rPr>
          <w:rStyle w:val="CommentReference"/>
          <w:b/>
          <w:szCs w:val="24"/>
        </w:rPr>
      </w:pPr>
      <w:bookmarkStart w:id="7" w:name="_Ref134017851"/>
      <w:r w:rsidRPr="00C13E80">
        <w:t xml:space="preserve">Table </w:t>
      </w:r>
      <w:r w:rsidR="00567EAC">
        <w:fldChar w:fldCharType="begin" w:fldLock="1"/>
      </w:r>
      <w:r w:rsidR="00567EAC">
        <w:instrText xml:space="preserve"> SEQ Table \* ARABIC </w:instrText>
      </w:r>
      <w:r w:rsidR="00567EAC">
        <w:fldChar w:fldCharType="separate"/>
      </w:r>
      <w:r w:rsidR="00701DEF">
        <w:rPr>
          <w:noProof/>
        </w:rPr>
        <w:t>1</w:t>
      </w:r>
      <w:r w:rsidR="00567EAC">
        <w:rPr>
          <w:noProof/>
        </w:rPr>
        <w:fldChar w:fldCharType="end"/>
      </w:r>
      <w:bookmarkEnd w:id="7"/>
      <w:r w:rsidRPr="00C13E80">
        <w:t>:</w:t>
      </w:r>
      <w:r w:rsidR="00BC591F" w:rsidRPr="00C13E80">
        <w:rPr>
          <w:rStyle w:val="CommentReference"/>
          <w:b/>
          <w:szCs w:val="24"/>
        </w:rPr>
        <w:t xml:space="preserve"> </w:t>
      </w:r>
      <w:r w:rsidR="008B1757" w:rsidRPr="00C13E80">
        <w:rPr>
          <w:rStyle w:val="CommentReference"/>
          <w:b/>
          <w:szCs w:val="24"/>
        </w:rPr>
        <w:t>Key components of the clinical issue addressed by the submission</w:t>
      </w:r>
      <w:r w:rsidR="007170DA" w:rsidRPr="00C13E8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C13E80" w14:paraId="569F5103" w14:textId="77777777" w:rsidTr="002A2ADE">
        <w:trPr>
          <w:cantSplit/>
          <w:tblHeader/>
        </w:trPr>
        <w:tc>
          <w:tcPr>
            <w:tcW w:w="924" w:type="pct"/>
            <w:shd w:val="clear" w:color="auto" w:fill="auto"/>
          </w:tcPr>
          <w:p w14:paraId="501803FB" w14:textId="77777777" w:rsidR="008B1757" w:rsidRPr="00C13E80" w:rsidRDefault="008B1757" w:rsidP="000A2C17">
            <w:pPr>
              <w:pStyle w:val="In-tableHeading"/>
              <w:rPr>
                <w:szCs w:val="20"/>
                <w:lang w:val="en-AU"/>
              </w:rPr>
            </w:pPr>
            <w:r w:rsidRPr="00C13E80">
              <w:rPr>
                <w:lang w:val="en-AU"/>
              </w:rPr>
              <w:t>Component</w:t>
            </w:r>
          </w:p>
        </w:tc>
        <w:tc>
          <w:tcPr>
            <w:tcW w:w="4076" w:type="pct"/>
            <w:shd w:val="clear" w:color="auto" w:fill="auto"/>
          </w:tcPr>
          <w:p w14:paraId="445D9EBB" w14:textId="77777777" w:rsidR="008B1757" w:rsidRPr="00C13E80" w:rsidRDefault="008B1757" w:rsidP="000A2C17">
            <w:pPr>
              <w:pStyle w:val="In-tableHeading"/>
              <w:rPr>
                <w:lang w:val="en-AU"/>
              </w:rPr>
            </w:pPr>
            <w:r w:rsidRPr="00C13E80">
              <w:rPr>
                <w:lang w:val="en-AU"/>
              </w:rPr>
              <w:t>Description</w:t>
            </w:r>
          </w:p>
        </w:tc>
      </w:tr>
      <w:tr w:rsidR="008B1757" w:rsidRPr="00C13E80" w14:paraId="2EB546E2" w14:textId="77777777" w:rsidTr="002A2ADE">
        <w:trPr>
          <w:cantSplit/>
        </w:trPr>
        <w:tc>
          <w:tcPr>
            <w:tcW w:w="924" w:type="pct"/>
            <w:shd w:val="clear" w:color="auto" w:fill="auto"/>
          </w:tcPr>
          <w:p w14:paraId="38F3BB34" w14:textId="77777777" w:rsidR="008B1757" w:rsidRPr="00C13E80" w:rsidRDefault="008B1757" w:rsidP="000A2C17">
            <w:pPr>
              <w:pStyle w:val="TableText0"/>
            </w:pPr>
            <w:r w:rsidRPr="00C13E80">
              <w:t>Population</w:t>
            </w:r>
          </w:p>
        </w:tc>
        <w:tc>
          <w:tcPr>
            <w:tcW w:w="4076" w:type="pct"/>
            <w:shd w:val="clear" w:color="auto" w:fill="auto"/>
          </w:tcPr>
          <w:p w14:paraId="6D1D415E" w14:textId="1A1CF648" w:rsidR="00F433C2" w:rsidRPr="00C13E80" w:rsidRDefault="00F433C2" w:rsidP="000A2C17">
            <w:pPr>
              <w:pStyle w:val="TableText0"/>
              <w:rPr>
                <w:szCs w:val="20"/>
              </w:rPr>
            </w:pPr>
            <w:r w:rsidRPr="00C13E80">
              <w:rPr>
                <w:szCs w:val="20"/>
              </w:rPr>
              <w:t xml:space="preserve">Patients </w:t>
            </w:r>
            <w:r w:rsidR="00021C50" w:rsidRPr="00C13E80">
              <w:rPr>
                <w:szCs w:val="20"/>
              </w:rPr>
              <w:t xml:space="preserve">with </w:t>
            </w:r>
            <w:r w:rsidRPr="00C13E80">
              <w:rPr>
                <w:szCs w:val="20"/>
              </w:rPr>
              <w:t xml:space="preserve">mild to moderate </w:t>
            </w:r>
            <w:r w:rsidR="00021C50" w:rsidRPr="00C13E80">
              <w:rPr>
                <w:szCs w:val="20"/>
              </w:rPr>
              <w:t xml:space="preserve">COVID-19 </w:t>
            </w:r>
            <w:r w:rsidRPr="00C13E80">
              <w:rPr>
                <w:szCs w:val="20"/>
              </w:rPr>
              <w:t>who are considered to be at higher risk of developing severe disease requiring hospitalisation:</w:t>
            </w:r>
          </w:p>
          <w:p w14:paraId="3AF90D79" w14:textId="65D41622" w:rsidR="00021C50" w:rsidRPr="00C13E80" w:rsidRDefault="00FF1C43" w:rsidP="000A2C17">
            <w:pPr>
              <w:pStyle w:val="TableText0"/>
              <w:numPr>
                <w:ilvl w:val="0"/>
                <w:numId w:val="11"/>
              </w:numPr>
              <w:ind w:left="360"/>
              <w:rPr>
                <w:szCs w:val="20"/>
              </w:rPr>
            </w:pPr>
            <w:r w:rsidRPr="00C13E80">
              <w:t>people aged ≥ 70 years</w:t>
            </w:r>
            <w:r w:rsidR="00C44B4A" w:rsidRPr="00C13E80">
              <w:t>;</w:t>
            </w:r>
          </w:p>
          <w:p w14:paraId="15773EEE" w14:textId="10FD7091" w:rsidR="00AE301F" w:rsidRPr="00C13E80" w:rsidRDefault="00FF1C43" w:rsidP="000A2C17">
            <w:pPr>
              <w:pStyle w:val="TableText0"/>
              <w:numPr>
                <w:ilvl w:val="0"/>
                <w:numId w:val="11"/>
              </w:numPr>
              <w:ind w:left="360"/>
              <w:rPr>
                <w:szCs w:val="20"/>
              </w:rPr>
            </w:pPr>
            <w:r w:rsidRPr="00C13E80">
              <w:t>people aged ≥ 50 years with two or more risk factors or a past COVID-19 infection episode resulting in hospitalisation</w:t>
            </w:r>
            <w:r w:rsidR="00C44B4A" w:rsidRPr="00C13E80">
              <w:t>;</w:t>
            </w:r>
          </w:p>
          <w:p w14:paraId="2179AFA2" w14:textId="656E0639" w:rsidR="00BC2940" w:rsidRPr="00C13E80" w:rsidRDefault="00FF1C43" w:rsidP="000A2C17">
            <w:pPr>
              <w:pStyle w:val="TableText0"/>
              <w:numPr>
                <w:ilvl w:val="0"/>
                <w:numId w:val="11"/>
              </w:numPr>
              <w:ind w:left="360"/>
              <w:rPr>
                <w:szCs w:val="20"/>
              </w:rPr>
            </w:pPr>
            <w:r w:rsidRPr="00C13E80">
              <w:t>people aged ≥ 18 years who are either moderately to severely immunocompromised with risk of progression to severe COVID-19 disease or ha</w:t>
            </w:r>
            <w:r w:rsidR="00BC2940" w:rsidRPr="00C13E80">
              <w:t>ve</w:t>
            </w:r>
            <w:r w:rsidRPr="00C13E80">
              <w:t xml:space="preserve"> experienced past COVID-19 infection resulting in hospitalisation; and</w:t>
            </w:r>
          </w:p>
          <w:p w14:paraId="79618EEE" w14:textId="581FC4AA" w:rsidR="00233C01" w:rsidRPr="00C13E80" w:rsidRDefault="00FF1C43" w:rsidP="000A2C17">
            <w:pPr>
              <w:pStyle w:val="TableText0"/>
              <w:numPr>
                <w:ilvl w:val="0"/>
                <w:numId w:val="11"/>
              </w:numPr>
              <w:ind w:left="360"/>
              <w:rPr>
                <w:szCs w:val="20"/>
              </w:rPr>
            </w:pPr>
            <w:r w:rsidRPr="00C13E80">
              <w:t>Aboriginal or Torres Strait Islander people aged ≥ 30 years with one or more risk factors</w:t>
            </w:r>
            <w:r w:rsidR="00C44B4A" w:rsidRPr="00C13E80">
              <w:t>.</w:t>
            </w:r>
          </w:p>
        </w:tc>
      </w:tr>
      <w:tr w:rsidR="008B1757" w:rsidRPr="00C13E80" w14:paraId="0CA523AF" w14:textId="77777777" w:rsidTr="002A2ADE">
        <w:trPr>
          <w:cantSplit/>
        </w:trPr>
        <w:tc>
          <w:tcPr>
            <w:tcW w:w="924" w:type="pct"/>
            <w:shd w:val="clear" w:color="auto" w:fill="auto"/>
          </w:tcPr>
          <w:p w14:paraId="7B6D20D8" w14:textId="77777777" w:rsidR="008B1757" w:rsidRPr="00C13E80" w:rsidRDefault="008B1757" w:rsidP="000A2C17">
            <w:pPr>
              <w:pStyle w:val="TableText0"/>
            </w:pPr>
            <w:r w:rsidRPr="00C13E80">
              <w:t>Intervention</w:t>
            </w:r>
          </w:p>
        </w:tc>
        <w:tc>
          <w:tcPr>
            <w:tcW w:w="4076" w:type="pct"/>
            <w:shd w:val="clear" w:color="auto" w:fill="auto"/>
          </w:tcPr>
          <w:p w14:paraId="2491E905" w14:textId="32FBA9B3" w:rsidR="00233C01" w:rsidRPr="00C13E80" w:rsidRDefault="007540BC" w:rsidP="000A2C17">
            <w:pPr>
              <w:pStyle w:val="TableText0"/>
            </w:pPr>
            <w:r w:rsidRPr="00C13E80">
              <w:t>Molnupiravir 800 mg (4 x 200 mg capsules) taken orally every 12 hours for five days</w:t>
            </w:r>
          </w:p>
        </w:tc>
      </w:tr>
      <w:tr w:rsidR="008B1757" w:rsidRPr="00C13E80" w14:paraId="0F81EBE4" w14:textId="77777777" w:rsidTr="002A2ADE">
        <w:trPr>
          <w:cantSplit/>
        </w:trPr>
        <w:tc>
          <w:tcPr>
            <w:tcW w:w="924" w:type="pct"/>
            <w:shd w:val="clear" w:color="auto" w:fill="auto"/>
          </w:tcPr>
          <w:p w14:paraId="3656B343" w14:textId="77777777" w:rsidR="008B1757" w:rsidRPr="00C13E80" w:rsidRDefault="008B1757" w:rsidP="000A2C17">
            <w:pPr>
              <w:pStyle w:val="TableText0"/>
            </w:pPr>
            <w:r w:rsidRPr="00C13E80">
              <w:t>Comparator</w:t>
            </w:r>
          </w:p>
        </w:tc>
        <w:tc>
          <w:tcPr>
            <w:tcW w:w="4076" w:type="pct"/>
            <w:shd w:val="clear" w:color="auto" w:fill="auto"/>
          </w:tcPr>
          <w:p w14:paraId="009333A2" w14:textId="30B80BB9" w:rsidR="001E19C7" w:rsidRPr="00C13E80" w:rsidRDefault="001E19C7" w:rsidP="000A2C17">
            <w:pPr>
              <w:pStyle w:val="TableText0"/>
            </w:pPr>
            <w:r w:rsidRPr="00C13E80">
              <w:t xml:space="preserve">Main: </w:t>
            </w:r>
            <w:r w:rsidR="00C01588" w:rsidRPr="00C13E80">
              <w:t>usual</w:t>
            </w:r>
            <w:r w:rsidRPr="00C13E80">
              <w:t xml:space="preserve"> care excluding use of antiviral treatments</w:t>
            </w:r>
          </w:p>
          <w:p w14:paraId="3727DE24" w14:textId="366A46F5" w:rsidR="00233C01" w:rsidRPr="00C13E80" w:rsidRDefault="001E19C7" w:rsidP="000A2C17">
            <w:pPr>
              <w:pStyle w:val="TableText0"/>
            </w:pPr>
            <w:r w:rsidRPr="00C13E80">
              <w:t xml:space="preserve">Supplementary: </w:t>
            </w:r>
            <w:r w:rsidR="00123337" w:rsidRPr="00C13E80">
              <w:t xml:space="preserve">nirmatrelvir </w:t>
            </w:r>
            <w:r w:rsidR="00320879" w:rsidRPr="00C13E80">
              <w:t>and ritonavir</w:t>
            </w:r>
            <w:r w:rsidR="003D56ED" w:rsidRPr="00C13E80">
              <w:t xml:space="preserve"> (Paxlovid</w:t>
            </w:r>
            <w:r w:rsidR="003D56ED" w:rsidRPr="00C13E80">
              <w:rPr>
                <w:vertAlign w:val="superscript"/>
              </w:rPr>
              <w:t>®</w:t>
            </w:r>
            <w:r w:rsidR="0000493F" w:rsidRPr="00C13E80">
              <w:t>)</w:t>
            </w:r>
          </w:p>
        </w:tc>
      </w:tr>
      <w:tr w:rsidR="008B1757" w:rsidRPr="00C13E80" w14:paraId="02F86F0D" w14:textId="77777777" w:rsidTr="002A2ADE">
        <w:trPr>
          <w:cantSplit/>
        </w:trPr>
        <w:tc>
          <w:tcPr>
            <w:tcW w:w="924" w:type="pct"/>
            <w:shd w:val="clear" w:color="auto" w:fill="auto"/>
          </w:tcPr>
          <w:p w14:paraId="06433105" w14:textId="77777777" w:rsidR="008B1757" w:rsidRPr="00C13E80" w:rsidRDefault="008B1757" w:rsidP="000A2C17">
            <w:pPr>
              <w:pStyle w:val="TableText0"/>
            </w:pPr>
            <w:r w:rsidRPr="00C13E80">
              <w:t>Outcomes</w:t>
            </w:r>
          </w:p>
        </w:tc>
        <w:tc>
          <w:tcPr>
            <w:tcW w:w="4076" w:type="pct"/>
            <w:shd w:val="clear" w:color="auto" w:fill="auto"/>
          </w:tcPr>
          <w:p w14:paraId="1D8D4B45" w14:textId="77777777" w:rsidR="00AE561F" w:rsidRPr="00C13E80" w:rsidRDefault="00AE561F" w:rsidP="000A2C17">
            <w:pPr>
              <w:pStyle w:val="TableText0"/>
              <w:rPr>
                <w:color w:val="000000" w:themeColor="text1"/>
              </w:rPr>
            </w:pPr>
            <w:r w:rsidRPr="00C13E80">
              <w:rPr>
                <w:color w:val="000000" w:themeColor="text1"/>
              </w:rPr>
              <w:t>Risk of hospitalisation or death</w:t>
            </w:r>
          </w:p>
          <w:p w14:paraId="508D5C16" w14:textId="05CCB4B3" w:rsidR="00AE561F" w:rsidRPr="00C13E80" w:rsidRDefault="00AE561F" w:rsidP="000A2C17">
            <w:pPr>
              <w:pStyle w:val="TableText0"/>
              <w:rPr>
                <w:color w:val="000000" w:themeColor="text1"/>
              </w:rPr>
            </w:pPr>
            <w:r w:rsidRPr="00C13E80">
              <w:rPr>
                <w:color w:val="000000" w:themeColor="text1"/>
              </w:rPr>
              <w:t>Time to recovery of acute COVID</w:t>
            </w:r>
            <w:r w:rsidR="00056549" w:rsidRPr="00C13E80">
              <w:rPr>
                <w:color w:val="000000" w:themeColor="text1"/>
              </w:rPr>
              <w:t>-19</w:t>
            </w:r>
          </w:p>
          <w:p w14:paraId="5ABC4037" w14:textId="5A129B29" w:rsidR="00233C01" w:rsidRPr="00C13E80" w:rsidRDefault="00AE561F" w:rsidP="000A2C17">
            <w:pPr>
              <w:pStyle w:val="TableText0"/>
              <w:rPr>
                <w:rFonts w:eastAsia="Times New Roman" w:cs="Arial"/>
                <w:snapToGrid w:val="0"/>
                <w:color w:val="000000" w:themeColor="text1"/>
                <w:szCs w:val="20"/>
              </w:rPr>
            </w:pPr>
            <w:r w:rsidRPr="00C13E80">
              <w:rPr>
                <w:color w:val="000000" w:themeColor="text1"/>
              </w:rPr>
              <w:t>Viral load</w:t>
            </w:r>
          </w:p>
        </w:tc>
      </w:tr>
      <w:tr w:rsidR="008B1757" w:rsidRPr="00C13E80" w14:paraId="22223890" w14:textId="77777777" w:rsidTr="002A2ADE">
        <w:trPr>
          <w:cantSplit/>
        </w:trPr>
        <w:tc>
          <w:tcPr>
            <w:tcW w:w="924" w:type="pct"/>
            <w:shd w:val="clear" w:color="auto" w:fill="auto"/>
          </w:tcPr>
          <w:p w14:paraId="0FC8FCE0" w14:textId="77777777" w:rsidR="008B1757" w:rsidRPr="00C13E80" w:rsidRDefault="008B1757" w:rsidP="000A2C17">
            <w:pPr>
              <w:pStyle w:val="TableText0"/>
            </w:pPr>
            <w:r w:rsidRPr="00C13E80">
              <w:t>Clinical claim</w:t>
            </w:r>
          </w:p>
        </w:tc>
        <w:tc>
          <w:tcPr>
            <w:tcW w:w="4076" w:type="pct"/>
            <w:shd w:val="clear" w:color="auto" w:fill="auto"/>
          </w:tcPr>
          <w:p w14:paraId="71195ADF" w14:textId="20C89455" w:rsidR="006969B0" w:rsidRPr="00C13E80" w:rsidRDefault="006969B0" w:rsidP="000A2C17">
            <w:pPr>
              <w:pStyle w:val="TableText0"/>
              <w:rPr>
                <w:color w:val="000000" w:themeColor="text1"/>
              </w:rPr>
            </w:pPr>
            <w:r w:rsidRPr="00C13E80">
              <w:rPr>
                <w:color w:val="000000" w:themeColor="text1"/>
              </w:rPr>
              <w:t xml:space="preserve">Molnupiravir is superior to </w:t>
            </w:r>
            <w:r w:rsidR="00C01588" w:rsidRPr="00C13E80">
              <w:rPr>
                <w:color w:val="000000" w:themeColor="text1"/>
              </w:rPr>
              <w:t>usual</w:t>
            </w:r>
            <w:r w:rsidR="00DF6486" w:rsidRPr="00C13E80">
              <w:rPr>
                <w:color w:val="000000" w:themeColor="text1"/>
              </w:rPr>
              <w:t xml:space="preserve"> care (excluding use of antiviral treatments)</w:t>
            </w:r>
            <w:r w:rsidRPr="00C13E80">
              <w:rPr>
                <w:color w:val="000000" w:themeColor="text1"/>
              </w:rPr>
              <w:t xml:space="preserve"> in reducing the risk of hospitalisation and death with an inferior but manageable safety profile.</w:t>
            </w:r>
          </w:p>
          <w:p w14:paraId="74C01F02" w14:textId="77777777" w:rsidR="006969B0" w:rsidRPr="00C13E80" w:rsidRDefault="006969B0" w:rsidP="000A2C17">
            <w:pPr>
              <w:pStyle w:val="TableText0"/>
              <w:rPr>
                <w:color w:val="000000" w:themeColor="text1"/>
              </w:rPr>
            </w:pPr>
          </w:p>
          <w:p w14:paraId="2C99C4DE" w14:textId="7FB49B53" w:rsidR="00233C01" w:rsidRPr="00C13E80" w:rsidRDefault="00E20C16" w:rsidP="000A2C17">
            <w:pPr>
              <w:pStyle w:val="TableText0"/>
              <w:rPr>
                <w:rFonts w:eastAsia="Times New Roman" w:cs="Arial"/>
                <w:snapToGrid w:val="0"/>
                <w:color w:val="000000" w:themeColor="text1"/>
                <w:szCs w:val="20"/>
              </w:rPr>
            </w:pPr>
            <w:r w:rsidRPr="00C13E80">
              <w:rPr>
                <w:color w:val="000000" w:themeColor="text1"/>
              </w:rPr>
              <w:t>The submission claims that it</w:t>
            </w:r>
            <w:r w:rsidR="006969B0" w:rsidRPr="00C13E80">
              <w:rPr>
                <w:color w:val="000000" w:themeColor="text1"/>
              </w:rPr>
              <w:t xml:space="preserve"> is inconclusive and uncertain as to whether molnupiravir or </w:t>
            </w:r>
            <w:r w:rsidRPr="00C13E80">
              <w:rPr>
                <w:color w:val="000000" w:themeColor="text1"/>
              </w:rPr>
              <w:t>nirmatrelvir and ritonavir</w:t>
            </w:r>
            <w:r w:rsidR="006969B0" w:rsidRPr="00C13E80">
              <w:rPr>
                <w:color w:val="000000" w:themeColor="text1"/>
              </w:rPr>
              <w:t xml:space="preserve"> is more effective than the other in reducing the risk of hospitalisation or death. </w:t>
            </w:r>
            <w:r w:rsidRPr="00C13E80">
              <w:rPr>
                <w:color w:val="000000" w:themeColor="text1"/>
              </w:rPr>
              <w:t>The submission claims that</w:t>
            </w:r>
            <w:r w:rsidR="006969B0" w:rsidRPr="00C13E80">
              <w:rPr>
                <w:color w:val="000000" w:themeColor="text1"/>
              </w:rPr>
              <w:t>, in the real world setting</w:t>
            </w:r>
            <w:r w:rsidRPr="00C13E80">
              <w:rPr>
                <w:color w:val="000000" w:themeColor="text1"/>
              </w:rPr>
              <w:t>,</w:t>
            </w:r>
            <w:r w:rsidR="006969B0" w:rsidRPr="00C13E80">
              <w:rPr>
                <w:color w:val="000000" w:themeColor="text1"/>
              </w:rPr>
              <w:t xml:space="preserve"> molnupiravir is a safer option compared to </w:t>
            </w:r>
            <w:r w:rsidRPr="00C13E80">
              <w:rPr>
                <w:color w:val="000000" w:themeColor="text1"/>
              </w:rPr>
              <w:t xml:space="preserve">nirmatrelvir and </w:t>
            </w:r>
            <w:r w:rsidR="004A175D" w:rsidRPr="00C13E80">
              <w:rPr>
                <w:color w:val="000000" w:themeColor="text1"/>
              </w:rPr>
              <w:t>ritonavir</w:t>
            </w:r>
            <w:r w:rsidR="006969B0" w:rsidRPr="00C13E80">
              <w:rPr>
                <w:color w:val="000000" w:themeColor="text1"/>
              </w:rPr>
              <w:t>.</w:t>
            </w:r>
          </w:p>
        </w:tc>
      </w:tr>
    </w:tbl>
    <w:p w14:paraId="56222EE1" w14:textId="77777777" w:rsidR="001F3F6E" w:rsidRPr="00C13E80" w:rsidRDefault="001F3F6E" w:rsidP="000A2C17">
      <w:pPr>
        <w:pStyle w:val="FooterTableFigure"/>
        <w:keepNext/>
      </w:pPr>
      <w:r w:rsidRPr="00C13E80">
        <w:t>Abbreviations: mg = milligrams</w:t>
      </w:r>
    </w:p>
    <w:p w14:paraId="527CA7F0" w14:textId="0055FCFD" w:rsidR="004E43B2" w:rsidRPr="00C13E80" w:rsidRDefault="008B1757" w:rsidP="004A6040">
      <w:pPr>
        <w:pStyle w:val="FooterTableFigure"/>
        <w:rPr>
          <w:sz w:val="20"/>
        </w:rPr>
      </w:pPr>
      <w:r w:rsidRPr="00C13E80">
        <w:t>Source: Table</w:t>
      </w:r>
      <w:r w:rsidR="00AF0540" w:rsidRPr="00C13E80">
        <w:t xml:space="preserve"> 1.1</w:t>
      </w:r>
      <w:r w:rsidR="0093006E" w:rsidRPr="00C13E80">
        <w:t>-5</w:t>
      </w:r>
      <w:r w:rsidR="002B368A" w:rsidRPr="00C13E80">
        <w:t xml:space="preserve"> (p11)</w:t>
      </w:r>
      <w:r w:rsidRPr="00C13E80">
        <w:t xml:space="preserve"> of the submission</w:t>
      </w:r>
    </w:p>
    <w:p w14:paraId="6B4AB6C2" w14:textId="7EF185B3" w:rsidR="005C25FF" w:rsidRPr="00C13E80" w:rsidRDefault="005C25FF" w:rsidP="00B46FE9">
      <w:pPr>
        <w:pStyle w:val="2-SectionHeading"/>
      </w:pPr>
      <w:bookmarkStart w:id="8" w:name="_Toc135232214"/>
      <w:r w:rsidRPr="00C13E80">
        <w:t>Background</w:t>
      </w:r>
      <w:bookmarkEnd w:id="8"/>
    </w:p>
    <w:p w14:paraId="2C521D6D" w14:textId="78CF03EE" w:rsidR="005C25FF" w:rsidRPr="00C13E80" w:rsidRDefault="005C25FF" w:rsidP="004A6040">
      <w:pPr>
        <w:pStyle w:val="4-SubsectionHeading"/>
      </w:pPr>
      <w:bookmarkStart w:id="9" w:name="_Toc22897638"/>
      <w:bookmarkStart w:id="10" w:name="_Toc135232215"/>
      <w:r w:rsidRPr="00C13E80">
        <w:t>Registration status</w:t>
      </w:r>
      <w:bookmarkEnd w:id="9"/>
      <w:bookmarkEnd w:id="10"/>
    </w:p>
    <w:p w14:paraId="2FD66D6F" w14:textId="19F10E83" w:rsidR="000F697A" w:rsidRPr="00C13E80" w:rsidRDefault="00695399" w:rsidP="00B46FE9">
      <w:pPr>
        <w:pStyle w:val="3-BodyText"/>
      </w:pPr>
      <w:r w:rsidRPr="00C13E80">
        <w:rPr>
          <w:color w:val="000000" w:themeColor="text1"/>
        </w:rPr>
        <w:t>Molnupiravir</w:t>
      </w:r>
      <w:r w:rsidR="005C25FF" w:rsidRPr="00C13E80">
        <w:rPr>
          <w:color w:val="000000" w:themeColor="text1"/>
        </w:rPr>
        <w:t xml:space="preserve"> wa</w:t>
      </w:r>
      <w:r w:rsidR="005C25FF" w:rsidRPr="00C13E80">
        <w:t xml:space="preserve">s </w:t>
      </w:r>
      <w:r w:rsidRPr="00C13E80">
        <w:t>granted provi</w:t>
      </w:r>
      <w:r w:rsidR="00115C9A" w:rsidRPr="00C13E80">
        <w:t>sional</w:t>
      </w:r>
      <w:r w:rsidRPr="00C13E80">
        <w:t xml:space="preserve"> approval </w:t>
      </w:r>
      <w:r w:rsidR="00115C9A" w:rsidRPr="00C13E80">
        <w:t xml:space="preserve">by the </w:t>
      </w:r>
      <w:r w:rsidR="005C25FF" w:rsidRPr="00C13E80">
        <w:t xml:space="preserve">TGA on </w:t>
      </w:r>
      <w:r w:rsidR="00115C9A" w:rsidRPr="00C13E80">
        <w:t>20 January 2022</w:t>
      </w:r>
      <w:r w:rsidR="005C25FF" w:rsidRPr="00C13E80">
        <w:t xml:space="preserve"> for </w:t>
      </w:r>
      <w:r w:rsidR="00115C9A" w:rsidRPr="00C13E80">
        <w:t>the treatment of adults with COVID-19 who do not require initiation of oxygen due to COVID-19 and who are at increased risk for hospitalisation or death.</w:t>
      </w:r>
      <w:r w:rsidR="001F7ADC" w:rsidRPr="00C13E80">
        <w:t xml:space="preserve"> </w:t>
      </w:r>
      <w:r w:rsidR="005F2703" w:rsidRPr="00C13E80">
        <w:rPr>
          <w:color w:val="000000" w:themeColor="text1"/>
        </w:rPr>
        <w:t xml:space="preserve">Provisional approval was granted for a two-year period, with the consent to import or supply molnupiravir effective until 18 January 2024. The submission </w:t>
      </w:r>
      <w:r w:rsidR="0097007F" w:rsidRPr="00C13E80">
        <w:rPr>
          <w:color w:val="000000" w:themeColor="text1"/>
        </w:rPr>
        <w:t xml:space="preserve">has </w:t>
      </w:r>
      <w:r w:rsidR="005F2703" w:rsidRPr="00C13E80">
        <w:rPr>
          <w:color w:val="000000" w:themeColor="text1"/>
        </w:rPr>
        <w:t xml:space="preserve">advised that </w:t>
      </w:r>
      <w:r w:rsidR="0097007F" w:rsidRPr="00C13E80">
        <w:rPr>
          <w:color w:val="000000" w:themeColor="text1"/>
        </w:rPr>
        <w:t>the sponsor</w:t>
      </w:r>
      <w:r w:rsidR="005F2703" w:rsidRPr="00C13E80">
        <w:rPr>
          <w:color w:val="000000" w:themeColor="text1"/>
        </w:rPr>
        <w:t xml:space="preserve"> intends to submit an extension to the provisional registration in July</w:t>
      </w:r>
      <w:r w:rsidR="000A2C17">
        <w:rPr>
          <w:color w:val="000000" w:themeColor="text1"/>
        </w:rPr>
        <w:t> </w:t>
      </w:r>
      <w:r w:rsidR="005F2703" w:rsidRPr="00C13E80">
        <w:rPr>
          <w:color w:val="000000" w:themeColor="text1"/>
        </w:rPr>
        <w:t>2023</w:t>
      </w:r>
      <w:r w:rsidR="00F870EA" w:rsidRPr="00C13E80">
        <w:rPr>
          <w:color w:val="000000" w:themeColor="text1"/>
        </w:rPr>
        <w:t xml:space="preserve">. </w:t>
      </w:r>
      <w:r w:rsidR="000F697A" w:rsidRPr="00C13E80">
        <w:t>The pre-PBAC response stated that MSD was still in discussions with the TGA in regard to the regulatory submission plan.</w:t>
      </w:r>
    </w:p>
    <w:p w14:paraId="1C32BF72" w14:textId="1AB8AC7B" w:rsidR="00DC2C31" w:rsidRPr="00C13E80" w:rsidRDefault="008B6CFA" w:rsidP="000A2C17">
      <w:pPr>
        <w:pStyle w:val="3-BodyText"/>
        <w:rPr>
          <w:color w:val="000000" w:themeColor="text1"/>
        </w:rPr>
      </w:pPr>
      <w:r w:rsidRPr="00C13E80">
        <w:rPr>
          <w:color w:val="000000" w:themeColor="text1"/>
        </w:rPr>
        <w:t>The U.S. Food and Drug Administration (FDA) issued an emergency use authorisation (EUA</w:t>
      </w:r>
      <w:r w:rsidR="00CD4993" w:rsidRPr="00C13E80">
        <w:rPr>
          <w:color w:val="000000" w:themeColor="text1"/>
        </w:rPr>
        <w:t>)</w:t>
      </w:r>
      <w:r w:rsidRPr="00C13E80">
        <w:rPr>
          <w:color w:val="000000" w:themeColor="text1"/>
        </w:rPr>
        <w:t xml:space="preserve"> </w:t>
      </w:r>
      <w:r w:rsidR="00E62A64" w:rsidRPr="00C13E80">
        <w:rPr>
          <w:color w:val="000000" w:themeColor="text1"/>
        </w:rPr>
        <w:t xml:space="preserve">in December 2021 </w:t>
      </w:r>
      <w:r w:rsidRPr="00C13E80">
        <w:rPr>
          <w:color w:val="000000" w:themeColor="text1"/>
        </w:rPr>
        <w:t xml:space="preserve">for the emergency use of </w:t>
      </w:r>
      <w:r w:rsidR="00CD4993" w:rsidRPr="00C13E80">
        <w:rPr>
          <w:color w:val="000000" w:themeColor="text1"/>
        </w:rPr>
        <w:t>molnupiravir</w:t>
      </w:r>
      <w:r w:rsidR="00F91DB7" w:rsidRPr="00C13E80">
        <w:rPr>
          <w:color w:val="000000" w:themeColor="text1"/>
        </w:rPr>
        <w:t xml:space="preserve">. It </w:t>
      </w:r>
      <w:r w:rsidR="0003200D" w:rsidRPr="00C13E80">
        <w:rPr>
          <w:color w:val="000000" w:themeColor="text1"/>
        </w:rPr>
        <w:t>has emergency use</w:t>
      </w:r>
      <w:r w:rsidR="00F91DB7" w:rsidRPr="00C13E80">
        <w:rPr>
          <w:color w:val="000000" w:themeColor="text1"/>
        </w:rPr>
        <w:t xml:space="preserve"> author</w:t>
      </w:r>
      <w:r w:rsidR="0003200D" w:rsidRPr="00C13E80">
        <w:rPr>
          <w:color w:val="000000" w:themeColor="text1"/>
        </w:rPr>
        <w:t>isation</w:t>
      </w:r>
      <w:r w:rsidR="00CD4993" w:rsidRPr="00C13E80">
        <w:rPr>
          <w:color w:val="000000" w:themeColor="text1"/>
        </w:rPr>
        <w:t xml:space="preserve"> </w:t>
      </w:r>
      <w:r w:rsidRPr="00C13E80">
        <w:rPr>
          <w:color w:val="000000" w:themeColor="text1"/>
        </w:rPr>
        <w:t>for</w:t>
      </w:r>
      <w:r w:rsidR="00CD4993" w:rsidRPr="00C13E80">
        <w:rPr>
          <w:color w:val="000000" w:themeColor="text1"/>
        </w:rPr>
        <w:t xml:space="preserve"> </w:t>
      </w:r>
      <w:r w:rsidRPr="00C13E80">
        <w:rPr>
          <w:color w:val="000000" w:themeColor="text1"/>
        </w:rPr>
        <w:t>the treatment of adults with a current diagnosis of mild-to-moderate COVID-19:</w:t>
      </w:r>
    </w:p>
    <w:p w14:paraId="2F37931B" w14:textId="77777777" w:rsidR="00DC2C31" w:rsidRPr="00C13E80" w:rsidRDefault="008B6CFA" w:rsidP="000A2C17">
      <w:pPr>
        <w:pStyle w:val="3-BodyText"/>
        <w:numPr>
          <w:ilvl w:val="0"/>
          <w:numId w:val="14"/>
        </w:numPr>
        <w:ind w:left="1080"/>
        <w:rPr>
          <w:color w:val="000000" w:themeColor="text1"/>
        </w:rPr>
      </w:pPr>
      <w:r w:rsidRPr="00C13E80">
        <w:rPr>
          <w:color w:val="000000" w:themeColor="text1"/>
        </w:rPr>
        <w:lastRenderedPageBreak/>
        <w:t>who are at high risk for progression to severe COVID-19, including hospitali</w:t>
      </w:r>
      <w:r w:rsidR="00DC2C31" w:rsidRPr="00C13E80">
        <w:rPr>
          <w:color w:val="000000" w:themeColor="text1"/>
        </w:rPr>
        <w:t>s</w:t>
      </w:r>
      <w:r w:rsidRPr="00C13E80">
        <w:rPr>
          <w:color w:val="000000" w:themeColor="text1"/>
        </w:rPr>
        <w:t xml:space="preserve">ation or death, </w:t>
      </w:r>
      <w:r w:rsidRPr="00C13E80">
        <w:rPr>
          <w:color w:val="000000" w:themeColor="text1"/>
          <w:u w:val="single"/>
        </w:rPr>
        <w:t>and</w:t>
      </w:r>
    </w:p>
    <w:p w14:paraId="6258EA55" w14:textId="295E4AB2" w:rsidR="008B6CFA" w:rsidRPr="00C13E80" w:rsidRDefault="008B6CFA" w:rsidP="000A2C17">
      <w:pPr>
        <w:pStyle w:val="3-BodyText"/>
        <w:numPr>
          <w:ilvl w:val="0"/>
          <w:numId w:val="14"/>
        </w:numPr>
        <w:ind w:left="1080"/>
        <w:rPr>
          <w:color w:val="000000" w:themeColor="text1"/>
        </w:rPr>
      </w:pPr>
      <w:r w:rsidRPr="00C13E80">
        <w:rPr>
          <w:color w:val="000000" w:themeColor="text1"/>
        </w:rPr>
        <w:t>for whom alternative COVID-19 treatment options approved or authori</w:t>
      </w:r>
      <w:r w:rsidR="00DC2C31" w:rsidRPr="00C13E80">
        <w:rPr>
          <w:color w:val="000000" w:themeColor="text1"/>
        </w:rPr>
        <w:t>s</w:t>
      </w:r>
      <w:r w:rsidRPr="00C13E80">
        <w:rPr>
          <w:color w:val="000000" w:themeColor="text1"/>
        </w:rPr>
        <w:t>ed by FDA are not accessible or clinically appropriate.</w:t>
      </w:r>
      <w:bookmarkStart w:id="11" w:name="_Ref134311361"/>
      <w:r w:rsidR="00417D9E" w:rsidRPr="00C13E80">
        <w:rPr>
          <w:rStyle w:val="FootnoteReference"/>
        </w:rPr>
        <w:footnoteReference w:id="3"/>
      </w:r>
      <w:bookmarkEnd w:id="11"/>
    </w:p>
    <w:p w14:paraId="3D18E730" w14:textId="7CA22547" w:rsidR="00E12518" w:rsidRPr="00C13E80" w:rsidRDefault="00956785" w:rsidP="00C96856">
      <w:pPr>
        <w:pStyle w:val="3-BodyText"/>
        <w:rPr>
          <w:color w:val="000000" w:themeColor="text1"/>
        </w:rPr>
      </w:pPr>
      <w:r w:rsidRPr="00C13E80">
        <w:rPr>
          <w:color w:val="000000" w:themeColor="text1"/>
        </w:rPr>
        <w:t>The European Medicines Agency</w:t>
      </w:r>
      <w:r w:rsidR="00D112FA" w:rsidRPr="00C13E80">
        <w:rPr>
          <w:color w:val="000000" w:themeColor="text1"/>
        </w:rPr>
        <w:t xml:space="preserve"> (EMA)</w:t>
      </w:r>
      <w:r w:rsidRPr="00C13E80">
        <w:rPr>
          <w:color w:val="000000" w:themeColor="text1"/>
        </w:rPr>
        <w:t xml:space="preserve">, in February 2023, recommended the refusal of the marketing authorisation for molnupiravir. </w:t>
      </w:r>
      <w:r w:rsidR="00D112FA" w:rsidRPr="00C13E80">
        <w:rPr>
          <w:color w:val="000000" w:themeColor="text1"/>
        </w:rPr>
        <w:t xml:space="preserve">The EMA considered that it was not possible to conclude that molnupiravir can reduce the risk of hospitalisation or death or shorten the duration of illness or time to recovery in adults at risk of severe disease. Furthermore, </w:t>
      </w:r>
      <w:r w:rsidR="0033564E" w:rsidRPr="00C13E80">
        <w:rPr>
          <w:color w:val="000000" w:themeColor="text1"/>
        </w:rPr>
        <w:t xml:space="preserve">the EMA considered that </w:t>
      </w:r>
      <w:r w:rsidR="00D112FA" w:rsidRPr="00C13E80">
        <w:rPr>
          <w:color w:val="000000" w:themeColor="text1"/>
        </w:rPr>
        <w:t xml:space="preserve">it was not possible to identify a specific group of patients in whom a clinically relevant benefit of </w:t>
      </w:r>
      <w:r w:rsidR="0033564E" w:rsidRPr="00C13E80">
        <w:rPr>
          <w:color w:val="000000" w:themeColor="text1"/>
        </w:rPr>
        <w:t xml:space="preserve">molnupiravir </w:t>
      </w:r>
      <w:r w:rsidR="00D112FA" w:rsidRPr="00C13E80">
        <w:rPr>
          <w:color w:val="000000" w:themeColor="text1"/>
        </w:rPr>
        <w:t>could be demonstrated.</w:t>
      </w:r>
      <w:bookmarkStart w:id="12" w:name="_Ref134311392"/>
      <w:r w:rsidR="00514E45" w:rsidRPr="00C13E80">
        <w:rPr>
          <w:rStyle w:val="FootnoteReference"/>
        </w:rPr>
        <w:footnoteReference w:id="4"/>
      </w:r>
      <w:bookmarkEnd w:id="12"/>
      <w:r w:rsidR="00844FEE" w:rsidRPr="00C13E80">
        <w:rPr>
          <w:color w:val="000000" w:themeColor="text1"/>
        </w:rPr>
        <w:t xml:space="preserve"> The </w:t>
      </w:r>
      <w:r w:rsidR="00377099" w:rsidRPr="00C13E80">
        <w:rPr>
          <w:color w:val="000000" w:themeColor="text1"/>
        </w:rPr>
        <w:t xml:space="preserve">submission noted that the </w:t>
      </w:r>
      <w:r w:rsidR="00844FEE" w:rsidRPr="00C13E80">
        <w:rPr>
          <w:color w:val="000000" w:themeColor="text1"/>
        </w:rPr>
        <w:t>sponsors of molnupiravir in Europe ha</w:t>
      </w:r>
      <w:r w:rsidR="00377099" w:rsidRPr="00C13E80">
        <w:rPr>
          <w:color w:val="000000" w:themeColor="text1"/>
        </w:rPr>
        <w:t>d</w:t>
      </w:r>
      <w:r w:rsidR="00844FEE" w:rsidRPr="00C13E80">
        <w:rPr>
          <w:color w:val="000000" w:themeColor="text1"/>
        </w:rPr>
        <w:t xml:space="preserve"> requested a re-examination of EMA’s opinion.</w:t>
      </w:r>
      <w:r w:rsidR="00DD467C">
        <w:rPr>
          <w:color w:val="000000" w:themeColor="text1"/>
        </w:rPr>
        <w:t xml:space="preserve"> </w:t>
      </w:r>
      <w:r w:rsidR="00377099" w:rsidRPr="00C13E80">
        <w:rPr>
          <w:color w:val="000000" w:themeColor="text1"/>
        </w:rPr>
        <w:t>On 27 June 2023, the EMA announced that the EU application for marketing authorization of molnupiravir had been withdrawn</w:t>
      </w:r>
      <w:r w:rsidR="00377099" w:rsidRPr="00C13E80">
        <w:rPr>
          <w:rStyle w:val="FootnoteReference"/>
          <w:color w:val="000000" w:themeColor="text1"/>
        </w:rPr>
        <w:footnoteReference w:id="5"/>
      </w:r>
      <w:r w:rsidR="00F870EA" w:rsidRPr="00C13E80">
        <w:rPr>
          <w:color w:val="000000" w:themeColor="text1"/>
        </w:rPr>
        <w:t xml:space="preserve">. </w:t>
      </w:r>
      <w:r w:rsidR="001B3E0D" w:rsidRPr="00C13E80">
        <w:rPr>
          <w:color w:val="000000" w:themeColor="text1"/>
        </w:rPr>
        <w:t>The Australian sponsor of molnupiravir notified the Department of the withdrawal on 28 June 2023.</w:t>
      </w:r>
      <w:r w:rsidR="00F870EA" w:rsidRPr="00C13E80">
        <w:rPr>
          <w:color w:val="000000" w:themeColor="text1"/>
        </w:rPr>
        <w:t xml:space="preserve"> </w:t>
      </w:r>
    </w:p>
    <w:p w14:paraId="6B414FBF" w14:textId="0CB81DD0" w:rsidR="00ED3AD9" w:rsidRPr="00C13E80" w:rsidRDefault="00ED3AD9" w:rsidP="00E12518">
      <w:pPr>
        <w:pStyle w:val="3-BodyText"/>
        <w:numPr>
          <w:ilvl w:val="0"/>
          <w:numId w:val="0"/>
        </w:numPr>
        <w:ind w:left="720"/>
        <w:rPr>
          <w:color w:val="000000" w:themeColor="text1"/>
        </w:rPr>
      </w:pPr>
      <w:r w:rsidRPr="00C13E80">
        <w:rPr>
          <w:i/>
        </w:rPr>
        <w:t xml:space="preserve">For more detail on PBAC’s view, see section 7 PBAC </w:t>
      </w:r>
      <w:r w:rsidR="000A2C17">
        <w:rPr>
          <w:i/>
        </w:rPr>
        <w:t>O</w:t>
      </w:r>
      <w:r w:rsidRPr="00C13E80">
        <w:rPr>
          <w:i/>
        </w:rPr>
        <w:t>utcome.</w:t>
      </w:r>
    </w:p>
    <w:p w14:paraId="76E4EF3C" w14:textId="13040F70" w:rsidR="00B60939" w:rsidRPr="00C13E80" w:rsidRDefault="00B50DB8" w:rsidP="00B46FE9">
      <w:pPr>
        <w:pStyle w:val="2-SectionHeading"/>
      </w:pPr>
      <w:bookmarkStart w:id="13" w:name="_Toc107902078"/>
      <w:bookmarkStart w:id="14" w:name="_Toc135232216"/>
      <w:bookmarkEnd w:id="13"/>
      <w:r w:rsidRPr="00C13E80">
        <w:t>Requested listing</w:t>
      </w:r>
      <w:bookmarkEnd w:id="14"/>
    </w:p>
    <w:p w14:paraId="3D5E4EB2" w14:textId="75561CA8" w:rsidR="00EA785E" w:rsidRPr="00C13E80" w:rsidRDefault="002522AD" w:rsidP="00EA785E">
      <w:pPr>
        <w:pStyle w:val="3-BodyText"/>
      </w:pPr>
      <w:r w:rsidRPr="00C13E80">
        <w:rPr>
          <w:color w:val="000000" w:themeColor="text1"/>
        </w:rPr>
        <w:t>T</w:t>
      </w:r>
      <w:r w:rsidR="001B533F" w:rsidRPr="00C13E80">
        <w:rPr>
          <w:color w:val="000000" w:themeColor="text1"/>
        </w:rPr>
        <w:t>he submission</w:t>
      </w:r>
      <w:r w:rsidR="0097007F" w:rsidRPr="00C13E80">
        <w:rPr>
          <w:color w:val="000000" w:themeColor="text1"/>
        </w:rPr>
        <w:t xml:space="preserve"> </w:t>
      </w:r>
      <w:r w:rsidR="001B533F" w:rsidRPr="00C13E80">
        <w:rPr>
          <w:color w:val="000000" w:themeColor="text1"/>
        </w:rPr>
        <w:t>request</w:t>
      </w:r>
      <w:r w:rsidR="0097007F" w:rsidRPr="00C13E80">
        <w:rPr>
          <w:color w:val="000000" w:themeColor="text1"/>
        </w:rPr>
        <w:t>ed</w:t>
      </w:r>
      <w:r w:rsidR="001B533F" w:rsidRPr="00C13E80">
        <w:rPr>
          <w:color w:val="000000" w:themeColor="text1"/>
        </w:rPr>
        <w:t xml:space="preserve"> continued reimbursement </w:t>
      </w:r>
      <w:r w:rsidR="00B30A90" w:rsidRPr="00C13E80">
        <w:rPr>
          <w:color w:val="000000" w:themeColor="text1"/>
        </w:rPr>
        <w:t xml:space="preserve">of molnupiravir </w:t>
      </w:r>
      <w:r w:rsidR="004F56C0" w:rsidRPr="00C13E80">
        <w:rPr>
          <w:color w:val="000000" w:themeColor="text1"/>
        </w:rPr>
        <w:t xml:space="preserve">for the </w:t>
      </w:r>
      <w:r w:rsidR="001B533F" w:rsidRPr="00C13E80">
        <w:rPr>
          <w:color w:val="000000" w:themeColor="text1"/>
        </w:rPr>
        <w:t>four</w:t>
      </w:r>
      <w:r w:rsidR="004F56C0" w:rsidRPr="00C13E80">
        <w:rPr>
          <w:color w:val="000000" w:themeColor="text1"/>
        </w:rPr>
        <w:t xml:space="preserve"> high risk populations</w:t>
      </w:r>
      <w:r w:rsidR="009756A2" w:rsidRPr="00C13E80">
        <w:rPr>
          <w:color w:val="000000" w:themeColor="text1"/>
        </w:rPr>
        <w:t xml:space="preserve"> for which it </w:t>
      </w:r>
      <w:r w:rsidRPr="00C13E80">
        <w:rPr>
          <w:color w:val="000000" w:themeColor="text1"/>
        </w:rPr>
        <w:t>wa</w:t>
      </w:r>
      <w:r w:rsidR="009756A2" w:rsidRPr="00C13E80">
        <w:rPr>
          <w:color w:val="000000" w:themeColor="text1"/>
        </w:rPr>
        <w:t>s</w:t>
      </w:r>
      <w:r w:rsidR="001B533F" w:rsidRPr="00C13E80">
        <w:rPr>
          <w:color w:val="000000" w:themeColor="text1"/>
        </w:rPr>
        <w:t xml:space="preserve"> currently PBS-listed.</w:t>
      </w:r>
      <w:r w:rsidR="0032466D" w:rsidRPr="00C13E80">
        <w:rPr>
          <w:color w:val="000000" w:themeColor="text1"/>
        </w:rPr>
        <w:t xml:space="preserve"> No changes to the current restrictions</w:t>
      </w:r>
      <w:r w:rsidR="004B624F" w:rsidRPr="00C13E80">
        <w:rPr>
          <w:color w:val="000000" w:themeColor="text1"/>
        </w:rPr>
        <w:t>, maximum quantity or number of repeats</w:t>
      </w:r>
      <w:r w:rsidR="0032466D" w:rsidRPr="00C13E80">
        <w:rPr>
          <w:color w:val="000000" w:themeColor="text1"/>
        </w:rPr>
        <w:t xml:space="preserve"> </w:t>
      </w:r>
      <w:r w:rsidRPr="00C13E80">
        <w:rPr>
          <w:color w:val="000000" w:themeColor="text1"/>
        </w:rPr>
        <w:t>were</w:t>
      </w:r>
      <w:r w:rsidR="0032466D" w:rsidRPr="00C13E80">
        <w:rPr>
          <w:color w:val="000000" w:themeColor="text1"/>
        </w:rPr>
        <w:t xml:space="preserve"> proposed.</w:t>
      </w:r>
      <w:r w:rsidR="004B624F" w:rsidRPr="00C13E80">
        <w:rPr>
          <w:color w:val="000000" w:themeColor="text1"/>
        </w:rPr>
        <w:t xml:space="preserve"> </w:t>
      </w:r>
      <w:bookmarkStart w:id="15" w:name="_Hlk135181148"/>
      <w:r w:rsidR="0047559B" w:rsidRPr="00C13E80">
        <w:rPr>
          <w:color w:val="000000" w:themeColor="text1"/>
        </w:rPr>
        <w:t xml:space="preserve">The only change proposed to the current listing </w:t>
      </w:r>
      <w:r w:rsidRPr="00C13E80">
        <w:rPr>
          <w:color w:val="000000" w:themeColor="text1"/>
        </w:rPr>
        <w:t>was</w:t>
      </w:r>
      <w:r w:rsidR="00FA7233" w:rsidRPr="00C13E80">
        <w:rPr>
          <w:color w:val="000000" w:themeColor="text1"/>
        </w:rPr>
        <w:t xml:space="preserve"> a reduction in the </w:t>
      </w:r>
      <w:r w:rsidR="003078D4" w:rsidRPr="00C13E80">
        <w:rPr>
          <w:color w:val="000000" w:themeColor="text1"/>
        </w:rPr>
        <w:t>effective ex-manufacturer pric</w:t>
      </w:r>
      <w:r w:rsidR="00111383" w:rsidRPr="00C13E80">
        <w:rPr>
          <w:color w:val="000000" w:themeColor="text1"/>
        </w:rPr>
        <w:t>e</w:t>
      </w:r>
      <w:r w:rsidR="00DD553A" w:rsidRPr="00C13E80">
        <w:rPr>
          <w:color w:val="000000" w:themeColor="text1"/>
        </w:rPr>
        <w:t xml:space="preserve"> by </w:t>
      </w:r>
      <w:r w:rsidR="004F6B4A" w:rsidRPr="00C13E80">
        <w:rPr>
          <w:color w:val="000000" w:themeColor="text1"/>
        </w:rPr>
        <w:t xml:space="preserve">means of </w:t>
      </w:r>
      <w:r w:rsidR="00AE1D7C" w:rsidRPr="00C13E80">
        <w:rPr>
          <w:color w:val="000000" w:themeColor="text1"/>
        </w:rPr>
        <w:t>introduction of a</w:t>
      </w:r>
      <w:r w:rsidR="004F6B4A" w:rsidRPr="00C13E80">
        <w:rPr>
          <w:color w:val="000000" w:themeColor="text1"/>
        </w:rPr>
        <w:t xml:space="preserve"> special pricing arrangement</w:t>
      </w:r>
      <w:r w:rsidR="007E2B66" w:rsidRPr="00C13E80">
        <w:rPr>
          <w:color w:val="000000" w:themeColor="text1"/>
        </w:rPr>
        <w:t xml:space="preserve"> </w:t>
      </w:r>
      <w:r w:rsidR="00CD5F0E" w:rsidRPr="00C13E80">
        <w:rPr>
          <w:color w:val="000000" w:themeColor="text1"/>
        </w:rPr>
        <w:t>(</w:t>
      </w:r>
      <w:r w:rsidR="007E2B66" w:rsidRPr="00C13E80">
        <w:rPr>
          <w:color w:val="000000" w:themeColor="text1"/>
        </w:rPr>
        <w:t xml:space="preserve">such that there be </w:t>
      </w:r>
      <w:r w:rsidR="00B72EFC" w:rsidRPr="00C13E80">
        <w:rPr>
          <w:color w:val="000000" w:themeColor="text1"/>
        </w:rPr>
        <w:t xml:space="preserve">no change to the published </w:t>
      </w:r>
      <w:r w:rsidR="004745D5" w:rsidRPr="00C13E80">
        <w:rPr>
          <w:color w:val="000000" w:themeColor="text1"/>
        </w:rPr>
        <w:t>dispensed prices of molnupiravir</w:t>
      </w:r>
      <w:r w:rsidR="00CD5F0E" w:rsidRPr="00C13E80">
        <w:rPr>
          <w:color w:val="000000" w:themeColor="text1"/>
        </w:rPr>
        <w:t>)</w:t>
      </w:r>
      <w:r w:rsidR="003078D4" w:rsidRPr="00C13E80">
        <w:rPr>
          <w:color w:val="000000" w:themeColor="text1"/>
        </w:rPr>
        <w:t xml:space="preserve">. </w:t>
      </w:r>
      <w:bookmarkEnd w:id="15"/>
      <w:r w:rsidR="00683CCC" w:rsidRPr="00C13E80">
        <w:rPr>
          <w:color w:val="000000" w:themeColor="text1"/>
        </w:rPr>
        <w:t xml:space="preserve">The current </w:t>
      </w:r>
      <w:r w:rsidR="00111383" w:rsidRPr="00C13E80">
        <w:rPr>
          <w:color w:val="000000" w:themeColor="text1"/>
        </w:rPr>
        <w:t>approved ex-manufacturer price</w:t>
      </w:r>
      <w:r w:rsidR="005316BA" w:rsidRPr="00C13E80">
        <w:rPr>
          <w:color w:val="000000" w:themeColor="text1"/>
        </w:rPr>
        <w:t xml:space="preserve"> </w:t>
      </w:r>
      <w:r w:rsidR="004026A1" w:rsidRPr="00C13E80">
        <w:rPr>
          <w:color w:val="000000" w:themeColor="text1"/>
        </w:rPr>
        <w:t>(</w:t>
      </w:r>
      <w:r w:rsidR="00683CCC" w:rsidRPr="00C13E80">
        <w:rPr>
          <w:color w:val="000000" w:themeColor="text1"/>
        </w:rPr>
        <w:t>AEMP</w:t>
      </w:r>
      <w:r w:rsidR="004026A1" w:rsidRPr="00C13E80">
        <w:rPr>
          <w:color w:val="000000" w:themeColor="text1"/>
        </w:rPr>
        <w:t>)</w:t>
      </w:r>
      <w:r w:rsidR="00683CCC" w:rsidRPr="00C13E80">
        <w:rPr>
          <w:color w:val="000000" w:themeColor="text1"/>
        </w:rPr>
        <w:t xml:space="preserve"> </w:t>
      </w:r>
      <w:r w:rsidR="00D326D6" w:rsidRPr="00C13E80">
        <w:rPr>
          <w:color w:val="000000" w:themeColor="text1"/>
        </w:rPr>
        <w:t xml:space="preserve">is </w:t>
      </w:r>
      <w:r w:rsidR="0071498E" w:rsidRPr="00C13E80">
        <w:rPr>
          <w:color w:val="000000" w:themeColor="text1"/>
        </w:rPr>
        <w:t>$988</w:t>
      </w:r>
      <w:r w:rsidR="00EE1841" w:rsidRPr="00C13E80">
        <w:rPr>
          <w:color w:val="000000" w:themeColor="text1"/>
        </w:rPr>
        <w:t xml:space="preserve"> for a pack of 40 capsules</w:t>
      </w:r>
      <w:r w:rsidR="000D7D95" w:rsidRPr="00C13E80">
        <w:rPr>
          <w:color w:val="000000" w:themeColor="text1"/>
        </w:rPr>
        <w:t>. The</w:t>
      </w:r>
      <w:r w:rsidR="001D68EA" w:rsidRPr="00C13E80">
        <w:rPr>
          <w:color w:val="000000" w:themeColor="text1"/>
        </w:rPr>
        <w:t xml:space="preserve"> current submission</w:t>
      </w:r>
      <w:r w:rsidR="009773C9" w:rsidRPr="00C13E80">
        <w:rPr>
          <w:color w:val="000000" w:themeColor="text1"/>
        </w:rPr>
        <w:t xml:space="preserve"> </w:t>
      </w:r>
      <w:r w:rsidR="008819B3" w:rsidRPr="00C13E80">
        <w:rPr>
          <w:color w:val="000000" w:themeColor="text1"/>
        </w:rPr>
        <w:t>proposed an effective</w:t>
      </w:r>
      <w:r w:rsidR="009773C9" w:rsidRPr="00C13E80">
        <w:rPr>
          <w:color w:val="000000" w:themeColor="text1"/>
        </w:rPr>
        <w:t xml:space="preserve"> ex-manufacturer price of $</w:t>
      </w:r>
      <w:r w:rsidR="00573190" w:rsidRPr="00567EAC">
        <w:rPr>
          <w:color w:val="000000" w:themeColor="text1"/>
          <w:w w:val="15"/>
          <w:shd w:val="solid" w:color="000000" w:fill="000000"/>
          <w:fitText w:val="-20" w:id="-1168358144"/>
          <w14:textFill>
            <w14:solidFill>
              <w14:schemeClr w14:val="tx1">
                <w14:alpha w14:val="100000"/>
              </w14:schemeClr>
            </w14:solidFill>
          </w14:textFill>
        </w:rPr>
        <w:t xml:space="preserve">|  </w:t>
      </w:r>
      <w:r w:rsidR="00573190" w:rsidRPr="00567EAC">
        <w:rPr>
          <w:color w:val="000000" w:themeColor="text1"/>
          <w:spacing w:val="-69"/>
          <w:w w:val="15"/>
          <w:shd w:val="solid" w:color="000000" w:fill="000000"/>
          <w:fitText w:val="-20" w:id="-1168358144"/>
          <w14:textFill>
            <w14:solidFill>
              <w14:schemeClr w14:val="tx1">
                <w14:alpha w14:val="100000"/>
              </w14:schemeClr>
            </w14:solidFill>
          </w14:textFill>
        </w:rPr>
        <w:t>|</w:t>
      </w:r>
      <w:r w:rsidR="00297235" w:rsidRPr="00C13E80">
        <w:rPr>
          <w:color w:val="000000" w:themeColor="text1"/>
        </w:rPr>
        <w:t xml:space="preserve">, which </w:t>
      </w:r>
      <w:r w:rsidRPr="00C13E80">
        <w:rPr>
          <w:color w:val="000000" w:themeColor="text1"/>
        </w:rPr>
        <w:t xml:space="preserve">reflecting </w:t>
      </w:r>
      <w:r w:rsidR="00297235" w:rsidRPr="00C13E80">
        <w:rPr>
          <w:color w:val="000000" w:themeColor="text1"/>
        </w:rPr>
        <w:t xml:space="preserve">approximately </w:t>
      </w:r>
      <w:r w:rsidR="00573190" w:rsidRPr="00567EAC">
        <w:rPr>
          <w:color w:val="000000" w:themeColor="text1"/>
          <w:w w:val="15"/>
          <w:shd w:val="solid" w:color="000000" w:fill="000000"/>
          <w:fitText w:val="-20" w:id="-1168358143"/>
          <w14:textFill>
            <w14:solidFill>
              <w14:schemeClr w14:val="tx1">
                <w14:alpha w14:val="100000"/>
              </w14:schemeClr>
            </w14:solidFill>
          </w14:textFill>
        </w:rPr>
        <w:t xml:space="preserve">|  </w:t>
      </w:r>
      <w:r w:rsidR="00573190" w:rsidRPr="00567EAC">
        <w:rPr>
          <w:color w:val="000000" w:themeColor="text1"/>
          <w:spacing w:val="-69"/>
          <w:w w:val="15"/>
          <w:shd w:val="solid" w:color="000000" w:fill="000000"/>
          <w:fitText w:val="-20" w:id="-1168358143"/>
          <w14:textFill>
            <w14:solidFill>
              <w14:schemeClr w14:val="tx1">
                <w14:alpha w14:val="100000"/>
              </w14:schemeClr>
            </w14:solidFill>
          </w14:textFill>
        </w:rPr>
        <w:t>|</w:t>
      </w:r>
      <w:r w:rsidR="00297235" w:rsidRPr="002E4F5B">
        <w:rPr>
          <w:color w:val="000000" w:themeColor="text1"/>
        </w:rPr>
        <w:t>%</w:t>
      </w:r>
      <w:r w:rsidR="00297235" w:rsidRPr="00C13E80">
        <w:rPr>
          <w:color w:val="000000" w:themeColor="text1"/>
        </w:rPr>
        <w:t xml:space="preserve"> reduction in the eff</w:t>
      </w:r>
      <w:r w:rsidR="00AD3124" w:rsidRPr="00C13E80">
        <w:rPr>
          <w:color w:val="000000" w:themeColor="text1"/>
        </w:rPr>
        <w:t>ective ex-manufacturer price</w:t>
      </w:r>
      <w:r w:rsidR="007D724F" w:rsidRPr="00C13E80">
        <w:rPr>
          <w:color w:val="000000" w:themeColor="text1"/>
        </w:rPr>
        <w:t>.</w:t>
      </w:r>
      <w:r w:rsidR="00DD6BA0" w:rsidRPr="00C13E80">
        <w:rPr>
          <w:color w:val="000000" w:themeColor="text1"/>
        </w:rPr>
        <w:t xml:space="preserve"> </w:t>
      </w:r>
    </w:p>
    <w:p w14:paraId="1B423B86" w14:textId="5123FB1D" w:rsidR="003A4C14" w:rsidRPr="00C13E80" w:rsidRDefault="001B4BA2" w:rsidP="00867128">
      <w:pPr>
        <w:pStyle w:val="TableFigureHeading"/>
      </w:pPr>
      <w:bookmarkStart w:id="16" w:name="_Ref134029958"/>
      <w:r w:rsidRPr="00C13E80">
        <w:lastRenderedPageBreak/>
        <w:t xml:space="preserve">Table </w:t>
      </w:r>
      <w:r w:rsidR="00567EAC">
        <w:fldChar w:fldCharType="begin" w:fldLock="1"/>
      </w:r>
      <w:r w:rsidR="00567EAC">
        <w:instrText xml:space="preserve"> SEQ Table \* ARABIC </w:instrText>
      </w:r>
      <w:r w:rsidR="00567EAC">
        <w:fldChar w:fldCharType="separate"/>
      </w:r>
      <w:r w:rsidR="00701DEF">
        <w:rPr>
          <w:noProof/>
        </w:rPr>
        <w:t>2</w:t>
      </w:r>
      <w:r w:rsidR="00567EAC">
        <w:rPr>
          <w:noProof/>
        </w:rPr>
        <w:fldChar w:fldCharType="end"/>
      </w:r>
      <w:bookmarkEnd w:id="16"/>
      <w:r w:rsidRPr="00C13E80">
        <w:t>:</w:t>
      </w:r>
      <w:r w:rsidR="00A85C10" w:rsidRPr="00C13E80">
        <w:rPr>
          <w:rStyle w:val="CommentReference"/>
          <w:b/>
          <w:szCs w:val="24"/>
        </w:rPr>
        <w:tab/>
      </w:r>
      <w:r w:rsidRPr="00C13E80">
        <w:rPr>
          <w:rStyle w:val="CommentReference"/>
          <w:b/>
          <w:szCs w:val="24"/>
        </w:rPr>
        <w:t xml:space="preserve">Essential elements of the proposed listing </w:t>
      </w:r>
      <w:r w:rsidR="00627D9B" w:rsidRPr="00C13E80">
        <w:rPr>
          <w:rStyle w:val="CommentReference"/>
          <w:b/>
          <w:szCs w:val="24"/>
        </w:rPr>
        <w:t>of molnupiravir</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05"/>
        <w:gridCol w:w="812"/>
        <w:gridCol w:w="811"/>
        <w:gridCol w:w="812"/>
        <w:gridCol w:w="1880"/>
      </w:tblGrid>
      <w:tr w:rsidR="00046D64" w:rsidRPr="00C13E80" w14:paraId="73E16E29" w14:textId="77777777" w:rsidTr="00AD540A">
        <w:trPr>
          <w:cantSplit/>
          <w:trHeight w:val="20"/>
        </w:trPr>
        <w:tc>
          <w:tcPr>
            <w:tcW w:w="2547" w:type="dxa"/>
            <w:vAlign w:val="center"/>
          </w:tcPr>
          <w:p w14:paraId="4660296B" w14:textId="77777777" w:rsidR="00046D64" w:rsidRPr="00C13E80" w:rsidRDefault="00046D64" w:rsidP="00867128">
            <w:pPr>
              <w:keepNext/>
              <w:rPr>
                <w:rFonts w:ascii="Arial Narrow" w:hAnsi="Arial Narrow"/>
                <w:b/>
                <w:bCs/>
                <w:sz w:val="20"/>
                <w:szCs w:val="20"/>
              </w:rPr>
            </w:pPr>
            <w:bookmarkStart w:id="17" w:name="_Hlk104809055"/>
            <w:r w:rsidRPr="00C13E80">
              <w:rPr>
                <w:rFonts w:ascii="Arial Narrow" w:hAnsi="Arial Narrow"/>
                <w:b/>
                <w:bCs/>
                <w:sz w:val="20"/>
                <w:szCs w:val="20"/>
              </w:rPr>
              <w:t>MEDICINAL PRODUCT</w:t>
            </w:r>
          </w:p>
          <w:p w14:paraId="7221C2FD" w14:textId="77777777" w:rsidR="00046D64" w:rsidRPr="00C13E80" w:rsidRDefault="00046D64" w:rsidP="00867128">
            <w:pPr>
              <w:keepNext/>
              <w:rPr>
                <w:rFonts w:ascii="Arial Narrow" w:hAnsi="Arial Narrow"/>
                <w:b/>
                <w:sz w:val="20"/>
                <w:szCs w:val="20"/>
              </w:rPr>
            </w:pPr>
            <w:r w:rsidRPr="00C13E80">
              <w:rPr>
                <w:rFonts w:ascii="Arial Narrow" w:hAnsi="Arial Narrow"/>
                <w:b/>
                <w:bCs/>
                <w:sz w:val="20"/>
                <w:szCs w:val="20"/>
              </w:rPr>
              <w:t>medicinal product pack</w:t>
            </w:r>
          </w:p>
        </w:tc>
        <w:tc>
          <w:tcPr>
            <w:tcW w:w="2205" w:type="dxa"/>
            <w:vAlign w:val="center"/>
          </w:tcPr>
          <w:p w14:paraId="14424AF1" w14:textId="54369E4C" w:rsidR="00046D64" w:rsidRPr="00C13E80" w:rsidRDefault="00C61A59" w:rsidP="00867128">
            <w:pPr>
              <w:pStyle w:val="TableText0"/>
              <w:rPr>
                <w:b/>
                <w:bCs w:val="0"/>
                <w:szCs w:val="20"/>
              </w:rPr>
            </w:pPr>
            <w:r w:rsidRPr="00C13E80">
              <w:rPr>
                <w:b/>
                <w:bCs w:val="0"/>
                <w:snapToGrid w:val="0"/>
              </w:rPr>
              <w:t xml:space="preserve">Dispensed Price for Max. Qty </w:t>
            </w:r>
          </w:p>
        </w:tc>
        <w:tc>
          <w:tcPr>
            <w:tcW w:w="812" w:type="dxa"/>
            <w:vAlign w:val="center"/>
          </w:tcPr>
          <w:p w14:paraId="4E41A9BC" w14:textId="0E3A90D0" w:rsidR="00046D64" w:rsidRPr="00C13E80" w:rsidRDefault="00046D64" w:rsidP="00867128">
            <w:pPr>
              <w:keepNext/>
              <w:jc w:val="center"/>
              <w:rPr>
                <w:rFonts w:ascii="Arial Narrow" w:hAnsi="Arial Narrow"/>
                <w:b/>
                <w:sz w:val="20"/>
                <w:szCs w:val="20"/>
              </w:rPr>
            </w:pPr>
            <w:r w:rsidRPr="00C13E80">
              <w:rPr>
                <w:rFonts w:ascii="Arial Narrow" w:hAnsi="Arial Narrow"/>
                <w:b/>
                <w:sz w:val="20"/>
                <w:szCs w:val="20"/>
              </w:rPr>
              <w:t>Max. qty packs</w:t>
            </w:r>
          </w:p>
        </w:tc>
        <w:tc>
          <w:tcPr>
            <w:tcW w:w="811" w:type="dxa"/>
            <w:vAlign w:val="center"/>
          </w:tcPr>
          <w:p w14:paraId="48197540" w14:textId="77777777" w:rsidR="00046D64" w:rsidRPr="00C13E80" w:rsidRDefault="00046D64" w:rsidP="00867128">
            <w:pPr>
              <w:keepNext/>
              <w:jc w:val="center"/>
              <w:rPr>
                <w:rFonts w:ascii="Arial Narrow" w:hAnsi="Arial Narrow"/>
                <w:b/>
                <w:sz w:val="20"/>
                <w:szCs w:val="20"/>
              </w:rPr>
            </w:pPr>
            <w:r w:rsidRPr="00C13E80">
              <w:rPr>
                <w:rFonts w:ascii="Arial Narrow" w:hAnsi="Arial Narrow"/>
                <w:b/>
                <w:sz w:val="20"/>
                <w:szCs w:val="20"/>
              </w:rPr>
              <w:t>Max. qty units</w:t>
            </w:r>
          </w:p>
        </w:tc>
        <w:tc>
          <w:tcPr>
            <w:tcW w:w="812" w:type="dxa"/>
            <w:vAlign w:val="center"/>
          </w:tcPr>
          <w:p w14:paraId="13B3FDEE" w14:textId="77777777" w:rsidR="00046D64" w:rsidRPr="00C13E80" w:rsidRDefault="00046D64" w:rsidP="00867128">
            <w:pPr>
              <w:keepNext/>
              <w:jc w:val="center"/>
              <w:rPr>
                <w:rFonts w:ascii="Arial Narrow" w:hAnsi="Arial Narrow"/>
                <w:b/>
                <w:sz w:val="20"/>
                <w:szCs w:val="20"/>
              </w:rPr>
            </w:pPr>
            <w:r w:rsidRPr="00C13E80">
              <w:rPr>
                <w:rFonts w:ascii="Arial Narrow" w:hAnsi="Arial Narrow"/>
                <w:b/>
                <w:sz w:val="20"/>
                <w:szCs w:val="20"/>
              </w:rPr>
              <w:t>№.of</w:t>
            </w:r>
          </w:p>
          <w:p w14:paraId="7B215997" w14:textId="77777777" w:rsidR="00046D64" w:rsidRPr="00C13E80" w:rsidRDefault="00046D64" w:rsidP="00867128">
            <w:pPr>
              <w:keepNext/>
              <w:jc w:val="center"/>
              <w:rPr>
                <w:rFonts w:ascii="Arial Narrow" w:hAnsi="Arial Narrow"/>
                <w:b/>
                <w:sz w:val="20"/>
                <w:szCs w:val="20"/>
              </w:rPr>
            </w:pPr>
            <w:r w:rsidRPr="00C13E80">
              <w:rPr>
                <w:rFonts w:ascii="Arial Narrow" w:hAnsi="Arial Narrow"/>
                <w:b/>
                <w:sz w:val="20"/>
                <w:szCs w:val="20"/>
              </w:rPr>
              <w:t>Rpts</w:t>
            </w:r>
          </w:p>
        </w:tc>
        <w:tc>
          <w:tcPr>
            <w:tcW w:w="1880" w:type="dxa"/>
            <w:vAlign w:val="center"/>
          </w:tcPr>
          <w:p w14:paraId="4976F6A8" w14:textId="77777777" w:rsidR="00046D64" w:rsidRPr="00C13E80" w:rsidRDefault="00046D64" w:rsidP="00867128">
            <w:pPr>
              <w:keepNext/>
              <w:rPr>
                <w:rFonts w:ascii="Arial Narrow" w:hAnsi="Arial Narrow"/>
                <w:b/>
                <w:sz w:val="20"/>
                <w:szCs w:val="20"/>
              </w:rPr>
            </w:pPr>
            <w:r w:rsidRPr="00C13E80">
              <w:rPr>
                <w:rFonts w:ascii="Arial Narrow" w:hAnsi="Arial Narrow"/>
                <w:b/>
                <w:sz w:val="20"/>
                <w:szCs w:val="20"/>
              </w:rPr>
              <w:t>Available brands</w:t>
            </w:r>
          </w:p>
        </w:tc>
      </w:tr>
      <w:tr w:rsidR="00046D64" w:rsidRPr="00C13E80" w14:paraId="40C1AD8E" w14:textId="77777777" w:rsidTr="000144F4">
        <w:trPr>
          <w:cantSplit/>
          <w:trHeight w:val="20"/>
        </w:trPr>
        <w:tc>
          <w:tcPr>
            <w:tcW w:w="9067" w:type="dxa"/>
            <w:gridSpan w:val="6"/>
            <w:vAlign w:val="center"/>
          </w:tcPr>
          <w:p w14:paraId="2A4C00A6" w14:textId="2C4479E7" w:rsidR="00046D64" w:rsidRPr="00C13E80" w:rsidRDefault="006E232D" w:rsidP="00867128">
            <w:pPr>
              <w:pStyle w:val="TableText0"/>
              <w:rPr>
                <w:rFonts w:cs="Arial"/>
                <w:szCs w:val="20"/>
              </w:rPr>
            </w:pPr>
            <w:r w:rsidRPr="00C13E80">
              <w:rPr>
                <w:smallCaps/>
              </w:rPr>
              <w:t>Molnupiravir</w:t>
            </w:r>
            <w:r w:rsidR="00A2021E" w:rsidRPr="00C13E80">
              <w:rPr>
                <w:rFonts w:cs="Arial"/>
                <w:color w:val="0066FF"/>
                <w:szCs w:val="20"/>
              </w:rPr>
              <w:t xml:space="preserve"> </w:t>
            </w:r>
          </w:p>
        </w:tc>
      </w:tr>
      <w:tr w:rsidR="000144F4" w:rsidRPr="00C13E80" w14:paraId="723DA7AC" w14:textId="77777777" w:rsidTr="000144F4">
        <w:trPr>
          <w:cantSplit/>
          <w:trHeight w:val="20"/>
        </w:trPr>
        <w:tc>
          <w:tcPr>
            <w:tcW w:w="9067" w:type="dxa"/>
            <w:gridSpan w:val="6"/>
            <w:vAlign w:val="center"/>
          </w:tcPr>
          <w:p w14:paraId="4F3653E7" w14:textId="34A023F0" w:rsidR="000144F4" w:rsidRPr="00C13E80" w:rsidRDefault="000144F4" w:rsidP="00867128">
            <w:pPr>
              <w:pStyle w:val="TableText0"/>
              <w:rPr>
                <w:u w:val="single"/>
              </w:rPr>
            </w:pPr>
            <w:r w:rsidRPr="00C13E80">
              <w:rPr>
                <w:u w:val="single"/>
              </w:rPr>
              <w:t>Authority Required (STREAMLINED)</w:t>
            </w:r>
          </w:p>
        </w:tc>
      </w:tr>
      <w:tr w:rsidR="002C36E3" w:rsidRPr="00C13E80" w14:paraId="1DC2CC67" w14:textId="77777777" w:rsidTr="00C93F58">
        <w:trPr>
          <w:cantSplit/>
          <w:trHeight w:val="20"/>
        </w:trPr>
        <w:tc>
          <w:tcPr>
            <w:tcW w:w="2547" w:type="dxa"/>
            <w:vAlign w:val="center"/>
          </w:tcPr>
          <w:p w14:paraId="612C04D7" w14:textId="07A5E870" w:rsidR="002C36E3" w:rsidRPr="00C13E80" w:rsidRDefault="004C1238" w:rsidP="00867128">
            <w:pPr>
              <w:keepNext/>
              <w:rPr>
                <w:rFonts w:ascii="Arial Narrow" w:hAnsi="Arial Narrow"/>
                <w:color w:val="000000" w:themeColor="text1"/>
                <w:sz w:val="20"/>
                <w:szCs w:val="20"/>
              </w:rPr>
            </w:pPr>
            <w:r w:rsidRPr="00C13E80">
              <w:rPr>
                <w:rFonts w:ascii="Arial Narrow" w:hAnsi="Arial Narrow"/>
                <w:color w:val="000000" w:themeColor="text1"/>
                <w:sz w:val="20"/>
                <w:szCs w:val="20"/>
              </w:rPr>
              <w:t xml:space="preserve">Molnupiravir </w:t>
            </w:r>
            <w:r w:rsidR="00DD2AD3" w:rsidRPr="00C13E80">
              <w:rPr>
                <w:rFonts w:ascii="Arial Narrow" w:hAnsi="Arial Narrow"/>
                <w:color w:val="000000" w:themeColor="text1"/>
                <w:sz w:val="20"/>
                <w:szCs w:val="20"/>
              </w:rPr>
              <w:t>200 mg capsule</w:t>
            </w:r>
            <w:r w:rsidR="00415EA0" w:rsidRPr="00C13E80">
              <w:rPr>
                <w:rFonts w:ascii="Arial Narrow" w:hAnsi="Arial Narrow"/>
                <w:color w:val="000000" w:themeColor="text1"/>
                <w:sz w:val="20"/>
                <w:szCs w:val="20"/>
              </w:rPr>
              <w:t xml:space="preserve">, </w:t>
            </w:r>
            <w:r w:rsidR="006F08EA" w:rsidRPr="00C13E80">
              <w:rPr>
                <w:rFonts w:ascii="Arial Narrow" w:hAnsi="Arial Narrow"/>
                <w:color w:val="000000" w:themeColor="text1"/>
                <w:sz w:val="20"/>
                <w:szCs w:val="20"/>
              </w:rPr>
              <w:t>40</w:t>
            </w:r>
          </w:p>
        </w:tc>
        <w:tc>
          <w:tcPr>
            <w:tcW w:w="2205" w:type="dxa"/>
            <w:vAlign w:val="center"/>
          </w:tcPr>
          <w:p w14:paraId="768CBFE8" w14:textId="7EBA3DDB" w:rsidR="002C36E3" w:rsidRPr="00C13E80" w:rsidRDefault="002C36E3" w:rsidP="00867128">
            <w:pPr>
              <w:pStyle w:val="TableText0"/>
              <w:rPr>
                <w:color w:val="000000" w:themeColor="text1"/>
              </w:rPr>
            </w:pPr>
            <w:r w:rsidRPr="00C13E80">
              <w:rPr>
                <w:color w:val="000000" w:themeColor="text1"/>
              </w:rPr>
              <w:t>$</w:t>
            </w:r>
            <w:r w:rsidR="00AD540A" w:rsidRPr="00C13E80">
              <w:rPr>
                <w:color w:val="000000" w:themeColor="text1"/>
              </w:rPr>
              <w:t>1,109.39</w:t>
            </w:r>
            <w:r w:rsidRPr="00C13E80">
              <w:rPr>
                <w:color w:val="000000" w:themeColor="text1"/>
              </w:rPr>
              <w:t xml:space="preserve"> published price</w:t>
            </w:r>
          </w:p>
          <w:p w14:paraId="70C2874A" w14:textId="226747FB" w:rsidR="002C36E3" w:rsidRPr="00C13E80" w:rsidRDefault="002C36E3" w:rsidP="00867128">
            <w:pPr>
              <w:pStyle w:val="TableText0"/>
              <w:rPr>
                <w:color w:val="000000" w:themeColor="text1"/>
                <w:szCs w:val="20"/>
              </w:rPr>
            </w:pPr>
            <w:r w:rsidRPr="00C13E80">
              <w:t>$</w:t>
            </w:r>
            <w:r w:rsidR="00573190" w:rsidRPr="00573190">
              <w:rPr>
                <w:color w:val="000000"/>
                <w:spacing w:val="40"/>
                <w:shd w:val="solid" w:color="000000" w:fill="000000"/>
                <w:fitText w:val="326" w:id="-1168357888"/>
                <w14:textFill>
                  <w14:solidFill>
                    <w14:srgbClr w14:val="000000">
                      <w14:alpha w14:val="100000"/>
                    </w14:srgbClr>
                  </w14:solidFill>
                </w14:textFill>
              </w:rPr>
              <w:t>|||</w:t>
            </w:r>
            <w:r w:rsidR="00573190" w:rsidRPr="00573190">
              <w:rPr>
                <w:color w:val="000000"/>
                <w:spacing w:val="27"/>
                <w:shd w:val="solid" w:color="000000" w:fill="000000"/>
                <w:fitText w:val="326" w:id="-1168357888"/>
                <w14:textFill>
                  <w14:solidFill>
                    <w14:srgbClr w14:val="000000">
                      <w14:alpha w14:val="100000"/>
                    </w14:srgbClr>
                  </w14:solidFill>
                </w14:textFill>
              </w:rPr>
              <w:t>|</w:t>
            </w:r>
            <w:r w:rsidRPr="00C13E80">
              <w:t xml:space="preserve"> effective price</w:t>
            </w:r>
          </w:p>
        </w:tc>
        <w:tc>
          <w:tcPr>
            <w:tcW w:w="812" w:type="dxa"/>
            <w:vAlign w:val="center"/>
          </w:tcPr>
          <w:p w14:paraId="71CD2441" w14:textId="6860AC16" w:rsidR="002C36E3" w:rsidRPr="00C13E80" w:rsidRDefault="006F08EA" w:rsidP="00867128">
            <w:pPr>
              <w:keepNext/>
              <w:jc w:val="center"/>
              <w:rPr>
                <w:rFonts w:ascii="Arial Narrow" w:hAnsi="Arial Narrow"/>
                <w:color w:val="000000" w:themeColor="text1"/>
                <w:sz w:val="20"/>
                <w:szCs w:val="20"/>
              </w:rPr>
            </w:pPr>
            <w:r w:rsidRPr="00C13E80">
              <w:rPr>
                <w:rFonts w:ascii="Arial Narrow" w:hAnsi="Arial Narrow"/>
                <w:color w:val="000000" w:themeColor="text1"/>
                <w:sz w:val="20"/>
              </w:rPr>
              <w:t>1</w:t>
            </w:r>
          </w:p>
        </w:tc>
        <w:tc>
          <w:tcPr>
            <w:tcW w:w="811" w:type="dxa"/>
            <w:vAlign w:val="center"/>
          </w:tcPr>
          <w:p w14:paraId="65F4D3E9" w14:textId="4375532A" w:rsidR="002C36E3" w:rsidRPr="00C13E80" w:rsidRDefault="00A5557E" w:rsidP="00867128">
            <w:pPr>
              <w:keepNext/>
              <w:jc w:val="center"/>
              <w:rPr>
                <w:rFonts w:ascii="Arial Narrow" w:hAnsi="Arial Narrow"/>
                <w:color w:val="000000" w:themeColor="text1"/>
                <w:sz w:val="20"/>
                <w:szCs w:val="20"/>
              </w:rPr>
            </w:pPr>
            <w:r w:rsidRPr="00C13E80">
              <w:rPr>
                <w:rFonts w:ascii="Arial Narrow" w:hAnsi="Arial Narrow"/>
                <w:color w:val="000000" w:themeColor="text1"/>
                <w:sz w:val="20"/>
              </w:rPr>
              <w:t>40</w:t>
            </w:r>
          </w:p>
        </w:tc>
        <w:tc>
          <w:tcPr>
            <w:tcW w:w="812" w:type="dxa"/>
            <w:vAlign w:val="center"/>
          </w:tcPr>
          <w:p w14:paraId="7C728D0C" w14:textId="48EB63A5" w:rsidR="002C36E3" w:rsidRPr="00C13E80" w:rsidRDefault="00A5557E" w:rsidP="00867128">
            <w:pPr>
              <w:keepNext/>
              <w:jc w:val="center"/>
              <w:rPr>
                <w:rFonts w:ascii="Arial Narrow" w:hAnsi="Arial Narrow"/>
                <w:color w:val="000000" w:themeColor="text1"/>
                <w:sz w:val="20"/>
                <w:szCs w:val="20"/>
              </w:rPr>
            </w:pPr>
            <w:r w:rsidRPr="00C13E80">
              <w:rPr>
                <w:rFonts w:ascii="Arial Narrow" w:hAnsi="Arial Narrow"/>
                <w:color w:val="000000" w:themeColor="text1"/>
                <w:sz w:val="20"/>
              </w:rPr>
              <w:t>0</w:t>
            </w:r>
          </w:p>
        </w:tc>
        <w:tc>
          <w:tcPr>
            <w:tcW w:w="1880" w:type="dxa"/>
            <w:vAlign w:val="center"/>
          </w:tcPr>
          <w:p w14:paraId="519A0BC8" w14:textId="55C637D1" w:rsidR="002C36E3" w:rsidRPr="00C13E80" w:rsidRDefault="00A5557E" w:rsidP="00867128">
            <w:pPr>
              <w:keepNext/>
              <w:jc w:val="left"/>
              <w:rPr>
                <w:rFonts w:ascii="Arial Narrow" w:hAnsi="Arial Narrow"/>
                <w:color w:val="000000" w:themeColor="text1"/>
                <w:sz w:val="20"/>
                <w:szCs w:val="20"/>
              </w:rPr>
            </w:pPr>
            <w:r w:rsidRPr="00C13E80">
              <w:rPr>
                <w:rFonts w:ascii="Arial Narrow" w:hAnsi="Arial Narrow"/>
                <w:color w:val="000000" w:themeColor="text1"/>
                <w:sz w:val="20"/>
                <w:szCs w:val="20"/>
              </w:rPr>
              <w:t>Lagevrio</w:t>
            </w:r>
          </w:p>
        </w:tc>
      </w:tr>
      <w:tr w:rsidR="000144F4" w:rsidRPr="00C13E80" w14:paraId="53928D11" w14:textId="77777777" w:rsidTr="000144F4">
        <w:trPr>
          <w:cantSplit/>
          <w:trHeight w:val="20"/>
        </w:trPr>
        <w:tc>
          <w:tcPr>
            <w:tcW w:w="9067" w:type="dxa"/>
            <w:gridSpan w:val="6"/>
            <w:vAlign w:val="center"/>
          </w:tcPr>
          <w:p w14:paraId="5A178693" w14:textId="6D0D66B7" w:rsidR="000144F4" w:rsidRPr="00C13E80" w:rsidRDefault="00F01518" w:rsidP="00867128">
            <w:pPr>
              <w:pStyle w:val="TableText0"/>
              <w:rPr>
                <w:u w:val="single"/>
              </w:rPr>
            </w:pPr>
            <w:r w:rsidRPr="00C13E80">
              <w:rPr>
                <w:u w:val="single"/>
              </w:rPr>
              <w:t>Prescriber bag</w:t>
            </w:r>
          </w:p>
        </w:tc>
      </w:tr>
      <w:tr w:rsidR="002C36E3" w:rsidRPr="00C13E80" w14:paraId="0FE79F0E" w14:textId="77777777">
        <w:trPr>
          <w:cantSplit/>
          <w:trHeight w:val="20"/>
        </w:trPr>
        <w:tc>
          <w:tcPr>
            <w:tcW w:w="2547" w:type="dxa"/>
            <w:vAlign w:val="center"/>
          </w:tcPr>
          <w:p w14:paraId="55284F9A" w14:textId="5EA86A01" w:rsidR="002C36E3" w:rsidRPr="00C13E80" w:rsidRDefault="00C93F58" w:rsidP="00867128">
            <w:pPr>
              <w:keepNext/>
              <w:rPr>
                <w:rFonts w:ascii="Arial Narrow" w:hAnsi="Arial Narrow"/>
                <w:color w:val="000000" w:themeColor="text1"/>
                <w:sz w:val="20"/>
                <w:szCs w:val="20"/>
              </w:rPr>
            </w:pPr>
            <w:r w:rsidRPr="00C13E80">
              <w:rPr>
                <w:rFonts w:ascii="Arial Narrow" w:hAnsi="Arial Narrow"/>
                <w:color w:val="000000" w:themeColor="text1"/>
                <w:sz w:val="20"/>
                <w:szCs w:val="20"/>
              </w:rPr>
              <w:t>Molnupiravir 200 mg capsule, 40</w:t>
            </w:r>
          </w:p>
        </w:tc>
        <w:tc>
          <w:tcPr>
            <w:tcW w:w="2205" w:type="dxa"/>
            <w:vAlign w:val="center"/>
          </w:tcPr>
          <w:p w14:paraId="05181557" w14:textId="77777777" w:rsidR="00FA100F" w:rsidRPr="00C13E80" w:rsidRDefault="00FA100F" w:rsidP="00867128">
            <w:pPr>
              <w:pStyle w:val="TableText0"/>
            </w:pPr>
            <w:r w:rsidRPr="00C13E80">
              <w:t>$2,191.42 published price</w:t>
            </w:r>
          </w:p>
          <w:p w14:paraId="0682AC07" w14:textId="18CA506E" w:rsidR="002C36E3" w:rsidRPr="00C13E80" w:rsidRDefault="00FA100F" w:rsidP="00867128">
            <w:pPr>
              <w:pStyle w:val="TableText0"/>
              <w:rPr>
                <w:i/>
                <w:iCs/>
                <w:color w:val="000000" w:themeColor="text1"/>
                <w:szCs w:val="20"/>
              </w:rPr>
            </w:pPr>
            <w:r w:rsidRPr="00C13E80">
              <w:rPr>
                <w:iCs/>
              </w:rPr>
              <w:t>$</w:t>
            </w:r>
            <w:r w:rsidR="00573190" w:rsidRPr="00573190">
              <w:rPr>
                <w:iCs/>
                <w:color w:val="000000"/>
                <w:spacing w:val="40"/>
                <w:shd w:val="solid" w:color="000000" w:fill="000000"/>
                <w:fitText w:val="326" w:id="-1168357887"/>
                <w14:textFill>
                  <w14:solidFill>
                    <w14:srgbClr w14:val="000000">
                      <w14:alpha w14:val="100000"/>
                    </w14:srgbClr>
                  </w14:solidFill>
                </w14:textFill>
              </w:rPr>
              <w:t>|||</w:t>
            </w:r>
            <w:r w:rsidR="00573190" w:rsidRPr="00573190">
              <w:rPr>
                <w:iCs/>
                <w:color w:val="000000"/>
                <w:spacing w:val="27"/>
                <w:shd w:val="solid" w:color="000000" w:fill="000000"/>
                <w:fitText w:val="326" w:id="-1168357887"/>
                <w14:textFill>
                  <w14:solidFill>
                    <w14:srgbClr w14:val="000000">
                      <w14:alpha w14:val="100000"/>
                    </w14:srgbClr>
                  </w14:solidFill>
                </w14:textFill>
              </w:rPr>
              <w:t>|</w:t>
            </w:r>
            <w:r w:rsidR="002C36E3" w:rsidRPr="00C13E80">
              <w:rPr>
                <w:iCs/>
              </w:rPr>
              <w:t xml:space="preserve"> effective price</w:t>
            </w:r>
            <w:r w:rsidR="00D1685D" w:rsidRPr="00C13E80">
              <w:rPr>
                <w:iCs/>
                <w:vertAlign w:val="superscript"/>
              </w:rPr>
              <w:t>a</w:t>
            </w:r>
          </w:p>
        </w:tc>
        <w:tc>
          <w:tcPr>
            <w:tcW w:w="812" w:type="dxa"/>
            <w:vAlign w:val="center"/>
          </w:tcPr>
          <w:p w14:paraId="5E0E3D4A" w14:textId="733AE5DA" w:rsidR="002C36E3" w:rsidRPr="00C13E80" w:rsidRDefault="00936D1D" w:rsidP="00867128">
            <w:pPr>
              <w:keepNext/>
              <w:jc w:val="center"/>
              <w:rPr>
                <w:rFonts w:ascii="Arial Narrow" w:hAnsi="Arial Narrow"/>
                <w:color w:val="000000" w:themeColor="text1"/>
                <w:sz w:val="20"/>
                <w:szCs w:val="20"/>
              </w:rPr>
            </w:pPr>
            <w:r w:rsidRPr="00C13E80">
              <w:rPr>
                <w:rFonts w:ascii="Arial Narrow" w:hAnsi="Arial Narrow"/>
                <w:color w:val="000000" w:themeColor="text1"/>
                <w:sz w:val="20"/>
              </w:rPr>
              <w:t>2</w:t>
            </w:r>
          </w:p>
        </w:tc>
        <w:tc>
          <w:tcPr>
            <w:tcW w:w="811" w:type="dxa"/>
            <w:vAlign w:val="center"/>
          </w:tcPr>
          <w:p w14:paraId="63523B4A" w14:textId="113EA890" w:rsidR="002C36E3" w:rsidRPr="00C13E80" w:rsidRDefault="00936D1D" w:rsidP="00867128">
            <w:pPr>
              <w:keepNext/>
              <w:jc w:val="center"/>
              <w:rPr>
                <w:rFonts w:ascii="Arial Narrow" w:hAnsi="Arial Narrow"/>
                <w:color w:val="000000" w:themeColor="text1"/>
                <w:sz w:val="20"/>
                <w:szCs w:val="20"/>
              </w:rPr>
            </w:pPr>
            <w:r w:rsidRPr="00C13E80">
              <w:rPr>
                <w:rFonts w:ascii="Arial Narrow" w:hAnsi="Arial Narrow"/>
                <w:color w:val="000000" w:themeColor="text1"/>
                <w:sz w:val="20"/>
              </w:rPr>
              <w:t>8</w:t>
            </w:r>
            <w:r w:rsidR="00C93F58" w:rsidRPr="00C13E80">
              <w:rPr>
                <w:rFonts w:ascii="Arial Narrow" w:hAnsi="Arial Narrow"/>
                <w:color w:val="000000" w:themeColor="text1"/>
                <w:sz w:val="20"/>
              </w:rPr>
              <w:t>0</w:t>
            </w:r>
          </w:p>
        </w:tc>
        <w:tc>
          <w:tcPr>
            <w:tcW w:w="812" w:type="dxa"/>
            <w:vAlign w:val="center"/>
          </w:tcPr>
          <w:p w14:paraId="64B965F0" w14:textId="58C44152" w:rsidR="002C36E3" w:rsidRPr="00C13E80" w:rsidRDefault="00C93F58" w:rsidP="00867128">
            <w:pPr>
              <w:keepNext/>
              <w:jc w:val="center"/>
              <w:rPr>
                <w:rFonts w:ascii="Arial Narrow" w:hAnsi="Arial Narrow"/>
                <w:color w:val="000000" w:themeColor="text1"/>
                <w:sz w:val="20"/>
                <w:szCs w:val="20"/>
              </w:rPr>
            </w:pPr>
            <w:r w:rsidRPr="00C13E80">
              <w:rPr>
                <w:rFonts w:ascii="Arial Narrow" w:hAnsi="Arial Narrow"/>
                <w:color w:val="000000" w:themeColor="text1"/>
                <w:sz w:val="20"/>
              </w:rPr>
              <w:t>0</w:t>
            </w:r>
          </w:p>
        </w:tc>
        <w:tc>
          <w:tcPr>
            <w:tcW w:w="1880" w:type="dxa"/>
            <w:vAlign w:val="center"/>
          </w:tcPr>
          <w:p w14:paraId="3788A325" w14:textId="4652B237" w:rsidR="002C36E3" w:rsidRPr="00C13E80" w:rsidRDefault="00C93F58" w:rsidP="00867128">
            <w:pPr>
              <w:keepNext/>
              <w:jc w:val="left"/>
              <w:rPr>
                <w:rFonts w:ascii="Arial Narrow" w:hAnsi="Arial Narrow"/>
                <w:color w:val="000000" w:themeColor="text1"/>
                <w:sz w:val="20"/>
                <w:szCs w:val="20"/>
              </w:rPr>
            </w:pPr>
            <w:r w:rsidRPr="00C13E80">
              <w:rPr>
                <w:rFonts w:ascii="Arial Narrow" w:hAnsi="Arial Narrow"/>
                <w:color w:val="000000" w:themeColor="text1"/>
                <w:sz w:val="20"/>
                <w:szCs w:val="20"/>
              </w:rPr>
              <w:t>Lagevrio</w:t>
            </w:r>
          </w:p>
        </w:tc>
      </w:tr>
    </w:tbl>
    <w:bookmarkEnd w:id="17"/>
    <w:p w14:paraId="3DC3A04A" w14:textId="038519EC" w:rsidR="00AC793D" w:rsidRPr="00C13E80" w:rsidRDefault="00D1685D" w:rsidP="00867128">
      <w:pPr>
        <w:pStyle w:val="TableFooter"/>
        <w:keepNext/>
      </w:pPr>
      <w:r w:rsidRPr="00C13E80">
        <w:t>a.</w:t>
      </w:r>
      <w:r w:rsidR="00AC793D" w:rsidRPr="00C13E80">
        <w:t xml:space="preserve"> </w:t>
      </w:r>
      <w:r w:rsidR="002522AD" w:rsidRPr="00C13E80">
        <w:rPr>
          <w:color w:val="000000" w:themeColor="text1"/>
        </w:rPr>
        <w:t>An incorrect Administration, Handling and Infrastructure (AHI) fee was applied in the calculation of the effective dispensed price for the prescriber bag listing in the submission. This was corrected during the evaluation.</w:t>
      </w:r>
    </w:p>
    <w:p w14:paraId="3B2750D5" w14:textId="60FD9C9D" w:rsidR="00EA785E" w:rsidRPr="00C13E80" w:rsidRDefault="006F638C" w:rsidP="005B5781">
      <w:pPr>
        <w:pStyle w:val="TableFooter"/>
        <w:spacing w:after="120"/>
      </w:pPr>
      <w:r w:rsidRPr="00C13E80">
        <w:t>Source: Table 1.4-1 p24 of the submission</w:t>
      </w:r>
    </w:p>
    <w:p w14:paraId="74EE6791" w14:textId="40183479" w:rsidR="00627D9B" w:rsidRPr="00C13E80" w:rsidRDefault="00627D9B" w:rsidP="000B6463">
      <w:pPr>
        <w:pStyle w:val="TableFigureHeading"/>
        <w:rPr>
          <w:rStyle w:val="CommentReference"/>
          <w:b/>
          <w:szCs w:val="24"/>
        </w:rPr>
      </w:pPr>
      <w:bookmarkStart w:id="18" w:name="_Ref134029963"/>
      <w:r w:rsidRPr="00C13E80">
        <w:t xml:space="preserve">Table </w:t>
      </w:r>
      <w:r w:rsidR="00567EAC">
        <w:fldChar w:fldCharType="begin" w:fldLock="1"/>
      </w:r>
      <w:r w:rsidR="00567EAC">
        <w:instrText xml:space="preserve"> SEQ Table \* ARABIC </w:instrText>
      </w:r>
      <w:r w:rsidR="00567EAC">
        <w:fldChar w:fldCharType="separate"/>
      </w:r>
      <w:r w:rsidR="00701DEF">
        <w:rPr>
          <w:noProof/>
        </w:rPr>
        <w:t>3</w:t>
      </w:r>
      <w:r w:rsidR="00567EAC">
        <w:rPr>
          <w:noProof/>
        </w:rPr>
        <w:fldChar w:fldCharType="end"/>
      </w:r>
      <w:bookmarkEnd w:id="18"/>
      <w:r w:rsidRPr="00C13E80">
        <w:t>:</w:t>
      </w:r>
      <w:r w:rsidR="00A85C10" w:rsidRPr="00C13E80">
        <w:rPr>
          <w:rStyle w:val="CommentReference"/>
          <w:b/>
          <w:szCs w:val="24"/>
        </w:rPr>
        <w:tab/>
        <w:t>Restriction</w:t>
      </w:r>
      <w:r w:rsidR="007C408F" w:rsidRPr="00C13E80">
        <w:rPr>
          <w:rStyle w:val="CommentReference"/>
          <w:b/>
          <w:szCs w:val="24"/>
        </w:rPr>
        <w:t xml:space="preserve">s applying for </w:t>
      </w:r>
      <w:r w:rsidR="004B4C3A" w:rsidRPr="00C13E80">
        <w:rPr>
          <w:rStyle w:val="CommentReference"/>
          <w:b/>
          <w:szCs w:val="24"/>
        </w:rPr>
        <w:t>molnupiravir</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67"/>
      </w:tblGrid>
      <w:tr w:rsidR="003A4C14" w:rsidRPr="00C13E80" w14:paraId="3EE8ABAE" w14:textId="77777777" w:rsidTr="007E6EBF">
        <w:trPr>
          <w:trHeight w:val="20"/>
        </w:trPr>
        <w:tc>
          <w:tcPr>
            <w:tcW w:w="5000" w:type="pct"/>
          </w:tcPr>
          <w:p w14:paraId="3B622315" w14:textId="3674A231" w:rsidR="003A4C14" w:rsidRPr="00C13E80" w:rsidRDefault="003A4C14" w:rsidP="000B6463">
            <w:pPr>
              <w:pStyle w:val="TableText0"/>
            </w:pPr>
            <w:bookmarkStart w:id="19" w:name="_Hlk104809470"/>
            <w:r w:rsidRPr="00C13E80">
              <w:rPr>
                <w:b/>
              </w:rPr>
              <w:t xml:space="preserve">Category / Program: </w:t>
            </w:r>
            <w:r w:rsidRPr="00C13E80">
              <w:t>General Schedule</w:t>
            </w:r>
          </w:p>
        </w:tc>
      </w:tr>
      <w:tr w:rsidR="003A4C14" w:rsidRPr="00C13E80" w14:paraId="09416ED3" w14:textId="77777777" w:rsidTr="007E6EBF">
        <w:trPr>
          <w:trHeight w:val="20"/>
        </w:trPr>
        <w:tc>
          <w:tcPr>
            <w:tcW w:w="5000" w:type="pct"/>
          </w:tcPr>
          <w:p w14:paraId="7D2ED8D5" w14:textId="34E897E2" w:rsidR="003A4C14" w:rsidRPr="00C13E80" w:rsidRDefault="003A4C14" w:rsidP="000B6463">
            <w:pPr>
              <w:pStyle w:val="TableText0"/>
              <w:rPr>
                <w:b/>
              </w:rPr>
            </w:pPr>
            <w:r w:rsidRPr="00C13E80">
              <w:rPr>
                <w:b/>
              </w:rPr>
              <w:t xml:space="preserve">Prescriber type: </w:t>
            </w:r>
            <w:r w:rsidRPr="00C13E80">
              <w:fldChar w:fldCharType="begin" w:fldLock="1">
                <w:ffData>
                  <w:name w:val="Check1"/>
                  <w:enabled/>
                  <w:calcOnExit w:val="0"/>
                  <w:checkBox>
                    <w:sizeAuto/>
                    <w:default w:val="0"/>
                  </w:checkBox>
                </w:ffData>
              </w:fldChar>
            </w:r>
            <w:r w:rsidRPr="00C13E80">
              <w:instrText xml:space="preserve"> FORMCHECKBOX </w:instrText>
            </w:r>
            <w:r w:rsidR="00567EAC">
              <w:fldChar w:fldCharType="separate"/>
            </w:r>
            <w:r w:rsidRPr="00C13E80">
              <w:fldChar w:fldCharType="end"/>
            </w:r>
            <w:r w:rsidRPr="00C13E80">
              <w:t xml:space="preserve">Dental </w:t>
            </w:r>
            <w:r w:rsidR="004E0E75" w:rsidRPr="00C13E80">
              <w:fldChar w:fldCharType="begin" w:fldLock="1">
                <w:ffData>
                  <w:name w:val=""/>
                  <w:enabled/>
                  <w:calcOnExit w:val="0"/>
                  <w:checkBox>
                    <w:sizeAuto/>
                    <w:default w:val="1"/>
                  </w:checkBox>
                </w:ffData>
              </w:fldChar>
            </w:r>
            <w:r w:rsidR="004E0E75" w:rsidRPr="00C13E80">
              <w:instrText xml:space="preserve"> FORMCHECKBOX </w:instrText>
            </w:r>
            <w:r w:rsidR="00567EAC">
              <w:fldChar w:fldCharType="separate"/>
            </w:r>
            <w:r w:rsidR="004E0E75" w:rsidRPr="00C13E80">
              <w:fldChar w:fldCharType="end"/>
            </w:r>
            <w:r w:rsidRPr="00C13E80">
              <w:t xml:space="preserve">Medical Practitioners </w:t>
            </w:r>
            <w:r w:rsidR="004E0E75" w:rsidRPr="00C13E80">
              <w:fldChar w:fldCharType="begin" w:fldLock="1">
                <w:ffData>
                  <w:name w:val=""/>
                  <w:enabled/>
                  <w:calcOnExit w:val="0"/>
                  <w:checkBox>
                    <w:sizeAuto/>
                    <w:default w:val="1"/>
                  </w:checkBox>
                </w:ffData>
              </w:fldChar>
            </w:r>
            <w:r w:rsidR="004E0E75" w:rsidRPr="00C13E80">
              <w:instrText xml:space="preserve"> FORMCHECKBOX </w:instrText>
            </w:r>
            <w:r w:rsidR="00567EAC">
              <w:fldChar w:fldCharType="separate"/>
            </w:r>
            <w:r w:rsidR="004E0E75" w:rsidRPr="00C13E80">
              <w:fldChar w:fldCharType="end"/>
            </w:r>
            <w:r w:rsidRPr="00C13E80">
              <w:t xml:space="preserve">Nurse practitioners </w:t>
            </w:r>
            <w:r w:rsidRPr="00C13E80">
              <w:fldChar w:fldCharType="begin" w:fldLock="1">
                <w:ffData>
                  <w:name w:val=""/>
                  <w:enabled/>
                  <w:calcOnExit w:val="0"/>
                  <w:checkBox>
                    <w:sizeAuto/>
                    <w:default w:val="0"/>
                  </w:checkBox>
                </w:ffData>
              </w:fldChar>
            </w:r>
            <w:r w:rsidRPr="00C13E80">
              <w:instrText xml:space="preserve"> FORMCHECKBOX </w:instrText>
            </w:r>
            <w:r w:rsidR="00567EAC">
              <w:fldChar w:fldCharType="separate"/>
            </w:r>
            <w:r w:rsidRPr="00C13E80">
              <w:fldChar w:fldCharType="end"/>
            </w:r>
            <w:r w:rsidRPr="00C13E80">
              <w:t xml:space="preserve">Optometrists </w:t>
            </w:r>
            <w:r w:rsidRPr="00C13E80">
              <w:fldChar w:fldCharType="begin" w:fldLock="1">
                <w:ffData>
                  <w:name w:val="Check5"/>
                  <w:enabled/>
                  <w:calcOnExit w:val="0"/>
                  <w:checkBox>
                    <w:sizeAuto/>
                    <w:default w:val="0"/>
                  </w:checkBox>
                </w:ffData>
              </w:fldChar>
            </w:r>
            <w:r w:rsidRPr="00C13E80">
              <w:instrText xml:space="preserve"> FORMCHECKBOX </w:instrText>
            </w:r>
            <w:r w:rsidR="00567EAC">
              <w:fldChar w:fldCharType="separate"/>
            </w:r>
            <w:r w:rsidRPr="00C13E80">
              <w:fldChar w:fldCharType="end"/>
            </w:r>
          </w:p>
        </w:tc>
      </w:tr>
      <w:tr w:rsidR="003A4C14" w:rsidRPr="00C13E80" w14:paraId="070CFDD2" w14:textId="77777777" w:rsidTr="007E6EBF">
        <w:trPr>
          <w:trHeight w:val="20"/>
        </w:trPr>
        <w:tc>
          <w:tcPr>
            <w:tcW w:w="5000" w:type="pct"/>
          </w:tcPr>
          <w:p w14:paraId="3320A955" w14:textId="41283C49" w:rsidR="003A4C14" w:rsidRPr="00C13E80" w:rsidRDefault="003A4C14" w:rsidP="000B6463">
            <w:pPr>
              <w:pStyle w:val="TableText0"/>
              <w:rPr>
                <w:color w:val="000000" w:themeColor="text1"/>
              </w:rPr>
            </w:pPr>
            <w:r w:rsidRPr="00C13E80">
              <w:rPr>
                <w:b/>
                <w:color w:val="000000" w:themeColor="text1"/>
              </w:rPr>
              <w:t xml:space="preserve">Restriction type: </w:t>
            </w:r>
            <w:r w:rsidRPr="00C13E80">
              <w:rPr>
                <w:rFonts w:eastAsia="Times New Roman"/>
                <w:color w:val="000000" w:themeColor="text1"/>
              </w:rPr>
              <w:br/>
            </w:r>
            <w:r w:rsidR="006E1CCE" w:rsidRPr="00C13E80">
              <w:rPr>
                <w:rFonts w:eastAsia="Times New Roman"/>
                <w:color w:val="000000" w:themeColor="text1"/>
              </w:rPr>
              <w:fldChar w:fldCharType="begin" w:fldLock="1">
                <w:ffData>
                  <w:name w:val=""/>
                  <w:enabled/>
                  <w:calcOnExit w:val="0"/>
                  <w:checkBox>
                    <w:sizeAuto/>
                    <w:default w:val="1"/>
                  </w:checkBox>
                </w:ffData>
              </w:fldChar>
            </w:r>
            <w:r w:rsidR="006E1CCE" w:rsidRPr="00C13E80">
              <w:rPr>
                <w:rFonts w:eastAsia="Times New Roman"/>
                <w:color w:val="000000" w:themeColor="text1"/>
              </w:rPr>
              <w:instrText xml:space="preserve"> FORMCHECKBOX </w:instrText>
            </w:r>
            <w:r w:rsidR="00567EAC">
              <w:rPr>
                <w:rFonts w:eastAsia="Times New Roman"/>
                <w:color w:val="000000" w:themeColor="text1"/>
              </w:rPr>
            </w:r>
            <w:r w:rsidR="00567EAC">
              <w:rPr>
                <w:rFonts w:eastAsia="Times New Roman"/>
                <w:color w:val="000000" w:themeColor="text1"/>
              </w:rPr>
              <w:fldChar w:fldCharType="separate"/>
            </w:r>
            <w:r w:rsidR="006E1CCE" w:rsidRPr="00C13E80">
              <w:rPr>
                <w:rFonts w:eastAsia="Times New Roman"/>
                <w:color w:val="000000" w:themeColor="text1"/>
              </w:rPr>
              <w:fldChar w:fldCharType="end"/>
            </w:r>
            <w:r w:rsidRPr="00C13E80">
              <w:rPr>
                <w:rFonts w:eastAsia="Times New Roman"/>
                <w:color w:val="000000" w:themeColor="text1"/>
              </w:rPr>
              <w:t xml:space="preserve">Authority Required (STREAMLINED) </w:t>
            </w:r>
          </w:p>
        </w:tc>
      </w:tr>
      <w:tr w:rsidR="003A4C14" w:rsidRPr="00C13E80" w14:paraId="520BD548" w14:textId="77777777" w:rsidTr="007E6EBF">
        <w:trPr>
          <w:trHeight w:val="20"/>
        </w:trPr>
        <w:tc>
          <w:tcPr>
            <w:tcW w:w="5000" w:type="pct"/>
            <w:vAlign w:val="center"/>
          </w:tcPr>
          <w:p w14:paraId="3B69D5F8" w14:textId="77777777" w:rsidR="008643F8" w:rsidRPr="00C13E80" w:rsidRDefault="003A4C14" w:rsidP="00CD5F0E">
            <w:pPr>
              <w:pStyle w:val="TableText0"/>
              <w:keepNext w:val="0"/>
              <w:rPr>
                <w:bCs w:val="0"/>
              </w:rPr>
            </w:pPr>
            <w:r w:rsidRPr="00C13E80">
              <w:rPr>
                <w:b/>
              </w:rPr>
              <w:t>Administrative Advice:</w:t>
            </w:r>
            <w:r w:rsidR="008643F8" w:rsidRPr="00C13E80">
              <w:rPr>
                <w:b/>
              </w:rPr>
              <w:br/>
            </w:r>
            <w:r w:rsidR="008643F8" w:rsidRPr="00C13E80">
              <w:rPr>
                <w:bCs w:val="0"/>
              </w:rPr>
              <w:t xml:space="preserve">Note: No increase in the maximum quantity or number of units may be authorised. </w:t>
            </w:r>
          </w:p>
          <w:p w14:paraId="66426E4C" w14:textId="77777777" w:rsidR="008643F8" w:rsidRPr="00C13E80" w:rsidRDefault="008643F8" w:rsidP="00CD5F0E">
            <w:pPr>
              <w:pStyle w:val="TableText0"/>
              <w:keepNext w:val="0"/>
              <w:rPr>
                <w:bCs w:val="0"/>
              </w:rPr>
            </w:pPr>
            <w:r w:rsidRPr="00C13E80">
              <w:rPr>
                <w:bCs w:val="0"/>
              </w:rPr>
              <w:t xml:space="preserve">Note: No increase in the maximum number of repeats may be authorised. </w:t>
            </w:r>
          </w:p>
          <w:p w14:paraId="1D8E4655" w14:textId="43BA1639" w:rsidR="008643F8" w:rsidRPr="00C13E80" w:rsidRDefault="00165B1A" w:rsidP="00CD5F0E">
            <w:pPr>
              <w:pStyle w:val="TableText0"/>
              <w:keepNext w:val="0"/>
              <w:rPr>
                <w:bCs w:val="0"/>
              </w:rPr>
            </w:pPr>
            <w:r w:rsidRPr="00C13E80">
              <w:rPr>
                <w:bCs w:val="0"/>
              </w:rPr>
              <w:t xml:space="preserve">Note: </w:t>
            </w:r>
            <w:r w:rsidR="008643F8" w:rsidRPr="00C13E80">
              <w:rPr>
                <w:bCs w:val="0"/>
              </w:rPr>
              <w:t xml:space="preserve">This drug should be considered for use only if nirmatrelvir (&amp;) ritonavir is contraindicated or otherwise unsuitable. </w:t>
            </w:r>
          </w:p>
          <w:p w14:paraId="200DF20E" w14:textId="04BE617A" w:rsidR="003A4C14" w:rsidRPr="00C13E80" w:rsidRDefault="008643F8" w:rsidP="00CD5F0E">
            <w:pPr>
              <w:pStyle w:val="TableText0"/>
              <w:keepNext w:val="0"/>
              <w:rPr>
                <w:b/>
              </w:rPr>
            </w:pPr>
            <w:r w:rsidRPr="00C13E80">
              <w:rPr>
                <w:bCs w:val="0"/>
                <w:i/>
                <w:iCs/>
              </w:rPr>
              <w:t>Note: Special Pricing Arrangements apply</w:t>
            </w:r>
          </w:p>
        </w:tc>
      </w:tr>
      <w:tr w:rsidR="003A4C14" w:rsidRPr="00C13E80" w14:paraId="5BFE3347" w14:textId="77777777" w:rsidTr="007E6EBF">
        <w:trPr>
          <w:trHeight w:val="20"/>
        </w:trPr>
        <w:tc>
          <w:tcPr>
            <w:tcW w:w="5000" w:type="pct"/>
            <w:vAlign w:val="center"/>
            <w:hideMark/>
          </w:tcPr>
          <w:p w14:paraId="3296BDDA" w14:textId="3CF11C6B" w:rsidR="003A4C14" w:rsidRPr="00C13E80" w:rsidRDefault="003A4C14" w:rsidP="00CD5F0E">
            <w:pPr>
              <w:pStyle w:val="TableText0"/>
              <w:keepNext w:val="0"/>
            </w:pPr>
            <w:r w:rsidRPr="00C13E80">
              <w:rPr>
                <w:b/>
              </w:rPr>
              <w:t>Indication:</w:t>
            </w:r>
            <w:r w:rsidRPr="00C13E80">
              <w:rPr>
                <w:color w:val="000000" w:themeColor="text1"/>
              </w:rPr>
              <w:t xml:space="preserve"> </w:t>
            </w:r>
            <w:r w:rsidR="00717275" w:rsidRPr="00C13E80">
              <w:rPr>
                <w:color w:val="000000" w:themeColor="text1"/>
              </w:rPr>
              <w:t>SARS-CoV-2 infection</w:t>
            </w:r>
          </w:p>
        </w:tc>
      </w:tr>
      <w:tr w:rsidR="000571D5" w:rsidRPr="00C13E80" w14:paraId="1000C4CD" w14:textId="77777777" w:rsidTr="007E6EBF">
        <w:trPr>
          <w:trHeight w:val="20"/>
        </w:trPr>
        <w:tc>
          <w:tcPr>
            <w:tcW w:w="5000" w:type="pct"/>
            <w:vAlign w:val="center"/>
          </w:tcPr>
          <w:p w14:paraId="5FF6895E" w14:textId="77777777" w:rsidR="000571D5" w:rsidRPr="00C13E80" w:rsidRDefault="000571D5" w:rsidP="00CD5F0E">
            <w:pPr>
              <w:pStyle w:val="TableText0"/>
              <w:keepNext w:val="0"/>
              <w:rPr>
                <w:b/>
              </w:rPr>
            </w:pPr>
            <w:r w:rsidRPr="00C13E80">
              <w:rPr>
                <w:b/>
              </w:rPr>
              <w:t>13759</w:t>
            </w:r>
          </w:p>
        </w:tc>
      </w:tr>
      <w:tr w:rsidR="000571D5" w:rsidRPr="00C13E80" w14:paraId="49CDB773" w14:textId="77777777" w:rsidTr="007E6EBF">
        <w:trPr>
          <w:trHeight w:val="20"/>
        </w:trPr>
        <w:tc>
          <w:tcPr>
            <w:tcW w:w="5000" w:type="pct"/>
            <w:vAlign w:val="center"/>
          </w:tcPr>
          <w:p w14:paraId="088AA44C" w14:textId="77777777" w:rsidR="000571D5" w:rsidRPr="00C13E80" w:rsidRDefault="000571D5" w:rsidP="00CD5F0E">
            <w:pPr>
              <w:pStyle w:val="TableText0"/>
              <w:keepNext w:val="0"/>
              <w:rPr>
                <w:b/>
              </w:rPr>
            </w:pPr>
            <w:r w:rsidRPr="00C13E80">
              <w:rPr>
                <w:b/>
              </w:rPr>
              <w:t xml:space="preserve">Indication: </w:t>
            </w:r>
            <w:r w:rsidRPr="00C13E80">
              <w:rPr>
                <w:bCs w:val="0"/>
              </w:rPr>
              <w:t>SARS-CoV-2 infection</w:t>
            </w:r>
          </w:p>
        </w:tc>
      </w:tr>
      <w:tr w:rsidR="000571D5" w:rsidRPr="00C13E80" w14:paraId="466B5F1B" w14:textId="77777777" w:rsidTr="007E6EBF">
        <w:trPr>
          <w:trHeight w:val="20"/>
        </w:trPr>
        <w:tc>
          <w:tcPr>
            <w:tcW w:w="5000" w:type="pct"/>
            <w:vAlign w:val="center"/>
            <w:hideMark/>
          </w:tcPr>
          <w:p w14:paraId="74038753" w14:textId="77777777" w:rsidR="000571D5" w:rsidRPr="00C13E80" w:rsidRDefault="000571D5" w:rsidP="00CD5F0E">
            <w:pPr>
              <w:pStyle w:val="TableText0"/>
              <w:keepNext w:val="0"/>
            </w:pPr>
            <w:r w:rsidRPr="00C13E80">
              <w:rPr>
                <w:b/>
              </w:rPr>
              <w:t>Clinical criteria:</w:t>
            </w:r>
          </w:p>
        </w:tc>
      </w:tr>
      <w:tr w:rsidR="000571D5" w:rsidRPr="00C13E80" w14:paraId="1FD173B8" w14:textId="77777777" w:rsidTr="007E6EBF">
        <w:trPr>
          <w:trHeight w:val="20"/>
        </w:trPr>
        <w:tc>
          <w:tcPr>
            <w:tcW w:w="5000" w:type="pct"/>
            <w:vAlign w:val="center"/>
            <w:hideMark/>
          </w:tcPr>
          <w:p w14:paraId="202C74A3" w14:textId="77777777" w:rsidR="000571D5" w:rsidRPr="00C13E80" w:rsidRDefault="000571D5" w:rsidP="00CD5F0E">
            <w:pPr>
              <w:pStyle w:val="TableText0"/>
              <w:keepNext w:val="0"/>
            </w:pPr>
            <w:r w:rsidRPr="00C13E80">
              <w:t>Patient must have received a positive polymerase chain reaction (PCR) test result; OR</w:t>
            </w:r>
          </w:p>
          <w:p w14:paraId="64836548" w14:textId="77777777" w:rsidR="000571D5" w:rsidRPr="00C13E80" w:rsidRDefault="000571D5" w:rsidP="00CD5F0E">
            <w:pPr>
              <w:pStyle w:val="TableText0"/>
              <w:keepNext w:val="0"/>
            </w:pPr>
            <w:r w:rsidRPr="00C13E80">
              <w:t>Patient must have received a positive rapid antigen test (RAT) result,</w:t>
            </w:r>
          </w:p>
        </w:tc>
      </w:tr>
      <w:tr w:rsidR="000571D5" w:rsidRPr="00C13E80" w14:paraId="5EF72342" w14:textId="77777777" w:rsidTr="007E6EBF">
        <w:trPr>
          <w:trHeight w:val="20"/>
        </w:trPr>
        <w:tc>
          <w:tcPr>
            <w:tcW w:w="5000" w:type="pct"/>
            <w:vAlign w:val="center"/>
            <w:hideMark/>
          </w:tcPr>
          <w:p w14:paraId="41511749" w14:textId="77777777" w:rsidR="000571D5" w:rsidRPr="00C13E80" w:rsidRDefault="000571D5" w:rsidP="00CD5F0E">
            <w:pPr>
              <w:pStyle w:val="TableText0"/>
              <w:keepNext w:val="0"/>
            </w:pPr>
            <w:r w:rsidRPr="00C13E80">
              <w:rPr>
                <w:b/>
              </w:rPr>
              <w:t>AND</w:t>
            </w:r>
          </w:p>
        </w:tc>
      </w:tr>
      <w:tr w:rsidR="000571D5" w:rsidRPr="00C13E80" w14:paraId="7866392B" w14:textId="77777777" w:rsidTr="007E6EBF">
        <w:trPr>
          <w:trHeight w:val="20"/>
        </w:trPr>
        <w:tc>
          <w:tcPr>
            <w:tcW w:w="5000" w:type="pct"/>
            <w:vAlign w:val="center"/>
            <w:hideMark/>
          </w:tcPr>
          <w:p w14:paraId="4A108FB7" w14:textId="77777777" w:rsidR="000571D5" w:rsidRPr="00C13E80" w:rsidRDefault="000571D5" w:rsidP="00CD5F0E">
            <w:pPr>
              <w:pStyle w:val="TableText0"/>
              <w:keepNext w:val="0"/>
            </w:pPr>
            <w:r w:rsidRPr="00C13E80">
              <w:t>Patient must not require hospitalisation for COVID-19 infection at the time of prescribing,</w:t>
            </w:r>
          </w:p>
        </w:tc>
      </w:tr>
      <w:tr w:rsidR="000571D5" w:rsidRPr="00C13E80" w14:paraId="580A4479" w14:textId="77777777" w:rsidTr="007E6EBF">
        <w:trPr>
          <w:trHeight w:val="20"/>
        </w:trPr>
        <w:tc>
          <w:tcPr>
            <w:tcW w:w="5000" w:type="pct"/>
            <w:vAlign w:val="center"/>
            <w:hideMark/>
          </w:tcPr>
          <w:p w14:paraId="04AC10B9" w14:textId="77777777" w:rsidR="000571D5" w:rsidRPr="00C13E80" w:rsidRDefault="000571D5" w:rsidP="00CD5F0E">
            <w:pPr>
              <w:pStyle w:val="TableText0"/>
              <w:keepNext w:val="0"/>
              <w:rPr>
                <w:b/>
              </w:rPr>
            </w:pPr>
            <w:r w:rsidRPr="00C13E80">
              <w:rPr>
                <w:b/>
                <w:bCs w:val="0"/>
              </w:rPr>
              <w:t>AND</w:t>
            </w:r>
          </w:p>
        </w:tc>
      </w:tr>
      <w:tr w:rsidR="000571D5" w:rsidRPr="00C13E80" w14:paraId="1D06B81C" w14:textId="77777777" w:rsidTr="007E6EBF">
        <w:trPr>
          <w:trHeight w:val="20"/>
        </w:trPr>
        <w:tc>
          <w:tcPr>
            <w:tcW w:w="5000" w:type="pct"/>
            <w:vAlign w:val="center"/>
          </w:tcPr>
          <w:p w14:paraId="1CF1C9CC" w14:textId="77777777" w:rsidR="000571D5" w:rsidRPr="00C13E80" w:rsidRDefault="000571D5" w:rsidP="00CD5F0E">
            <w:pPr>
              <w:pStyle w:val="TableText0"/>
              <w:keepNext w:val="0"/>
            </w:pPr>
            <w:r w:rsidRPr="00C13E80">
              <w:t>The treatment must be initiated within 5 days of symptom onset; OR</w:t>
            </w:r>
          </w:p>
          <w:p w14:paraId="02D769E9" w14:textId="77777777" w:rsidR="000571D5" w:rsidRPr="00C13E80" w:rsidRDefault="000571D5" w:rsidP="00CD5F0E">
            <w:pPr>
              <w:pStyle w:val="TableText0"/>
              <w:keepNext w:val="0"/>
            </w:pPr>
            <w:r w:rsidRPr="00C13E80">
              <w:t xml:space="preserve">The treatment must be initiated as soon as possible after a diagnosis is confirmed where asymptomatic. </w:t>
            </w:r>
          </w:p>
        </w:tc>
      </w:tr>
      <w:tr w:rsidR="000571D5" w:rsidRPr="00C13E80" w14:paraId="7AE3EC49" w14:textId="77777777" w:rsidTr="007E6EBF">
        <w:trPr>
          <w:trHeight w:val="20"/>
        </w:trPr>
        <w:tc>
          <w:tcPr>
            <w:tcW w:w="5000" w:type="pct"/>
            <w:vAlign w:val="center"/>
            <w:hideMark/>
          </w:tcPr>
          <w:p w14:paraId="25D1C0F3" w14:textId="77777777" w:rsidR="000571D5" w:rsidRPr="00C13E80" w:rsidRDefault="000571D5" w:rsidP="00CD5F0E">
            <w:pPr>
              <w:pStyle w:val="TableText0"/>
              <w:keepNext w:val="0"/>
            </w:pPr>
            <w:r w:rsidRPr="00C13E80">
              <w:rPr>
                <w:b/>
              </w:rPr>
              <w:t>Population criteria:</w:t>
            </w:r>
          </w:p>
        </w:tc>
      </w:tr>
      <w:tr w:rsidR="000571D5" w:rsidRPr="00C13E80" w14:paraId="56D06532" w14:textId="77777777" w:rsidTr="007E6EBF">
        <w:trPr>
          <w:trHeight w:val="20"/>
        </w:trPr>
        <w:tc>
          <w:tcPr>
            <w:tcW w:w="5000" w:type="pct"/>
            <w:vAlign w:val="center"/>
          </w:tcPr>
          <w:p w14:paraId="14ECADB3" w14:textId="77777777" w:rsidR="000571D5" w:rsidRPr="00C13E80" w:rsidRDefault="000571D5" w:rsidP="00CD5F0E">
            <w:pPr>
              <w:pStyle w:val="TableText0"/>
              <w:keepNext w:val="0"/>
            </w:pPr>
            <w:r w:rsidRPr="00C13E80">
              <w:t>Patient must be at least 70 years of age.</w:t>
            </w:r>
          </w:p>
        </w:tc>
      </w:tr>
      <w:tr w:rsidR="000571D5" w:rsidRPr="00C13E80" w14:paraId="6B70F851" w14:textId="77777777" w:rsidTr="007E6EBF">
        <w:trPr>
          <w:trHeight w:val="20"/>
        </w:trPr>
        <w:tc>
          <w:tcPr>
            <w:tcW w:w="5000" w:type="pct"/>
            <w:vAlign w:val="center"/>
          </w:tcPr>
          <w:p w14:paraId="13C71FB6" w14:textId="77777777" w:rsidR="000571D5" w:rsidRPr="00C13E80" w:rsidRDefault="000571D5" w:rsidP="00CD5F0E">
            <w:pPr>
              <w:pStyle w:val="TableText0"/>
              <w:keepNext w:val="0"/>
            </w:pPr>
            <w:r w:rsidRPr="00C13E80">
              <w:t xml:space="preserve">Access to this drug through this restriction is permitted irrespective of vaccination status. </w:t>
            </w:r>
          </w:p>
          <w:p w14:paraId="591835D9" w14:textId="77777777" w:rsidR="000571D5" w:rsidRPr="00C13E80" w:rsidRDefault="000571D5" w:rsidP="00CD5F0E">
            <w:pPr>
              <w:pStyle w:val="TableText0"/>
              <w:keepNext w:val="0"/>
            </w:pPr>
            <w:r w:rsidRPr="00C13E80">
              <w:t>Where PCR is used to confirm diagnosis, the result, testing date, location and test provider must be recorded on the patient record.</w:t>
            </w:r>
          </w:p>
          <w:p w14:paraId="10D6B088" w14:textId="77777777" w:rsidR="000571D5" w:rsidRPr="00C13E80" w:rsidRDefault="000571D5" w:rsidP="00CD5F0E">
            <w:pPr>
              <w:pStyle w:val="TableText0"/>
              <w:keepNext w:val="0"/>
            </w:pPr>
            <w:r w:rsidRPr="00C13E80">
              <w:t>Where a RAT is used to confirm diagnosis, available information about the test result, testing date, location and test provider (where relevant) must be recorded on the patient record.</w:t>
            </w:r>
          </w:p>
          <w:p w14:paraId="173F1E10" w14:textId="77777777" w:rsidR="000571D5" w:rsidRPr="00C13E80" w:rsidRDefault="000571D5" w:rsidP="00CD5F0E">
            <w:pPr>
              <w:pStyle w:val="TableText0"/>
              <w:keepNext w:val="0"/>
            </w:pPr>
            <w:r w:rsidRPr="00C13E80">
              <w:t>This drug is not PBS-subsidised for pre-exposure or post-exposure prophylaxis for the prevention of SARS-CoV-2 infection.</w:t>
            </w:r>
          </w:p>
        </w:tc>
      </w:tr>
      <w:tr w:rsidR="000571D5" w:rsidRPr="00C13E80" w14:paraId="78A82837"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7F33794" w14:textId="77777777" w:rsidR="000571D5" w:rsidRPr="00C13E80" w:rsidRDefault="000571D5" w:rsidP="00CD5F0E">
            <w:pPr>
              <w:pStyle w:val="TableText0"/>
              <w:keepNext w:val="0"/>
              <w:rPr>
                <w:b/>
                <w:bCs w:val="0"/>
              </w:rPr>
            </w:pPr>
            <w:r w:rsidRPr="00C13E80">
              <w:rPr>
                <w:b/>
                <w:bCs w:val="0"/>
              </w:rPr>
              <w:t>13824</w:t>
            </w:r>
          </w:p>
        </w:tc>
      </w:tr>
      <w:tr w:rsidR="000571D5" w:rsidRPr="00C13E80" w14:paraId="5263ACAF"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61BC50F" w14:textId="77777777" w:rsidR="000571D5" w:rsidRPr="00C13E80" w:rsidRDefault="000571D5" w:rsidP="00CD5F0E">
            <w:pPr>
              <w:pStyle w:val="TableText0"/>
              <w:keepNext w:val="0"/>
            </w:pPr>
            <w:r w:rsidRPr="00C13E80">
              <w:rPr>
                <w:b/>
                <w:bCs w:val="0"/>
              </w:rPr>
              <w:t>Indication:</w:t>
            </w:r>
            <w:r w:rsidRPr="00C13E80">
              <w:t xml:space="preserve"> SARS-CoV-2 infection</w:t>
            </w:r>
          </w:p>
        </w:tc>
      </w:tr>
      <w:tr w:rsidR="000571D5" w:rsidRPr="00C13E80" w14:paraId="62D11F7A"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4E4A66A" w14:textId="77777777" w:rsidR="000571D5" w:rsidRPr="00C13E80" w:rsidRDefault="000571D5" w:rsidP="00CD5F0E">
            <w:pPr>
              <w:pStyle w:val="TableText0"/>
              <w:keepNext w:val="0"/>
              <w:rPr>
                <w:b/>
                <w:bCs w:val="0"/>
              </w:rPr>
            </w:pPr>
            <w:r w:rsidRPr="00C13E80">
              <w:rPr>
                <w:b/>
                <w:bCs w:val="0"/>
              </w:rPr>
              <w:t>Clinical criteria:</w:t>
            </w:r>
          </w:p>
        </w:tc>
      </w:tr>
      <w:tr w:rsidR="000571D5" w:rsidRPr="00C13E80" w14:paraId="69C3508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BB1658A" w14:textId="77777777" w:rsidR="000571D5" w:rsidRPr="00C13E80" w:rsidRDefault="000571D5" w:rsidP="00CD5F0E">
            <w:pPr>
              <w:pStyle w:val="TableText0"/>
              <w:keepNext w:val="0"/>
            </w:pPr>
            <w:r w:rsidRPr="00C13E80">
              <w:t>Patient must have received a positive polymerase chain reaction (PCR) test result; OR</w:t>
            </w:r>
          </w:p>
          <w:p w14:paraId="2F9106EC" w14:textId="77777777" w:rsidR="000571D5" w:rsidRPr="00C13E80" w:rsidRDefault="000571D5" w:rsidP="00CD5F0E">
            <w:pPr>
              <w:pStyle w:val="TableText0"/>
              <w:keepNext w:val="0"/>
            </w:pPr>
            <w:r w:rsidRPr="00C13E80">
              <w:t>Patient must have received a positive rapid antigen test (RAT) result,</w:t>
            </w:r>
          </w:p>
        </w:tc>
      </w:tr>
      <w:tr w:rsidR="000571D5" w:rsidRPr="00C13E80" w14:paraId="3E9F990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4F4CE6B" w14:textId="77777777" w:rsidR="000571D5" w:rsidRPr="00C13E80" w:rsidRDefault="000571D5" w:rsidP="00CD5F0E">
            <w:pPr>
              <w:pStyle w:val="TableText0"/>
              <w:keepNext w:val="0"/>
              <w:rPr>
                <w:b/>
                <w:bCs w:val="0"/>
              </w:rPr>
            </w:pPr>
            <w:r w:rsidRPr="00C13E80">
              <w:rPr>
                <w:b/>
                <w:bCs w:val="0"/>
              </w:rPr>
              <w:t>AND</w:t>
            </w:r>
          </w:p>
        </w:tc>
      </w:tr>
      <w:tr w:rsidR="000571D5" w:rsidRPr="00C13E80" w14:paraId="140BFA06"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BBE067F" w14:textId="77777777" w:rsidR="000571D5" w:rsidRPr="00C13E80" w:rsidRDefault="000571D5" w:rsidP="00CD5F0E">
            <w:pPr>
              <w:pStyle w:val="TableText0"/>
              <w:keepNext w:val="0"/>
            </w:pPr>
            <w:r w:rsidRPr="00C13E80">
              <w:lastRenderedPageBreak/>
              <w:t>Patient must have at least one sign or symptom attributable to COVID-19,</w:t>
            </w:r>
          </w:p>
        </w:tc>
      </w:tr>
      <w:tr w:rsidR="000571D5" w:rsidRPr="00C13E80" w14:paraId="1207783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A838163" w14:textId="77777777" w:rsidR="000571D5" w:rsidRPr="00C13E80" w:rsidRDefault="000571D5" w:rsidP="00CD5F0E">
            <w:pPr>
              <w:pStyle w:val="TableText0"/>
              <w:keepNext w:val="0"/>
              <w:rPr>
                <w:b/>
                <w:bCs w:val="0"/>
              </w:rPr>
            </w:pPr>
            <w:r w:rsidRPr="00C13E80">
              <w:rPr>
                <w:b/>
                <w:bCs w:val="0"/>
              </w:rPr>
              <w:t>AND</w:t>
            </w:r>
          </w:p>
        </w:tc>
      </w:tr>
      <w:tr w:rsidR="000571D5" w:rsidRPr="00C13E80" w14:paraId="2EC470AF"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39B1013" w14:textId="77777777" w:rsidR="000571D5" w:rsidRPr="00C13E80" w:rsidRDefault="000571D5" w:rsidP="00CD5F0E">
            <w:pPr>
              <w:pStyle w:val="TableText0"/>
              <w:keepNext w:val="0"/>
            </w:pPr>
            <w:r w:rsidRPr="00C13E80">
              <w:t>Patient must not require hospitalisation for COVID-19 infection at the time of prescribing,</w:t>
            </w:r>
          </w:p>
        </w:tc>
      </w:tr>
      <w:tr w:rsidR="000571D5" w:rsidRPr="00C13E80" w14:paraId="141DCA68"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123C3DD" w14:textId="77777777" w:rsidR="000571D5" w:rsidRPr="00C13E80" w:rsidRDefault="000571D5" w:rsidP="00CD5F0E">
            <w:pPr>
              <w:pStyle w:val="TableText0"/>
              <w:keepNext w:val="0"/>
              <w:rPr>
                <w:b/>
                <w:bCs w:val="0"/>
              </w:rPr>
            </w:pPr>
            <w:r w:rsidRPr="00C13E80">
              <w:rPr>
                <w:b/>
                <w:bCs w:val="0"/>
              </w:rPr>
              <w:t>AND</w:t>
            </w:r>
          </w:p>
        </w:tc>
      </w:tr>
      <w:tr w:rsidR="000571D5" w:rsidRPr="00C13E80" w14:paraId="28B2BDE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5EAB871" w14:textId="77777777" w:rsidR="000571D5" w:rsidRPr="00C13E80" w:rsidRDefault="000571D5" w:rsidP="00CD5F0E">
            <w:pPr>
              <w:pStyle w:val="TableText0"/>
              <w:keepNext w:val="0"/>
            </w:pPr>
            <w:r w:rsidRPr="00C13E80">
              <w:t>Patient must satisfy at least one of the following criteria: (i) be moderately to severely immunocompromised with risk of progression to severe COVID-19 disease due to the immunocompromised status, (ii) has experienced past COVID-19 infection resulting in hospitalisation,</w:t>
            </w:r>
          </w:p>
        </w:tc>
      </w:tr>
      <w:tr w:rsidR="000571D5" w:rsidRPr="00C13E80" w14:paraId="5D6B4793"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C2B8A73" w14:textId="77777777" w:rsidR="000571D5" w:rsidRPr="00C13E80" w:rsidRDefault="000571D5" w:rsidP="00CD5F0E">
            <w:pPr>
              <w:pStyle w:val="TableText0"/>
              <w:keepNext w:val="0"/>
              <w:rPr>
                <w:b/>
                <w:bCs w:val="0"/>
              </w:rPr>
            </w:pPr>
            <w:r w:rsidRPr="00C13E80">
              <w:rPr>
                <w:b/>
                <w:bCs w:val="0"/>
              </w:rPr>
              <w:t>AND</w:t>
            </w:r>
          </w:p>
        </w:tc>
      </w:tr>
      <w:tr w:rsidR="000571D5" w:rsidRPr="00C13E80" w14:paraId="2C8AF8A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7A5BE85" w14:textId="77777777" w:rsidR="000571D5" w:rsidRPr="00C13E80" w:rsidRDefault="000571D5" w:rsidP="00CD5F0E">
            <w:pPr>
              <w:pStyle w:val="TableText0"/>
              <w:keepNext w:val="0"/>
            </w:pPr>
            <w:r w:rsidRPr="00C13E80">
              <w:t>The treatment must be initiated within 5 days of symptom onset.</w:t>
            </w:r>
          </w:p>
        </w:tc>
      </w:tr>
      <w:tr w:rsidR="000571D5" w:rsidRPr="00C13E80" w14:paraId="1ED63A08"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A717D06" w14:textId="77777777" w:rsidR="000571D5" w:rsidRPr="00C13E80" w:rsidRDefault="000571D5" w:rsidP="00CD5F0E">
            <w:pPr>
              <w:pStyle w:val="TableText0"/>
              <w:keepNext w:val="0"/>
              <w:rPr>
                <w:b/>
                <w:bCs w:val="0"/>
              </w:rPr>
            </w:pPr>
            <w:r w:rsidRPr="00C13E80">
              <w:rPr>
                <w:b/>
                <w:bCs w:val="0"/>
              </w:rPr>
              <w:t>Population criteria:</w:t>
            </w:r>
          </w:p>
        </w:tc>
      </w:tr>
      <w:tr w:rsidR="000571D5" w:rsidRPr="00C13E80" w14:paraId="246E57FB"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B7CF922" w14:textId="77777777" w:rsidR="000571D5" w:rsidRPr="00C13E80" w:rsidRDefault="000571D5" w:rsidP="00CD5F0E">
            <w:pPr>
              <w:pStyle w:val="TableText0"/>
              <w:keepNext w:val="0"/>
            </w:pPr>
            <w:r w:rsidRPr="00C13E80">
              <w:t>Patient must be at least 18 years of age.</w:t>
            </w:r>
          </w:p>
        </w:tc>
      </w:tr>
      <w:tr w:rsidR="000571D5" w:rsidRPr="00C13E80" w14:paraId="2A7D53AC"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8320EBA" w14:textId="77777777" w:rsidR="000571D5" w:rsidRPr="00C13E80" w:rsidRDefault="000571D5" w:rsidP="00CD5F0E">
            <w:pPr>
              <w:pStyle w:val="TableText0"/>
              <w:keepNext w:val="0"/>
            </w:pPr>
            <w:r w:rsidRPr="00C13E80">
              <w:t>For the purpose of administering this restriction, 'moderately to severely immunocompromised' patients are those with:</w:t>
            </w:r>
          </w:p>
          <w:p w14:paraId="736BC78A" w14:textId="77777777" w:rsidR="000571D5" w:rsidRPr="00C13E80" w:rsidRDefault="000571D5" w:rsidP="001335B4">
            <w:pPr>
              <w:pStyle w:val="TableText0"/>
              <w:keepNext w:val="0"/>
              <w:numPr>
                <w:ilvl w:val="0"/>
                <w:numId w:val="7"/>
              </w:numPr>
              <w:ind w:left="308" w:hanging="308"/>
            </w:pPr>
            <w:r w:rsidRPr="00C13E80">
              <w:t>Any primary or acquired immunodeficiency including:</w:t>
            </w:r>
          </w:p>
          <w:p w14:paraId="08D2EE66" w14:textId="77777777" w:rsidR="000571D5" w:rsidRPr="00C13E80" w:rsidRDefault="000571D5" w:rsidP="001335B4">
            <w:pPr>
              <w:pStyle w:val="TableText0"/>
              <w:keepNext w:val="0"/>
              <w:numPr>
                <w:ilvl w:val="0"/>
                <w:numId w:val="8"/>
              </w:numPr>
              <w:ind w:left="591" w:hanging="283"/>
            </w:pPr>
            <w:r w:rsidRPr="00C13E80">
              <w:t>Haematologic neoplasms: leukaemias, lymphomas, myelodysplastic syndromes, multiple myeloma and other plasma cell disorders,</w:t>
            </w:r>
          </w:p>
          <w:p w14:paraId="1F107CDF" w14:textId="77777777" w:rsidR="000571D5" w:rsidRPr="00C13E80" w:rsidRDefault="000571D5" w:rsidP="001335B4">
            <w:pPr>
              <w:pStyle w:val="TableText0"/>
              <w:keepNext w:val="0"/>
              <w:numPr>
                <w:ilvl w:val="0"/>
                <w:numId w:val="8"/>
              </w:numPr>
              <w:ind w:left="591" w:hanging="283"/>
            </w:pPr>
            <w:r w:rsidRPr="00C13E80">
              <w:t>Post-transplant: solid organ (on immunosuppressive therapy), haematopoietic stem cell transplant (within 24 months),</w:t>
            </w:r>
          </w:p>
          <w:p w14:paraId="56934B3B" w14:textId="77777777" w:rsidR="000571D5" w:rsidRPr="00C13E80" w:rsidRDefault="000571D5" w:rsidP="001335B4">
            <w:pPr>
              <w:pStyle w:val="TableText0"/>
              <w:keepNext w:val="0"/>
              <w:numPr>
                <w:ilvl w:val="0"/>
                <w:numId w:val="8"/>
              </w:numPr>
              <w:ind w:left="591" w:hanging="283"/>
            </w:pPr>
            <w:r w:rsidRPr="00C13E80">
              <w:t>Immunocompromised due to primary or acquired (HIV/AIDS) immunodeficiency; OR</w:t>
            </w:r>
          </w:p>
          <w:p w14:paraId="6BB9F690" w14:textId="77777777" w:rsidR="000571D5" w:rsidRPr="00C13E80" w:rsidRDefault="000571D5" w:rsidP="001335B4">
            <w:pPr>
              <w:pStyle w:val="TableText0"/>
              <w:keepNext w:val="0"/>
              <w:numPr>
                <w:ilvl w:val="0"/>
                <w:numId w:val="7"/>
              </w:numPr>
              <w:ind w:left="308" w:hanging="308"/>
            </w:pPr>
            <w:r w:rsidRPr="00C13E80">
              <w:t>Any significantly immunocompromising condition(s) where, in the last 3 months the patient has received:</w:t>
            </w:r>
          </w:p>
          <w:p w14:paraId="5834F43D" w14:textId="77777777" w:rsidR="000571D5" w:rsidRPr="00C13E80" w:rsidRDefault="000571D5" w:rsidP="001335B4">
            <w:pPr>
              <w:pStyle w:val="TableText0"/>
              <w:keepNext w:val="0"/>
              <w:numPr>
                <w:ilvl w:val="0"/>
                <w:numId w:val="10"/>
              </w:numPr>
              <w:ind w:left="591" w:hanging="283"/>
            </w:pPr>
            <w:r w:rsidRPr="00C13E80">
              <w:t>Chemotherapy or whole body radiotherapy,</w:t>
            </w:r>
          </w:p>
          <w:p w14:paraId="028AA0CE" w14:textId="77777777" w:rsidR="000571D5" w:rsidRPr="00C13E80" w:rsidRDefault="000571D5" w:rsidP="001335B4">
            <w:pPr>
              <w:pStyle w:val="TableText0"/>
              <w:keepNext w:val="0"/>
              <w:numPr>
                <w:ilvl w:val="0"/>
                <w:numId w:val="10"/>
              </w:numPr>
              <w:ind w:left="591" w:hanging="283"/>
            </w:pPr>
            <w:r w:rsidRPr="00C13E80">
              <w:t>High-dose corticosteroids (at least 20 mg of prednisone per day, or equivalent) for at least 14 days in a month, or pulse corticosteroid therapy,</w:t>
            </w:r>
          </w:p>
          <w:p w14:paraId="1B47ADBE" w14:textId="77777777" w:rsidR="000571D5" w:rsidRPr="00C13E80" w:rsidRDefault="000571D5" w:rsidP="001335B4">
            <w:pPr>
              <w:pStyle w:val="TableText0"/>
              <w:keepNext w:val="0"/>
              <w:numPr>
                <w:ilvl w:val="0"/>
                <w:numId w:val="10"/>
              </w:numPr>
              <w:ind w:left="591" w:hanging="283"/>
            </w:pPr>
            <w:r w:rsidRPr="00C13E80">
              <w:t>Biological agents and other treatments that deplete or inhibit B cell or T cell function (abatacept, anti-CD20 antibodies, BTK inhibitors, JAK inhibitors, sphingosine 1-phosphate receptor modulators, anti-CD52 antibodies, anti-complement antibodies, anti-thymocyte globulin),</w:t>
            </w:r>
          </w:p>
          <w:p w14:paraId="27E120A1" w14:textId="77777777" w:rsidR="000571D5" w:rsidRPr="00C13E80" w:rsidRDefault="000571D5" w:rsidP="001335B4">
            <w:pPr>
              <w:pStyle w:val="TableText0"/>
              <w:keepNext w:val="0"/>
              <w:numPr>
                <w:ilvl w:val="0"/>
                <w:numId w:val="10"/>
              </w:numPr>
              <w:ind w:left="591" w:hanging="283"/>
            </w:pPr>
            <w:r w:rsidRPr="00C13E80">
              <w:t>Selected conventional synthetic disease-modifying anti-rheumatic drugs (csDMARDs) including mycophenolate, methotrexate, leflunomide, azathioprine, 6-mercaptopurine (at least 1.5mg/kg/day), alkylating agents (e.g. cyclophosphamide, chlorambucil), and systemic calcineurin inhibitors (e.g. cyclosporin, tacrolimus); OR</w:t>
            </w:r>
          </w:p>
          <w:p w14:paraId="02AD795D" w14:textId="77777777" w:rsidR="000571D5" w:rsidRPr="00C13E80" w:rsidRDefault="000571D5" w:rsidP="001335B4">
            <w:pPr>
              <w:pStyle w:val="TableText0"/>
              <w:keepNext w:val="0"/>
              <w:numPr>
                <w:ilvl w:val="0"/>
                <w:numId w:val="7"/>
              </w:numPr>
              <w:ind w:left="308" w:hanging="308"/>
            </w:pPr>
            <w:r w:rsidRPr="00C13E80">
              <w:t>Any significantly immunocompromising condition(s) where, in the last 12 months the patient has received an anti-CD20 monoclonal antibody treatment, but criterion 2c above is not met; OR</w:t>
            </w:r>
          </w:p>
          <w:p w14:paraId="54159317" w14:textId="77777777" w:rsidR="000571D5" w:rsidRPr="00C13E80" w:rsidRDefault="000571D5" w:rsidP="001335B4">
            <w:pPr>
              <w:pStyle w:val="TableText0"/>
              <w:keepNext w:val="0"/>
              <w:numPr>
                <w:ilvl w:val="0"/>
                <w:numId w:val="7"/>
              </w:numPr>
              <w:ind w:left="308" w:hanging="308"/>
            </w:pPr>
            <w:r w:rsidRPr="00C13E80">
              <w:t>Others with very high-risk conditions including Down Syndrome, cerebral palsy, congenital heart disease, thalassemia, sickle cell disease and other haemoglobinopathies; OR</w:t>
            </w:r>
          </w:p>
          <w:p w14:paraId="5AB8BCF0" w14:textId="77777777" w:rsidR="000571D5" w:rsidRPr="00C13E80" w:rsidRDefault="000571D5" w:rsidP="001335B4">
            <w:pPr>
              <w:pStyle w:val="TableText0"/>
              <w:keepNext w:val="0"/>
              <w:numPr>
                <w:ilvl w:val="0"/>
                <w:numId w:val="7"/>
              </w:numPr>
              <w:spacing w:after="120"/>
              <w:ind w:left="306" w:hanging="306"/>
            </w:pPr>
            <w:r w:rsidRPr="00C13E80">
              <w:t>People with disability with multiple comorbidities and/or frailty.</w:t>
            </w:r>
          </w:p>
          <w:p w14:paraId="7C351D06" w14:textId="77777777" w:rsidR="000571D5" w:rsidRPr="00C13E80" w:rsidRDefault="000571D5" w:rsidP="00CD5F0E">
            <w:pPr>
              <w:pStyle w:val="TableText0"/>
              <w:keepNext w:val="0"/>
            </w:pPr>
            <w:r w:rsidRPr="00C13E80">
              <w:t>Details of the patient's medical condition necessitating use of this drug must be recorded in the patient's medical records.</w:t>
            </w:r>
          </w:p>
          <w:p w14:paraId="1CA76738" w14:textId="77777777" w:rsidR="000571D5" w:rsidRPr="00C13E80" w:rsidRDefault="000571D5" w:rsidP="00CD5F0E">
            <w:pPr>
              <w:pStyle w:val="TableText0"/>
              <w:keepNext w:val="0"/>
            </w:pPr>
            <w:r w:rsidRPr="00C13E80">
              <w:t xml:space="preserve">For the purpose of administering this restriction, signs or symptoms attributable to COVID-19 </w:t>
            </w:r>
            <w:proofErr w:type="gramStart"/>
            <w:r w:rsidRPr="00C13E80">
              <w:t>are:</w:t>
            </w:r>
            <w:proofErr w:type="gramEnd"/>
            <w:r w:rsidRPr="00C13E80">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5D2F8285" w14:textId="77777777" w:rsidR="000571D5" w:rsidRPr="00C13E80" w:rsidRDefault="000571D5" w:rsidP="00CD5F0E">
            <w:pPr>
              <w:pStyle w:val="TableText0"/>
              <w:keepNext w:val="0"/>
            </w:pPr>
            <w:r w:rsidRPr="00C13E80">
              <w:t>Access to this drug through this restriction is permitted irrespective of vaccination status.</w:t>
            </w:r>
          </w:p>
          <w:p w14:paraId="02AF047B" w14:textId="77777777" w:rsidR="000571D5" w:rsidRPr="00C13E80" w:rsidRDefault="000571D5" w:rsidP="00CD5F0E">
            <w:pPr>
              <w:pStyle w:val="TableText0"/>
              <w:keepNext w:val="0"/>
            </w:pPr>
            <w:r w:rsidRPr="00C13E80">
              <w:t>Where PCR is used to confirm diagnosis, the result, testing date, location and test provider must be recorded on the patient record.</w:t>
            </w:r>
          </w:p>
          <w:p w14:paraId="0F4BA633" w14:textId="77777777" w:rsidR="000571D5" w:rsidRPr="00C13E80" w:rsidRDefault="000571D5" w:rsidP="00CD5F0E">
            <w:pPr>
              <w:pStyle w:val="TableText0"/>
              <w:keepNext w:val="0"/>
            </w:pPr>
            <w:r w:rsidRPr="00C13E80">
              <w:t>Where a RAT is used to confirm diagnosis, available information about the test result, testing date, location and test provider (where relevant) must be recorded on the patient record.</w:t>
            </w:r>
          </w:p>
          <w:p w14:paraId="643398E4" w14:textId="77777777" w:rsidR="000571D5" w:rsidRPr="00C13E80" w:rsidRDefault="000571D5" w:rsidP="00CD5F0E">
            <w:pPr>
              <w:pStyle w:val="TableText0"/>
              <w:keepNext w:val="0"/>
            </w:pPr>
            <w:r w:rsidRPr="00C13E80">
              <w:t>This drug is not PBS-subsidised for pre-exposure or post-exposure prophylaxis for the prevention of SARS-CoV-2 infection.</w:t>
            </w:r>
          </w:p>
        </w:tc>
      </w:tr>
      <w:tr w:rsidR="000571D5" w:rsidRPr="00C13E80" w14:paraId="00F96A93"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4FFB618" w14:textId="77777777" w:rsidR="000571D5" w:rsidRPr="00C13E80" w:rsidRDefault="000571D5" w:rsidP="00CD5F0E">
            <w:pPr>
              <w:pStyle w:val="TableText0"/>
              <w:keepNext w:val="0"/>
              <w:rPr>
                <w:b/>
                <w:bCs w:val="0"/>
              </w:rPr>
            </w:pPr>
            <w:r w:rsidRPr="00C13E80">
              <w:rPr>
                <w:b/>
                <w:bCs w:val="0"/>
              </w:rPr>
              <w:t>13748</w:t>
            </w:r>
          </w:p>
        </w:tc>
      </w:tr>
      <w:tr w:rsidR="000571D5" w:rsidRPr="00C13E80" w14:paraId="19BDE997"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B7A3130" w14:textId="77777777" w:rsidR="000571D5" w:rsidRPr="00C13E80" w:rsidRDefault="000571D5" w:rsidP="00CD5F0E">
            <w:pPr>
              <w:pStyle w:val="TableText0"/>
              <w:keepNext w:val="0"/>
            </w:pPr>
            <w:r w:rsidRPr="00C13E80">
              <w:rPr>
                <w:b/>
                <w:bCs w:val="0"/>
              </w:rPr>
              <w:t>Indication:</w:t>
            </w:r>
            <w:r w:rsidRPr="00C13E80">
              <w:t xml:space="preserve"> SARS-CoV-2 infection</w:t>
            </w:r>
          </w:p>
        </w:tc>
      </w:tr>
      <w:tr w:rsidR="000571D5" w:rsidRPr="00C13E80" w14:paraId="77CD0072"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5B6FB22" w14:textId="77777777" w:rsidR="000571D5" w:rsidRPr="00C13E80" w:rsidRDefault="000571D5" w:rsidP="00CD5F0E">
            <w:pPr>
              <w:pStyle w:val="TableText0"/>
              <w:keepNext w:val="0"/>
              <w:rPr>
                <w:b/>
                <w:bCs w:val="0"/>
              </w:rPr>
            </w:pPr>
            <w:r w:rsidRPr="00C13E80">
              <w:rPr>
                <w:b/>
                <w:bCs w:val="0"/>
              </w:rPr>
              <w:t>Clinical criteria:</w:t>
            </w:r>
          </w:p>
        </w:tc>
      </w:tr>
      <w:tr w:rsidR="000571D5" w:rsidRPr="00C13E80" w14:paraId="753E20D1"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E96FEFE" w14:textId="77777777" w:rsidR="000571D5" w:rsidRPr="00C13E80" w:rsidRDefault="000571D5" w:rsidP="00CD5F0E">
            <w:pPr>
              <w:pStyle w:val="TableText0"/>
              <w:keepNext w:val="0"/>
            </w:pPr>
            <w:r w:rsidRPr="00C13E80">
              <w:t>Patient must have received a positive polymerase chain reaction (PCR) test result; OR</w:t>
            </w:r>
          </w:p>
          <w:p w14:paraId="51C10733" w14:textId="77777777" w:rsidR="000571D5" w:rsidRPr="00C13E80" w:rsidRDefault="000571D5" w:rsidP="00CD5F0E">
            <w:pPr>
              <w:pStyle w:val="TableText0"/>
              <w:keepNext w:val="0"/>
            </w:pPr>
            <w:r w:rsidRPr="00C13E80">
              <w:t>Patient must have received a positive rapid antigen test (RAT) result,</w:t>
            </w:r>
          </w:p>
        </w:tc>
      </w:tr>
      <w:tr w:rsidR="000571D5" w:rsidRPr="00C13E80" w14:paraId="57ADC588"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B7DE457" w14:textId="77777777" w:rsidR="000571D5" w:rsidRPr="00C13E80" w:rsidRDefault="000571D5" w:rsidP="00CD5F0E">
            <w:pPr>
              <w:pStyle w:val="TableText0"/>
              <w:keepNext w:val="0"/>
              <w:rPr>
                <w:b/>
                <w:bCs w:val="0"/>
              </w:rPr>
            </w:pPr>
            <w:r w:rsidRPr="00C13E80">
              <w:rPr>
                <w:b/>
                <w:bCs w:val="0"/>
              </w:rPr>
              <w:t>AND</w:t>
            </w:r>
          </w:p>
        </w:tc>
      </w:tr>
      <w:tr w:rsidR="000571D5" w:rsidRPr="00C13E80" w14:paraId="016F62B3"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07FC9D9" w14:textId="77777777" w:rsidR="000571D5" w:rsidRPr="00C13E80" w:rsidRDefault="000571D5" w:rsidP="00CD5F0E">
            <w:pPr>
              <w:pStyle w:val="TableText0"/>
              <w:keepNext w:val="0"/>
            </w:pPr>
            <w:r w:rsidRPr="00C13E80">
              <w:t>Patient must have at least one sign or symptom attributable to COVID-19,</w:t>
            </w:r>
          </w:p>
        </w:tc>
      </w:tr>
      <w:tr w:rsidR="000571D5" w:rsidRPr="00C13E80" w14:paraId="52A06A58"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92A30D7" w14:textId="77777777" w:rsidR="000571D5" w:rsidRPr="00C13E80" w:rsidRDefault="000571D5" w:rsidP="00CD5F0E">
            <w:pPr>
              <w:pStyle w:val="TableText0"/>
              <w:keepNext w:val="0"/>
              <w:rPr>
                <w:b/>
                <w:bCs w:val="0"/>
              </w:rPr>
            </w:pPr>
            <w:r w:rsidRPr="00C13E80">
              <w:rPr>
                <w:b/>
                <w:bCs w:val="0"/>
              </w:rPr>
              <w:t>AND</w:t>
            </w:r>
          </w:p>
        </w:tc>
      </w:tr>
      <w:tr w:rsidR="000571D5" w:rsidRPr="00C13E80" w14:paraId="346D2E82"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F1C86D3" w14:textId="77777777" w:rsidR="000571D5" w:rsidRPr="00C13E80" w:rsidRDefault="000571D5" w:rsidP="00CD5F0E">
            <w:pPr>
              <w:pStyle w:val="TableText0"/>
              <w:keepNext w:val="0"/>
            </w:pPr>
            <w:r w:rsidRPr="00C13E80">
              <w:lastRenderedPageBreak/>
              <w:t>Patient must not require hospitalisation for COVID-19 infection at the time of prescribing,</w:t>
            </w:r>
          </w:p>
        </w:tc>
      </w:tr>
      <w:tr w:rsidR="000571D5" w:rsidRPr="00C13E80" w14:paraId="5A68CDD8"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B9E13C2" w14:textId="77777777" w:rsidR="000571D5" w:rsidRPr="00C13E80" w:rsidRDefault="000571D5" w:rsidP="00CD5F0E">
            <w:pPr>
              <w:pStyle w:val="TableText0"/>
              <w:keepNext w:val="0"/>
              <w:rPr>
                <w:b/>
                <w:bCs w:val="0"/>
              </w:rPr>
            </w:pPr>
            <w:r w:rsidRPr="00C13E80">
              <w:rPr>
                <w:b/>
                <w:bCs w:val="0"/>
              </w:rPr>
              <w:t>AND</w:t>
            </w:r>
          </w:p>
        </w:tc>
      </w:tr>
      <w:tr w:rsidR="000571D5" w:rsidRPr="00C13E80" w14:paraId="02801275"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1ADC58B" w14:textId="77777777" w:rsidR="000571D5" w:rsidRPr="00C13E80" w:rsidRDefault="000571D5" w:rsidP="00CD5F0E">
            <w:pPr>
              <w:pStyle w:val="TableText0"/>
              <w:keepNext w:val="0"/>
            </w:pPr>
            <w:r w:rsidRPr="00C13E80">
              <w:t>The treatment must be initiated within 5 days of symptom onset.</w:t>
            </w:r>
          </w:p>
        </w:tc>
      </w:tr>
      <w:tr w:rsidR="000571D5" w:rsidRPr="00C13E80" w14:paraId="63B117E3"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50C563" w14:textId="77777777" w:rsidR="000571D5" w:rsidRPr="00C13E80" w:rsidRDefault="000571D5" w:rsidP="00CD5F0E">
            <w:pPr>
              <w:pStyle w:val="TableText0"/>
              <w:keepNext w:val="0"/>
              <w:rPr>
                <w:b/>
                <w:bCs w:val="0"/>
              </w:rPr>
            </w:pPr>
            <w:r w:rsidRPr="00C13E80">
              <w:rPr>
                <w:b/>
                <w:bCs w:val="0"/>
              </w:rPr>
              <w:t>Population criteria:</w:t>
            </w:r>
          </w:p>
        </w:tc>
      </w:tr>
      <w:tr w:rsidR="000571D5" w:rsidRPr="00C13E80" w14:paraId="1F7845AA"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BEE4921" w14:textId="77777777" w:rsidR="000571D5" w:rsidRPr="00C13E80" w:rsidRDefault="000571D5" w:rsidP="00CD5F0E">
            <w:pPr>
              <w:pStyle w:val="TableText0"/>
              <w:keepNext w:val="0"/>
            </w:pPr>
            <w:r w:rsidRPr="00C13E80">
              <w:t>Patient must be each of: (i) identify as Aboriginal or Torres Strait Islander, (ii) at least 30 years of age, (iii) at high risk.</w:t>
            </w:r>
          </w:p>
        </w:tc>
      </w:tr>
      <w:tr w:rsidR="000571D5" w:rsidRPr="00C13E80" w14:paraId="63CA86C3"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41559F5" w14:textId="77777777" w:rsidR="000571D5" w:rsidRPr="00C13E80" w:rsidRDefault="000571D5" w:rsidP="00CD5F0E">
            <w:pPr>
              <w:pStyle w:val="TableText0"/>
              <w:keepNext w:val="0"/>
            </w:pPr>
            <w:r w:rsidRPr="00C13E80">
              <w:t>For the purpose of administering this restriction, high risk is defined as the presence of at least one of the following conditions:</w:t>
            </w:r>
          </w:p>
          <w:p w14:paraId="2228E59F" w14:textId="77777777" w:rsidR="000571D5" w:rsidRPr="00C13E80" w:rsidRDefault="000571D5" w:rsidP="001335B4">
            <w:pPr>
              <w:pStyle w:val="TableText0"/>
              <w:keepNext w:val="0"/>
              <w:numPr>
                <w:ilvl w:val="0"/>
                <w:numId w:val="6"/>
              </w:numPr>
            </w:pPr>
            <w:r w:rsidRPr="00C13E80">
              <w:t>The patient is in residential aged care</w:t>
            </w:r>
          </w:p>
          <w:p w14:paraId="15FDC188" w14:textId="77777777" w:rsidR="000571D5" w:rsidRPr="00C13E80" w:rsidRDefault="000571D5" w:rsidP="001335B4">
            <w:pPr>
              <w:pStyle w:val="TableText0"/>
              <w:keepNext w:val="0"/>
              <w:numPr>
                <w:ilvl w:val="0"/>
                <w:numId w:val="6"/>
              </w:numPr>
            </w:pPr>
            <w:r w:rsidRPr="00C13E80">
              <w:t>The patient has disability with multiple comorbidities and/or frailty</w:t>
            </w:r>
          </w:p>
          <w:p w14:paraId="42F63DCC" w14:textId="77777777" w:rsidR="000571D5" w:rsidRPr="00C13E80" w:rsidRDefault="000571D5" w:rsidP="001335B4">
            <w:pPr>
              <w:pStyle w:val="TableText0"/>
              <w:keepNext w:val="0"/>
              <w:numPr>
                <w:ilvl w:val="0"/>
                <w:numId w:val="6"/>
              </w:numPr>
            </w:pPr>
            <w:r w:rsidRPr="00C13E80">
              <w:t>Neurological conditions, including stroke and dementia and demyelinating conditions</w:t>
            </w:r>
          </w:p>
          <w:p w14:paraId="7BAD8835" w14:textId="77777777" w:rsidR="000571D5" w:rsidRPr="00C13E80" w:rsidRDefault="000571D5" w:rsidP="001335B4">
            <w:pPr>
              <w:pStyle w:val="TableText0"/>
              <w:keepNext w:val="0"/>
              <w:numPr>
                <w:ilvl w:val="0"/>
                <w:numId w:val="6"/>
              </w:numPr>
            </w:pPr>
            <w:r w:rsidRPr="00C13E80">
              <w:t>Respiratory compromise, including COPD, moderate or severe asthma (required inhaled steroids), and bronchiectasis, or caused by neurological or musculoskeletal disease</w:t>
            </w:r>
          </w:p>
          <w:p w14:paraId="4B4F55EF" w14:textId="77777777" w:rsidR="000571D5" w:rsidRPr="00C13E80" w:rsidRDefault="000571D5" w:rsidP="001335B4">
            <w:pPr>
              <w:pStyle w:val="TableText0"/>
              <w:keepNext w:val="0"/>
              <w:numPr>
                <w:ilvl w:val="0"/>
                <w:numId w:val="6"/>
              </w:numPr>
            </w:pPr>
            <w:r w:rsidRPr="00C13E80">
              <w:t>Heart failure, coronary artery disease, cardiomyopathies</w:t>
            </w:r>
          </w:p>
          <w:p w14:paraId="3DA09541" w14:textId="77777777" w:rsidR="000571D5" w:rsidRPr="00C13E80" w:rsidRDefault="000571D5" w:rsidP="001335B4">
            <w:pPr>
              <w:pStyle w:val="TableText0"/>
              <w:keepNext w:val="0"/>
              <w:numPr>
                <w:ilvl w:val="0"/>
                <w:numId w:val="6"/>
              </w:numPr>
            </w:pPr>
            <w:r w:rsidRPr="00C13E80">
              <w:t>Obesity (BMI greater than 30 kg/m</w:t>
            </w:r>
            <w:r w:rsidRPr="00C13E80">
              <w:rPr>
                <w:vertAlign w:val="superscript"/>
              </w:rPr>
              <w:t>2</w:t>
            </w:r>
            <w:r w:rsidRPr="00C13E80">
              <w:t>)</w:t>
            </w:r>
          </w:p>
          <w:p w14:paraId="548AB9E0" w14:textId="77777777" w:rsidR="000571D5" w:rsidRPr="00C13E80" w:rsidRDefault="000571D5" w:rsidP="001335B4">
            <w:pPr>
              <w:pStyle w:val="TableText0"/>
              <w:keepNext w:val="0"/>
              <w:numPr>
                <w:ilvl w:val="0"/>
                <w:numId w:val="6"/>
              </w:numPr>
            </w:pPr>
            <w:r w:rsidRPr="00C13E80">
              <w:t>Diabetes type I or II, requiring medication for glycaemic control</w:t>
            </w:r>
          </w:p>
          <w:p w14:paraId="6909A95A" w14:textId="77777777" w:rsidR="000571D5" w:rsidRPr="00C13E80" w:rsidRDefault="000571D5" w:rsidP="001335B4">
            <w:pPr>
              <w:pStyle w:val="TableText0"/>
              <w:keepNext w:val="0"/>
              <w:numPr>
                <w:ilvl w:val="0"/>
                <w:numId w:val="6"/>
              </w:numPr>
            </w:pPr>
            <w:r w:rsidRPr="00C13E80">
              <w:t>Renal impairment (eGFR less than 60mL/min)</w:t>
            </w:r>
          </w:p>
          <w:p w14:paraId="32B2DFE0" w14:textId="77777777" w:rsidR="000571D5" w:rsidRPr="00C13E80" w:rsidRDefault="000571D5" w:rsidP="001335B4">
            <w:pPr>
              <w:pStyle w:val="TableText0"/>
              <w:keepNext w:val="0"/>
              <w:numPr>
                <w:ilvl w:val="0"/>
                <w:numId w:val="6"/>
              </w:numPr>
            </w:pPr>
            <w:r w:rsidRPr="00C13E80">
              <w:t>Cirrhosis</w:t>
            </w:r>
          </w:p>
          <w:p w14:paraId="134369B9" w14:textId="77777777" w:rsidR="000571D5" w:rsidRPr="00C13E80" w:rsidRDefault="000571D5" w:rsidP="001335B4">
            <w:pPr>
              <w:pStyle w:val="TableText0"/>
              <w:keepNext w:val="0"/>
              <w:numPr>
                <w:ilvl w:val="0"/>
                <w:numId w:val="6"/>
              </w:numPr>
            </w:pPr>
            <w:r w:rsidRPr="00C13E80">
              <w:t>The patient has reduced, or lack of, access to higher level healthcare and lives in an area of geographic remoteness classified by the Modified Monash Model as Category 5 or above</w:t>
            </w:r>
          </w:p>
          <w:p w14:paraId="1C3B8D6A" w14:textId="77777777" w:rsidR="000571D5" w:rsidRPr="00C13E80" w:rsidRDefault="000571D5" w:rsidP="001335B4">
            <w:pPr>
              <w:pStyle w:val="TableText0"/>
              <w:keepNext w:val="0"/>
              <w:numPr>
                <w:ilvl w:val="0"/>
                <w:numId w:val="6"/>
              </w:numPr>
              <w:spacing w:after="120"/>
            </w:pPr>
            <w:r w:rsidRPr="00C13E80">
              <w:t>Past COVID-19 infection episode resulting in hospitalisation.</w:t>
            </w:r>
          </w:p>
          <w:p w14:paraId="33ACDF9E" w14:textId="77777777" w:rsidR="000571D5" w:rsidRPr="00C13E80" w:rsidRDefault="000571D5" w:rsidP="00CD5F0E">
            <w:pPr>
              <w:pStyle w:val="TableText0"/>
              <w:keepNext w:val="0"/>
            </w:pPr>
            <w:r w:rsidRPr="00C13E80">
              <w:t>Details of the patient's medical condition necessitating use of this drug must be recorded in the patient's medical records.</w:t>
            </w:r>
          </w:p>
          <w:p w14:paraId="0A0B8E83" w14:textId="77777777" w:rsidR="000571D5" w:rsidRPr="00C13E80" w:rsidRDefault="000571D5" w:rsidP="00CD5F0E">
            <w:pPr>
              <w:pStyle w:val="TableText0"/>
              <w:keepNext w:val="0"/>
            </w:pPr>
            <w:r w:rsidRPr="00C13E80">
              <w:t xml:space="preserve">For the purpose of administering this restriction, signs or symptoms attributable to COVID-19 </w:t>
            </w:r>
            <w:proofErr w:type="gramStart"/>
            <w:r w:rsidRPr="00C13E80">
              <w:t>are:</w:t>
            </w:r>
            <w:proofErr w:type="gramEnd"/>
            <w:r w:rsidRPr="00C13E80">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7866F075" w14:textId="77777777" w:rsidR="000571D5" w:rsidRPr="00C13E80" w:rsidRDefault="000571D5" w:rsidP="00CD5F0E">
            <w:pPr>
              <w:pStyle w:val="TableText0"/>
              <w:keepNext w:val="0"/>
            </w:pPr>
            <w:r w:rsidRPr="00C13E80">
              <w:t>Access to this drug through this restriction is permitted irrespective of vaccination status.</w:t>
            </w:r>
          </w:p>
          <w:p w14:paraId="2023B38A" w14:textId="77777777" w:rsidR="000571D5" w:rsidRPr="00C13E80" w:rsidRDefault="000571D5" w:rsidP="00CD5F0E">
            <w:pPr>
              <w:pStyle w:val="TableText0"/>
              <w:keepNext w:val="0"/>
            </w:pPr>
            <w:r w:rsidRPr="00C13E80">
              <w:t>Where PCR is used to confirm diagnosis, the result, testing date, location and test provider must be recorded on the patient record.</w:t>
            </w:r>
          </w:p>
          <w:p w14:paraId="14AB7281" w14:textId="77777777" w:rsidR="000571D5" w:rsidRPr="00C13E80" w:rsidRDefault="000571D5" w:rsidP="00CD5F0E">
            <w:pPr>
              <w:pStyle w:val="TableText0"/>
              <w:keepNext w:val="0"/>
            </w:pPr>
            <w:r w:rsidRPr="00C13E80">
              <w:t>Where a RAT is used to confirm diagnosis, available information about the test result, testing date, location and test provider (where relevant) must be recorded on the patient record.</w:t>
            </w:r>
          </w:p>
          <w:p w14:paraId="10546947" w14:textId="77777777" w:rsidR="000571D5" w:rsidRPr="00C13E80" w:rsidRDefault="000571D5" w:rsidP="00CD5F0E">
            <w:pPr>
              <w:pStyle w:val="TableText0"/>
              <w:keepNext w:val="0"/>
            </w:pPr>
            <w:r w:rsidRPr="00C13E80">
              <w:t>This drug is not PBS-subsidised for pre-exposure or post-exposure prophylaxis for the prevention of SARS-CoV-2 infection.</w:t>
            </w:r>
          </w:p>
          <w:p w14:paraId="115774EE" w14:textId="77777777" w:rsidR="000571D5" w:rsidRPr="00C13E80" w:rsidRDefault="000571D5" w:rsidP="00CD5F0E">
            <w:pPr>
              <w:pStyle w:val="TableText0"/>
              <w:keepNext w:val="0"/>
              <w:rPr>
                <w:b/>
                <w:u w:val="single"/>
              </w:rPr>
            </w:pPr>
            <w:r w:rsidRPr="00C13E80">
              <w:rPr>
                <w:b/>
                <w:u w:val="single"/>
              </w:rPr>
              <w:t>Note</w:t>
            </w:r>
          </w:p>
          <w:p w14:paraId="632D8169" w14:textId="77777777" w:rsidR="000571D5" w:rsidRPr="00C13E80" w:rsidRDefault="000571D5" w:rsidP="00CD5F0E">
            <w:pPr>
              <w:pStyle w:val="TableText0"/>
              <w:keepNext w:val="0"/>
              <w:spacing w:after="120"/>
            </w:pPr>
            <w:r w:rsidRPr="00C13E80">
              <w:t>The Modified Monash Model categorises an area according to geographical remoteness and town size. Details can be found at: https://www.health.gov.au/health-topics/rural-health-workforce/classifications/mmm</w:t>
            </w:r>
          </w:p>
        </w:tc>
      </w:tr>
      <w:tr w:rsidR="000571D5" w:rsidRPr="00C13E80" w14:paraId="154E13DF"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BA0DD13" w14:textId="77777777" w:rsidR="000571D5" w:rsidRPr="00C13E80" w:rsidRDefault="000571D5" w:rsidP="00CD5F0E">
            <w:pPr>
              <w:pStyle w:val="TableText0"/>
              <w:keepNext w:val="0"/>
              <w:rPr>
                <w:b/>
                <w:bCs w:val="0"/>
              </w:rPr>
            </w:pPr>
            <w:r w:rsidRPr="00C13E80">
              <w:rPr>
                <w:b/>
                <w:bCs w:val="0"/>
              </w:rPr>
              <w:t>13765</w:t>
            </w:r>
          </w:p>
        </w:tc>
      </w:tr>
      <w:tr w:rsidR="000571D5" w:rsidRPr="00C13E80" w14:paraId="60408BB7"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F5D1020" w14:textId="77777777" w:rsidR="000571D5" w:rsidRPr="00C13E80" w:rsidRDefault="000571D5" w:rsidP="00CD5F0E">
            <w:pPr>
              <w:pStyle w:val="TableText0"/>
              <w:keepNext w:val="0"/>
            </w:pPr>
            <w:r w:rsidRPr="00C13E80">
              <w:rPr>
                <w:b/>
                <w:bCs w:val="0"/>
              </w:rPr>
              <w:t>Indication:</w:t>
            </w:r>
            <w:r w:rsidRPr="00C13E80">
              <w:t xml:space="preserve"> SARS-CoV-2 infection</w:t>
            </w:r>
          </w:p>
        </w:tc>
      </w:tr>
      <w:tr w:rsidR="000571D5" w:rsidRPr="00C13E80" w14:paraId="65A37BD5"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73CE17F" w14:textId="77777777" w:rsidR="000571D5" w:rsidRPr="00C13E80" w:rsidRDefault="000571D5" w:rsidP="00CD5F0E">
            <w:pPr>
              <w:pStyle w:val="TableText0"/>
              <w:keepNext w:val="0"/>
              <w:rPr>
                <w:b/>
                <w:bCs w:val="0"/>
              </w:rPr>
            </w:pPr>
            <w:r w:rsidRPr="00C13E80">
              <w:rPr>
                <w:b/>
                <w:bCs w:val="0"/>
              </w:rPr>
              <w:t>Clinical criteria:</w:t>
            </w:r>
          </w:p>
        </w:tc>
      </w:tr>
      <w:tr w:rsidR="000571D5" w:rsidRPr="00C13E80" w14:paraId="5BD1B762"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BD28B25" w14:textId="77777777" w:rsidR="000571D5" w:rsidRPr="00C13E80" w:rsidRDefault="000571D5" w:rsidP="00CD5F0E">
            <w:pPr>
              <w:pStyle w:val="TableText0"/>
              <w:keepNext w:val="0"/>
            </w:pPr>
            <w:r w:rsidRPr="00C13E80">
              <w:t>Patient must have received a positive polymerase chain reaction (PCR) test result; OR</w:t>
            </w:r>
          </w:p>
          <w:p w14:paraId="6730F271" w14:textId="77777777" w:rsidR="000571D5" w:rsidRPr="00C13E80" w:rsidRDefault="000571D5" w:rsidP="00CD5F0E">
            <w:pPr>
              <w:pStyle w:val="TableText0"/>
              <w:keepNext w:val="0"/>
            </w:pPr>
            <w:r w:rsidRPr="00C13E80">
              <w:t>Patient must have received a positive rapid antigen test (RAT) result,</w:t>
            </w:r>
          </w:p>
        </w:tc>
      </w:tr>
      <w:tr w:rsidR="000571D5" w:rsidRPr="00C13E80" w14:paraId="03292755"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7751EBE" w14:textId="77777777" w:rsidR="000571D5" w:rsidRPr="00C13E80" w:rsidRDefault="000571D5" w:rsidP="00CD5F0E">
            <w:pPr>
              <w:pStyle w:val="TableText0"/>
              <w:keepNext w:val="0"/>
              <w:rPr>
                <w:b/>
                <w:bCs w:val="0"/>
              </w:rPr>
            </w:pPr>
            <w:r w:rsidRPr="00C13E80">
              <w:rPr>
                <w:b/>
                <w:bCs w:val="0"/>
              </w:rPr>
              <w:t>AND</w:t>
            </w:r>
          </w:p>
        </w:tc>
      </w:tr>
      <w:tr w:rsidR="000571D5" w:rsidRPr="00C13E80" w14:paraId="31B390FB"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CD6A638" w14:textId="77777777" w:rsidR="000571D5" w:rsidRPr="00C13E80" w:rsidRDefault="000571D5" w:rsidP="00CD5F0E">
            <w:pPr>
              <w:pStyle w:val="TableText0"/>
              <w:keepNext w:val="0"/>
            </w:pPr>
            <w:r w:rsidRPr="00C13E80">
              <w:t>Patient must have at least one sign or symptom attributable to COVID-19,</w:t>
            </w:r>
          </w:p>
        </w:tc>
      </w:tr>
      <w:tr w:rsidR="000571D5" w:rsidRPr="00C13E80" w14:paraId="016A421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0CDC779" w14:textId="77777777" w:rsidR="000571D5" w:rsidRPr="00C13E80" w:rsidRDefault="000571D5" w:rsidP="00CD5F0E">
            <w:pPr>
              <w:pStyle w:val="TableText0"/>
              <w:keepNext w:val="0"/>
              <w:rPr>
                <w:b/>
                <w:bCs w:val="0"/>
              </w:rPr>
            </w:pPr>
            <w:r w:rsidRPr="00C13E80">
              <w:rPr>
                <w:b/>
                <w:bCs w:val="0"/>
              </w:rPr>
              <w:t>AND</w:t>
            </w:r>
          </w:p>
        </w:tc>
      </w:tr>
      <w:tr w:rsidR="000571D5" w:rsidRPr="00C13E80" w14:paraId="136AAFF0"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475B9ED" w14:textId="77777777" w:rsidR="000571D5" w:rsidRPr="00C13E80" w:rsidRDefault="000571D5" w:rsidP="00CD5F0E">
            <w:pPr>
              <w:pStyle w:val="TableText0"/>
              <w:keepNext w:val="0"/>
            </w:pPr>
            <w:r w:rsidRPr="00C13E80">
              <w:t>Patient must not require hospitalisation for COVID-19 infection at the time of prescribing,</w:t>
            </w:r>
          </w:p>
        </w:tc>
      </w:tr>
      <w:tr w:rsidR="000571D5" w:rsidRPr="00C13E80" w14:paraId="4A36FB36"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EEC4C45" w14:textId="77777777" w:rsidR="000571D5" w:rsidRPr="00C13E80" w:rsidRDefault="000571D5" w:rsidP="00CD5F0E">
            <w:pPr>
              <w:pStyle w:val="TableText0"/>
              <w:keepNext w:val="0"/>
              <w:rPr>
                <w:b/>
                <w:bCs w:val="0"/>
              </w:rPr>
            </w:pPr>
            <w:r w:rsidRPr="00C13E80">
              <w:rPr>
                <w:b/>
                <w:bCs w:val="0"/>
              </w:rPr>
              <w:t>AND</w:t>
            </w:r>
          </w:p>
        </w:tc>
      </w:tr>
      <w:tr w:rsidR="000571D5" w:rsidRPr="00C13E80" w14:paraId="2F393755"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A50221B" w14:textId="77777777" w:rsidR="000571D5" w:rsidRPr="00C13E80" w:rsidRDefault="000571D5" w:rsidP="00CD5F0E">
            <w:pPr>
              <w:pStyle w:val="TableText0"/>
              <w:keepNext w:val="0"/>
            </w:pPr>
            <w:r w:rsidRPr="00C13E80">
              <w:t>The treatment must be initiated within 5 days of symptom onset.</w:t>
            </w:r>
          </w:p>
        </w:tc>
      </w:tr>
      <w:tr w:rsidR="000571D5" w:rsidRPr="00C13E80" w14:paraId="18172A59"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10C8355" w14:textId="77777777" w:rsidR="000571D5" w:rsidRPr="00C13E80" w:rsidRDefault="000571D5" w:rsidP="00CD5F0E">
            <w:pPr>
              <w:pStyle w:val="TableText0"/>
              <w:keepNext w:val="0"/>
              <w:rPr>
                <w:b/>
                <w:bCs w:val="0"/>
              </w:rPr>
            </w:pPr>
            <w:r w:rsidRPr="00C13E80">
              <w:rPr>
                <w:b/>
                <w:bCs w:val="0"/>
              </w:rPr>
              <w:t>Population criteria:</w:t>
            </w:r>
          </w:p>
        </w:tc>
      </w:tr>
      <w:tr w:rsidR="000571D5" w:rsidRPr="00C13E80" w14:paraId="2EAFAD44"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BC06356" w14:textId="77777777" w:rsidR="000571D5" w:rsidRPr="00C13E80" w:rsidRDefault="000571D5" w:rsidP="00CD5F0E">
            <w:pPr>
              <w:pStyle w:val="TableText0"/>
              <w:keepNext w:val="0"/>
            </w:pPr>
            <w:r w:rsidRPr="00C13E80">
              <w:t xml:space="preserve">Patient must be both: (i) at least 50 years of age, (ii) at high risk. </w:t>
            </w:r>
          </w:p>
        </w:tc>
      </w:tr>
      <w:tr w:rsidR="000571D5" w:rsidRPr="00C13E80" w14:paraId="3A16C60D" w14:textId="77777777" w:rsidTr="007E6EBF">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496C712" w14:textId="77777777" w:rsidR="000571D5" w:rsidRPr="00C13E80" w:rsidRDefault="000571D5" w:rsidP="00CD5F0E">
            <w:pPr>
              <w:pStyle w:val="TableText0"/>
              <w:keepNext w:val="0"/>
            </w:pPr>
            <w:r w:rsidRPr="00C13E80">
              <w:t>For the purpose of administering this restriction, high risk is defined as either a past COVID-19 infection episode resulting in hospitalisation, or the presence of at least two of the following conditions:</w:t>
            </w:r>
          </w:p>
          <w:p w14:paraId="475FCE50" w14:textId="77777777" w:rsidR="000571D5" w:rsidRPr="00C13E80" w:rsidRDefault="000571D5" w:rsidP="001335B4">
            <w:pPr>
              <w:pStyle w:val="TableText0"/>
              <w:keepNext w:val="0"/>
              <w:numPr>
                <w:ilvl w:val="0"/>
                <w:numId w:val="9"/>
              </w:numPr>
            </w:pPr>
            <w:r w:rsidRPr="00C13E80">
              <w:t>The patient is in residential aged care,</w:t>
            </w:r>
          </w:p>
          <w:p w14:paraId="417AA58F" w14:textId="77777777" w:rsidR="000571D5" w:rsidRPr="00C13E80" w:rsidRDefault="000571D5" w:rsidP="001335B4">
            <w:pPr>
              <w:pStyle w:val="TableText0"/>
              <w:keepNext w:val="0"/>
              <w:numPr>
                <w:ilvl w:val="0"/>
                <w:numId w:val="9"/>
              </w:numPr>
            </w:pPr>
            <w:r w:rsidRPr="00C13E80">
              <w:t>The patient has disability with multiple comorbidities and/or frailty,</w:t>
            </w:r>
          </w:p>
          <w:p w14:paraId="192E3844" w14:textId="77777777" w:rsidR="000571D5" w:rsidRPr="00C13E80" w:rsidRDefault="000571D5" w:rsidP="001335B4">
            <w:pPr>
              <w:pStyle w:val="TableText0"/>
              <w:keepNext w:val="0"/>
              <w:numPr>
                <w:ilvl w:val="0"/>
                <w:numId w:val="9"/>
              </w:numPr>
            </w:pPr>
            <w:r w:rsidRPr="00C13E80">
              <w:lastRenderedPageBreak/>
              <w:t>Neurological conditions, including stroke and dementia and demyelinating conditions,</w:t>
            </w:r>
          </w:p>
          <w:p w14:paraId="1D314FF6" w14:textId="77777777" w:rsidR="000571D5" w:rsidRPr="00C13E80" w:rsidRDefault="000571D5" w:rsidP="001335B4">
            <w:pPr>
              <w:pStyle w:val="TableText0"/>
              <w:keepNext w:val="0"/>
              <w:numPr>
                <w:ilvl w:val="0"/>
                <w:numId w:val="9"/>
              </w:numPr>
            </w:pPr>
            <w:r w:rsidRPr="00C13E80">
              <w:t>Respiratory compromise, including COPD, moderate or severe asthma (required inhaled steroids), and bronchiectasis, or caused by neurological or musculoskeletal disease,</w:t>
            </w:r>
          </w:p>
          <w:p w14:paraId="07D5603F" w14:textId="77777777" w:rsidR="000571D5" w:rsidRPr="00C13E80" w:rsidRDefault="000571D5" w:rsidP="001335B4">
            <w:pPr>
              <w:pStyle w:val="TableText0"/>
              <w:keepNext w:val="0"/>
              <w:numPr>
                <w:ilvl w:val="0"/>
                <w:numId w:val="9"/>
              </w:numPr>
            </w:pPr>
            <w:r w:rsidRPr="00C13E80">
              <w:t>Heart failure, coronary artery disease, cardiomyopathies,</w:t>
            </w:r>
          </w:p>
          <w:p w14:paraId="1FD9F621" w14:textId="77777777" w:rsidR="000571D5" w:rsidRPr="00C13E80" w:rsidRDefault="000571D5" w:rsidP="001335B4">
            <w:pPr>
              <w:pStyle w:val="TableText0"/>
              <w:keepNext w:val="0"/>
              <w:numPr>
                <w:ilvl w:val="0"/>
                <w:numId w:val="9"/>
              </w:numPr>
            </w:pPr>
            <w:r w:rsidRPr="00C13E80">
              <w:t>Obesity (BMI greater than 30 kg/m</w:t>
            </w:r>
            <w:r w:rsidRPr="00C13E80">
              <w:rPr>
                <w:vertAlign w:val="superscript"/>
              </w:rPr>
              <w:t>2</w:t>
            </w:r>
            <w:r w:rsidRPr="00C13E80">
              <w:t>),</w:t>
            </w:r>
          </w:p>
          <w:p w14:paraId="07C40E08" w14:textId="77777777" w:rsidR="000571D5" w:rsidRPr="00C13E80" w:rsidRDefault="000571D5" w:rsidP="001335B4">
            <w:pPr>
              <w:pStyle w:val="TableText0"/>
              <w:keepNext w:val="0"/>
              <w:numPr>
                <w:ilvl w:val="0"/>
                <w:numId w:val="9"/>
              </w:numPr>
            </w:pPr>
            <w:r w:rsidRPr="00C13E80">
              <w:t>Diabetes type I or II, requiring medication for glycaemic control,</w:t>
            </w:r>
          </w:p>
          <w:p w14:paraId="075B0BAC" w14:textId="77777777" w:rsidR="000571D5" w:rsidRPr="00C13E80" w:rsidRDefault="000571D5" w:rsidP="001335B4">
            <w:pPr>
              <w:pStyle w:val="TableText0"/>
              <w:keepNext w:val="0"/>
              <w:numPr>
                <w:ilvl w:val="0"/>
                <w:numId w:val="9"/>
              </w:numPr>
            </w:pPr>
            <w:r w:rsidRPr="00C13E80">
              <w:t>Renal impairment (eGFR less than 60mL/min),</w:t>
            </w:r>
          </w:p>
          <w:p w14:paraId="4ADB72E4" w14:textId="77777777" w:rsidR="000571D5" w:rsidRPr="00C13E80" w:rsidRDefault="000571D5" w:rsidP="001335B4">
            <w:pPr>
              <w:pStyle w:val="TableText0"/>
              <w:keepNext w:val="0"/>
              <w:numPr>
                <w:ilvl w:val="0"/>
                <w:numId w:val="9"/>
              </w:numPr>
            </w:pPr>
            <w:r w:rsidRPr="00C13E80">
              <w:t>Cirrhosis, or</w:t>
            </w:r>
          </w:p>
          <w:p w14:paraId="5FD37183" w14:textId="77777777" w:rsidR="000571D5" w:rsidRPr="00C13E80" w:rsidRDefault="000571D5" w:rsidP="001335B4">
            <w:pPr>
              <w:pStyle w:val="TableText0"/>
              <w:keepNext w:val="0"/>
              <w:numPr>
                <w:ilvl w:val="0"/>
                <w:numId w:val="9"/>
              </w:numPr>
              <w:spacing w:after="120"/>
            </w:pPr>
            <w:r w:rsidRPr="00C13E80">
              <w:t>The patient has reduced, or lack of, access to higher level healthcare and lives in an area of geographic remoteness classified by the Modified Monash Model as Category 5 or above.</w:t>
            </w:r>
          </w:p>
          <w:p w14:paraId="4DB6A2E1" w14:textId="77777777" w:rsidR="000571D5" w:rsidRPr="00C13E80" w:rsidRDefault="000571D5" w:rsidP="00CD5F0E">
            <w:pPr>
              <w:pStyle w:val="TableText0"/>
              <w:keepNext w:val="0"/>
            </w:pPr>
            <w:r w:rsidRPr="00C13E80">
              <w:t>Details of the patient's medical condition necessitating use of this drug must be recorded in the patient's medical records.</w:t>
            </w:r>
          </w:p>
          <w:p w14:paraId="729367FA" w14:textId="77777777" w:rsidR="000571D5" w:rsidRPr="00C13E80" w:rsidRDefault="000571D5" w:rsidP="00CD5F0E">
            <w:pPr>
              <w:pStyle w:val="TableText0"/>
              <w:keepNext w:val="0"/>
            </w:pPr>
            <w:r w:rsidRPr="00C13E80">
              <w:t xml:space="preserve">For the purpose of administering this restriction, signs or symptoms attributable to COVID-19 </w:t>
            </w:r>
            <w:proofErr w:type="gramStart"/>
            <w:r w:rsidRPr="00C13E80">
              <w:t>are:</w:t>
            </w:r>
            <w:proofErr w:type="gramEnd"/>
            <w:r w:rsidRPr="00C13E80">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1C08E4A6" w14:textId="77777777" w:rsidR="000571D5" w:rsidRPr="00C13E80" w:rsidRDefault="000571D5" w:rsidP="00CD5F0E">
            <w:pPr>
              <w:pStyle w:val="TableText0"/>
              <w:keepNext w:val="0"/>
            </w:pPr>
            <w:r w:rsidRPr="00C13E80">
              <w:t>Access to this drug through this restriction is permitted irrespective of vaccination status.</w:t>
            </w:r>
          </w:p>
          <w:p w14:paraId="1C386D7A" w14:textId="77777777" w:rsidR="000571D5" w:rsidRPr="00C13E80" w:rsidRDefault="000571D5" w:rsidP="00CD5F0E">
            <w:pPr>
              <w:pStyle w:val="TableText0"/>
              <w:keepNext w:val="0"/>
            </w:pPr>
            <w:r w:rsidRPr="00C13E80">
              <w:t>Where PCR is used to confirm diagnosis, the result, testing date, location and test provider must be recorded on the patient record.</w:t>
            </w:r>
          </w:p>
          <w:p w14:paraId="3BCCAB80" w14:textId="77777777" w:rsidR="000571D5" w:rsidRPr="00C13E80" w:rsidRDefault="000571D5" w:rsidP="00CD5F0E">
            <w:pPr>
              <w:pStyle w:val="TableText0"/>
              <w:keepNext w:val="0"/>
            </w:pPr>
            <w:r w:rsidRPr="00C13E80">
              <w:t>Where a RAT is used to confirm diagnosis, available information about the test result, testing date, location and test provider (where relevant) must be recorded on the patient record.</w:t>
            </w:r>
          </w:p>
          <w:p w14:paraId="35DC2099" w14:textId="77777777" w:rsidR="000571D5" w:rsidRPr="00C13E80" w:rsidRDefault="000571D5" w:rsidP="00CD5F0E">
            <w:pPr>
              <w:pStyle w:val="TableText0"/>
              <w:keepNext w:val="0"/>
            </w:pPr>
            <w:r w:rsidRPr="00C13E80">
              <w:t>This drug is not PBS-subsidised for pre-exposure or post-exposure prophylaxis for the prevention of SARS-CoV-2 infection.</w:t>
            </w:r>
          </w:p>
          <w:p w14:paraId="58DB51EA" w14:textId="77777777" w:rsidR="000571D5" w:rsidRPr="00C13E80" w:rsidRDefault="000571D5" w:rsidP="00CD5F0E">
            <w:pPr>
              <w:pStyle w:val="TableText0"/>
              <w:keepNext w:val="0"/>
              <w:rPr>
                <w:b/>
                <w:u w:val="single"/>
              </w:rPr>
            </w:pPr>
            <w:r w:rsidRPr="00C13E80">
              <w:rPr>
                <w:b/>
                <w:u w:val="single"/>
              </w:rPr>
              <w:t>Note</w:t>
            </w:r>
          </w:p>
          <w:p w14:paraId="70E27105" w14:textId="77777777" w:rsidR="000571D5" w:rsidRPr="00C13E80" w:rsidRDefault="000571D5" w:rsidP="00CD5F0E">
            <w:pPr>
              <w:pStyle w:val="TableText0"/>
              <w:keepNext w:val="0"/>
              <w:spacing w:after="120"/>
            </w:pPr>
            <w:r w:rsidRPr="00C13E80">
              <w:t>The Modified Monash Model categorises an area according to geographical remoteness and town size. Details can be found at: https://www.health.gov.au/health-topics/rural-health-workforce/classifications/mmm</w:t>
            </w:r>
          </w:p>
        </w:tc>
      </w:tr>
      <w:bookmarkEnd w:id="19"/>
    </w:tbl>
    <w:p w14:paraId="7EA443AA" w14:textId="3278A3E6" w:rsidR="008605B2" w:rsidRPr="00C13E80" w:rsidRDefault="008605B2" w:rsidP="008605B2"/>
    <w:p w14:paraId="0ACD3EE2" w14:textId="4A4545F5" w:rsidR="008709B5" w:rsidRPr="00C13E80" w:rsidRDefault="008709B5" w:rsidP="00B46FE9">
      <w:pPr>
        <w:pStyle w:val="3-BodyText"/>
      </w:pPr>
      <w:r w:rsidRPr="00C13E80">
        <w:rPr>
          <w:color w:val="000000" w:themeColor="text1"/>
        </w:rPr>
        <w:t>The restriction includes an administrative note stating t</w:t>
      </w:r>
      <w:r w:rsidRPr="00C13E80">
        <w:t xml:space="preserve">his drug should be considered for use only if nirmatrelvir </w:t>
      </w:r>
      <w:r w:rsidR="00C96856" w:rsidRPr="00C13E80">
        <w:t>and</w:t>
      </w:r>
      <w:r w:rsidRPr="00C13E80">
        <w:t xml:space="preserve"> ritonavir is contraindicated or otherwise unsuitable</w:t>
      </w:r>
      <w:r w:rsidR="00F870EA" w:rsidRPr="00C13E80">
        <w:t xml:space="preserve">. </w:t>
      </w:r>
      <w:r w:rsidRPr="00C13E80">
        <w:t xml:space="preserve">The pre-PBAC response stated that </w:t>
      </w:r>
      <w:r w:rsidR="00C96856" w:rsidRPr="00C13E80">
        <w:t>molnupiravir</w:t>
      </w:r>
      <w:r w:rsidRPr="00C13E80">
        <w:t xml:space="preserve"> is being appropriately prescribed, in line with this administrative note and associated guidelines, and suggested that formalisation of the note</w:t>
      </w:r>
      <w:r w:rsidR="00BC3844" w:rsidRPr="00C13E80">
        <w:t xml:space="preserve"> as a clinical criterion</w:t>
      </w:r>
      <w:r w:rsidRPr="00C13E80">
        <w:t xml:space="preserve"> was impractical and </w:t>
      </w:r>
      <w:r w:rsidR="00B0624D" w:rsidRPr="00C13E80">
        <w:t>c</w:t>
      </w:r>
      <w:r w:rsidRPr="00C13E80">
        <w:t xml:space="preserve">ould </w:t>
      </w:r>
      <w:r w:rsidR="00B0624D" w:rsidRPr="00C13E80">
        <w:t>p</w:t>
      </w:r>
      <w:r w:rsidRPr="00C13E80">
        <w:t>ut patient safety at risk</w:t>
      </w:r>
      <w:r w:rsidR="00F870EA" w:rsidRPr="00C13E80">
        <w:t xml:space="preserve">. </w:t>
      </w:r>
      <w:r w:rsidR="00B0624D" w:rsidRPr="00C13E80">
        <w:t>The response stated that more than</w:t>
      </w:r>
      <w:r w:rsidRPr="00C13E80">
        <w:t xml:space="preserve"> </w:t>
      </w:r>
      <w:r w:rsidR="00B0624D" w:rsidRPr="00C13E80">
        <w:t>half</w:t>
      </w:r>
      <w:r w:rsidRPr="00C13E80">
        <w:t xml:space="preserve"> </w:t>
      </w:r>
      <w:r w:rsidR="00B0624D" w:rsidRPr="00C13E80">
        <w:t xml:space="preserve">of the patients in the proposed population </w:t>
      </w:r>
      <w:r w:rsidRPr="00C13E80">
        <w:t>receive medic</w:t>
      </w:r>
      <w:r w:rsidR="00B0624D" w:rsidRPr="00C13E80">
        <w:t>ines</w:t>
      </w:r>
      <w:r w:rsidRPr="00C13E80">
        <w:t xml:space="preserve"> that are contraindicated </w:t>
      </w:r>
      <w:r w:rsidR="00B0624D" w:rsidRPr="00C13E80">
        <w:t xml:space="preserve">for use with </w:t>
      </w:r>
      <w:r w:rsidR="008C6C0D" w:rsidRPr="00C13E80">
        <w:t>nirmatrelvir and ritonavir</w:t>
      </w:r>
      <w:r w:rsidRPr="00C13E80">
        <w:t xml:space="preserve"> and </w:t>
      </w:r>
      <w:r w:rsidR="00B0624D" w:rsidRPr="00C13E80">
        <w:t xml:space="preserve">that </w:t>
      </w:r>
      <w:r w:rsidRPr="00C13E80">
        <w:t xml:space="preserve">many patients are on multiple medicines; </w:t>
      </w:r>
      <w:r w:rsidR="00B0624D" w:rsidRPr="00C13E80">
        <w:t xml:space="preserve">noting that </w:t>
      </w:r>
      <w:r w:rsidRPr="00C13E80">
        <w:t xml:space="preserve">17% </w:t>
      </w:r>
      <w:r w:rsidR="00B0624D" w:rsidRPr="00C13E80">
        <w:t xml:space="preserve">of patients on molnupiravir are </w:t>
      </w:r>
      <w:r w:rsidRPr="00C13E80">
        <w:t>on &gt;</w:t>
      </w:r>
      <w:r w:rsidR="005B5781">
        <w:t> </w:t>
      </w:r>
      <w:r w:rsidRPr="00C13E80">
        <w:t>10 medicines</w:t>
      </w:r>
      <w:r w:rsidR="00F870EA" w:rsidRPr="00C13E80">
        <w:t>.</w:t>
      </w:r>
      <w:r w:rsidR="00DD467C">
        <w:t xml:space="preserve"> </w:t>
      </w:r>
      <w:r w:rsidR="00B0624D" w:rsidRPr="00C13E80">
        <w:t xml:space="preserve">The response also described patients with complex </w:t>
      </w:r>
      <w:r w:rsidRPr="00C13E80">
        <w:t xml:space="preserve">needs and comorbidities, </w:t>
      </w:r>
      <w:r w:rsidR="00B0624D" w:rsidRPr="00C13E80">
        <w:t xml:space="preserve">such as </w:t>
      </w:r>
      <w:r w:rsidRPr="00C13E80">
        <w:t xml:space="preserve">cognitive decline, </w:t>
      </w:r>
      <w:r w:rsidR="00B0624D" w:rsidRPr="00C13E80">
        <w:t xml:space="preserve">and </w:t>
      </w:r>
      <w:r w:rsidRPr="00C13E80">
        <w:t xml:space="preserve">polypharmacy </w:t>
      </w:r>
      <w:r w:rsidR="00B0624D" w:rsidRPr="00C13E80">
        <w:t xml:space="preserve">and stated these patients </w:t>
      </w:r>
      <w:r w:rsidRPr="00C13E80">
        <w:t>are not suitable for complicated instructions on stopping and restarting drugs with relative contraindications</w:t>
      </w:r>
      <w:r w:rsidR="00F870EA" w:rsidRPr="00C13E80">
        <w:t xml:space="preserve">. </w:t>
      </w:r>
      <w:r w:rsidR="00B0624D" w:rsidRPr="00C13E80">
        <w:t xml:space="preserve">The response stated that </w:t>
      </w:r>
      <w:r w:rsidR="00C96856" w:rsidRPr="00C13E80">
        <w:t>molnupiravir</w:t>
      </w:r>
      <w:r w:rsidRPr="00C13E80">
        <w:t xml:space="preserve"> was preferentially distributed to care homes</w:t>
      </w:r>
      <w:r w:rsidR="00B0624D" w:rsidRPr="00C13E80">
        <w:t xml:space="preserve"> due to these complexities</w:t>
      </w:r>
      <w:r w:rsidRPr="00C13E80">
        <w:t xml:space="preserve">. </w:t>
      </w:r>
      <w:r w:rsidR="00B0624D" w:rsidRPr="00C13E80">
        <w:t>The response stated that a</w:t>
      </w:r>
      <w:r w:rsidRPr="00C13E80">
        <w:t xml:space="preserve">ny formalisation would risk patient safety by suggesting to GPs that they must manage the multiple contraindicated medicines their patients are taking. </w:t>
      </w:r>
    </w:p>
    <w:p w14:paraId="2068DB04" w14:textId="51E486F5" w:rsidR="00C80DB1" w:rsidRPr="00C13E80" w:rsidRDefault="00C80DB1" w:rsidP="00B46FE9">
      <w:pPr>
        <w:pStyle w:val="3-BodyText"/>
        <w:rPr>
          <w:color w:val="000000" w:themeColor="text1"/>
        </w:rPr>
      </w:pPr>
      <w:r w:rsidRPr="00C13E80">
        <w:rPr>
          <w:color w:val="000000" w:themeColor="text1"/>
        </w:rPr>
        <w:t>The submission requested removal of the administrative note that indicates that molnupiravir should be considered for use only if nirmatrelvir and ritonavir is contraindicated or otherwise unsuitable, in the event that the PBAC determined nirmatrelvir and ritonavir to be the appropriate main comparator.</w:t>
      </w:r>
    </w:p>
    <w:p w14:paraId="47E66814" w14:textId="0093741F" w:rsidR="008709B5" w:rsidRPr="00C13E80" w:rsidRDefault="00B0624D" w:rsidP="00B46FE9">
      <w:pPr>
        <w:pStyle w:val="3-BodyText"/>
      </w:pPr>
      <w:r w:rsidRPr="00C13E80">
        <w:lastRenderedPageBreak/>
        <w:t xml:space="preserve">The PBAC considered that the administrative note should be formalised </w:t>
      </w:r>
      <w:r w:rsidR="00611EEB" w:rsidRPr="00C13E80">
        <w:t xml:space="preserve">in the restriction </w:t>
      </w:r>
      <w:r w:rsidRPr="00C13E80">
        <w:t xml:space="preserve">to </w:t>
      </w:r>
      <w:r w:rsidR="000D4E62" w:rsidRPr="00C13E80">
        <w:t>provide greater clarity to prescribers on the appropriate population for molnupiravir (see paragraph</w:t>
      </w:r>
      <w:r w:rsidR="00BC3844" w:rsidRPr="00C13E80">
        <w:t xml:space="preserve"> </w:t>
      </w:r>
      <w:r w:rsidR="00757925">
        <w:fldChar w:fldCharType="begin" w:fldLock="1"/>
      </w:r>
      <w:r w:rsidR="00757925">
        <w:instrText xml:space="preserve"> REF  _Ref141709676 \h \r </w:instrText>
      </w:r>
      <w:r w:rsidR="00757925">
        <w:fldChar w:fldCharType="separate"/>
      </w:r>
      <w:r w:rsidR="00757925">
        <w:t>7.12</w:t>
      </w:r>
      <w:r w:rsidR="00757925">
        <w:fldChar w:fldCharType="end"/>
      </w:r>
      <w:r w:rsidR="000D4E62" w:rsidRPr="00C13E80">
        <w:t>).</w:t>
      </w:r>
    </w:p>
    <w:p w14:paraId="79B5D1D4" w14:textId="4FFEB1B7" w:rsidR="00ED3AD9" w:rsidRPr="00C13E80" w:rsidRDefault="00ED3AD9" w:rsidP="00ED3AD9">
      <w:pPr>
        <w:pStyle w:val="3-BodyText"/>
        <w:numPr>
          <w:ilvl w:val="0"/>
          <w:numId w:val="0"/>
        </w:numPr>
        <w:ind w:left="720"/>
        <w:rPr>
          <w:iCs/>
          <w:color w:val="0066FF"/>
        </w:rPr>
      </w:pPr>
      <w:r w:rsidRPr="00C13E80">
        <w:rPr>
          <w:i/>
        </w:rPr>
        <w:t xml:space="preserve">For more detail on PBAC’s view, see section 7 PBAC </w:t>
      </w:r>
      <w:r w:rsidR="007E6EBF">
        <w:rPr>
          <w:i/>
        </w:rPr>
        <w:t>O</w:t>
      </w:r>
      <w:r w:rsidRPr="00C13E80">
        <w:rPr>
          <w:i/>
        </w:rPr>
        <w:t>utcome.</w:t>
      </w:r>
    </w:p>
    <w:p w14:paraId="7075B85C" w14:textId="62A47B7B" w:rsidR="00B50DB8" w:rsidRPr="00C13E80" w:rsidDel="00195452" w:rsidRDefault="00203181" w:rsidP="00B46FE9">
      <w:pPr>
        <w:pStyle w:val="2-SectionHeading"/>
      </w:pPr>
      <w:bookmarkStart w:id="20" w:name="_Toc135232217"/>
      <w:r w:rsidRPr="00C13E80" w:rsidDel="00195452">
        <w:t xml:space="preserve">Population and </w:t>
      </w:r>
      <w:r w:rsidR="008E0D3C" w:rsidRPr="00C13E80" w:rsidDel="00195452">
        <w:t>d</w:t>
      </w:r>
      <w:r w:rsidRPr="00C13E80" w:rsidDel="00195452">
        <w:t>isease</w:t>
      </w:r>
      <w:bookmarkEnd w:id="20"/>
    </w:p>
    <w:p w14:paraId="1F75BBCF" w14:textId="703CCCB8" w:rsidR="00FB3C61" w:rsidRPr="00C13E80" w:rsidRDefault="00FB3C61" w:rsidP="00B46FE9">
      <w:pPr>
        <w:pStyle w:val="3-BodyText"/>
        <w:rPr>
          <w:color w:val="000000" w:themeColor="text1"/>
        </w:rPr>
      </w:pPr>
      <w:bookmarkStart w:id="21" w:name="_Hlk134306023"/>
      <w:r w:rsidRPr="00C13E80">
        <w:rPr>
          <w:color w:val="000000" w:themeColor="text1"/>
        </w:rPr>
        <w:t>Coronavirus disease (COVID-19) is a</w:t>
      </w:r>
      <w:r w:rsidR="00725ACD" w:rsidRPr="00C13E80">
        <w:rPr>
          <w:color w:val="000000" w:themeColor="text1"/>
        </w:rPr>
        <w:t xml:space="preserve">n </w:t>
      </w:r>
      <w:r w:rsidRPr="00C13E80">
        <w:rPr>
          <w:color w:val="000000" w:themeColor="text1"/>
        </w:rPr>
        <w:t xml:space="preserve">infectious disease caused by the SARS-CoV-2 virus. </w:t>
      </w:r>
      <w:r w:rsidR="00725ACD" w:rsidRPr="00C13E80">
        <w:rPr>
          <w:color w:val="000000" w:themeColor="text1"/>
        </w:rPr>
        <w:t>Most patients who fall sick with COVID-19 experience mild to moderate symptoms such as fever, cough, tiredness and loss of smell, and recover without clinical or therapeutic intervention. However, some patients can become seriously ill and require hospitalisation as a consequence of respiratory complications, aberrant immune response resulting in hyperinflammation or decompensation of underlying health conditions. Of patients who are admitted to hospital</w:t>
      </w:r>
      <w:r w:rsidR="009048DD" w:rsidRPr="00C13E80">
        <w:rPr>
          <w:color w:val="000000" w:themeColor="text1"/>
        </w:rPr>
        <w:t xml:space="preserve"> with COVID-19</w:t>
      </w:r>
      <w:r w:rsidR="00CA44BE" w:rsidRPr="00C13E80">
        <w:rPr>
          <w:color w:val="000000" w:themeColor="text1"/>
        </w:rPr>
        <w:t>,</w:t>
      </w:r>
      <w:r w:rsidR="00725ACD" w:rsidRPr="00C13E80">
        <w:rPr>
          <w:color w:val="000000" w:themeColor="text1"/>
        </w:rPr>
        <w:t xml:space="preserve"> a proportion require admission to </w:t>
      </w:r>
      <w:r w:rsidR="00665881" w:rsidRPr="00C13E80">
        <w:rPr>
          <w:color w:val="000000" w:themeColor="text1"/>
        </w:rPr>
        <w:t>an intensive care unit (ICU)</w:t>
      </w:r>
      <w:r w:rsidR="00725ACD" w:rsidRPr="00C13E80">
        <w:rPr>
          <w:color w:val="000000" w:themeColor="text1"/>
        </w:rPr>
        <w:t xml:space="preserve"> and</w:t>
      </w:r>
      <w:r w:rsidR="00CA44BE" w:rsidRPr="00C13E80">
        <w:rPr>
          <w:color w:val="000000" w:themeColor="text1"/>
        </w:rPr>
        <w:t xml:space="preserve">, in some cases, </w:t>
      </w:r>
      <w:r w:rsidR="00725ACD" w:rsidRPr="00C13E80">
        <w:rPr>
          <w:color w:val="000000" w:themeColor="text1"/>
        </w:rPr>
        <w:t>require mechanical ventilation.</w:t>
      </w:r>
      <w:r w:rsidR="00665881" w:rsidRPr="00C13E80">
        <w:rPr>
          <w:color w:val="000000" w:themeColor="text1"/>
        </w:rPr>
        <w:t xml:space="preserve"> </w:t>
      </w:r>
      <w:r w:rsidR="00B30EB6" w:rsidRPr="00C13E80">
        <w:rPr>
          <w:color w:val="000000" w:themeColor="text1"/>
        </w:rPr>
        <w:t>Some</w:t>
      </w:r>
      <w:r w:rsidR="00665881" w:rsidRPr="00C13E80">
        <w:rPr>
          <w:color w:val="000000" w:themeColor="text1"/>
        </w:rPr>
        <w:t xml:space="preserve"> patients die </w:t>
      </w:r>
      <w:r w:rsidR="000E2CBF" w:rsidRPr="00C13E80">
        <w:rPr>
          <w:color w:val="000000" w:themeColor="text1"/>
        </w:rPr>
        <w:t>either</w:t>
      </w:r>
      <w:r w:rsidR="00665881" w:rsidRPr="00C13E80">
        <w:rPr>
          <w:color w:val="000000" w:themeColor="text1"/>
        </w:rPr>
        <w:t xml:space="preserve"> directly or indirectly </w:t>
      </w:r>
      <w:r w:rsidR="000E2CBF" w:rsidRPr="00C13E80">
        <w:rPr>
          <w:color w:val="000000" w:themeColor="text1"/>
        </w:rPr>
        <w:t xml:space="preserve">due </w:t>
      </w:r>
      <w:r w:rsidR="00665881" w:rsidRPr="00C13E80">
        <w:rPr>
          <w:color w:val="000000" w:themeColor="text1"/>
        </w:rPr>
        <w:t>to COVID-19.</w:t>
      </w:r>
    </w:p>
    <w:p w14:paraId="11FCAAEE" w14:textId="0CD44A80" w:rsidR="007627BE" w:rsidRPr="00C13E80" w:rsidRDefault="00A70DA8" w:rsidP="00B46FE9">
      <w:pPr>
        <w:pStyle w:val="3-BodyText"/>
        <w:rPr>
          <w:color w:val="000000" w:themeColor="text1"/>
        </w:rPr>
      </w:pPr>
      <w:r w:rsidRPr="00C13E80">
        <w:rPr>
          <w:color w:val="000000" w:themeColor="text1"/>
        </w:rPr>
        <w:t>Molnupiravir is a prodrug that is metabolised to n-hydroxycytidine (NHC) which distributes into cells where it is phosphorylated to form the pharmacologically active ribonucleoside triphosphate (NHC-TP). NHC-TP acts by a mechanism known as viral error catastrophe. NHC-TP incorporation into viral RNA by the viral RNA polymerase results in an accumulation of errors in the viral genome leading to inhibition of replication.</w:t>
      </w:r>
    </w:p>
    <w:p w14:paraId="44EA5F79" w14:textId="2A1C4D83" w:rsidR="009E4A12" w:rsidRPr="00C13E80" w:rsidRDefault="009E4A12" w:rsidP="00B46FE9">
      <w:pPr>
        <w:pStyle w:val="3-BodyText"/>
        <w:rPr>
          <w:color w:val="000000" w:themeColor="text1"/>
        </w:rPr>
      </w:pPr>
      <w:r w:rsidRPr="00C13E80">
        <w:rPr>
          <w:color w:val="000000" w:themeColor="text1"/>
        </w:rPr>
        <w:t>Molnupiravir should be administered as soon as possible after a diagnosis of COVID</w:t>
      </w:r>
      <w:r w:rsidRPr="00C13E80">
        <w:rPr>
          <w:color w:val="000000" w:themeColor="text1"/>
        </w:rPr>
        <w:noBreakHyphen/>
        <w:t>19 has been made and within 5 days of symptom onset in adults who are at risk for progression to severe COVID-19</w:t>
      </w:r>
      <w:r w:rsidR="005F4954" w:rsidRPr="00C13E80">
        <w:rPr>
          <w:color w:val="000000" w:themeColor="text1"/>
        </w:rPr>
        <w:t xml:space="preserve"> that necessitates hospitalisation</w:t>
      </w:r>
      <w:r w:rsidRPr="00C13E80">
        <w:rPr>
          <w:color w:val="000000" w:themeColor="text1"/>
        </w:rPr>
        <w:t>.</w:t>
      </w:r>
    </w:p>
    <w:p w14:paraId="4F35E5AE" w14:textId="5C79434B" w:rsidR="00ED3AD9" w:rsidRPr="00C13E80" w:rsidRDefault="00ED3AD9" w:rsidP="00ED3AD9">
      <w:pPr>
        <w:pStyle w:val="3-BodyText"/>
        <w:numPr>
          <w:ilvl w:val="0"/>
          <w:numId w:val="0"/>
        </w:numPr>
        <w:ind w:left="720"/>
        <w:rPr>
          <w:iCs/>
          <w:color w:val="0066FF"/>
        </w:rPr>
      </w:pPr>
      <w:r w:rsidRPr="00C13E80">
        <w:rPr>
          <w:i/>
        </w:rPr>
        <w:t xml:space="preserve">For more detail on PBAC’s view, see section 7 PBAC </w:t>
      </w:r>
      <w:r w:rsidR="007E6EBF">
        <w:rPr>
          <w:i/>
        </w:rPr>
        <w:t>O</w:t>
      </w:r>
      <w:r w:rsidRPr="00C13E80">
        <w:rPr>
          <w:i/>
        </w:rPr>
        <w:t>utcome.</w:t>
      </w:r>
    </w:p>
    <w:p w14:paraId="51E5AE96" w14:textId="136A63B1" w:rsidR="00B50DB8" w:rsidRPr="00C13E80" w:rsidRDefault="00B50DB8" w:rsidP="00B46FE9">
      <w:pPr>
        <w:pStyle w:val="2-SectionHeading"/>
      </w:pPr>
      <w:bookmarkStart w:id="22" w:name="_Toc135232218"/>
      <w:bookmarkEnd w:id="21"/>
      <w:r w:rsidRPr="00C13E80">
        <w:t>Comparator</w:t>
      </w:r>
      <w:bookmarkEnd w:id="22"/>
    </w:p>
    <w:p w14:paraId="69EBABDA" w14:textId="5C45A14E" w:rsidR="004D614F" w:rsidRPr="00C13E80" w:rsidRDefault="00A16228" w:rsidP="00B46FE9">
      <w:pPr>
        <w:pStyle w:val="3-BodyText"/>
        <w:rPr>
          <w:snapToGrid/>
          <w:color w:val="000000" w:themeColor="text1"/>
        </w:rPr>
      </w:pPr>
      <w:bookmarkStart w:id="23" w:name="_Hlk134309372"/>
      <w:r w:rsidRPr="00C13E80">
        <w:rPr>
          <w:color w:val="000000" w:themeColor="text1"/>
        </w:rPr>
        <w:t>The submission nominate</w:t>
      </w:r>
      <w:r w:rsidR="00744A7F" w:rsidRPr="00C13E80">
        <w:rPr>
          <w:color w:val="000000" w:themeColor="text1"/>
        </w:rPr>
        <w:t>d</w:t>
      </w:r>
      <w:r w:rsidRPr="00C13E80">
        <w:rPr>
          <w:color w:val="000000" w:themeColor="text1"/>
        </w:rPr>
        <w:t xml:space="preserve"> usual care</w:t>
      </w:r>
      <w:r w:rsidR="00D95849" w:rsidRPr="00C13E80">
        <w:rPr>
          <w:color w:val="000000" w:themeColor="text1"/>
        </w:rPr>
        <w:t xml:space="preserve"> (i.e., symptomatic management of COVID-19) as the main comparator</w:t>
      </w:r>
      <w:r w:rsidR="00A63343" w:rsidRPr="00C13E80">
        <w:rPr>
          <w:color w:val="000000" w:themeColor="text1"/>
        </w:rPr>
        <w:t xml:space="preserve"> on the grounds that the </w:t>
      </w:r>
      <w:r w:rsidR="00CA1BD1" w:rsidRPr="00C13E80">
        <w:rPr>
          <w:color w:val="000000" w:themeColor="text1"/>
        </w:rPr>
        <w:t>intent of the a</w:t>
      </w:r>
      <w:r w:rsidR="00A63343" w:rsidRPr="00C13E80">
        <w:rPr>
          <w:color w:val="000000" w:themeColor="text1"/>
        </w:rPr>
        <w:t xml:space="preserve">dministrative </w:t>
      </w:r>
      <w:r w:rsidR="00CA1BD1" w:rsidRPr="00C13E80">
        <w:rPr>
          <w:color w:val="000000" w:themeColor="text1"/>
        </w:rPr>
        <w:t>n</w:t>
      </w:r>
      <w:r w:rsidR="00A63343" w:rsidRPr="00C13E80">
        <w:rPr>
          <w:color w:val="000000" w:themeColor="text1"/>
        </w:rPr>
        <w:t xml:space="preserve">ote added to the restriction for molnupiravir in January 2023 </w:t>
      </w:r>
      <w:r w:rsidR="004D614F" w:rsidRPr="00C13E80">
        <w:rPr>
          <w:color w:val="000000" w:themeColor="text1"/>
        </w:rPr>
        <w:t>positions molnupiravir as a treatment for</w:t>
      </w:r>
      <w:r w:rsidR="00A63343" w:rsidRPr="00C13E80">
        <w:rPr>
          <w:color w:val="000000" w:themeColor="text1"/>
        </w:rPr>
        <w:t xml:space="preserve"> patients who are unable to </w:t>
      </w:r>
      <w:r w:rsidR="004D614F" w:rsidRPr="00C13E80">
        <w:rPr>
          <w:color w:val="000000" w:themeColor="text1"/>
        </w:rPr>
        <w:t>be treated with nirmatrelvir and ritonavir.</w:t>
      </w:r>
    </w:p>
    <w:p w14:paraId="0D63D2D0" w14:textId="6E0D6953" w:rsidR="00557C18" w:rsidRPr="00C13E80" w:rsidRDefault="004D614F" w:rsidP="00B46FE9">
      <w:pPr>
        <w:pStyle w:val="3-BodyText"/>
        <w:rPr>
          <w:color w:val="000000" w:themeColor="text1"/>
        </w:rPr>
      </w:pPr>
      <w:bookmarkStart w:id="24" w:name="_Ref134521525"/>
      <w:r w:rsidRPr="00C13E80">
        <w:rPr>
          <w:color w:val="000000" w:themeColor="text1"/>
        </w:rPr>
        <w:t>A</w:t>
      </w:r>
      <w:r w:rsidR="00140638" w:rsidRPr="00C13E80">
        <w:rPr>
          <w:color w:val="000000" w:themeColor="text1"/>
        </w:rPr>
        <w:t>lthough th</w:t>
      </w:r>
      <w:r w:rsidR="00455FD7" w:rsidRPr="00C13E80">
        <w:rPr>
          <w:color w:val="000000" w:themeColor="text1"/>
        </w:rPr>
        <w:t>e submission</w:t>
      </w:r>
      <w:r w:rsidR="00E86403" w:rsidRPr="00C13E80">
        <w:rPr>
          <w:color w:val="000000" w:themeColor="text1"/>
        </w:rPr>
        <w:t>’s arguments could</w:t>
      </w:r>
      <w:r w:rsidR="0042497B" w:rsidRPr="00C13E80">
        <w:rPr>
          <w:color w:val="000000" w:themeColor="text1"/>
        </w:rPr>
        <w:t xml:space="preserve"> be a reasonable justification for the nomination of usual care as the appropriate main comparator</w:t>
      </w:r>
      <w:r w:rsidR="00AC47EC" w:rsidRPr="00C13E80">
        <w:rPr>
          <w:color w:val="000000" w:themeColor="text1"/>
        </w:rPr>
        <w:t xml:space="preserve">, as </w:t>
      </w:r>
      <w:r w:rsidRPr="00C13E80">
        <w:rPr>
          <w:color w:val="000000" w:themeColor="text1"/>
        </w:rPr>
        <w:t xml:space="preserve">discussed in paragraph </w:t>
      </w:r>
      <w:r w:rsidRPr="00C13E80">
        <w:rPr>
          <w:color w:val="000000" w:themeColor="text1"/>
        </w:rPr>
        <w:fldChar w:fldCharType="begin" w:fldLock="1"/>
      </w:r>
      <w:r w:rsidRPr="00C13E80">
        <w:rPr>
          <w:color w:val="000000" w:themeColor="text1"/>
        </w:rPr>
        <w:instrText xml:space="preserve"> REF _Ref134304076 \r \h </w:instrText>
      </w:r>
      <w:r w:rsidRPr="00C13E80">
        <w:rPr>
          <w:color w:val="000000" w:themeColor="text1"/>
        </w:rPr>
      </w:r>
      <w:r w:rsidRPr="00C13E80">
        <w:rPr>
          <w:color w:val="000000" w:themeColor="text1"/>
        </w:rPr>
        <w:fldChar w:fldCharType="separate"/>
      </w:r>
      <w:r w:rsidR="00701DEF">
        <w:rPr>
          <w:color w:val="000000" w:themeColor="text1"/>
        </w:rPr>
        <w:t>1.5</w:t>
      </w:r>
      <w:r w:rsidRPr="00C13E80">
        <w:rPr>
          <w:color w:val="000000" w:themeColor="text1"/>
        </w:rPr>
        <w:fldChar w:fldCharType="end"/>
      </w:r>
      <w:r w:rsidRPr="00C13E80">
        <w:rPr>
          <w:color w:val="000000" w:themeColor="text1"/>
        </w:rPr>
        <w:t xml:space="preserve">, </w:t>
      </w:r>
      <w:r w:rsidR="00557C18" w:rsidRPr="00C13E80">
        <w:rPr>
          <w:color w:val="000000" w:themeColor="text1"/>
        </w:rPr>
        <w:t xml:space="preserve">the absence of a definition for the phrase </w:t>
      </w:r>
      <w:r w:rsidR="009709BB">
        <w:rPr>
          <w:color w:val="000000" w:themeColor="text1"/>
        </w:rPr>
        <w:t>‘</w:t>
      </w:r>
      <w:r w:rsidR="00557C18" w:rsidRPr="00C13E80">
        <w:rPr>
          <w:color w:val="000000" w:themeColor="text1"/>
        </w:rPr>
        <w:t>contraindicated or otherwise unsuitable</w:t>
      </w:r>
      <w:r w:rsidR="009709BB">
        <w:rPr>
          <w:color w:val="000000" w:themeColor="text1"/>
        </w:rPr>
        <w:t>’</w:t>
      </w:r>
      <w:r w:rsidR="00557C18" w:rsidRPr="00C13E80">
        <w:rPr>
          <w:color w:val="000000" w:themeColor="text1"/>
        </w:rPr>
        <w:t xml:space="preserve"> in the restriction leaves the phrase open to a broad range of interpretations. </w:t>
      </w:r>
      <w:r w:rsidR="00AC47EC" w:rsidRPr="00C13E80">
        <w:rPr>
          <w:color w:val="000000" w:themeColor="text1"/>
        </w:rPr>
        <w:t xml:space="preserve">Thus, there may be some use of molnupiravir in </w:t>
      </w:r>
      <w:r w:rsidR="00590EA3" w:rsidRPr="00C13E80">
        <w:rPr>
          <w:color w:val="000000" w:themeColor="text1"/>
        </w:rPr>
        <w:t xml:space="preserve">some </w:t>
      </w:r>
      <w:r w:rsidR="00E86403" w:rsidRPr="00C13E80">
        <w:rPr>
          <w:color w:val="000000" w:themeColor="text1"/>
        </w:rPr>
        <w:t xml:space="preserve">patients </w:t>
      </w:r>
      <w:r w:rsidR="00590EA3" w:rsidRPr="00C13E80">
        <w:rPr>
          <w:color w:val="000000" w:themeColor="text1"/>
        </w:rPr>
        <w:t>in whom</w:t>
      </w:r>
      <w:r w:rsidR="00F31B23" w:rsidRPr="00C13E80">
        <w:rPr>
          <w:color w:val="000000" w:themeColor="text1"/>
        </w:rPr>
        <w:t xml:space="preserve"> nirmatrelvir and ritonavir </w:t>
      </w:r>
      <w:r w:rsidR="00590EA3" w:rsidRPr="00C13E80">
        <w:rPr>
          <w:color w:val="000000" w:themeColor="text1"/>
        </w:rPr>
        <w:t xml:space="preserve">could actually be </w:t>
      </w:r>
      <w:r w:rsidR="000158EC" w:rsidRPr="00C13E80">
        <w:rPr>
          <w:color w:val="000000" w:themeColor="text1"/>
        </w:rPr>
        <w:t xml:space="preserve">used. </w:t>
      </w:r>
      <w:r w:rsidR="000A486F" w:rsidRPr="00C13E80">
        <w:rPr>
          <w:color w:val="000000" w:themeColor="text1"/>
        </w:rPr>
        <w:t xml:space="preserve">It has previously been reported that the numerous potential drug interactions with nirmatrelvir and ritonavir result in molnupiravir being the dominant antiviral being used to treat people </w:t>
      </w:r>
      <w:r w:rsidR="000A486F" w:rsidRPr="00C13E80">
        <w:rPr>
          <w:color w:val="000000" w:themeColor="text1"/>
        </w:rPr>
        <w:lastRenderedPageBreak/>
        <w:t>aged 70</w:t>
      </w:r>
      <w:r w:rsidR="007E6EBF">
        <w:rPr>
          <w:color w:val="000000" w:themeColor="text1"/>
        </w:rPr>
        <w:t> </w:t>
      </w:r>
      <w:r w:rsidR="000A486F" w:rsidRPr="00C13E80">
        <w:rPr>
          <w:color w:val="000000" w:themeColor="text1"/>
        </w:rPr>
        <w:t>years or older, especially in care homes (</w:t>
      </w:r>
      <w:r w:rsidR="000A486F" w:rsidRPr="00C13E80">
        <w:t xml:space="preserve">Kidd </w:t>
      </w:r>
      <w:r w:rsidR="002D5E2B" w:rsidRPr="00C13E80">
        <w:t>&amp;</w:t>
      </w:r>
      <w:r w:rsidR="000A486F" w:rsidRPr="00C13E80">
        <w:t xml:space="preserve"> Kelly, 2022</w:t>
      </w:r>
      <w:bookmarkStart w:id="25" w:name="_Ref135163432"/>
      <w:r w:rsidR="00696A74" w:rsidRPr="00C13E80">
        <w:rPr>
          <w:rStyle w:val="FootnoteReference"/>
        </w:rPr>
        <w:footnoteReference w:id="6"/>
      </w:r>
      <w:bookmarkEnd w:id="25"/>
      <w:r w:rsidR="000A486F" w:rsidRPr="00C13E80">
        <w:rPr>
          <w:color w:val="000000" w:themeColor="text1"/>
        </w:rPr>
        <w:t xml:space="preserve">). The submission assumed </w:t>
      </w:r>
      <w:r w:rsidR="00573190" w:rsidRPr="00567EAC">
        <w:rPr>
          <w:color w:val="000000" w:themeColor="text1"/>
          <w:w w:val="15"/>
          <w:shd w:val="solid" w:color="000000" w:fill="000000"/>
          <w:fitText w:val="-20" w:id="-1168357886"/>
          <w14:textFill>
            <w14:solidFill>
              <w14:schemeClr w14:val="tx1">
                <w14:alpha w14:val="100000"/>
              </w14:schemeClr>
            </w14:solidFill>
          </w14:textFill>
        </w:rPr>
        <w:t xml:space="preserve">|  </w:t>
      </w:r>
      <w:r w:rsidR="00573190" w:rsidRPr="00567EAC">
        <w:rPr>
          <w:color w:val="000000" w:themeColor="text1"/>
          <w:spacing w:val="-69"/>
          <w:w w:val="15"/>
          <w:shd w:val="solid" w:color="000000" w:fill="000000"/>
          <w:fitText w:val="-20" w:id="-1168357886"/>
          <w14:textFill>
            <w14:solidFill>
              <w14:schemeClr w14:val="tx1">
                <w14:alpha w14:val="100000"/>
              </w14:schemeClr>
            </w14:solidFill>
          </w14:textFill>
        </w:rPr>
        <w:t>|</w:t>
      </w:r>
      <w:r w:rsidR="000A486F" w:rsidRPr="002E4F5B">
        <w:rPr>
          <w:color w:val="000000" w:themeColor="text1"/>
        </w:rPr>
        <w:t>%</w:t>
      </w:r>
      <w:r w:rsidR="000A486F" w:rsidRPr="00C13E80">
        <w:rPr>
          <w:color w:val="000000" w:themeColor="text1"/>
        </w:rPr>
        <w:t xml:space="preserve"> market share for </w:t>
      </w:r>
      <w:r w:rsidR="000A486F" w:rsidRPr="00C13E80">
        <w:t>molnupiravir within the oral antiviral market in the financial estimates.</w:t>
      </w:r>
      <w:r w:rsidR="00696A74" w:rsidRPr="00C13E80">
        <w:t xml:space="preserve"> </w:t>
      </w:r>
      <w:bookmarkEnd w:id="24"/>
    </w:p>
    <w:p w14:paraId="7FC2BBDC" w14:textId="7F61B9C8" w:rsidR="00752383" w:rsidRPr="00C13E80" w:rsidRDefault="00752383" w:rsidP="00B46FE9">
      <w:pPr>
        <w:pStyle w:val="3-BodyText"/>
        <w:rPr>
          <w:iCs/>
          <w:color w:val="000000" w:themeColor="text1"/>
        </w:rPr>
      </w:pPr>
      <w:r w:rsidRPr="00C13E80">
        <w:rPr>
          <w:color w:val="000000" w:themeColor="text1"/>
        </w:rPr>
        <w:t xml:space="preserve">Although the submission </w:t>
      </w:r>
      <w:r w:rsidR="009B1CE1" w:rsidRPr="00C13E80">
        <w:rPr>
          <w:color w:val="000000" w:themeColor="text1"/>
        </w:rPr>
        <w:t>state</w:t>
      </w:r>
      <w:r w:rsidR="00611EEB" w:rsidRPr="00C13E80">
        <w:rPr>
          <w:color w:val="000000" w:themeColor="text1"/>
        </w:rPr>
        <w:t>d</w:t>
      </w:r>
      <w:r w:rsidR="009B1CE1" w:rsidRPr="00C13E80">
        <w:rPr>
          <w:color w:val="000000" w:themeColor="text1"/>
        </w:rPr>
        <w:t xml:space="preserve"> that usual care </w:t>
      </w:r>
      <w:r w:rsidR="00611EEB" w:rsidRPr="00C13E80">
        <w:rPr>
          <w:color w:val="000000" w:themeColor="text1"/>
        </w:rPr>
        <w:t>was</w:t>
      </w:r>
      <w:r w:rsidR="009B1CE1" w:rsidRPr="00C13E80">
        <w:rPr>
          <w:color w:val="000000" w:themeColor="text1"/>
        </w:rPr>
        <w:t xml:space="preserve"> the only appropriate comparator for molnupiravir, </w:t>
      </w:r>
      <w:r w:rsidR="00786666" w:rsidRPr="00C13E80">
        <w:rPr>
          <w:color w:val="000000" w:themeColor="text1"/>
        </w:rPr>
        <w:t>i</w:t>
      </w:r>
      <w:r w:rsidR="005A03F7" w:rsidRPr="00C13E80">
        <w:rPr>
          <w:color w:val="000000" w:themeColor="text1"/>
        </w:rPr>
        <w:t xml:space="preserve">t </w:t>
      </w:r>
      <w:r w:rsidR="008D5255" w:rsidRPr="00C13E80">
        <w:rPr>
          <w:iCs/>
          <w:color w:val="000000" w:themeColor="text1"/>
        </w:rPr>
        <w:t>appropriately</w:t>
      </w:r>
      <w:r w:rsidR="008D5255" w:rsidRPr="00C13E80">
        <w:rPr>
          <w:color w:val="000000" w:themeColor="text1"/>
        </w:rPr>
        <w:t xml:space="preserve"> </w:t>
      </w:r>
      <w:r w:rsidR="00E11857" w:rsidRPr="00C13E80">
        <w:rPr>
          <w:color w:val="000000" w:themeColor="text1"/>
        </w:rPr>
        <w:t>attempt</w:t>
      </w:r>
      <w:r w:rsidR="00A90BE2" w:rsidRPr="00C13E80">
        <w:rPr>
          <w:color w:val="000000" w:themeColor="text1"/>
        </w:rPr>
        <w:t>ed</w:t>
      </w:r>
      <w:r w:rsidR="00E11857" w:rsidRPr="00C13E80">
        <w:rPr>
          <w:color w:val="000000" w:themeColor="text1"/>
        </w:rPr>
        <w:t xml:space="preserve"> to </w:t>
      </w:r>
      <w:r w:rsidR="005A03F7" w:rsidRPr="00C13E80">
        <w:rPr>
          <w:color w:val="000000" w:themeColor="text1"/>
        </w:rPr>
        <w:t xml:space="preserve">include </w:t>
      </w:r>
      <w:r w:rsidR="00656A1C" w:rsidRPr="00C13E80">
        <w:rPr>
          <w:color w:val="000000" w:themeColor="text1"/>
        </w:rPr>
        <w:t xml:space="preserve">a clinical comparison of molnupiravir and </w:t>
      </w:r>
      <w:r w:rsidR="005A03F7" w:rsidRPr="00C13E80">
        <w:rPr>
          <w:color w:val="000000" w:themeColor="text1"/>
        </w:rPr>
        <w:t>nirmatrelvir and ritonavir</w:t>
      </w:r>
      <w:r w:rsidR="00656A1C" w:rsidRPr="00C13E80">
        <w:rPr>
          <w:color w:val="000000" w:themeColor="text1"/>
        </w:rPr>
        <w:t xml:space="preserve">. </w:t>
      </w:r>
      <w:r w:rsidR="00C95D11">
        <w:rPr>
          <w:iCs/>
          <w:color w:val="000000" w:themeColor="text1"/>
        </w:rPr>
        <w:t>A</w:t>
      </w:r>
      <w:r w:rsidR="00122A20" w:rsidRPr="00C13E80">
        <w:rPr>
          <w:iCs/>
          <w:color w:val="000000" w:themeColor="text1"/>
        </w:rPr>
        <w:t>vailability of alternative treatments such as remdesivir was not considered</w:t>
      </w:r>
      <w:r w:rsidR="00F870EA" w:rsidRPr="00C13E80">
        <w:rPr>
          <w:iCs/>
          <w:color w:val="000000" w:themeColor="text1"/>
        </w:rPr>
        <w:t xml:space="preserve">. </w:t>
      </w:r>
      <w:r w:rsidR="00E2117C" w:rsidRPr="00C13E80">
        <w:rPr>
          <w:iCs/>
          <w:color w:val="000000" w:themeColor="text1"/>
        </w:rPr>
        <w:t xml:space="preserve">The pre-PBAC response stated that MSD did not consider </w:t>
      </w:r>
      <w:r w:rsidR="00E2117C" w:rsidRPr="00C13E80">
        <w:rPr>
          <w:color w:val="000000" w:themeColor="text1"/>
        </w:rPr>
        <w:t>remdesivir as a</w:t>
      </w:r>
      <w:r w:rsidR="009B5BBD" w:rsidRPr="00C13E80">
        <w:rPr>
          <w:color w:val="000000" w:themeColor="text1"/>
        </w:rPr>
        <w:t xml:space="preserve"> relevant </w:t>
      </w:r>
      <w:r w:rsidR="00C80DB1" w:rsidRPr="00C13E80">
        <w:rPr>
          <w:color w:val="000000" w:themeColor="text1"/>
        </w:rPr>
        <w:t>alternative</w:t>
      </w:r>
      <w:r w:rsidR="00E2117C" w:rsidRPr="00C13E80">
        <w:rPr>
          <w:color w:val="000000" w:themeColor="text1"/>
        </w:rPr>
        <w:t>, because it required daily IV administrations over at least 3 days.</w:t>
      </w:r>
    </w:p>
    <w:p w14:paraId="5DE6CBF5" w14:textId="1617A7C2" w:rsidR="00D55C77" w:rsidRPr="00C13E80" w:rsidRDefault="00132B7F" w:rsidP="00B46FE9">
      <w:pPr>
        <w:pStyle w:val="3-BodyText"/>
        <w:rPr>
          <w:snapToGrid/>
        </w:rPr>
      </w:pPr>
      <w:bookmarkStart w:id="26" w:name="_Ref134521577"/>
      <w:r w:rsidRPr="00C13E80">
        <w:rPr>
          <w:color w:val="000000" w:themeColor="text1"/>
        </w:rPr>
        <w:t>The</w:t>
      </w:r>
      <w:r w:rsidR="00F31B23" w:rsidRPr="00C13E80">
        <w:rPr>
          <w:color w:val="000000" w:themeColor="text1"/>
        </w:rPr>
        <w:t xml:space="preserve"> objective of treatment with nirmatrelvir and ritonavir is identical to the objective of treatment with molnupiravir</w:t>
      </w:r>
      <w:r w:rsidRPr="00C13E80">
        <w:rPr>
          <w:color w:val="000000" w:themeColor="text1"/>
        </w:rPr>
        <w:t xml:space="preserve"> i.e., t</w:t>
      </w:r>
      <w:r w:rsidR="009663FA" w:rsidRPr="00C13E80">
        <w:rPr>
          <w:color w:val="000000" w:themeColor="text1"/>
        </w:rPr>
        <w:t>he</w:t>
      </w:r>
      <w:r w:rsidRPr="00C13E80">
        <w:rPr>
          <w:color w:val="000000" w:themeColor="text1"/>
        </w:rPr>
        <w:t xml:space="preserve"> </w:t>
      </w:r>
      <w:r w:rsidR="008D5255" w:rsidRPr="00C13E80">
        <w:rPr>
          <w:color w:val="000000" w:themeColor="text1"/>
        </w:rPr>
        <w:t xml:space="preserve">aim of treatment is to </w:t>
      </w:r>
      <w:r w:rsidRPr="00C13E80">
        <w:rPr>
          <w:color w:val="000000" w:themeColor="text1"/>
        </w:rPr>
        <w:t xml:space="preserve">avoid hospitalisation </w:t>
      </w:r>
      <w:r w:rsidR="000F0345" w:rsidRPr="00C13E80">
        <w:rPr>
          <w:color w:val="000000" w:themeColor="text1"/>
        </w:rPr>
        <w:t xml:space="preserve">and death </w:t>
      </w:r>
      <w:r w:rsidRPr="00C13E80">
        <w:rPr>
          <w:color w:val="000000" w:themeColor="text1"/>
        </w:rPr>
        <w:t xml:space="preserve">in patients with mild to moderate COVID-19 who are at high risk of developing severe disease. </w:t>
      </w:r>
      <w:r w:rsidR="00DA21AC" w:rsidRPr="00C13E80">
        <w:rPr>
          <w:color w:val="000000" w:themeColor="text1"/>
        </w:rPr>
        <w:t>In other words,</w:t>
      </w:r>
      <w:r w:rsidR="00F31B23" w:rsidRPr="00C13E80">
        <w:rPr>
          <w:color w:val="000000" w:themeColor="text1"/>
        </w:rPr>
        <w:t xml:space="preserve"> </w:t>
      </w:r>
      <w:r w:rsidR="002C7707" w:rsidRPr="00C13E80">
        <w:rPr>
          <w:color w:val="000000" w:themeColor="text1"/>
        </w:rPr>
        <w:t>the outcome sought to be purchased by funding of the</w:t>
      </w:r>
      <w:r w:rsidR="008D5255" w:rsidRPr="00C13E80">
        <w:rPr>
          <w:color w:val="000000" w:themeColor="text1"/>
        </w:rPr>
        <w:t xml:space="preserve"> treatments</w:t>
      </w:r>
      <w:r w:rsidR="002C7707" w:rsidRPr="00C13E80">
        <w:rPr>
          <w:color w:val="000000" w:themeColor="text1"/>
        </w:rPr>
        <w:t xml:space="preserve"> on the PBS is </w:t>
      </w:r>
      <w:r w:rsidR="00DA21AC" w:rsidRPr="00C13E80">
        <w:rPr>
          <w:color w:val="000000" w:themeColor="text1"/>
        </w:rPr>
        <w:t xml:space="preserve">identical for molnupiravir and for nirmatrelvir and ritonavir. Thus, regardless of whether </w:t>
      </w:r>
      <w:r w:rsidR="00A62B78" w:rsidRPr="00C13E80">
        <w:rPr>
          <w:color w:val="000000" w:themeColor="text1"/>
        </w:rPr>
        <w:t xml:space="preserve">nirmatrelvir and ritonavir is the appropriate comparator for molnupiravir, nirmatrelvir and ritonavir </w:t>
      </w:r>
      <w:r w:rsidR="00733155" w:rsidRPr="00C13E80">
        <w:rPr>
          <w:color w:val="000000" w:themeColor="text1"/>
        </w:rPr>
        <w:t>could provide a valuable frame of reference for considering the</w:t>
      </w:r>
      <w:r w:rsidR="00DA1AE6" w:rsidRPr="00C13E80">
        <w:rPr>
          <w:color w:val="000000" w:themeColor="text1"/>
        </w:rPr>
        <w:t xml:space="preserve"> relative</w:t>
      </w:r>
      <w:r w:rsidR="00733155" w:rsidRPr="00C13E80">
        <w:rPr>
          <w:color w:val="000000" w:themeColor="text1"/>
        </w:rPr>
        <w:t xml:space="preserve"> cost</w:t>
      </w:r>
      <w:r w:rsidR="00510AF8" w:rsidRPr="00C13E80">
        <w:rPr>
          <w:color w:val="000000" w:themeColor="text1"/>
        </w:rPr>
        <w:t xml:space="preserve">-effectiveness of molnupiravir. </w:t>
      </w:r>
      <w:r w:rsidR="00D55C77" w:rsidRPr="00C13E80">
        <w:rPr>
          <w:iCs/>
        </w:rPr>
        <w:t>The</w:t>
      </w:r>
      <w:r w:rsidR="00997718" w:rsidRPr="00997718">
        <w:rPr>
          <w:rFonts w:ascii="Times New Roman" w:eastAsiaTheme="minorHAnsi" w:hAnsi="Times New Roman" w:cstheme="minorBidi"/>
          <w:snapToGrid/>
          <w:szCs w:val="22"/>
          <w:lang w:eastAsia="en-US"/>
        </w:rPr>
        <w:t xml:space="preserve"> </w:t>
      </w:r>
      <w:r w:rsidR="00997718" w:rsidRPr="00997718">
        <w:rPr>
          <w:iCs/>
        </w:rPr>
        <w:t>Pre-Sub-Committee Response</w:t>
      </w:r>
      <w:r w:rsidR="00997718">
        <w:rPr>
          <w:iCs/>
        </w:rPr>
        <w:t xml:space="preserve"> (</w:t>
      </w:r>
      <w:r w:rsidR="00D55C77" w:rsidRPr="00C13E80">
        <w:rPr>
          <w:iCs/>
        </w:rPr>
        <w:t>PSCR</w:t>
      </w:r>
      <w:r w:rsidR="00997718">
        <w:rPr>
          <w:iCs/>
        </w:rPr>
        <w:t>)</w:t>
      </w:r>
      <w:r w:rsidR="00D55C77" w:rsidRPr="00C13E80">
        <w:rPr>
          <w:iCs/>
        </w:rPr>
        <w:t xml:space="preserve"> maintained that usual care was the appropriate comparator and </w:t>
      </w:r>
      <w:r w:rsidR="00AB5AED" w:rsidRPr="00C13E80">
        <w:rPr>
          <w:iCs/>
        </w:rPr>
        <w:t xml:space="preserve">stated that </w:t>
      </w:r>
      <w:r w:rsidR="00A62148" w:rsidRPr="00C13E80">
        <w:rPr>
          <w:iCs/>
        </w:rPr>
        <w:t>nirmatrelvir and ritonavir</w:t>
      </w:r>
      <w:r w:rsidR="00AB5AED" w:rsidRPr="00C13E80">
        <w:rPr>
          <w:iCs/>
        </w:rPr>
        <w:t xml:space="preserve"> should not be used as either a comparator or as a frame of reference due to the administrative note</w:t>
      </w:r>
      <w:r w:rsidR="00F870EA" w:rsidRPr="00C13E80">
        <w:rPr>
          <w:iCs/>
        </w:rPr>
        <w:t xml:space="preserve">. </w:t>
      </w:r>
      <w:r w:rsidR="00AB5AED" w:rsidRPr="00C13E80">
        <w:rPr>
          <w:iCs/>
        </w:rPr>
        <w:t xml:space="preserve">The PSCR claimed that recent PBS market share data confirmed that molnupiravir is appropriately being used in patients in whom </w:t>
      </w:r>
      <w:r w:rsidR="00A62148" w:rsidRPr="00C13E80">
        <w:rPr>
          <w:iCs/>
        </w:rPr>
        <w:t>nirmatrelvir and ritonavir</w:t>
      </w:r>
      <w:r w:rsidR="00AB5AED" w:rsidRPr="00C13E80">
        <w:rPr>
          <w:iCs/>
        </w:rPr>
        <w:t xml:space="preserve"> is not suitable, consistent with the administrative note</w:t>
      </w:r>
      <w:r w:rsidR="00875E11" w:rsidRPr="00C13E80">
        <w:rPr>
          <w:iCs/>
        </w:rPr>
        <w:t xml:space="preserve"> (see paragraph </w:t>
      </w:r>
      <w:r w:rsidR="00875E11" w:rsidRPr="00C13E80">
        <w:rPr>
          <w:iCs/>
        </w:rPr>
        <w:fldChar w:fldCharType="begin" w:fldLock="1"/>
      </w:r>
      <w:r w:rsidR="00875E11" w:rsidRPr="00C13E80">
        <w:rPr>
          <w:iCs/>
        </w:rPr>
        <w:instrText xml:space="preserve"> REF _Ref137677896 \r \h </w:instrText>
      </w:r>
      <w:r w:rsidR="00875E11" w:rsidRPr="00C13E80">
        <w:rPr>
          <w:iCs/>
        </w:rPr>
      </w:r>
      <w:r w:rsidR="00875E11" w:rsidRPr="00C13E80">
        <w:rPr>
          <w:iCs/>
        </w:rPr>
        <w:fldChar w:fldCharType="separate"/>
      </w:r>
      <w:r w:rsidR="00701DEF">
        <w:rPr>
          <w:iCs/>
        </w:rPr>
        <w:t>5.8</w:t>
      </w:r>
      <w:r w:rsidR="00875E11" w:rsidRPr="00C13E80">
        <w:rPr>
          <w:iCs/>
        </w:rPr>
        <w:fldChar w:fldCharType="end"/>
      </w:r>
      <w:r w:rsidR="00875E11" w:rsidRPr="00C13E80">
        <w:rPr>
          <w:iCs/>
        </w:rPr>
        <w:t>)</w:t>
      </w:r>
      <w:r w:rsidR="00AB5AED" w:rsidRPr="00C13E80">
        <w:rPr>
          <w:iCs/>
        </w:rPr>
        <w:t>.</w:t>
      </w:r>
    </w:p>
    <w:bookmarkEnd w:id="23"/>
    <w:bookmarkEnd w:id="26"/>
    <w:p w14:paraId="1BA8B31E" w14:textId="7C6E193C" w:rsidR="00C1289E" w:rsidRPr="00C13E80" w:rsidRDefault="00C1289E" w:rsidP="00B46FE9">
      <w:pPr>
        <w:pStyle w:val="3-BodyText"/>
        <w:rPr>
          <w:snapToGrid/>
        </w:rPr>
      </w:pPr>
      <w:r w:rsidRPr="00C13E80">
        <w:rPr>
          <w:color w:val="000000" w:themeColor="text1"/>
        </w:rPr>
        <w:t xml:space="preserve">The number of prescriptions </w:t>
      </w:r>
      <w:r w:rsidR="00BD78CE" w:rsidRPr="00C13E80">
        <w:rPr>
          <w:color w:val="000000" w:themeColor="text1"/>
        </w:rPr>
        <w:t xml:space="preserve">that were processed </w:t>
      </w:r>
      <w:r w:rsidR="00A0685A" w:rsidRPr="00C13E80">
        <w:rPr>
          <w:color w:val="000000" w:themeColor="text1"/>
        </w:rPr>
        <w:t>for molnupiravir and for nirmatrelvir and ritonavir</w:t>
      </w:r>
      <w:r w:rsidRPr="00C13E80">
        <w:rPr>
          <w:color w:val="000000" w:themeColor="text1"/>
        </w:rPr>
        <w:t xml:space="preserve"> in the year ending 31 March 2023</w:t>
      </w:r>
      <w:r w:rsidR="00A0685A" w:rsidRPr="00C13E80">
        <w:rPr>
          <w:color w:val="000000" w:themeColor="text1"/>
        </w:rPr>
        <w:t xml:space="preserve"> are summarised in </w:t>
      </w:r>
      <w:r w:rsidR="00DA60FB" w:rsidRPr="00C13E80">
        <w:rPr>
          <w:color w:val="000000" w:themeColor="text1"/>
        </w:rPr>
        <w:fldChar w:fldCharType="begin" w:fldLock="1"/>
      </w:r>
      <w:r w:rsidR="00DA60FB" w:rsidRPr="00C13E80">
        <w:rPr>
          <w:color w:val="000000" w:themeColor="text1"/>
        </w:rPr>
        <w:instrText xml:space="preserve"> REF _Ref134306511 \h </w:instrText>
      </w:r>
      <w:r w:rsidR="00DA60FB" w:rsidRPr="00C13E80">
        <w:rPr>
          <w:color w:val="000000" w:themeColor="text1"/>
        </w:rPr>
      </w:r>
      <w:r w:rsidR="00DA60FB" w:rsidRPr="00C13E80">
        <w:rPr>
          <w:color w:val="000000" w:themeColor="text1"/>
        </w:rPr>
        <w:fldChar w:fldCharType="separate"/>
      </w:r>
      <w:r w:rsidR="00701DEF" w:rsidRPr="00C13E80">
        <w:t xml:space="preserve">Table </w:t>
      </w:r>
      <w:r w:rsidR="00701DEF">
        <w:rPr>
          <w:noProof/>
        </w:rPr>
        <w:t>4</w:t>
      </w:r>
      <w:r w:rsidR="00DA60FB" w:rsidRPr="00C13E80">
        <w:rPr>
          <w:color w:val="000000" w:themeColor="text1"/>
        </w:rPr>
        <w:fldChar w:fldCharType="end"/>
      </w:r>
      <w:r w:rsidR="00DA60FB" w:rsidRPr="00C13E80">
        <w:rPr>
          <w:color w:val="000000" w:themeColor="text1"/>
        </w:rPr>
        <w:t>.</w:t>
      </w:r>
      <w:r w:rsidR="00BF4281" w:rsidRPr="00C13E80">
        <w:rPr>
          <w:color w:val="000000" w:themeColor="text1"/>
        </w:rPr>
        <w:t xml:space="preserve"> </w:t>
      </w:r>
      <w:r w:rsidR="00BD78CE" w:rsidRPr="00C13E80">
        <w:rPr>
          <w:color w:val="000000" w:themeColor="text1"/>
        </w:rPr>
        <w:t>Over this time, t</w:t>
      </w:r>
      <w:r w:rsidR="00BF4281" w:rsidRPr="00C13E80">
        <w:rPr>
          <w:color w:val="000000" w:themeColor="text1"/>
        </w:rPr>
        <w:t xml:space="preserve">he number of </w:t>
      </w:r>
      <w:r w:rsidR="00E9501A" w:rsidRPr="00C13E80">
        <w:rPr>
          <w:color w:val="000000" w:themeColor="text1"/>
        </w:rPr>
        <w:t>PBS an</w:t>
      </w:r>
      <w:r w:rsidR="00BD78CE" w:rsidRPr="00C13E80">
        <w:rPr>
          <w:color w:val="000000" w:themeColor="text1"/>
        </w:rPr>
        <w:t xml:space="preserve">d RPBS </w:t>
      </w:r>
      <w:r w:rsidR="00BF4281" w:rsidRPr="00C13E80">
        <w:rPr>
          <w:color w:val="000000" w:themeColor="text1"/>
        </w:rPr>
        <w:t>supplies of molnupiravir</w:t>
      </w:r>
      <w:r w:rsidR="00162EEC" w:rsidRPr="00C13E80">
        <w:rPr>
          <w:color w:val="000000" w:themeColor="text1"/>
        </w:rPr>
        <w:t xml:space="preserve"> has been 2.5 times greater than the number of supplies of </w:t>
      </w:r>
      <w:r w:rsidR="002211B0" w:rsidRPr="00C13E80">
        <w:rPr>
          <w:color w:val="000000" w:themeColor="text1"/>
        </w:rPr>
        <w:t>nirmatrelvir and ritonavir</w:t>
      </w:r>
      <w:r w:rsidR="00162EEC" w:rsidRPr="00C13E80">
        <w:rPr>
          <w:color w:val="000000" w:themeColor="text1"/>
        </w:rPr>
        <w:t xml:space="preserve"> however</w:t>
      </w:r>
      <w:r w:rsidR="00961A94" w:rsidRPr="00C13E80">
        <w:rPr>
          <w:color w:val="000000" w:themeColor="text1"/>
        </w:rPr>
        <w:t>,</w:t>
      </w:r>
      <w:r w:rsidR="00162EEC" w:rsidRPr="00C13E80">
        <w:rPr>
          <w:color w:val="000000" w:themeColor="text1"/>
        </w:rPr>
        <w:t xml:space="preserve"> as shown in </w:t>
      </w:r>
      <w:r w:rsidR="00961A94" w:rsidRPr="00C13E80">
        <w:rPr>
          <w:color w:val="000000" w:themeColor="text1"/>
        </w:rPr>
        <w:fldChar w:fldCharType="begin" w:fldLock="1"/>
      </w:r>
      <w:r w:rsidR="00961A94" w:rsidRPr="00C13E80">
        <w:rPr>
          <w:color w:val="000000" w:themeColor="text1"/>
        </w:rPr>
        <w:instrText xml:space="preserve"> REF _Ref134308795 \h </w:instrText>
      </w:r>
      <w:r w:rsidR="00961A94" w:rsidRPr="00C13E80">
        <w:rPr>
          <w:color w:val="000000" w:themeColor="text1"/>
        </w:rPr>
      </w:r>
      <w:r w:rsidR="00961A94" w:rsidRPr="00C13E80">
        <w:rPr>
          <w:color w:val="000000" w:themeColor="text1"/>
        </w:rPr>
        <w:fldChar w:fldCharType="separate"/>
      </w:r>
      <w:r w:rsidR="00701DEF" w:rsidRPr="00C13E80">
        <w:t>Figure</w:t>
      </w:r>
      <w:r w:rsidR="005B5781">
        <w:t> </w:t>
      </w:r>
      <w:r w:rsidR="00701DEF">
        <w:rPr>
          <w:noProof/>
        </w:rPr>
        <w:t>1</w:t>
      </w:r>
      <w:r w:rsidR="00961A94" w:rsidRPr="00C13E80">
        <w:rPr>
          <w:color w:val="000000" w:themeColor="text1"/>
        </w:rPr>
        <w:fldChar w:fldCharType="end"/>
      </w:r>
      <w:r w:rsidR="00961A94" w:rsidRPr="00C13E80">
        <w:rPr>
          <w:color w:val="000000" w:themeColor="text1"/>
        </w:rPr>
        <w:t xml:space="preserve"> </w:t>
      </w:r>
      <w:r w:rsidR="00162EEC" w:rsidRPr="00C13E80">
        <w:rPr>
          <w:color w:val="000000" w:themeColor="text1"/>
        </w:rPr>
        <w:t xml:space="preserve">and </w:t>
      </w:r>
      <w:r w:rsidR="00961A94" w:rsidRPr="00C13E80">
        <w:rPr>
          <w:color w:val="000000" w:themeColor="text1"/>
        </w:rPr>
        <w:fldChar w:fldCharType="begin" w:fldLock="1"/>
      </w:r>
      <w:r w:rsidR="00961A94" w:rsidRPr="00C13E80">
        <w:rPr>
          <w:color w:val="000000" w:themeColor="text1"/>
        </w:rPr>
        <w:instrText xml:space="preserve"> REF _Ref134308803 \h </w:instrText>
      </w:r>
      <w:r w:rsidR="00961A94" w:rsidRPr="00C13E80">
        <w:rPr>
          <w:color w:val="000000" w:themeColor="text1"/>
        </w:rPr>
      </w:r>
      <w:r w:rsidR="00961A94" w:rsidRPr="00C13E80">
        <w:rPr>
          <w:color w:val="000000" w:themeColor="text1"/>
        </w:rPr>
        <w:fldChar w:fldCharType="separate"/>
      </w:r>
      <w:r w:rsidR="00701DEF" w:rsidRPr="00C13E80">
        <w:t xml:space="preserve">Figure </w:t>
      </w:r>
      <w:r w:rsidR="00701DEF">
        <w:rPr>
          <w:noProof/>
        </w:rPr>
        <w:t>2</w:t>
      </w:r>
      <w:r w:rsidR="00961A94" w:rsidRPr="00C13E80">
        <w:rPr>
          <w:color w:val="000000" w:themeColor="text1"/>
        </w:rPr>
        <w:fldChar w:fldCharType="end"/>
      </w:r>
      <w:r w:rsidR="00961A94" w:rsidRPr="00C13E80">
        <w:rPr>
          <w:color w:val="000000" w:themeColor="text1"/>
        </w:rPr>
        <w:t xml:space="preserve">, </w:t>
      </w:r>
      <w:r w:rsidR="008C75F4" w:rsidRPr="00C13E80">
        <w:rPr>
          <w:color w:val="000000" w:themeColor="text1"/>
        </w:rPr>
        <w:t>the ratio of the extent of use of molnupiravir : nirmatrelvir and ritonavir has been falling</w:t>
      </w:r>
      <w:r w:rsidR="00114821" w:rsidRPr="00C13E80">
        <w:rPr>
          <w:color w:val="000000" w:themeColor="text1"/>
        </w:rPr>
        <w:t xml:space="preserve"> over time.</w:t>
      </w:r>
      <w:r w:rsidR="008A1E4A" w:rsidRPr="00C13E80">
        <w:rPr>
          <w:color w:val="000000" w:themeColor="text1"/>
        </w:rPr>
        <w:t xml:space="preserve"> </w:t>
      </w:r>
      <w:r w:rsidR="006D7A6D" w:rsidRPr="00C13E80">
        <w:rPr>
          <w:color w:val="000000" w:themeColor="text1"/>
        </w:rPr>
        <w:t>In February and March 2023</w:t>
      </w:r>
      <w:r w:rsidR="00180E17" w:rsidRPr="00C13E80">
        <w:rPr>
          <w:color w:val="000000" w:themeColor="text1"/>
        </w:rPr>
        <w:t xml:space="preserve"> (after the addition of the administrative note</w:t>
      </w:r>
      <w:r w:rsidR="00AB2A78" w:rsidRPr="00C13E80">
        <w:rPr>
          <w:color w:val="000000" w:themeColor="text1"/>
        </w:rPr>
        <w:t xml:space="preserve"> in January 2023</w:t>
      </w:r>
      <w:r w:rsidR="00180E17" w:rsidRPr="00C13E80">
        <w:rPr>
          <w:color w:val="000000" w:themeColor="text1"/>
        </w:rPr>
        <w:t>)</w:t>
      </w:r>
      <w:r w:rsidR="006D7A6D" w:rsidRPr="00C13E80">
        <w:rPr>
          <w:color w:val="000000" w:themeColor="text1"/>
        </w:rPr>
        <w:t xml:space="preserve">, molnupiravir represented </w:t>
      </w:r>
      <w:r w:rsidR="004C41BF" w:rsidRPr="00C13E80">
        <w:rPr>
          <w:rFonts w:ascii="Arial" w:hAnsi="Arial"/>
          <w:color w:val="000000" w:themeColor="text1"/>
        </w:rPr>
        <w:t>~</w:t>
      </w:r>
      <w:r w:rsidR="006D7A6D" w:rsidRPr="00C13E80">
        <w:rPr>
          <w:color w:val="000000" w:themeColor="text1"/>
        </w:rPr>
        <w:t>60% of the oral antiviral market</w:t>
      </w:r>
      <w:r w:rsidR="00DE7B7F" w:rsidRPr="00C13E80">
        <w:rPr>
          <w:color w:val="000000" w:themeColor="text1"/>
        </w:rPr>
        <w:t xml:space="preserve"> </w:t>
      </w:r>
      <w:r w:rsidR="00050257" w:rsidRPr="00C13E80">
        <w:rPr>
          <w:color w:val="000000" w:themeColor="text1"/>
        </w:rPr>
        <w:t xml:space="preserve">(these data reflect the date of processing </w:t>
      </w:r>
      <w:r w:rsidR="00DE7B7F" w:rsidRPr="00C13E80">
        <w:rPr>
          <w:color w:val="000000" w:themeColor="text1"/>
        </w:rPr>
        <w:t>by Services Australia</w:t>
      </w:r>
      <w:r w:rsidR="00050257" w:rsidRPr="00C13E80">
        <w:rPr>
          <w:color w:val="000000" w:themeColor="text1"/>
        </w:rPr>
        <w:t>, rather than date of dispensing by pharmacists)</w:t>
      </w:r>
      <w:r w:rsidR="006D7A6D" w:rsidRPr="00C13E80">
        <w:rPr>
          <w:color w:val="000000" w:themeColor="text1"/>
        </w:rPr>
        <w:t>.</w:t>
      </w:r>
    </w:p>
    <w:p w14:paraId="5DE59F46" w14:textId="1B6EC952" w:rsidR="006055FA" w:rsidRPr="00C13E80" w:rsidRDefault="006055FA" w:rsidP="006055FA">
      <w:pPr>
        <w:pStyle w:val="TableFigureHeading"/>
      </w:pPr>
      <w:bookmarkStart w:id="27" w:name="_Ref134306511"/>
      <w:r w:rsidRPr="00C13E80">
        <w:lastRenderedPageBreak/>
        <w:t xml:space="preserve">Table </w:t>
      </w:r>
      <w:r w:rsidR="00567EAC">
        <w:fldChar w:fldCharType="begin" w:fldLock="1"/>
      </w:r>
      <w:r w:rsidR="00567EAC">
        <w:instrText xml:space="preserve"> SEQ Table \* ARABIC </w:instrText>
      </w:r>
      <w:r w:rsidR="00567EAC">
        <w:fldChar w:fldCharType="separate"/>
      </w:r>
      <w:r w:rsidR="00701DEF">
        <w:rPr>
          <w:noProof/>
        </w:rPr>
        <w:t>4</w:t>
      </w:r>
      <w:r w:rsidR="00567EAC">
        <w:rPr>
          <w:noProof/>
        </w:rPr>
        <w:fldChar w:fldCharType="end"/>
      </w:r>
      <w:bookmarkEnd w:id="27"/>
      <w:r w:rsidRPr="00C13E80">
        <w:t>:</w:t>
      </w:r>
      <w:r w:rsidRPr="00C13E80">
        <w:rPr>
          <w:rStyle w:val="CommentReference"/>
          <w:b/>
          <w:szCs w:val="24"/>
        </w:rPr>
        <w:tab/>
      </w:r>
      <w:r w:rsidR="00BA1353" w:rsidRPr="00C13E80">
        <w:rPr>
          <w:rStyle w:val="CommentReference"/>
          <w:b/>
          <w:szCs w:val="24"/>
        </w:rPr>
        <w:t xml:space="preserve">PBS supplies of </w:t>
      </w:r>
      <w:r w:rsidR="00BA1353" w:rsidRPr="00C13E80">
        <w:rPr>
          <w:rStyle w:val="CommentReference"/>
          <w:b/>
          <w:color w:val="000000" w:themeColor="text1"/>
          <w:szCs w:val="24"/>
        </w:rPr>
        <w:t xml:space="preserve">molnupiravir and nirmatrelvir </w:t>
      </w:r>
      <w:r w:rsidR="007D5D17" w:rsidRPr="00C13E80">
        <w:rPr>
          <w:rStyle w:val="CommentReference"/>
          <w:b/>
          <w:color w:val="000000" w:themeColor="text1"/>
          <w:szCs w:val="24"/>
        </w:rPr>
        <w:t>&amp;</w:t>
      </w:r>
      <w:r w:rsidR="00BA1353" w:rsidRPr="00C13E80">
        <w:rPr>
          <w:rStyle w:val="CommentReference"/>
          <w:b/>
          <w:color w:val="000000" w:themeColor="text1"/>
          <w:szCs w:val="24"/>
        </w:rPr>
        <w:t xml:space="preserve"> ritonavir</w:t>
      </w:r>
      <w:r w:rsidR="007D5D17" w:rsidRPr="00C13E80">
        <w:rPr>
          <w:rStyle w:val="CommentReference"/>
          <w:b/>
          <w:color w:val="000000" w:themeColor="text1"/>
          <w:szCs w:val="24"/>
        </w:rPr>
        <w:t xml:space="preserve"> from 1 April 2022 to 31 March 2023</w:t>
      </w:r>
    </w:p>
    <w:tbl>
      <w:tblPr>
        <w:tblStyle w:val="TableGrid"/>
        <w:tblW w:w="9072" w:type="dxa"/>
        <w:tblInd w:w="-5" w:type="dxa"/>
        <w:tblLayout w:type="fixed"/>
        <w:tblCellMar>
          <w:left w:w="28" w:type="dxa"/>
          <w:right w:w="28" w:type="dxa"/>
        </w:tblCellMar>
        <w:tblLook w:val="04A0" w:firstRow="1" w:lastRow="0" w:firstColumn="1" w:lastColumn="0" w:noHBand="0" w:noVBand="1"/>
      </w:tblPr>
      <w:tblGrid>
        <w:gridCol w:w="1843"/>
        <w:gridCol w:w="1032"/>
        <w:gridCol w:w="1033"/>
        <w:gridCol w:w="1033"/>
        <w:gridCol w:w="1032"/>
        <w:gridCol w:w="1033"/>
        <w:gridCol w:w="1033"/>
        <w:gridCol w:w="1033"/>
      </w:tblGrid>
      <w:tr w:rsidR="009C6028" w:rsidRPr="00C13E80" w14:paraId="7AFB9D20" w14:textId="77777777" w:rsidTr="00785EE7">
        <w:tc>
          <w:tcPr>
            <w:tcW w:w="1843" w:type="dxa"/>
          </w:tcPr>
          <w:p w14:paraId="4F2603DD" w14:textId="1B5D2B9B" w:rsidR="009C6028" w:rsidRPr="00C13E80" w:rsidRDefault="009C6028" w:rsidP="00B2661B">
            <w:pPr>
              <w:pStyle w:val="TableText0"/>
              <w:rPr>
                <w:b/>
                <w:bCs w:val="0"/>
              </w:rPr>
            </w:pPr>
            <w:r w:rsidRPr="00C13E80">
              <w:rPr>
                <w:b/>
                <w:bCs w:val="0"/>
              </w:rPr>
              <w:t>Drug</w:t>
            </w:r>
          </w:p>
        </w:tc>
        <w:tc>
          <w:tcPr>
            <w:tcW w:w="1032" w:type="dxa"/>
            <w:vAlign w:val="center"/>
          </w:tcPr>
          <w:p w14:paraId="006F17AC" w14:textId="1F3F648A" w:rsidR="009C6028" w:rsidRPr="00C13E80" w:rsidRDefault="009C6028" w:rsidP="00785EE7">
            <w:pPr>
              <w:pStyle w:val="TableText0"/>
              <w:jc w:val="center"/>
              <w:rPr>
                <w:b/>
                <w:bCs w:val="0"/>
              </w:rPr>
            </w:pPr>
            <w:r w:rsidRPr="00C13E80">
              <w:rPr>
                <w:b/>
                <w:bCs w:val="0"/>
              </w:rPr>
              <w:t>General</w:t>
            </w:r>
          </w:p>
        </w:tc>
        <w:tc>
          <w:tcPr>
            <w:tcW w:w="1033" w:type="dxa"/>
            <w:vAlign w:val="center"/>
          </w:tcPr>
          <w:p w14:paraId="40EBC18E" w14:textId="0C1F06DC" w:rsidR="009C6028" w:rsidRPr="00C13E80" w:rsidRDefault="009C6028" w:rsidP="00785EE7">
            <w:pPr>
              <w:pStyle w:val="TableText0"/>
              <w:jc w:val="center"/>
              <w:rPr>
                <w:b/>
                <w:bCs w:val="0"/>
              </w:rPr>
            </w:pPr>
            <w:r w:rsidRPr="00C13E80">
              <w:rPr>
                <w:b/>
                <w:bCs w:val="0"/>
              </w:rPr>
              <w:t>General</w:t>
            </w:r>
            <w:r w:rsidR="001049D5" w:rsidRPr="00C13E80">
              <w:rPr>
                <w:b/>
                <w:bCs w:val="0"/>
              </w:rPr>
              <w:t xml:space="preserve"> </w:t>
            </w:r>
            <w:r w:rsidRPr="00C13E80">
              <w:rPr>
                <w:b/>
                <w:bCs w:val="0"/>
              </w:rPr>
              <w:t>safety net</w:t>
            </w:r>
          </w:p>
        </w:tc>
        <w:tc>
          <w:tcPr>
            <w:tcW w:w="1033" w:type="dxa"/>
            <w:vAlign w:val="center"/>
          </w:tcPr>
          <w:p w14:paraId="2F6D3489" w14:textId="25DC66E1" w:rsidR="009C6028" w:rsidRPr="00C13E80" w:rsidRDefault="009C6028" w:rsidP="00785EE7">
            <w:pPr>
              <w:pStyle w:val="TableText0"/>
              <w:jc w:val="center"/>
              <w:rPr>
                <w:b/>
                <w:bCs w:val="0"/>
              </w:rPr>
            </w:pPr>
            <w:r w:rsidRPr="00C13E80">
              <w:rPr>
                <w:b/>
                <w:bCs w:val="0"/>
              </w:rPr>
              <w:t>Concession</w:t>
            </w:r>
          </w:p>
        </w:tc>
        <w:tc>
          <w:tcPr>
            <w:tcW w:w="1032" w:type="dxa"/>
            <w:vAlign w:val="center"/>
          </w:tcPr>
          <w:p w14:paraId="0B8549CF" w14:textId="010E4961" w:rsidR="009C6028" w:rsidRPr="00C13E80" w:rsidRDefault="009C6028" w:rsidP="00785EE7">
            <w:pPr>
              <w:pStyle w:val="TableText0"/>
              <w:jc w:val="center"/>
              <w:rPr>
                <w:b/>
                <w:bCs w:val="0"/>
              </w:rPr>
            </w:pPr>
            <w:r w:rsidRPr="00C13E80">
              <w:rPr>
                <w:b/>
                <w:bCs w:val="0"/>
              </w:rPr>
              <w:t>Concession safety net</w:t>
            </w:r>
          </w:p>
        </w:tc>
        <w:tc>
          <w:tcPr>
            <w:tcW w:w="1033" w:type="dxa"/>
            <w:vAlign w:val="center"/>
          </w:tcPr>
          <w:p w14:paraId="136D3C1B" w14:textId="40A8F10E" w:rsidR="009C6028" w:rsidRPr="00C13E80" w:rsidRDefault="009C6028" w:rsidP="00785EE7">
            <w:pPr>
              <w:pStyle w:val="TableText0"/>
              <w:jc w:val="center"/>
              <w:rPr>
                <w:b/>
                <w:bCs w:val="0"/>
              </w:rPr>
            </w:pPr>
            <w:r w:rsidRPr="00C13E80">
              <w:rPr>
                <w:b/>
                <w:bCs w:val="0"/>
              </w:rPr>
              <w:t>RPBS</w:t>
            </w:r>
          </w:p>
        </w:tc>
        <w:tc>
          <w:tcPr>
            <w:tcW w:w="1033" w:type="dxa"/>
            <w:vAlign w:val="center"/>
          </w:tcPr>
          <w:p w14:paraId="60A78A3C" w14:textId="3E58F388" w:rsidR="009C6028" w:rsidRPr="00C13E80" w:rsidRDefault="009C6028" w:rsidP="00785EE7">
            <w:pPr>
              <w:pStyle w:val="TableText0"/>
              <w:jc w:val="center"/>
              <w:rPr>
                <w:b/>
                <w:bCs w:val="0"/>
              </w:rPr>
            </w:pPr>
            <w:r w:rsidRPr="00C13E80">
              <w:rPr>
                <w:b/>
                <w:bCs w:val="0"/>
              </w:rPr>
              <w:t>RPBS</w:t>
            </w:r>
            <w:r w:rsidR="00DD467C">
              <w:rPr>
                <w:b/>
                <w:bCs w:val="0"/>
              </w:rPr>
              <w:t xml:space="preserve"> </w:t>
            </w:r>
            <w:r w:rsidRPr="00C13E80">
              <w:rPr>
                <w:b/>
                <w:bCs w:val="0"/>
              </w:rPr>
              <w:t>safety net</w:t>
            </w:r>
          </w:p>
        </w:tc>
        <w:tc>
          <w:tcPr>
            <w:tcW w:w="1033" w:type="dxa"/>
            <w:vAlign w:val="center"/>
          </w:tcPr>
          <w:p w14:paraId="166F0301" w14:textId="70849F69" w:rsidR="009C6028" w:rsidRPr="00C13E80" w:rsidRDefault="009C6028" w:rsidP="00785EE7">
            <w:pPr>
              <w:pStyle w:val="TableText0"/>
              <w:jc w:val="center"/>
              <w:rPr>
                <w:b/>
                <w:bCs w:val="0"/>
              </w:rPr>
            </w:pPr>
            <w:r w:rsidRPr="00C13E80">
              <w:rPr>
                <w:b/>
                <w:bCs w:val="0"/>
              </w:rPr>
              <w:t>Totals</w:t>
            </w:r>
          </w:p>
        </w:tc>
      </w:tr>
      <w:tr w:rsidR="00785EE7" w:rsidRPr="00C13E80" w14:paraId="2AA32171" w14:textId="77777777" w:rsidTr="005257AA">
        <w:tc>
          <w:tcPr>
            <w:tcW w:w="1843" w:type="dxa"/>
          </w:tcPr>
          <w:p w14:paraId="21C7DAE6" w14:textId="03BB7A50" w:rsidR="00785EE7" w:rsidRPr="00C13E80" w:rsidRDefault="00785EE7" w:rsidP="00785EE7">
            <w:pPr>
              <w:pStyle w:val="TableText0"/>
            </w:pPr>
            <w:r w:rsidRPr="00C13E80">
              <w:rPr>
                <w:color w:val="000000" w:themeColor="text1"/>
              </w:rPr>
              <w:t>Molnupiravir</w:t>
            </w:r>
          </w:p>
        </w:tc>
        <w:tc>
          <w:tcPr>
            <w:tcW w:w="1032" w:type="dxa"/>
          </w:tcPr>
          <w:p w14:paraId="0B257037" w14:textId="28770D2F" w:rsidR="00785EE7" w:rsidRPr="00C13E80" w:rsidRDefault="00785EE7" w:rsidP="00785EE7">
            <w:pPr>
              <w:pStyle w:val="TableText0"/>
              <w:jc w:val="center"/>
            </w:pPr>
            <w:r w:rsidRPr="00C13E80">
              <w:t>142,381</w:t>
            </w:r>
          </w:p>
        </w:tc>
        <w:tc>
          <w:tcPr>
            <w:tcW w:w="1033" w:type="dxa"/>
          </w:tcPr>
          <w:p w14:paraId="364EAC79" w14:textId="7A418FF9" w:rsidR="00785EE7" w:rsidRPr="00C13E80" w:rsidRDefault="00785EE7" w:rsidP="00785EE7">
            <w:pPr>
              <w:pStyle w:val="TableText0"/>
              <w:jc w:val="center"/>
            </w:pPr>
            <w:r w:rsidRPr="00C13E80">
              <w:t>6,818</w:t>
            </w:r>
          </w:p>
        </w:tc>
        <w:tc>
          <w:tcPr>
            <w:tcW w:w="1033" w:type="dxa"/>
          </w:tcPr>
          <w:p w14:paraId="033B642B" w14:textId="403D43BC" w:rsidR="00785EE7" w:rsidRPr="00C13E80" w:rsidRDefault="00785EE7" w:rsidP="00785EE7">
            <w:pPr>
              <w:pStyle w:val="TableText0"/>
              <w:jc w:val="center"/>
            </w:pPr>
            <w:r w:rsidRPr="00C13E80">
              <w:t>208,835</w:t>
            </w:r>
          </w:p>
        </w:tc>
        <w:tc>
          <w:tcPr>
            <w:tcW w:w="1032" w:type="dxa"/>
          </w:tcPr>
          <w:p w14:paraId="187E80AB" w14:textId="095C5BF1" w:rsidR="00785EE7" w:rsidRPr="00C13E80" w:rsidRDefault="00785EE7" w:rsidP="00785EE7">
            <w:pPr>
              <w:pStyle w:val="TableText0"/>
              <w:jc w:val="center"/>
            </w:pPr>
            <w:r w:rsidRPr="00C13E80">
              <w:t>132,725</w:t>
            </w:r>
          </w:p>
        </w:tc>
        <w:tc>
          <w:tcPr>
            <w:tcW w:w="1033" w:type="dxa"/>
          </w:tcPr>
          <w:p w14:paraId="481AD8B2" w14:textId="1066DC3F" w:rsidR="00785EE7" w:rsidRPr="00C13E80" w:rsidRDefault="00785EE7" w:rsidP="00785EE7">
            <w:pPr>
              <w:pStyle w:val="TableText0"/>
              <w:jc w:val="center"/>
            </w:pPr>
            <w:r w:rsidRPr="00C13E80">
              <w:t>7,005</w:t>
            </w:r>
          </w:p>
        </w:tc>
        <w:tc>
          <w:tcPr>
            <w:tcW w:w="1033" w:type="dxa"/>
          </w:tcPr>
          <w:p w14:paraId="48F7F476" w14:textId="551C0619" w:rsidR="00785EE7" w:rsidRPr="00C13E80" w:rsidRDefault="00785EE7" w:rsidP="00785EE7">
            <w:pPr>
              <w:pStyle w:val="TableText0"/>
              <w:jc w:val="center"/>
            </w:pPr>
            <w:r w:rsidRPr="00C13E80">
              <w:t>5,094</w:t>
            </w:r>
          </w:p>
        </w:tc>
        <w:tc>
          <w:tcPr>
            <w:tcW w:w="1033" w:type="dxa"/>
          </w:tcPr>
          <w:p w14:paraId="6B6A3DDD" w14:textId="2F22C32D" w:rsidR="00785EE7" w:rsidRPr="00C13E80" w:rsidRDefault="00785EE7" w:rsidP="00785EE7">
            <w:pPr>
              <w:pStyle w:val="TableText0"/>
              <w:jc w:val="center"/>
            </w:pPr>
            <w:r w:rsidRPr="00C13E80">
              <w:t>502,858</w:t>
            </w:r>
          </w:p>
        </w:tc>
      </w:tr>
      <w:tr w:rsidR="00785EE7" w:rsidRPr="00C13E80" w14:paraId="24EF91CB" w14:textId="77777777" w:rsidTr="005257AA">
        <w:tc>
          <w:tcPr>
            <w:tcW w:w="1843" w:type="dxa"/>
          </w:tcPr>
          <w:p w14:paraId="4F46B2DB" w14:textId="7A696110" w:rsidR="00785EE7" w:rsidRPr="00C13E80" w:rsidRDefault="00785EE7" w:rsidP="00785EE7">
            <w:pPr>
              <w:pStyle w:val="TableText0"/>
            </w:pPr>
            <w:r w:rsidRPr="00C13E80">
              <w:t>Nirmatrelvir and ritonavir</w:t>
            </w:r>
          </w:p>
        </w:tc>
        <w:tc>
          <w:tcPr>
            <w:tcW w:w="1032" w:type="dxa"/>
          </w:tcPr>
          <w:p w14:paraId="66486E59" w14:textId="373FDB75" w:rsidR="00785EE7" w:rsidRPr="00C13E80" w:rsidRDefault="00785EE7" w:rsidP="00785EE7">
            <w:pPr>
              <w:pStyle w:val="TableText0"/>
              <w:jc w:val="center"/>
            </w:pPr>
            <w:r w:rsidRPr="00C13E80">
              <w:t>77,866</w:t>
            </w:r>
          </w:p>
        </w:tc>
        <w:tc>
          <w:tcPr>
            <w:tcW w:w="1033" w:type="dxa"/>
          </w:tcPr>
          <w:p w14:paraId="03BE30AA" w14:textId="27D2E61B" w:rsidR="00785EE7" w:rsidRPr="00C13E80" w:rsidRDefault="00785EE7" w:rsidP="00785EE7">
            <w:pPr>
              <w:pStyle w:val="TableText0"/>
              <w:jc w:val="center"/>
            </w:pPr>
            <w:r w:rsidRPr="00C13E80">
              <w:t>2,346</w:t>
            </w:r>
          </w:p>
        </w:tc>
        <w:tc>
          <w:tcPr>
            <w:tcW w:w="1033" w:type="dxa"/>
          </w:tcPr>
          <w:p w14:paraId="325DA58D" w14:textId="60D2620A" w:rsidR="00785EE7" w:rsidRPr="00C13E80" w:rsidRDefault="00785EE7" w:rsidP="00785EE7">
            <w:pPr>
              <w:pStyle w:val="TableText0"/>
              <w:jc w:val="center"/>
            </w:pPr>
            <w:r w:rsidRPr="00C13E80">
              <w:t>79,276</w:t>
            </w:r>
          </w:p>
        </w:tc>
        <w:tc>
          <w:tcPr>
            <w:tcW w:w="1032" w:type="dxa"/>
          </w:tcPr>
          <w:p w14:paraId="4DA4EA1D" w14:textId="0207F75F" w:rsidR="00785EE7" w:rsidRPr="00C13E80" w:rsidRDefault="00785EE7" w:rsidP="00785EE7">
            <w:pPr>
              <w:pStyle w:val="TableText0"/>
              <w:jc w:val="center"/>
            </w:pPr>
            <w:r w:rsidRPr="00C13E80">
              <w:t>34,449</w:t>
            </w:r>
          </w:p>
        </w:tc>
        <w:tc>
          <w:tcPr>
            <w:tcW w:w="1033" w:type="dxa"/>
          </w:tcPr>
          <w:p w14:paraId="4AB636D9" w14:textId="63A663DF" w:rsidR="00785EE7" w:rsidRPr="00C13E80" w:rsidRDefault="00785EE7" w:rsidP="00785EE7">
            <w:pPr>
              <w:pStyle w:val="TableText0"/>
              <w:jc w:val="center"/>
            </w:pPr>
            <w:r w:rsidRPr="00C13E80">
              <w:t>2,281</w:t>
            </w:r>
          </w:p>
        </w:tc>
        <w:tc>
          <w:tcPr>
            <w:tcW w:w="1033" w:type="dxa"/>
          </w:tcPr>
          <w:p w14:paraId="4B62F447" w14:textId="015249A4" w:rsidR="00785EE7" w:rsidRPr="00C13E80" w:rsidRDefault="00785EE7" w:rsidP="00785EE7">
            <w:pPr>
              <w:pStyle w:val="TableText0"/>
              <w:jc w:val="center"/>
            </w:pPr>
            <w:r w:rsidRPr="00C13E80">
              <w:t>1,024</w:t>
            </w:r>
          </w:p>
        </w:tc>
        <w:tc>
          <w:tcPr>
            <w:tcW w:w="1033" w:type="dxa"/>
          </w:tcPr>
          <w:p w14:paraId="2E4232A4" w14:textId="4CDFD412" w:rsidR="00785EE7" w:rsidRPr="00C13E80" w:rsidRDefault="00785EE7" w:rsidP="00785EE7">
            <w:pPr>
              <w:pStyle w:val="TableText0"/>
              <w:jc w:val="center"/>
            </w:pPr>
            <w:r w:rsidRPr="00C13E80">
              <w:t>197,242</w:t>
            </w:r>
          </w:p>
        </w:tc>
      </w:tr>
    </w:tbl>
    <w:p w14:paraId="547B78C1" w14:textId="636CC1EE" w:rsidR="006055FA" w:rsidRPr="00C13E80" w:rsidRDefault="00264014" w:rsidP="005C508C">
      <w:pPr>
        <w:pStyle w:val="Tabletext"/>
        <w:spacing w:after="120"/>
        <w:rPr>
          <w:snapToGrid/>
        </w:rPr>
      </w:pPr>
      <w:r w:rsidRPr="00C13E80">
        <w:rPr>
          <w:snapToGrid/>
        </w:rPr>
        <w:t xml:space="preserve">Source: analysis of data available at: </w:t>
      </w:r>
      <w:hyperlink r:id="rId8" w:history="1">
        <w:r w:rsidRPr="00C13E80">
          <w:rPr>
            <w:rStyle w:val="Hyperlink"/>
            <w:snapToGrid/>
          </w:rPr>
          <w:t>http://medicarestatistics.humanservices.gov.au/statistics/pbs_item.jsp</w:t>
        </w:r>
      </w:hyperlink>
    </w:p>
    <w:p w14:paraId="71815530" w14:textId="3B4356BA" w:rsidR="00D606B4" w:rsidRPr="00C13E80" w:rsidRDefault="00D606B4" w:rsidP="00D606B4">
      <w:pPr>
        <w:pStyle w:val="Caption"/>
      </w:pPr>
      <w:bookmarkStart w:id="28" w:name="_Ref134308795"/>
      <w:r w:rsidRPr="00C13E80">
        <w:t xml:space="preserve">Figure </w:t>
      </w:r>
      <w:r w:rsidR="00567EAC">
        <w:fldChar w:fldCharType="begin" w:fldLock="1"/>
      </w:r>
      <w:r w:rsidR="00567EAC">
        <w:instrText xml:space="preserve"> SEQ Figure \* ARABIC </w:instrText>
      </w:r>
      <w:r w:rsidR="00567EAC">
        <w:fldChar w:fldCharType="separate"/>
      </w:r>
      <w:r w:rsidR="00701DEF">
        <w:rPr>
          <w:noProof/>
        </w:rPr>
        <w:t>1</w:t>
      </w:r>
      <w:r w:rsidR="00567EAC">
        <w:rPr>
          <w:noProof/>
        </w:rPr>
        <w:fldChar w:fldCharType="end"/>
      </w:r>
      <w:bookmarkEnd w:id="28"/>
      <w:r w:rsidRPr="00C13E80">
        <w:t>:</w:t>
      </w:r>
      <w:r w:rsidRPr="00C13E80">
        <w:tab/>
      </w:r>
      <w:r w:rsidR="00D81CE6" w:rsidRPr="00C13E80">
        <w:t>PBS &amp; RPBS items processed from 1 April 2022 to 31 March 2023</w:t>
      </w:r>
    </w:p>
    <w:p w14:paraId="13BBE75D" w14:textId="4977D3AC" w:rsidR="00A0685A" w:rsidRPr="00C13E80" w:rsidRDefault="00C73D3C" w:rsidP="001B2D48">
      <w:pPr>
        <w:pStyle w:val="3-BodyText"/>
        <w:numPr>
          <w:ilvl w:val="0"/>
          <w:numId w:val="0"/>
        </w:numPr>
        <w:spacing w:after="0"/>
        <w:rPr>
          <w:snapToGrid/>
        </w:rPr>
      </w:pPr>
      <w:r w:rsidRPr="00C13E80">
        <w:rPr>
          <w:noProof/>
          <w:snapToGrid/>
        </w:rPr>
        <w:drawing>
          <wp:inline distT="0" distB="0" distL="0" distR="0" wp14:anchorId="031FFCB4" wp14:editId="450BCF73">
            <wp:extent cx="5589767" cy="3089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099" cy="3095412"/>
                    </a:xfrm>
                    <a:prstGeom prst="rect">
                      <a:avLst/>
                    </a:prstGeom>
                    <a:noFill/>
                  </pic:spPr>
                </pic:pic>
              </a:graphicData>
            </a:graphic>
          </wp:inline>
        </w:drawing>
      </w:r>
    </w:p>
    <w:p w14:paraId="794B13BC" w14:textId="5E58C03E" w:rsidR="001B2D48" w:rsidRPr="00C13E80" w:rsidRDefault="001B2D48" w:rsidP="005B5781">
      <w:pPr>
        <w:pStyle w:val="Tabletext"/>
        <w:spacing w:after="120"/>
        <w:rPr>
          <w:rStyle w:val="Hyperlink"/>
          <w:snapToGrid/>
        </w:rPr>
      </w:pPr>
      <w:r w:rsidRPr="00C13E80">
        <w:rPr>
          <w:snapToGrid/>
        </w:rPr>
        <w:t xml:space="preserve">Source: analysis of data available at: </w:t>
      </w:r>
      <w:hyperlink r:id="rId10" w:history="1">
        <w:r w:rsidRPr="00C13E80">
          <w:rPr>
            <w:rStyle w:val="Hyperlink"/>
            <w:snapToGrid/>
          </w:rPr>
          <w:t>http://medicarestatistics.humanservices.gov.au/statistics/pbs_item.jsp</w:t>
        </w:r>
      </w:hyperlink>
    </w:p>
    <w:p w14:paraId="33E551EB" w14:textId="5DC55CA3" w:rsidR="00BD00BF" w:rsidRPr="00C13E80" w:rsidRDefault="00D81CE6" w:rsidP="00BD00BF">
      <w:pPr>
        <w:pStyle w:val="Caption"/>
      </w:pPr>
      <w:bookmarkStart w:id="29" w:name="_Ref134308803"/>
      <w:r w:rsidRPr="00C13E80">
        <w:t xml:space="preserve">Figure </w:t>
      </w:r>
      <w:r w:rsidR="00567EAC">
        <w:fldChar w:fldCharType="begin" w:fldLock="1"/>
      </w:r>
      <w:r w:rsidR="00567EAC">
        <w:instrText xml:space="preserve"> SEQ Figure \* ARABIC </w:instrText>
      </w:r>
      <w:r w:rsidR="00567EAC">
        <w:fldChar w:fldCharType="separate"/>
      </w:r>
      <w:r w:rsidR="00701DEF">
        <w:rPr>
          <w:noProof/>
        </w:rPr>
        <w:t>2</w:t>
      </w:r>
      <w:r w:rsidR="00567EAC">
        <w:rPr>
          <w:noProof/>
        </w:rPr>
        <w:fldChar w:fldCharType="end"/>
      </w:r>
      <w:bookmarkEnd w:id="29"/>
      <w:r w:rsidRPr="00C13E80">
        <w:t>:</w:t>
      </w:r>
      <w:r w:rsidRPr="00C13E80">
        <w:tab/>
      </w:r>
      <w:r w:rsidR="007300D8" w:rsidRPr="00C13E80">
        <w:t xml:space="preserve">Ratio of </w:t>
      </w:r>
      <w:r w:rsidR="00BD78CE" w:rsidRPr="00C13E80">
        <w:t xml:space="preserve">the extent of </w:t>
      </w:r>
      <w:r w:rsidR="007300D8" w:rsidRPr="00C13E80">
        <w:t xml:space="preserve">use of molnupiravir : nirmatrelvir and ritonavir from </w:t>
      </w:r>
      <w:r w:rsidRPr="00C13E80">
        <w:t xml:space="preserve">1 </w:t>
      </w:r>
      <w:r w:rsidR="007300D8" w:rsidRPr="00C13E80">
        <w:t>May</w:t>
      </w:r>
      <w:r w:rsidRPr="00C13E80">
        <w:t xml:space="preserve"> 2022 to 31 March</w:t>
      </w:r>
      <w:r w:rsidR="00BD00BF" w:rsidRPr="00C13E80">
        <w:t xml:space="preserve"> 2023</w:t>
      </w:r>
    </w:p>
    <w:p w14:paraId="4354BA1D" w14:textId="1A1B2056" w:rsidR="00D606B4" w:rsidRPr="00C13E80" w:rsidRDefault="001A4F84" w:rsidP="00215EE9">
      <w:pPr>
        <w:pStyle w:val="3-BodyText"/>
        <w:numPr>
          <w:ilvl w:val="0"/>
          <w:numId w:val="0"/>
        </w:numPr>
        <w:spacing w:after="0"/>
        <w:rPr>
          <w:snapToGrid/>
        </w:rPr>
      </w:pPr>
      <w:r w:rsidRPr="00C13E80">
        <w:rPr>
          <w:noProof/>
          <w:snapToGrid/>
        </w:rPr>
        <w:drawing>
          <wp:inline distT="0" distB="0" distL="0" distR="0" wp14:anchorId="0B820964" wp14:editId="1C528543">
            <wp:extent cx="5589767" cy="3087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9767" cy="3087295"/>
                    </a:xfrm>
                    <a:prstGeom prst="rect">
                      <a:avLst/>
                    </a:prstGeom>
                    <a:noFill/>
                  </pic:spPr>
                </pic:pic>
              </a:graphicData>
            </a:graphic>
          </wp:inline>
        </w:drawing>
      </w:r>
    </w:p>
    <w:p w14:paraId="51886B1C" w14:textId="6A95EAC3" w:rsidR="001B2D48" w:rsidRPr="00C13E80" w:rsidRDefault="001B2D48" w:rsidP="00215EE9">
      <w:pPr>
        <w:pStyle w:val="Tabletext"/>
        <w:spacing w:after="120"/>
        <w:rPr>
          <w:snapToGrid/>
        </w:rPr>
      </w:pPr>
      <w:r w:rsidRPr="00C13E80">
        <w:rPr>
          <w:snapToGrid/>
        </w:rPr>
        <w:t xml:space="preserve">Source: analysis of data available at: </w:t>
      </w:r>
      <w:hyperlink r:id="rId12" w:history="1">
        <w:r w:rsidRPr="00C13E80">
          <w:rPr>
            <w:rStyle w:val="Hyperlink"/>
            <w:snapToGrid/>
          </w:rPr>
          <w:t>http://medicarestatistics.humanservices.gov.au/statistics/pbs_item.jsp</w:t>
        </w:r>
      </w:hyperlink>
    </w:p>
    <w:p w14:paraId="584074EA" w14:textId="29710BAE" w:rsidR="001B4CDE" w:rsidRPr="005C508C" w:rsidRDefault="001B4CDE" w:rsidP="001B4CDE">
      <w:pPr>
        <w:pStyle w:val="3-BodyText"/>
        <w:rPr>
          <w:color w:val="000000" w:themeColor="text1"/>
        </w:rPr>
      </w:pPr>
      <w:r w:rsidRPr="00C13E80">
        <w:rPr>
          <w:color w:val="000000" w:themeColor="text1"/>
        </w:rPr>
        <w:lastRenderedPageBreak/>
        <w:t>The submission also provide</w:t>
      </w:r>
      <w:r w:rsidR="0003376D" w:rsidRPr="00C13E80">
        <w:rPr>
          <w:color w:val="000000" w:themeColor="text1"/>
        </w:rPr>
        <w:t>d</w:t>
      </w:r>
      <w:r w:rsidRPr="00C13E80">
        <w:rPr>
          <w:color w:val="000000" w:themeColor="text1"/>
        </w:rPr>
        <w:t xml:space="preserve"> the breakdown of prescriptions for molnupiravir and for nirmatrelvir and ritonavir by authority code over the period from August to</w:t>
      </w:r>
      <w:r w:rsidR="001F7ADC" w:rsidRPr="00C13E80">
        <w:rPr>
          <w:color w:val="000000" w:themeColor="text1"/>
        </w:rPr>
        <w:t xml:space="preserve"> </w:t>
      </w:r>
      <w:r w:rsidRPr="00C13E80">
        <w:rPr>
          <w:color w:val="000000" w:themeColor="text1"/>
        </w:rPr>
        <w:t>December</w:t>
      </w:r>
      <w:r w:rsidR="005C508C">
        <w:rPr>
          <w:color w:val="000000" w:themeColor="text1"/>
        </w:rPr>
        <w:t> </w:t>
      </w:r>
      <w:r w:rsidRPr="00C13E80">
        <w:rPr>
          <w:color w:val="000000" w:themeColor="text1"/>
        </w:rPr>
        <w:t xml:space="preserve">2022 to inform the extent of use of each treatment by subgroup. As can be seen from </w:t>
      </w:r>
      <w:r w:rsidR="00243733" w:rsidRPr="00C13E80">
        <w:rPr>
          <w:color w:val="000000" w:themeColor="text1"/>
        </w:rPr>
        <w:fldChar w:fldCharType="begin" w:fldLock="1"/>
      </w:r>
      <w:r w:rsidR="00243733" w:rsidRPr="00C13E80">
        <w:rPr>
          <w:color w:val="000000" w:themeColor="text1"/>
        </w:rPr>
        <w:instrText xml:space="preserve"> REF _Ref134810305 \h </w:instrText>
      </w:r>
      <w:r w:rsidR="00243733" w:rsidRPr="00C13E80">
        <w:rPr>
          <w:color w:val="000000" w:themeColor="text1"/>
        </w:rPr>
      </w:r>
      <w:r w:rsidR="00243733" w:rsidRPr="00C13E80">
        <w:rPr>
          <w:color w:val="000000" w:themeColor="text1"/>
        </w:rPr>
        <w:fldChar w:fldCharType="separate"/>
      </w:r>
      <w:r w:rsidR="00701DEF" w:rsidRPr="00C13E80">
        <w:t xml:space="preserve">Figure </w:t>
      </w:r>
      <w:r w:rsidR="00701DEF">
        <w:rPr>
          <w:noProof/>
        </w:rPr>
        <w:t>3</w:t>
      </w:r>
      <w:r w:rsidR="00243733" w:rsidRPr="00C13E80">
        <w:rPr>
          <w:color w:val="000000" w:themeColor="text1"/>
        </w:rPr>
        <w:fldChar w:fldCharType="end"/>
      </w:r>
      <w:r w:rsidRPr="00C13E80">
        <w:rPr>
          <w:color w:val="000000" w:themeColor="text1"/>
        </w:rPr>
        <w:t xml:space="preserve"> </w:t>
      </w:r>
      <w:r w:rsidR="003201B4" w:rsidRPr="00C13E80">
        <w:t>that shows utilisation by PBS restriction, for both products, the majority of utilisation is in patients 70+ years of age</w:t>
      </w:r>
      <w:r w:rsidRPr="00C13E80">
        <w:rPr>
          <w:color w:val="000000" w:themeColor="text1"/>
        </w:rPr>
        <w:t>.</w:t>
      </w:r>
    </w:p>
    <w:p w14:paraId="5330C51D" w14:textId="78F76B62" w:rsidR="001B4CDE" w:rsidRPr="00C13E80" w:rsidRDefault="008B5E2C" w:rsidP="006725C2">
      <w:pPr>
        <w:pStyle w:val="TableFigureHeading"/>
        <w:tabs>
          <w:tab w:val="left" w:pos="993"/>
        </w:tabs>
      </w:pPr>
      <w:bookmarkStart w:id="30" w:name="_Ref134810305"/>
      <w:r w:rsidRPr="00C13E80">
        <w:t xml:space="preserve">Figure </w:t>
      </w:r>
      <w:r w:rsidR="00567EAC">
        <w:fldChar w:fldCharType="begin" w:fldLock="1"/>
      </w:r>
      <w:r w:rsidR="00567EAC">
        <w:instrText xml:space="preserve"> SEQ Figure \* ARABIC </w:instrText>
      </w:r>
      <w:r w:rsidR="00567EAC">
        <w:fldChar w:fldCharType="separate"/>
      </w:r>
      <w:r w:rsidR="00701DEF">
        <w:rPr>
          <w:noProof/>
        </w:rPr>
        <w:t>3</w:t>
      </w:r>
      <w:r w:rsidR="00567EAC">
        <w:rPr>
          <w:noProof/>
        </w:rPr>
        <w:fldChar w:fldCharType="end"/>
      </w:r>
      <w:bookmarkEnd w:id="30"/>
      <w:r w:rsidRPr="00C13E80">
        <w:t>:</w:t>
      </w:r>
      <w:r w:rsidR="00243733" w:rsidRPr="00C13E80">
        <w:t xml:space="preserve"> </w:t>
      </w:r>
      <w:r w:rsidR="001B4CDE" w:rsidRPr="00C13E80">
        <w:t xml:space="preserve">Distribution of prescriptions of </w:t>
      </w:r>
      <w:r w:rsidR="001B4CDE" w:rsidRPr="00C13E80">
        <w:rPr>
          <w:color w:val="000000" w:themeColor="text1"/>
        </w:rPr>
        <w:t xml:space="preserve">molnupiravir and of nirmatrelvir and ritonavir </w:t>
      </w:r>
      <w:r w:rsidR="001B4CDE" w:rsidRPr="00C13E80">
        <w:t>by patient subgroup from August-December 2022</w:t>
      </w:r>
    </w:p>
    <w:p w14:paraId="1106C504" w14:textId="1195E4FA" w:rsidR="001B4CDE" w:rsidRPr="00C13E80" w:rsidRDefault="006725C2" w:rsidP="001B4CDE">
      <w:r w:rsidRPr="00C13E80">
        <w:rPr>
          <w:noProof/>
        </w:rPr>
        <w:drawing>
          <wp:inline distT="0" distB="0" distL="0" distR="0" wp14:anchorId="0B27D6D8" wp14:editId="31C1782F">
            <wp:extent cx="5931673" cy="18154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496" cy="1827665"/>
                    </a:xfrm>
                    <a:prstGeom prst="rect">
                      <a:avLst/>
                    </a:prstGeom>
                    <a:noFill/>
                  </pic:spPr>
                </pic:pic>
              </a:graphicData>
            </a:graphic>
          </wp:inline>
        </w:drawing>
      </w:r>
    </w:p>
    <w:p w14:paraId="5D4B5886" w14:textId="43BF9602" w:rsidR="00532B8F" w:rsidRPr="005C508C" w:rsidRDefault="001B4CDE" w:rsidP="005C508C">
      <w:pPr>
        <w:pStyle w:val="FooterTableFigure"/>
        <w:contextualSpacing w:val="0"/>
      </w:pPr>
      <w:r w:rsidRPr="00C13E80">
        <w:t>Source: Analysis of data presented in Table 1.4-2, p27 of the submission</w:t>
      </w:r>
    </w:p>
    <w:p w14:paraId="05E81934" w14:textId="064BE99E" w:rsidR="00122A20" w:rsidRPr="00C13E80" w:rsidRDefault="00E5385A" w:rsidP="00B46FE9">
      <w:pPr>
        <w:pStyle w:val="3-BodyText"/>
        <w:rPr>
          <w:iCs/>
          <w:color w:val="000000" w:themeColor="text1"/>
        </w:rPr>
      </w:pPr>
      <w:r w:rsidRPr="00C13E80">
        <w:rPr>
          <w:iCs/>
          <w:color w:val="000000" w:themeColor="text1"/>
        </w:rPr>
        <w:t xml:space="preserve">The PSCR stated that the administrative note has focused use of molnupiravir to patients not able to receive </w:t>
      </w:r>
      <w:r w:rsidR="00A62148" w:rsidRPr="00C13E80">
        <w:rPr>
          <w:iCs/>
          <w:color w:val="000000" w:themeColor="text1"/>
        </w:rPr>
        <w:t>nirmatrelvir and ritonavir</w:t>
      </w:r>
      <w:r w:rsidRPr="00C13E80">
        <w:rPr>
          <w:iCs/>
          <w:color w:val="000000" w:themeColor="text1"/>
        </w:rPr>
        <w:t>, noting that the market share of molnupiravir has reduced from &gt;</w:t>
      </w:r>
      <w:r w:rsidR="005B5781">
        <w:rPr>
          <w:iCs/>
          <w:color w:val="000000" w:themeColor="text1"/>
        </w:rPr>
        <w:t> </w:t>
      </w:r>
      <w:r w:rsidRPr="00C13E80">
        <w:rPr>
          <w:iCs/>
          <w:color w:val="000000" w:themeColor="text1"/>
        </w:rPr>
        <w:t xml:space="preserve">70% to 56%. However, the </w:t>
      </w:r>
      <w:r w:rsidR="00C95D11">
        <w:rPr>
          <w:iCs/>
          <w:color w:val="000000" w:themeColor="text1"/>
        </w:rPr>
        <w:t>PBAC</w:t>
      </w:r>
      <w:r w:rsidR="00C95D11" w:rsidRPr="00C13E80">
        <w:rPr>
          <w:iCs/>
          <w:color w:val="000000" w:themeColor="text1"/>
        </w:rPr>
        <w:t xml:space="preserve"> </w:t>
      </w:r>
      <w:r w:rsidRPr="00C13E80">
        <w:rPr>
          <w:iCs/>
          <w:color w:val="000000" w:themeColor="text1"/>
        </w:rPr>
        <w:t>noted that the market share of molnupiravir had already been declining prior to the introduction of the administrative note in January 2023 (</w:t>
      </w:r>
      <w:r w:rsidRPr="00C13E80">
        <w:rPr>
          <w:iCs/>
          <w:color w:val="000000" w:themeColor="text1"/>
        </w:rPr>
        <w:fldChar w:fldCharType="begin" w:fldLock="1"/>
      </w:r>
      <w:r w:rsidRPr="00C13E80">
        <w:rPr>
          <w:iCs/>
          <w:color w:val="000000" w:themeColor="text1"/>
        </w:rPr>
        <w:instrText xml:space="preserve"> REF _Ref134810305 \h  \* MERGEFORMAT </w:instrText>
      </w:r>
      <w:r w:rsidRPr="00C13E80">
        <w:rPr>
          <w:iCs/>
          <w:color w:val="000000" w:themeColor="text1"/>
        </w:rPr>
      </w:r>
      <w:r w:rsidRPr="00C13E80">
        <w:rPr>
          <w:iCs/>
          <w:color w:val="000000" w:themeColor="text1"/>
        </w:rPr>
        <w:fldChar w:fldCharType="separate"/>
      </w:r>
      <w:r w:rsidR="00701DEF" w:rsidRPr="00701DEF">
        <w:rPr>
          <w:iCs/>
        </w:rPr>
        <w:t>Figure 3</w:t>
      </w:r>
      <w:r w:rsidRPr="00C13E80">
        <w:rPr>
          <w:iCs/>
          <w:color w:val="000000" w:themeColor="text1"/>
        </w:rPr>
        <w:fldChar w:fldCharType="end"/>
      </w:r>
      <w:r w:rsidRPr="00C13E80">
        <w:rPr>
          <w:iCs/>
          <w:color w:val="000000" w:themeColor="text1"/>
        </w:rPr>
        <w:t>), likely due to factors such as publication of the PANORAMIC trial indicating that molnupiravir was less effective in practice than observed in the MOVe-OUT clinical trial</w:t>
      </w:r>
      <w:r w:rsidR="00F870EA" w:rsidRPr="00C13E80">
        <w:rPr>
          <w:iCs/>
          <w:color w:val="000000" w:themeColor="text1"/>
        </w:rPr>
        <w:t xml:space="preserve">. </w:t>
      </w:r>
      <w:r w:rsidR="00122A20" w:rsidRPr="00C13E80">
        <w:rPr>
          <w:iCs/>
        </w:rPr>
        <w:t>Other relevant factors may include increased prescriber experience with nirmatrelvir and ritonavir leading to improved ability to manage potential interactions, and expansion of the listing of nirmatrelvir and ritonavir</w:t>
      </w:r>
      <w:r w:rsidR="00F870EA" w:rsidRPr="00C13E80">
        <w:rPr>
          <w:iCs/>
        </w:rPr>
        <w:t xml:space="preserve">. </w:t>
      </w:r>
    </w:p>
    <w:p w14:paraId="30AA7A1C" w14:textId="4B08359A" w:rsidR="004A13D7" w:rsidRPr="00C13E80" w:rsidRDefault="004A13D7" w:rsidP="00B46FE9">
      <w:pPr>
        <w:pStyle w:val="3-BodyText"/>
        <w:rPr>
          <w:iCs/>
          <w:color w:val="000000" w:themeColor="text1"/>
        </w:rPr>
      </w:pPr>
      <w:bookmarkStart w:id="31" w:name="_Ref137677896"/>
      <w:bookmarkStart w:id="32" w:name="_Ref137667075"/>
      <w:r w:rsidRPr="00C13E80">
        <w:rPr>
          <w:iCs/>
          <w:color w:val="000000" w:themeColor="text1"/>
        </w:rPr>
        <w:t>The PSCR claimed that the observed market share of 56% was consistent with the estimated proportion of the population that is not able to receive nirmatrelvir and ritonavir based on a sponsor-led study presented as a poster at the International Congress of Infectious Diseases; Kuala Lumpur, Malaysia; November 17-20, 2022 (53.9%; reported by Cameron et al, 2022)</w:t>
      </w:r>
      <w:r w:rsidR="00F870EA" w:rsidRPr="00C13E80">
        <w:rPr>
          <w:iCs/>
          <w:color w:val="000000" w:themeColor="text1"/>
        </w:rPr>
        <w:t xml:space="preserve">. </w:t>
      </w:r>
      <w:r w:rsidRPr="00C13E80">
        <w:rPr>
          <w:iCs/>
          <w:color w:val="000000" w:themeColor="text1"/>
        </w:rPr>
        <w:t xml:space="preserve">However, </w:t>
      </w:r>
      <w:r w:rsidR="00C95D11">
        <w:rPr>
          <w:iCs/>
          <w:color w:val="000000" w:themeColor="text1"/>
        </w:rPr>
        <w:t>the results could not be verified</w:t>
      </w:r>
      <w:r w:rsidRPr="00C13E80">
        <w:rPr>
          <w:iCs/>
          <w:color w:val="000000" w:themeColor="text1"/>
        </w:rPr>
        <w:t xml:space="preserve"> due to limited information reported in the poster. </w:t>
      </w:r>
      <w:r w:rsidR="00A63EFC" w:rsidRPr="00C13E80">
        <w:rPr>
          <w:iCs/>
        </w:rPr>
        <w:t>T</w:t>
      </w:r>
      <w:r w:rsidRPr="00C13E80">
        <w:rPr>
          <w:iCs/>
        </w:rPr>
        <w:t xml:space="preserve">he analysis did not appear to distinguish between absolute contraindications as compared with relative contraindications that could be managed safely by the prescriber by temporarily adjusting the patient’s other medications. </w:t>
      </w:r>
      <w:r w:rsidRPr="00C13E80">
        <w:rPr>
          <w:iCs/>
          <w:color w:val="000000" w:themeColor="text1"/>
        </w:rPr>
        <w:t xml:space="preserve">The </w:t>
      </w:r>
      <w:r w:rsidR="00C95D11">
        <w:rPr>
          <w:iCs/>
          <w:color w:val="000000" w:themeColor="text1"/>
        </w:rPr>
        <w:t xml:space="preserve">PBAC </w:t>
      </w:r>
      <w:r w:rsidRPr="00C13E80">
        <w:rPr>
          <w:iCs/>
          <w:color w:val="000000" w:themeColor="text1"/>
        </w:rPr>
        <w:t xml:space="preserve">considered that although there is potential for a high proportion of patients to be at risk of a drug-drug interaction (DDI) with ritonavir (and therefore nirmatrelvir and ritonavir) based on their regular medication, the adjustment of their regular treatment schedule for the 5 days of treatment with nirmatrelvir and ritonavir may be possible to avoid potential DDI. The FDA briefing document referenced by the PSCR mentions that </w:t>
      </w:r>
      <w:r w:rsidR="009709BB">
        <w:rPr>
          <w:iCs/>
          <w:color w:val="000000" w:themeColor="text1"/>
        </w:rPr>
        <w:t>‘</w:t>
      </w:r>
      <w:r w:rsidRPr="00C13E80">
        <w:rPr>
          <w:iCs/>
          <w:color w:val="000000" w:themeColor="text1"/>
        </w:rPr>
        <w:t xml:space="preserve">…almost all of the 10 </w:t>
      </w:r>
      <w:r w:rsidRPr="00C13E80">
        <w:rPr>
          <w:iCs/>
          <w:color w:val="000000" w:themeColor="text1"/>
        </w:rPr>
        <w:lastRenderedPageBreak/>
        <w:t>most common DDI drugs … could potentially be managed by holding the drug, adjusting the dose of the drug, or increased monitoring</w:t>
      </w:r>
      <w:r w:rsidR="009709BB">
        <w:rPr>
          <w:iCs/>
          <w:color w:val="000000" w:themeColor="text1"/>
        </w:rPr>
        <w:t>’</w:t>
      </w:r>
      <w:r w:rsidR="00A63EFC" w:rsidRPr="00C13E80">
        <w:rPr>
          <w:rStyle w:val="FootnoteReference"/>
          <w:iCs/>
          <w:color w:val="000000" w:themeColor="text1"/>
        </w:rPr>
        <w:footnoteReference w:id="7"/>
      </w:r>
      <w:r w:rsidRPr="00C13E80">
        <w:rPr>
          <w:iCs/>
          <w:color w:val="000000" w:themeColor="text1"/>
        </w:rPr>
        <w:t>.</w:t>
      </w:r>
      <w:bookmarkEnd w:id="31"/>
    </w:p>
    <w:p w14:paraId="6844B9E3" w14:textId="27B83C44" w:rsidR="00122A20" w:rsidRPr="00C13E80" w:rsidRDefault="00460005" w:rsidP="00B46FE9">
      <w:pPr>
        <w:pStyle w:val="3-BodyText"/>
        <w:rPr>
          <w:iCs/>
          <w:color w:val="000000" w:themeColor="text1"/>
        </w:rPr>
      </w:pPr>
      <w:bookmarkStart w:id="33" w:name="_Ref142402495"/>
      <w:bookmarkStart w:id="34" w:name="_Hlk142402113"/>
      <w:r w:rsidRPr="00C13E80">
        <w:rPr>
          <w:iCs/>
          <w:color w:val="000000" w:themeColor="text1"/>
        </w:rPr>
        <w:t xml:space="preserve">The </w:t>
      </w:r>
      <w:r w:rsidR="00C95D11">
        <w:rPr>
          <w:iCs/>
          <w:color w:val="000000" w:themeColor="text1"/>
        </w:rPr>
        <w:t>PBAC</w:t>
      </w:r>
      <w:r w:rsidR="00C95D11" w:rsidRPr="00C13E80">
        <w:rPr>
          <w:iCs/>
          <w:color w:val="000000" w:themeColor="text1"/>
        </w:rPr>
        <w:t xml:space="preserve"> </w:t>
      </w:r>
      <w:r w:rsidRPr="00C13E80">
        <w:rPr>
          <w:iCs/>
          <w:color w:val="000000" w:themeColor="text1"/>
        </w:rPr>
        <w:t>noted that the National Clinical Evidence Taskforce</w:t>
      </w:r>
      <w:r w:rsidR="00086560">
        <w:rPr>
          <w:iCs/>
          <w:color w:val="000000" w:themeColor="text1"/>
        </w:rPr>
        <w:t xml:space="preserve"> (NCET)</w:t>
      </w:r>
      <w:r w:rsidRPr="00C13E80">
        <w:rPr>
          <w:iCs/>
          <w:color w:val="000000" w:themeColor="text1"/>
        </w:rPr>
        <w:t>, on the basis of results from the PANORAMIC trial, made a conditional recommendation against routine use of molnupiravir for treatment of patients with COVID 19</w:t>
      </w:r>
      <w:r w:rsidRPr="00C13E80">
        <w:rPr>
          <w:rStyle w:val="FootnoteReference"/>
          <w:iCs/>
          <w:color w:val="000000" w:themeColor="text1"/>
        </w:rPr>
        <w:footnoteReference w:id="8"/>
      </w:r>
      <w:r w:rsidRPr="00C13E80">
        <w:rPr>
          <w:iCs/>
          <w:color w:val="000000" w:themeColor="text1"/>
        </w:rPr>
        <w:t xml:space="preserve">. The Taskforce states that </w:t>
      </w:r>
      <w:r w:rsidR="009709BB">
        <w:rPr>
          <w:iCs/>
          <w:color w:val="000000" w:themeColor="text1"/>
        </w:rPr>
        <w:t>‘</w:t>
      </w:r>
      <w:r w:rsidRPr="00C13E80">
        <w:rPr>
          <w:iCs/>
          <w:color w:val="000000" w:themeColor="text1"/>
        </w:rPr>
        <w:t>there may be specific circumstances for the highest risk patients, where all other treatment options are contraindicated or inappropriate, in which non-routine use of molnupiravir might be considered, in consultation with specialist clinicians where necessary.</w:t>
      </w:r>
      <w:r w:rsidR="009709BB">
        <w:rPr>
          <w:iCs/>
          <w:color w:val="000000" w:themeColor="text1"/>
        </w:rPr>
        <w:t>’</w:t>
      </w:r>
      <w:r w:rsidRPr="00C13E80">
        <w:rPr>
          <w:rStyle w:val="FootnoteReference"/>
          <w:color w:val="000000" w:themeColor="text1"/>
        </w:rPr>
        <w:footnoteReference w:id="9"/>
      </w:r>
      <w:bookmarkEnd w:id="32"/>
      <w:r w:rsidR="00DD467C">
        <w:rPr>
          <w:iCs/>
          <w:color w:val="000000" w:themeColor="text1"/>
        </w:rPr>
        <w:t xml:space="preserve"> </w:t>
      </w:r>
      <w:r w:rsidR="00534292" w:rsidRPr="00C13E80">
        <w:rPr>
          <w:iCs/>
          <w:color w:val="000000" w:themeColor="text1"/>
        </w:rPr>
        <w:t xml:space="preserve">The </w:t>
      </w:r>
      <w:r w:rsidR="00C95D11">
        <w:rPr>
          <w:iCs/>
          <w:color w:val="000000" w:themeColor="text1"/>
        </w:rPr>
        <w:t xml:space="preserve">PBAC agreed with the ESC advice which noted that </w:t>
      </w:r>
      <w:r w:rsidR="00534292" w:rsidRPr="00C13E80">
        <w:rPr>
          <w:iCs/>
          <w:color w:val="000000" w:themeColor="text1"/>
        </w:rPr>
        <w:t xml:space="preserve">the prescriber community </w:t>
      </w:r>
      <w:r w:rsidR="00C93D70" w:rsidRPr="00C13E80">
        <w:rPr>
          <w:iCs/>
          <w:color w:val="000000" w:themeColor="text1"/>
        </w:rPr>
        <w:t xml:space="preserve">is </w:t>
      </w:r>
      <w:r w:rsidR="00C73BA4" w:rsidRPr="00C13E80">
        <w:rPr>
          <w:iCs/>
          <w:color w:val="000000" w:themeColor="text1"/>
        </w:rPr>
        <w:t>becom</w:t>
      </w:r>
      <w:r w:rsidR="00C93D70" w:rsidRPr="00C13E80">
        <w:rPr>
          <w:iCs/>
          <w:color w:val="000000" w:themeColor="text1"/>
        </w:rPr>
        <w:t>ing</w:t>
      </w:r>
      <w:r w:rsidR="00C73BA4" w:rsidRPr="00C13E80">
        <w:rPr>
          <w:iCs/>
          <w:color w:val="000000" w:themeColor="text1"/>
        </w:rPr>
        <w:t xml:space="preserve"> more able to </w:t>
      </w:r>
      <w:r w:rsidR="00534292" w:rsidRPr="00C13E80">
        <w:rPr>
          <w:iCs/>
          <w:color w:val="000000" w:themeColor="text1"/>
        </w:rPr>
        <w:t>distinguish absolute</w:t>
      </w:r>
      <w:r w:rsidR="00242ACF" w:rsidRPr="00C13E80">
        <w:rPr>
          <w:iCs/>
          <w:color w:val="000000" w:themeColor="text1"/>
        </w:rPr>
        <w:t>,</w:t>
      </w:r>
      <w:r w:rsidR="00534292" w:rsidRPr="00C13E80">
        <w:rPr>
          <w:iCs/>
          <w:color w:val="000000" w:themeColor="text1"/>
        </w:rPr>
        <w:t xml:space="preserve"> from relative</w:t>
      </w:r>
      <w:r w:rsidR="00242ACF" w:rsidRPr="00C13E80">
        <w:rPr>
          <w:iCs/>
          <w:color w:val="000000" w:themeColor="text1"/>
        </w:rPr>
        <w:t>,</w:t>
      </w:r>
      <w:r w:rsidR="00534292" w:rsidRPr="00C13E80">
        <w:rPr>
          <w:iCs/>
          <w:color w:val="000000" w:themeColor="text1"/>
        </w:rPr>
        <w:t xml:space="preserve"> contraindications and </w:t>
      </w:r>
      <w:r w:rsidR="00C93D70" w:rsidRPr="00C13E80">
        <w:rPr>
          <w:iCs/>
          <w:color w:val="000000" w:themeColor="text1"/>
        </w:rPr>
        <w:t xml:space="preserve">it is feasible </w:t>
      </w:r>
      <w:r w:rsidR="00C73BA4" w:rsidRPr="00C13E80">
        <w:rPr>
          <w:iCs/>
          <w:color w:val="000000" w:themeColor="text1"/>
        </w:rPr>
        <w:t xml:space="preserve">that </w:t>
      </w:r>
      <w:r w:rsidR="00C93D70" w:rsidRPr="00C13E80">
        <w:rPr>
          <w:iCs/>
          <w:color w:val="000000" w:themeColor="text1"/>
        </w:rPr>
        <w:t xml:space="preserve">the change in utilisation estimates reflects </w:t>
      </w:r>
      <w:r w:rsidR="00534292" w:rsidRPr="00C13E80">
        <w:rPr>
          <w:iCs/>
          <w:color w:val="000000" w:themeColor="text1"/>
        </w:rPr>
        <w:t xml:space="preserve">a </w:t>
      </w:r>
      <w:r w:rsidR="009D5831" w:rsidRPr="00C13E80">
        <w:rPr>
          <w:iCs/>
          <w:color w:val="000000" w:themeColor="text1"/>
        </w:rPr>
        <w:t xml:space="preserve">move towards a </w:t>
      </w:r>
      <w:r w:rsidR="00534292" w:rsidRPr="00C13E80">
        <w:rPr>
          <w:iCs/>
          <w:color w:val="000000" w:themeColor="text1"/>
        </w:rPr>
        <w:t xml:space="preserve">treatment pathway </w:t>
      </w:r>
      <w:r w:rsidR="009D5831" w:rsidRPr="00C13E80">
        <w:rPr>
          <w:iCs/>
          <w:color w:val="000000" w:themeColor="text1"/>
        </w:rPr>
        <w:t xml:space="preserve">that is more </w:t>
      </w:r>
      <w:r w:rsidR="00534292" w:rsidRPr="00C13E80">
        <w:rPr>
          <w:iCs/>
          <w:color w:val="000000" w:themeColor="text1"/>
        </w:rPr>
        <w:t xml:space="preserve">consistent with the Taskforce’s </w:t>
      </w:r>
      <w:r w:rsidR="00122A20" w:rsidRPr="00C13E80">
        <w:rPr>
          <w:iCs/>
          <w:color w:val="000000" w:themeColor="text1"/>
        </w:rPr>
        <w:t>advice</w:t>
      </w:r>
      <w:r w:rsidR="00534292" w:rsidRPr="00C13E80">
        <w:rPr>
          <w:iCs/>
          <w:color w:val="000000" w:themeColor="text1"/>
        </w:rPr>
        <w:t xml:space="preserve"> </w:t>
      </w:r>
      <w:r w:rsidR="00C93D70" w:rsidRPr="00C13E80">
        <w:rPr>
          <w:iCs/>
          <w:color w:val="000000" w:themeColor="text1"/>
        </w:rPr>
        <w:t>in practice.</w:t>
      </w:r>
      <w:bookmarkEnd w:id="33"/>
      <w:r w:rsidR="00C93D70" w:rsidRPr="00C13E80">
        <w:rPr>
          <w:iCs/>
          <w:color w:val="000000" w:themeColor="text1"/>
        </w:rPr>
        <w:t xml:space="preserve"> </w:t>
      </w:r>
    </w:p>
    <w:bookmarkEnd w:id="34"/>
    <w:p w14:paraId="43570B87" w14:textId="53265954" w:rsidR="00ED3AD9" w:rsidRPr="00C13E80" w:rsidRDefault="00ED3AD9" w:rsidP="00ED3AD9">
      <w:pPr>
        <w:pStyle w:val="3-BodyText"/>
        <w:numPr>
          <w:ilvl w:val="0"/>
          <w:numId w:val="0"/>
        </w:numPr>
        <w:ind w:left="720"/>
        <w:rPr>
          <w:iCs/>
          <w:color w:val="0066FF"/>
        </w:rPr>
      </w:pPr>
      <w:r w:rsidRPr="00C13E80">
        <w:rPr>
          <w:i/>
        </w:rPr>
        <w:t xml:space="preserve">For more detail on PBAC’s view, see section 7 PBAC </w:t>
      </w:r>
      <w:r w:rsidR="005C508C">
        <w:rPr>
          <w:i/>
        </w:rPr>
        <w:t>O</w:t>
      </w:r>
      <w:r w:rsidRPr="00C13E80">
        <w:rPr>
          <w:i/>
        </w:rPr>
        <w:t>utcome.</w:t>
      </w:r>
    </w:p>
    <w:p w14:paraId="7F9C27C8" w14:textId="77777777" w:rsidR="00223D5A" w:rsidRPr="00C13E80" w:rsidRDefault="00223D5A" w:rsidP="00B46FE9">
      <w:pPr>
        <w:pStyle w:val="2-SectionHeading"/>
      </w:pPr>
      <w:bookmarkStart w:id="35" w:name="_Toc135232219"/>
      <w:bookmarkStart w:id="36" w:name="_Toc22897640"/>
      <w:r w:rsidRPr="00C13E80">
        <w:t>Consideration of the evidence</w:t>
      </w:r>
      <w:bookmarkEnd w:id="35"/>
    </w:p>
    <w:p w14:paraId="133A22CF" w14:textId="77777777" w:rsidR="001E394B" w:rsidRPr="00C13E80" w:rsidRDefault="001E394B" w:rsidP="001E394B">
      <w:pPr>
        <w:pStyle w:val="4-SubsectionHeading"/>
      </w:pPr>
      <w:bookmarkStart w:id="37" w:name="_Hlk76375935"/>
      <w:bookmarkStart w:id="38" w:name="_Toc135232220"/>
      <w:r w:rsidRPr="00C13E80">
        <w:t>Sponsor hearing</w:t>
      </w:r>
    </w:p>
    <w:p w14:paraId="61DA8886" w14:textId="43240724" w:rsidR="00E72F67" w:rsidRPr="00C13E80" w:rsidRDefault="001E394B" w:rsidP="004A5116">
      <w:pPr>
        <w:widowControl w:val="0"/>
        <w:numPr>
          <w:ilvl w:val="1"/>
          <w:numId w:val="16"/>
        </w:numPr>
        <w:spacing w:after="120"/>
        <w:rPr>
          <w:rFonts w:asciiTheme="minorHAnsi" w:hAnsiTheme="minorHAnsi"/>
          <w:bCs/>
          <w:snapToGrid w:val="0"/>
          <w:lang w:eastAsia="en-US"/>
        </w:rPr>
      </w:pPr>
      <w:bookmarkStart w:id="39" w:name="_Hlk76382586"/>
      <w:r w:rsidRPr="00C13E80">
        <w:rPr>
          <w:rFonts w:asciiTheme="minorHAnsi" w:hAnsiTheme="minorHAnsi"/>
          <w:bCs/>
          <w:snapToGrid w:val="0"/>
        </w:rPr>
        <w:t xml:space="preserve">The sponsor </w:t>
      </w:r>
      <w:r w:rsidR="00000250" w:rsidRPr="00C13E80">
        <w:rPr>
          <w:rFonts w:asciiTheme="minorHAnsi" w:hAnsiTheme="minorHAnsi"/>
          <w:bCs/>
          <w:snapToGrid w:val="0"/>
        </w:rPr>
        <w:t xml:space="preserve">provided a recorded </w:t>
      </w:r>
      <w:r w:rsidRPr="00C13E80">
        <w:rPr>
          <w:rFonts w:asciiTheme="minorHAnsi" w:hAnsiTheme="minorHAnsi"/>
          <w:bCs/>
          <w:snapToGrid w:val="0"/>
        </w:rPr>
        <w:t>hearing for this item</w:t>
      </w:r>
      <w:r w:rsidR="00F870EA" w:rsidRPr="00C13E80">
        <w:rPr>
          <w:rFonts w:asciiTheme="minorHAnsi" w:hAnsiTheme="minorHAnsi"/>
          <w:bCs/>
          <w:snapToGrid w:val="0"/>
        </w:rPr>
        <w:t xml:space="preserve">. </w:t>
      </w:r>
      <w:r w:rsidRPr="00C13E80">
        <w:rPr>
          <w:rFonts w:asciiTheme="minorHAnsi" w:hAnsiTheme="minorHAnsi"/>
          <w:bCs/>
          <w:snapToGrid w:val="0"/>
        </w:rPr>
        <w:t xml:space="preserve">The clinician discussed the </w:t>
      </w:r>
      <w:r w:rsidR="005A4721" w:rsidRPr="00C13E80">
        <w:rPr>
          <w:rFonts w:asciiTheme="minorHAnsi" w:hAnsiTheme="minorHAnsi"/>
          <w:bCs/>
          <w:snapToGrid w:val="0"/>
        </w:rPr>
        <w:t xml:space="preserve">impact of the COVID-19 pandemic on general practice including </w:t>
      </w:r>
      <w:r w:rsidR="005A4721" w:rsidRPr="00C13E80">
        <w:rPr>
          <w:bCs/>
          <w:lang w:eastAsia="en-US"/>
        </w:rPr>
        <w:t>burnout, attrition, financial impacts, and low morale</w:t>
      </w:r>
      <w:r w:rsidR="005A4721" w:rsidRPr="00C13E80">
        <w:rPr>
          <w:rFonts w:asciiTheme="minorHAnsi" w:hAnsiTheme="minorHAnsi"/>
          <w:bCs/>
          <w:snapToGrid w:val="0"/>
        </w:rPr>
        <w:t xml:space="preserve"> in the profession</w:t>
      </w:r>
      <w:r w:rsidR="00F870EA" w:rsidRPr="00C13E80">
        <w:rPr>
          <w:rFonts w:asciiTheme="minorHAnsi" w:hAnsiTheme="minorHAnsi"/>
          <w:bCs/>
          <w:snapToGrid w:val="0"/>
        </w:rPr>
        <w:t xml:space="preserve">. </w:t>
      </w:r>
      <w:r w:rsidR="004A5116" w:rsidRPr="00C13E80">
        <w:t xml:space="preserve">It was noted that molnupiravir is simple to use in general practice, in comparison with </w:t>
      </w:r>
      <w:r w:rsidR="008C6C0D" w:rsidRPr="00C13E80">
        <w:t>nirmatrelvir and ritonavir</w:t>
      </w:r>
      <w:r w:rsidR="004A5116" w:rsidRPr="00C13E80">
        <w:t>, because the latter is associated with numerous potential drug interactions and may require more practitioner time for assessment and counselling and that short term medication changes were not suitable for some patients due to risk of confusion</w:t>
      </w:r>
      <w:r w:rsidR="00F870EA" w:rsidRPr="00C13E80">
        <w:t xml:space="preserve">. </w:t>
      </w:r>
      <w:r w:rsidR="005A4721" w:rsidRPr="00C13E80">
        <w:rPr>
          <w:rFonts w:asciiTheme="minorHAnsi" w:hAnsiTheme="minorHAnsi"/>
          <w:bCs/>
          <w:snapToGrid w:val="0"/>
        </w:rPr>
        <w:t xml:space="preserve">The clinician </w:t>
      </w:r>
      <w:r w:rsidR="008C0C8D" w:rsidRPr="00C13E80">
        <w:rPr>
          <w:rFonts w:asciiTheme="minorHAnsi" w:hAnsiTheme="minorHAnsi"/>
          <w:bCs/>
          <w:snapToGrid w:val="0"/>
        </w:rPr>
        <w:t>discussed</w:t>
      </w:r>
      <w:r w:rsidR="005A4721" w:rsidRPr="00C13E80">
        <w:rPr>
          <w:rFonts w:asciiTheme="minorHAnsi" w:hAnsiTheme="minorHAnsi"/>
          <w:bCs/>
          <w:snapToGrid w:val="0"/>
        </w:rPr>
        <w:t xml:space="preserve"> that oral antivirals, including molnupiravir, changed the face of the pandemic, and noted their beneficial impact, </w:t>
      </w:r>
      <w:r w:rsidR="005A4721" w:rsidRPr="00C13E80">
        <w:rPr>
          <w:bCs/>
          <w:lang w:eastAsia="en-US"/>
        </w:rPr>
        <w:t>especially if used early, in shortening the course of illness, reducing severity, and preventing hospitalisations</w:t>
      </w:r>
      <w:r w:rsidR="00F870EA" w:rsidRPr="00C13E80">
        <w:rPr>
          <w:bCs/>
          <w:lang w:eastAsia="en-US"/>
        </w:rPr>
        <w:t xml:space="preserve">. </w:t>
      </w:r>
      <w:r w:rsidR="005A4721" w:rsidRPr="00C13E80">
        <w:rPr>
          <w:bCs/>
          <w:lang w:eastAsia="en-US"/>
        </w:rPr>
        <w:t xml:space="preserve">The clinician described the benefits of molnupiravir for </w:t>
      </w:r>
      <w:proofErr w:type="gramStart"/>
      <w:r w:rsidR="005A4721" w:rsidRPr="00C13E80">
        <w:rPr>
          <w:bCs/>
          <w:lang w:eastAsia="en-US"/>
        </w:rPr>
        <w:t>patients</w:t>
      </w:r>
      <w:proofErr w:type="gramEnd"/>
      <w:r w:rsidR="005A4721" w:rsidRPr="00C13E80">
        <w:rPr>
          <w:bCs/>
          <w:lang w:eastAsia="en-US"/>
        </w:rPr>
        <w:t xml:space="preserve"> ineligible for </w:t>
      </w:r>
      <w:r w:rsidR="008C6C0D" w:rsidRPr="00C13E80">
        <w:rPr>
          <w:bCs/>
          <w:lang w:eastAsia="en-US"/>
        </w:rPr>
        <w:t>nirmatrelvir and ritonavir</w:t>
      </w:r>
      <w:r w:rsidR="00F870EA" w:rsidRPr="00C13E80">
        <w:rPr>
          <w:bCs/>
          <w:lang w:eastAsia="en-US"/>
        </w:rPr>
        <w:t xml:space="preserve">. </w:t>
      </w:r>
      <w:r w:rsidR="005A4721" w:rsidRPr="00C13E80">
        <w:rPr>
          <w:bCs/>
          <w:lang w:eastAsia="en-US"/>
        </w:rPr>
        <w:t>It was also noted that long COVID is a concern for the community.</w:t>
      </w:r>
    </w:p>
    <w:bookmarkEnd w:id="39"/>
    <w:p w14:paraId="4D840360" w14:textId="77777777" w:rsidR="001E394B" w:rsidRPr="00C13E80" w:rsidRDefault="001E394B" w:rsidP="001E394B">
      <w:pPr>
        <w:pStyle w:val="4-SubsectionHeading"/>
      </w:pPr>
      <w:r w:rsidRPr="00C13E80">
        <w:t>Consumer comments</w:t>
      </w:r>
    </w:p>
    <w:p w14:paraId="1A8274B2" w14:textId="59ABCDF5" w:rsidR="009F79E9" w:rsidRPr="00C13E80" w:rsidRDefault="001E394B" w:rsidP="009F79E9">
      <w:pPr>
        <w:pStyle w:val="3-BodyText"/>
        <w:widowControl w:val="0"/>
        <w:numPr>
          <w:ilvl w:val="1"/>
          <w:numId w:val="16"/>
        </w:numPr>
        <w:rPr>
          <w:bCs/>
        </w:rPr>
      </w:pPr>
      <w:bookmarkStart w:id="40" w:name="_Hlk76382618"/>
      <w:r w:rsidRPr="00C13E80">
        <w:rPr>
          <w:bCs/>
        </w:rPr>
        <w:t>The PBAC noted and welcomed the input from health care professionals (</w:t>
      </w:r>
      <w:r w:rsidR="00C94D2E" w:rsidRPr="00C13E80">
        <w:rPr>
          <w:bCs/>
        </w:rPr>
        <w:t>14</w:t>
      </w:r>
      <w:r w:rsidRPr="00C13E80">
        <w:rPr>
          <w:bCs/>
        </w:rPr>
        <w:t>)</w:t>
      </w:r>
      <w:r w:rsidR="00C94D2E" w:rsidRPr="00C13E80">
        <w:rPr>
          <w:bCs/>
        </w:rPr>
        <w:t>, other interested individual (1)</w:t>
      </w:r>
      <w:r w:rsidRPr="00C13E80">
        <w:rPr>
          <w:bCs/>
        </w:rPr>
        <w:t xml:space="preserve"> and organisations (</w:t>
      </w:r>
      <w:r w:rsidR="00C94D2E" w:rsidRPr="00C13E80">
        <w:rPr>
          <w:bCs/>
        </w:rPr>
        <w:t>3</w:t>
      </w:r>
      <w:r w:rsidRPr="00C13E80">
        <w:rPr>
          <w:bCs/>
        </w:rPr>
        <w:t>) via the Consumer Comments facility on the PBS website</w:t>
      </w:r>
      <w:r w:rsidR="00F870EA" w:rsidRPr="00C13E80">
        <w:rPr>
          <w:bCs/>
        </w:rPr>
        <w:t xml:space="preserve">. </w:t>
      </w:r>
      <w:r w:rsidR="00AC2A4F" w:rsidRPr="00C13E80">
        <w:rPr>
          <w:bCs/>
          <w:lang w:eastAsia="en-US"/>
        </w:rPr>
        <w:t xml:space="preserve">Although many noted </w:t>
      </w:r>
      <w:r w:rsidR="008C0C8D" w:rsidRPr="00C13E80">
        <w:rPr>
          <w:bCs/>
          <w:lang w:eastAsia="en-US"/>
        </w:rPr>
        <w:t xml:space="preserve">that </w:t>
      </w:r>
      <w:r w:rsidR="00AC2A4F" w:rsidRPr="00C13E80">
        <w:rPr>
          <w:bCs/>
          <w:lang w:eastAsia="en-US"/>
        </w:rPr>
        <w:t xml:space="preserve">effectiveness </w:t>
      </w:r>
      <w:r w:rsidR="008C0C8D" w:rsidRPr="00C13E80">
        <w:rPr>
          <w:bCs/>
          <w:lang w:eastAsia="en-US"/>
        </w:rPr>
        <w:t xml:space="preserve">of molnupiravir </w:t>
      </w:r>
      <w:r w:rsidR="00AC2A4F" w:rsidRPr="00C13E80">
        <w:rPr>
          <w:bCs/>
          <w:lang w:eastAsia="en-US"/>
        </w:rPr>
        <w:t xml:space="preserve">may be less than </w:t>
      </w:r>
      <w:r w:rsidR="008C6C0D" w:rsidRPr="00C13E80">
        <w:rPr>
          <w:bCs/>
          <w:lang w:eastAsia="en-US"/>
        </w:rPr>
        <w:t>nirmatrelvir and ritonavir</w:t>
      </w:r>
      <w:r w:rsidR="00AC2A4F" w:rsidRPr="00C13E80">
        <w:rPr>
          <w:bCs/>
          <w:lang w:eastAsia="en-US"/>
        </w:rPr>
        <w:t xml:space="preserve">, </w:t>
      </w:r>
      <w:r w:rsidR="008C0C8D" w:rsidRPr="00C13E80">
        <w:rPr>
          <w:bCs/>
          <w:lang w:eastAsia="en-US"/>
        </w:rPr>
        <w:t xml:space="preserve">it was </w:t>
      </w:r>
      <w:r w:rsidR="00AC2A4F" w:rsidRPr="00C13E80">
        <w:rPr>
          <w:bCs/>
          <w:lang w:eastAsia="en-US"/>
        </w:rPr>
        <w:t xml:space="preserve">suggested that molnupiravir had a place in therapy as an alternative for those who could not take </w:t>
      </w:r>
      <w:r w:rsidR="008C6C0D" w:rsidRPr="00C13E80">
        <w:rPr>
          <w:bCs/>
          <w:lang w:eastAsia="en-US"/>
        </w:rPr>
        <w:t>nirmatrelvir and ritonavir</w:t>
      </w:r>
      <w:r w:rsidR="00F870EA" w:rsidRPr="00C13E80">
        <w:rPr>
          <w:bCs/>
          <w:lang w:eastAsia="en-US"/>
        </w:rPr>
        <w:t xml:space="preserve">. </w:t>
      </w:r>
      <w:r w:rsidR="00AC2A4F" w:rsidRPr="00C13E80">
        <w:rPr>
          <w:bCs/>
          <w:lang w:eastAsia="en-US"/>
        </w:rPr>
        <w:lastRenderedPageBreak/>
        <w:t xml:space="preserve">Molnupiravir was </w:t>
      </w:r>
      <w:r w:rsidR="008C0C8D" w:rsidRPr="00C13E80">
        <w:rPr>
          <w:bCs/>
          <w:lang w:eastAsia="en-US"/>
        </w:rPr>
        <w:t xml:space="preserve">described as </w:t>
      </w:r>
      <w:r w:rsidR="00AC2A4F" w:rsidRPr="00C13E80">
        <w:rPr>
          <w:bCs/>
          <w:lang w:eastAsia="en-US"/>
        </w:rPr>
        <w:t>well</w:t>
      </w:r>
      <w:r w:rsidR="008C0C8D" w:rsidRPr="00C13E80">
        <w:rPr>
          <w:bCs/>
          <w:lang w:eastAsia="en-US"/>
        </w:rPr>
        <w:t>-</w:t>
      </w:r>
      <w:r w:rsidR="00AC2A4F" w:rsidRPr="00C13E80">
        <w:rPr>
          <w:bCs/>
          <w:lang w:eastAsia="en-US"/>
        </w:rPr>
        <w:t xml:space="preserve">tolerated with fewer drug interactions and contraindications for existing comorbidities, particularly amongst the elderly and those who are immunocompromised. Several inputs mentioned the ease of oral administration as an advantage over IV antivirals, enabling people to avoid hospital attendance. Some discussed considering outcomes beyond hospitalisation and death and </w:t>
      </w:r>
      <w:r w:rsidR="008C0C8D" w:rsidRPr="00C13E80">
        <w:rPr>
          <w:bCs/>
          <w:lang w:eastAsia="en-US"/>
        </w:rPr>
        <w:t>suggested that</w:t>
      </w:r>
      <w:r w:rsidR="00AC2A4F" w:rsidRPr="00C13E80">
        <w:rPr>
          <w:bCs/>
          <w:lang w:eastAsia="en-US"/>
        </w:rPr>
        <w:t xml:space="preserve"> </w:t>
      </w:r>
      <w:r w:rsidR="008C0C8D" w:rsidRPr="00C13E80">
        <w:rPr>
          <w:bCs/>
          <w:lang w:eastAsia="en-US"/>
        </w:rPr>
        <w:t xml:space="preserve">population health and </w:t>
      </w:r>
      <w:r w:rsidR="00AC2A4F" w:rsidRPr="00C13E80">
        <w:rPr>
          <w:bCs/>
          <w:lang w:eastAsia="en-US"/>
        </w:rPr>
        <w:t xml:space="preserve">quality of life may </w:t>
      </w:r>
      <w:r w:rsidR="008C0C8D" w:rsidRPr="00C13E80">
        <w:rPr>
          <w:bCs/>
          <w:lang w:eastAsia="en-US"/>
        </w:rPr>
        <w:t xml:space="preserve">be </w:t>
      </w:r>
      <w:r w:rsidR="00AC2A4F" w:rsidRPr="00C13E80">
        <w:rPr>
          <w:bCs/>
          <w:lang w:eastAsia="en-US"/>
        </w:rPr>
        <w:t>improved</w:t>
      </w:r>
      <w:r w:rsidR="009F79E9" w:rsidRPr="00C13E80">
        <w:rPr>
          <w:bCs/>
          <w:lang w:eastAsia="en-US"/>
        </w:rPr>
        <w:t>,</w:t>
      </w:r>
      <w:r w:rsidR="00AC2A4F" w:rsidRPr="00C13E80">
        <w:rPr>
          <w:bCs/>
          <w:lang w:eastAsia="en-US"/>
        </w:rPr>
        <w:t xml:space="preserve"> with </w:t>
      </w:r>
      <w:r w:rsidR="008C0C8D" w:rsidRPr="00C13E80">
        <w:rPr>
          <w:bCs/>
          <w:lang w:eastAsia="en-US"/>
        </w:rPr>
        <w:t>reduced</w:t>
      </w:r>
      <w:r w:rsidR="00AC2A4F" w:rsidRPr="00C13E80">
        <w:rPr>
          <w:bCs/>
          <w:lang w:eastAsia="en-US"/>
        </w:rPr>
        <w:t xml:space="preserve"> burden on the health system</w:t>
      </w:r>
      <w:r w:rsidR="009F79E9" w:rsidRPr="00C13E80">
        <w:rPr>
          <w:bCs/>
          <w:lang w:eastAsia="en-US"/>
        </w:rPr>
        <w:t>,</w:t>
      </w:r>
      <w:r w:rsidR="00AC2A4F" w:rsidRPr="00C13E80">
        <w:rPr>
          <w:bCs/>
          <w:lang w:eastAsia="en-US"/>
        </w:rPr>
        <w:t xml:space="preserve"> </w:t>
      </w:r>
      <w:r w:rsidR="008C0C8D" w:rsidRPr="00C13E80">
        <w:rPr>
          <w:bCs/>
          <w:lang w:eastAsia="en-US"/>
        </w:rPr>
        <w:t>if</w:t>
      </w:r>
      <w:r w:rsidR="00AC2A4F" w:rsidRPr="00C13E80">
        <w:rPr>
          <w:bCs/>
          <w:lang w:eastAsia="en-US"/>
        </w:rPr>
        <w:t xml:space="preserve"> effects on viral load, infection and spread, and on long </w:t>
      </w:r>
      <w:r w:rsidR="008C0C8D" w:rsidRPr="00C13E80">
        <w:rPr>
          <w:bCs/>
          <w:lang w:eastAsia="en-US"/>
        </w:rPr>
        <w:t>COVID</w:t>
      </w:r>
      <w:r w:rsidR="00AC2A4F" w:rsidRPr="00C13E80">
        <w:rPr>
          <w:bCs/>
          <w:lang w:eastAsia="en-US"/>
        </w:rPr>
        <w:t xml:space="preserve"> amongst broader populations</w:t>
      </w:r>
      <w:r w:rsidR="008C0C8D" w:rsidRPr="00C13E80">
        <w:rPr>
          <w:bCs/>
          <w:lang w:eastAsia="en-US"/>
        </w:rPr>
        <w:t xml:space="preserve"> were considered</w:t>
      </w:r>
      <w:r w:rsidR="00AC2A4F" w:rsidRPr="00C13E80">
        <w:rPr>
          <w:bCs/>
          <w:lang w:eastAsia="en-US"/>
        </w:rPr>
        <w:t>. In vulnerable patients who have poor immune systems or are unvaccinated</w:t>
      </w:r>
      <w:r w:rsidR="008C0C8D" w:rsidRPr="00C13E80">
        <w:rPr>
          <w:bCs/>
          <w:lang w:eastAsia="en-US"/>
        </w:rPr>
        <w:t xml:space="preserve">, molnupiravir was described as </w:t>
      </w:r>
      <w:r w:rsidR="00AC2A4F" w:rsidRPr="00C13E80">
        <w:rPr>
          <w:bCs/>
          <w:lang w:eastAsia="en-US"/>
        </w:rPr>
        <w:t xml:space="preserve">a highly effective therapy to prevent death or admission to hospital. </w:t>
      </w:r>
      <w:r w:rsidR="008C0C8D" w:rsidRPr="00C13E80">
        <w:rPr>
          <w:bCs/>
          <w:lang w:eastAsia="en-US"/>
        </w:rPr>
        <w:t>C</w:t>
      </w:r>
      <w:r w:rsidR="00AC2A4F" w:rsidRPr="00C13E80">
        <w:rPr>
          <w:bCs/>
          <w:lang w:eastAsia="en-US"/>
        </w:rPr>
        <w:t xml:space="preserve">oncerns </w:t>
      </w:r>
      <w:r w:rsidR="008C0C8D" w:rsidRPr="00C13E80">
        <w:rPr>
          <w:bCs/>
          <w:lang w:eastAsia="en-US"/>
        </w:rPr>
        <w:t xml:space="preserve">were mentioned in relation to adjusting concomitant therapies, especially for </w:t>
      </w:r>
      <w:r w:rsidR="00AC2A4F" w:rsidRPr="00C13E80">
        <w:rPr>
          <w:bCs/>
          <w:lang w:eastAsia="en-US"/>
        </w:rPr>
        <w:t xml:space="preserve">immunocompromised patients and </w:t>
      </w:r>
      <w:r w:rsidR="008C0C8D" w:rsidRPr="00C13E80">
        <w:rPr>
          <w:bCs/>
          <w:lang w:eastAsia="en-US"/>
        </w:rPr>
        <w:t>that molnupiravir would be used when a prescriber considered other medications could not be adjusted, even for a period of 5 days</w:t>
      </w:r>
      <w:r w:rsidR="00F870EA" w:rsidRPr="00C13E80">
        <w:rPr>
          <w:bCs/>
          <w:lang w:eastAsia="en-US"/>
        </w:rPr>
        <w:t xml:space="preserve">. </w:t>
      </w:r>
      <w:r w:rsidR="008C0C8D" w:rsidRPr="00C13E80">
        <w:rPr>
          <w:bCs/>
          <w:lang w:eastAsia="en-US"/>
        </w:rPr>
        <w:t xml:space="preserve">Feedback mentioned some GPs may be </w:t>
      </w:r>
      <w:r w:rsidR="00AC2A4F" w:rsidRPr="00C13E80">
        <w:rPr>
          <w:bCs/>
          <w:lang w:eastAsia="en-US"/>
        </w:rPr>
        <w:t xml:space="preserve">reluctant to recommend </w:t>
      </w:r>
      <w:r w:rsidR="008C0C8D" w:rsidRPr="00C13E80">
        <w:rPr>
          <w:bCs/>
          <w:lang w:eastAsia="en-US"/>
        </w:rPr>
        <w:t>changes to medicines prescribed in</w:t>
      </w:r>
      <w:r w:rsidR="00AC2A4F" w:rsidRPr="00C13E80">
        <w:rPr>
          <w:bCs/>
          <w:lang w:eastAsia="en-US"/>
        </w:rPr>
        <w:t xml:space="preserve"> tertiary settings. Several inputs referred to emerging data on use in practice and provided links to recent publications</w:t>
      </w:r>
      <w:r w:rsidR="00F870EA" w:rsidRPr="00C13E80">
        <w:rPr>
          <w:bCs/>
          <w:lang w:eastAsia="en-US"/>
        </w:rPr>
        <w:t xml:space="preserve">. </w:t>
      </w:r>
      <w:r w:rsidR="009F79E9" w:rsidRPr="00C13E80">
        <w:rPr>
          <w:bCs/>
          <w:lang w:eastAsia="en-US"/>
        </w:rPr>
        <w:t xml:space="preserve">It was noted that </w:t>
      </w:r>
      <w:r w:rsidR="009F79E9" w:rsidRPr="00C13E80">
        <w:rPr>
          <w:bCs/>
        </w:rPr>
        <w:t>protecting health system capacity has further benefit on health outcomes and lives saved, beyond the benefit to the individuals treated for COVID-19.</w:t>
      </w:r>
    </w:p>
    <w:p w14:paraId="45188CB2" w14:textId="2A0AC8D3" w:rsidR="00061AE5" w:rsidRPr="00C13E80" w:rsidRDefault="009B1419" w:rsidP="00BA5EC3">
      <w:pPr>
        <w:pStyle w:val="3-BodyText"/>
        <w:widowControl w:val="0"/>
        <w:numPr>
          <w:ilvl w:val="1"/>
          <w:numId w:val="16"/>
        </w:numPr>
        <w:rPr>
          <w:bCs/>
        </w:rPr>
      </w:pPr>
      <w:bookmarkStart w:id="41" w:name="_Hlk97141415"/>
      <w:r w:rsidRPr="00C13E80">
        <w:t xml:space="preserve">The input from the Kirby Institute, </w:t>
      </w:r>
      <w:r w:rsidR="00061AE5" w:rsidRPr="00C13E80">
        <w:rPr>
          <w:bCs/>
        </w:rPr>
        <w:t xml:space="preserve">University of New South Wales (UNSW) stated that the benefit of </w:t>
      </w:r>
      <w:r w:rsidR="008C6C0D" w:rsidRPr="00C13E80">
        <w:rPr>
          <w:bCs/>
        </w:rPr>
        <w:t>nirmatrelvir and ritonavir</w:t>
      </w:r>
      <w:r w:rsidR="00061AE5" w:rsidRPr="00C13E80">
        <w:rPr>
          <w:bCs/>
        </w:rPr>
        <w:t xml:space="preserve"> was greater than molnupiravir, but both will have a substantial population health impact if accessible widely,</w:t>
      </w:r>
      <w:r w:rsidR="00061AE5" w:rsidRPr="00C13E80">
        <w:rPr>
          <w:rFonts w:ascii="Calibri" w:eastAsia="Calibri" w:hAnsi="Calibri" w:cs="Calibri"/>
          <w:bCs/>
        </w:rPr>
        <w:t xml:space="preserve"> </w:t>
      </w:r>
      <w:r w:rsidR="00061AE5" w:rsidRPr="00C13E80">
        <w:rPr>
          <w:bCs/>
        </w:rPr>
        <w:t>including to younger people. The economic benefits of treating younger people include shorter time to recovery and viral</w:t>
      </w:r>
      <w:r w:rsidR="00061AE5" w:rsidRPr="00C13E80">
        <w:rPr>
          <w:rFonts w:ascii="Calibri" w:eastAsia="Calibri" w:hAnsi="Calibri" w:cs="Calibri"/>
          <w:bCs/>
        </w:rPr>
        <w:t xml:space="preserve"> </w:t>
      </w:r>
      <w:r w:rsidR="00061AE5" w:rsidRPr="00C13E80">
        <w:rPr>
          <w:bCs/>
        </w:rPr>
        <w:t>clearance, meaning earlier return to work and reduced infectiousness. A substantial proportion of high risk people have contraindications to</w:t>
      </w:r>
      <w:r w:rsidR="00061AE5" w:rsidRPr="00C13E80">
        <w:rPr>
          <w:rFonts w:ascii="Calibri" w:eastAsia="Calibri" w:hAnsi="Calibri" w:cs="Calibri"/>
          <w:bCs/>
        </w:rPr>
        <w:t xml:space="preserve"> </w:t>
      </w:r>
      <w:r w:rsidR="008C6C0D" w:rsidRPr="00C13E80">
        <w:rPr>
          <w:bCs/>
        </w:rPr>
        <w:t>nirmatrelvir and ritonavir</w:t>
      </w:r>
      <w:r w:rsidR="00061AE5" w:rsidRPr="00C13E80">
        <w:rPr>
          <w:bCs/>
        </w:rPr>
        <w:t>, and molnupiravir can be used as an alternative in such people.</w:t>
      </w:r>
    </w:p>
    <w:p w14:paraId="00286353" w14:textId="0E94A98E" w:rsidR="007F06A8" w:rsidRPr="00C13E80" w:rsidRDefault="00061AE5" w:rsidP="00BA5EC3">
      <w:pPr>
        <w:pStyle w:val="3-BodyText"/>
        <w:numPr>
          <w:ilvl w:val="1"/>
          <w:numId w:val="16"/>
        </w:numPr>
        <w:rPr>
          <w:bCs/>
        </w:rPr>
      </w:pPr>
      <w:r w:rsidRPr="00C13E80">
        <w:rPr>
          <w:bCs/>
        </w:rPr>
        <w:t>The Lung Foundation Australia (LFA) described the health, financial and social cost of COVID-19 in Australia</w:t>
      </w:r>
      <w:r w:rsidR="00F870EA" w:rsidRPr="00C13E80">
        <w:rPr>
          <w:bCs/>
        </w:rPr>
        <w:t xml:space="preserve">. </w:t>
      </w:r>
      <w:r w:rsidR="007F06A8" w:rsidRPr="00C13E80">
        <w:rPr>
          <w:bCs/>
        </w:rPr>
        <w:t>The input noted that molnupiravir is recommended for treatment of COVID</w:t>
      </w:r>
      <w:r w:rsidR="007F06A8" w:rsidRPr="00C13E80">
        <w:rPr>
          <w:rFonts w:ascii="Calibri" w:eastAsia="Calibri" w:hAnsi="Calibri" w:cs="Calibri"/>
          <w:bCs/>
        </w:rPr>
        <w:t>-</w:t>
      </w:r>
      <w:r w:rsidR="007F06A8" w:rsidRPr="00C13E80">
        <w:rPr>
          <w:bCs/>
        </w:rPr>
        <w:t xml:space="preserve">19 when nirmatrelvir and ritonavir is unsuitable. The input outlined benefits of molnupiravir including that it can be taken at home, it allows patients to reduce their time of being unwell; reduce need for </w:t>
      </w:r>
      <w:r w:rsidR="00AC2A4F" w:rsidRPr="00C13E80">
        <w:rPr>
          <w:bCs/>
        </w:rPr>
        <w:t>hospitalisation</w:t>
      </w:r>
      <w:r w:rsidR="007F06A8" w:rsidRPr="00C13E80">
        <w:rPr>
          <w:bCs/>
        </w:rPr>
        <w:t>, no identified drug interactions allowing the patient to continue their other treatment options to maintain their health and wellbeing.</w:t>
      </w:r>
    </w:p>
    <w:p w14:paraId="76185811" w14:textId="6F33225C" w:rsidR="00A02980" w:rsidRPr="00C13E80" w:rsidRDefault="00491ED6" w:rsidP="00BA5EC3">
      <w:pPr>
        <w:pStyle w:val="3-BodyText"/>
        <w:numPr>
          <w:ilvl w:val="1"/>
          <w:numId w:val="16"/>
        </w:numPr>
        <w:rPr>
          <w:bCs/>
        </w:rPr>
      </w:pPr>
      <w:r w:rsidRPr="00C13E80">
        <w:rPr>
          <w:bCs/>
        </w:rPr>
        <w:t xml:space="preserve">The </w:t>
      </w:r>
      <w:r w:rsidR="00061AE5" w:rsidRPr="00C13E80">
        <w:rPr>
          <w:bCs/>
        </w:rPr>
        <w:t>Immunisation Coalition</w:t>
      </w:r>
      <w:r w:rsidRPr="00C13E80">
        <w:rPr>
          <w:bCs/>
        </w:rPr>
        <w:t xml:space="preserve"> </w:t>
      </w:r>
      <w:r w:rsidR="00DC375E" w:rsidRPr="00C13E80">
        <w:rPr>
          <w:bCs/>
        </w:rPr>
        <w:t xml:space="preserve">described molnupiravir as an important second line </w:t>
      </w:r>
      <w:r w:rsidR="00F870EA" w:rsidRPr="00C13E80">
        <w:rPr>
          <w:bCs/>
        </w:rPr>
        <w:t>treatment and</w:t>
      </w:r>
      <w:r w:rsidR="005D1965" w:rsidRPr="00C13E80">
        <w:rPr>
          <w:bCs/>
        </w:rPr>
        <w:t xml:space="preserve"> noted there is a relatively large proportion of older at risk people who cannot take first line treatment for COVID-19 because of drug interactions</w:t>
      </w:r>
      <w:r w:rsidR="00F870EA" w:rsidRPr="00C13E80">
        <w:rPr>
          <w:bCs/>
        </w:rPr>
        <w:t xml:space="preserve">. </w:t>
      </w:r>
      <w:r w:rsidR="005D1965" w:rsidRPr="00C13E80">
        <w:rPr>
          <w:bCs/>
        </w:rPr>
        <w:t xml:space="preserve">The input cited medical literature supporting the role of molnupiravir including </w:t>
      </w:r>
      <w:r w:rsidR="00DC375E" w:rsidRPr="00C13E80">
        <w:rPr>
          <w:bCs/>
        </w:rPr>
        <w:t xml:space="preserve">the cohort </w:t>
      </w:r>
      <w:r w:rsidR="00DC375E" w:rsidRPr="00C13E80">
        <w:rPr>
          <w:bCs/>
        </w:rPr>
        <w:lastRenderedPageBreak/>
        <w:t>stud</w:t>
      </w:r>
      <w:r w:rsidR="00A02980" w:rsidRPr="00C13E80">
        <w:rPr>
          <w:bCs/>
        </w:rPr>
        <w:t>ies</w:t>
      </w:r>
      <w:r w:rsidR="00DC375E" w:rsidRPr="00C13E80">
        <w:rPr>
          <w:bCs/>
        </w:rPr>
        <w:t xml:space="preserve"> </w:t>
      </w:r>
      <w:r w:rsidR="00426752" w:rsidRPr="00C13E80">
        <w:rPr>
          <w:bCs/>
        </w:rPr>
        <w:t xml:space="preserve">examining molnupiravir and risk of post-acute sequelae of COVID-19, such as </w:t>
      </w:r>
      <w:r w:rsidR="00DC375E" w:rsidRPr="00C13E80">
        <w:rPr>
          <w:bCs/>
        </w:rPr>
        <w:t>published by Xie et al (2023)</w:t>
      </w:r>
      <w:r w:rsidR="00A02980" w:rsidRPr="00C13E80">
        <w:rPr>
          <w:rStyle w:val="FootnoteReference"/>
          <w:bCs/>
        </w:rPr>
        <w:footnoteReference w:id="10"/>
      </w:r>
      <w:r w:rsidR="00DC375E" w:rsidRPr="00C13E80">
        <w:rPr>
          <w:bCs/>
        </w:rPr>
        <w:t xml:space="preserve"> </w:t>
      </w:r>
      <w:r w:rsidR="00A02980" w:rsidRPr="00C13E80">
        <w:rPr>
          <w:bCs/>
        </w:rPr>
        <w:t>and Hsu et al. (2023)</w:t>
      </w:r>
      <w:r w:rsidR="00A02980" w:rsidRPr="00C13E80">
        <w:rPr>
          <w:rStyle w:val="FootnoteReference"/>
          <w:bCs/>
        </w:rPr>
        <w:footnoteReference w:id="11"/>
      </w:r>
      <w:r w:rsidR="00426752" w:rsidRPr="00C13E80">
        <w:rPr>
          <w:bCs/>
        </w:rPr>
        <w:t xml:space="preserve"> .</w:t>
      </w:r>
    </w:p>
    <w:bookmarkEnd w:id="37"/>
    <w:bookmarkEnd w:id="40"/>
    <w:bookmarkEnd w:id="41"/>
    <w:p w14:paraId="609C0765" w14:textId="366D7D54" w:rsidR="00B60939" w:rsidRPr="00C13E80" w:rsidRDefault="00B60939" w:rsidP="002E4F02">
      <w:pPr>
        <w:pStyle w:val="4-SubsectionHeading"/>
      </w:pPr>
      <w:r w:rsidRPr="00C13E80">
        <w:t>Clinical</w:t>
      </w:r>
      <w:bookmarkEnd w:id="36"/>
      <w:r w:rsidR="00F46A04" w:rsidRPr="00C13E80">
        <w:t xml:space="preserve"> studies</w:t>
      </w:r>
      <w:bookmarkEnd w:id="38"/>
    </w:p>
    <w:p w14:paraId="3E14A0EF" w14:textId="77777777" w:rsidR="00C30E21" w:rsidRPr="00C13E80" w:rsidRDefault="00A73134" w:rsidP="005C508C">
      <w:pPr>
        <w:pStyle w:val="3-BodyText"/>
        <w:rPr>
          <w:color w:val="000000" w:themeColor="text1"/>
        </w:rPr>
      </w:pPr>
      <w:r w:rsidRPr="00C13E80">
        <w:rPr>
          <w:snapToGrid/>
        </w:rPr>
        <w:t xml:space="preserve">The submission </w:t>
      </w:r>
      <w:r w:rsidR="00D5243B" w:rsidRPr="00C13E80">
        <w:rPr>
          <w:snapToGrid/>
        </w:rPr>
        <w:t>wa</w:t>
      </w:r>
      <w:r w:rsidRPr="00C13E80">
        <w:rPr>
          <w:snapToGrid/>
        </w:rPr>
        <w:t xml:space="preserve">s based on </w:t>
      </w:r>
      <w:r w:rsidR="00844BB6" w:rsidRPr="00C13E80">
        <w:rPr>
          <w:snapToGrid/>
        </w:rPr>
        <w:t>evidence from</w:t>
      </w:r>
      <w:r w:rsidR="00C30E21" w:rsidRPr="00C13E80">
        <w:rPr>
          <w:snapToGrid/>
        </w:rPr>
        <w:t>:</w:t>
      </w:r>
    </w:p>
    <w:p w14:paraId="13681A3B" w14:textId="177B7730" w:rsidR="00C30E21" w:rsidRPr="00C13E80" w:rsidRDefault="00B258DA" w:rsidP="005C508C">
      <w:pPr>
        <w:pStyle w:val="ListParagraph"/>
        <w:ind w:left="1080"/>
        <w:rPr>
          <w:color w:val="000000" w:themeColor="text1"/>
        </w:rPr>
      </w:pPr>
      <w:r w:rsidRPr="00C13E80">
        <w:rPr>
          <w:snapToGrid/>
        </w:rPr>
        <w:t xml:space="preserve">two randomised, controlled trials </w:t>
      </w:r>
      <w:r w:rsidR="00BD20CA" w:rsidRPr="00C13E80">
        <w:rPr>
          <w:snapToGrid/>
        </w:rPr>
        <w:t xml:space="preserve">(RCTs) </w:t>
      </w:r>
      <w:r w:rsidR="00C04DA2" w:rsidRPr="00C13E80">
        <w:rPr>
          <w:snapToGrid/>
        </w:rPr>
        <w:t xml:space="preserve">directly comparing </w:t>
      </w:r>
      <w:r w:rsidR="00D45F87" w:rsidRPr="00C13E80">
        <w:rPr>
          <w:snapToGrid/>
        </w:rPr>
        <w:t>molnupiravir to usual care</w:t>
      </w:r>
      <w:r w:rsidR="003F3115" w:rsidRPr="00C13E80">
        <w:rPr>
          <w:snapToGrid/>
        </w:rPr>
        <w:t>;</w:t>
      </w:r>
    </w:p>
    <w:p w14:paraId="1E5415C3" w14:textId="65F09EB9" w:rsidR="00C30E21" w:rsidRPr="00C13E80" w:rsidRDefault="00CE22E5" w:rsidP="005C508C">
      <w:pPr>
        <w:pStyle w:val="ListParagraph"/>
        <w:ind w:left="1080"/>
        <w:rPr>
          <w:color w:val="000000" w:themeColor="text1"/>
        </w:rPr>
      </w:pPr>
      <w:r w:rsidRPr="00C13E80">
        <w:rPr>
          <w:snapToGrid/>
        </w:rPr>
        <w:t>eight</w:t>
      </w:r>
      <w:r w:rsidR="00EA207D" w:rsidRPr="00C13E80">
        <w:rPr>
          <w:snapToGrid/>
        </w:rPr>
        <w:t xml:space="preserve"> </w:t>
      </w:r>
      <w:r w:rsidR="00FC42AC" w:rsidRPr="00C13E80">
        <w:rPr>
          <w:snapToGrid/>
        </w:rPr>
        <w:t xml:space="preserve">retrospective cohort </w:t>
      </w:r>
      <w:r w:rsidR="001A6266" w:rsidRPr="00C13E80">
        <w:rPr>
          <w:snapToGrid/>
        </w:rPr>
        <w:t>studies</w:t>
      </w:r>
      <w:r w:rsidR="00DF672C" w:rsidRPr="00C13E80">
        <w:rPr>
          <w:snapToGrid/>
        </w:rPr>
        <w:t xml:space="preserve"> assessing the </w:t>
      </w:r>
      <w:r w:rsidR="00D70717" w:rsidRPr="00C13E80">
        <w:rPr>
          <w:snapToGrid/>
        </w:rPr>
        <w:t xml:space="preserve">comparative </w:t>
      </w:r>
      <w:r w:rsidR="00DF672C" w:rsidRPr="00C13E80">
        <w:rPr>
          <w:snapToGrid/>
        </w:rPr>
        <w:t xml:space="preserve">effectiveness of </w:t>
      </w:r>
      <w:r w:rsidR="00DF672C" w:rsidRPr="00C13E80">
        <w:rPr>
          <w:snapToGrid/>
          <w:color w:val="000000" w:themeColor="text1"/>
        </w:rPr>
        <w:t xml:space="preserve">molnupiravir and/or nirmatrelvir and ritonavir </w:t>
      </w:r>
      <w:r w:rsidR="009361B5" w:rsidRPr="00C13E80">
        <w:rPr>
          <w:snapToGrid/>
          <w:color w:val="000000" w:themeColor="text1"/>
        </w:rPr>
        <w:t xml:space="preserve">to usual care (or to each other) </w:t>
      </w:r>
      <w:r w:rsidR="00DF672C" w:rsidRPr="00C13E80">
        <w:rPr>
          <w:snapToGrid/>
          <w:color w:val="000000" w:themeColor="text1"/>
        </w:rPr>
        <w:t>in patients with COVID</w:t>
      </w:r>
      <w:r w:rsidR="00B26D92" w:rsidRPr="00C13E80">
        <w:rPr>
          <w:snapToGrid/>
          <w:color w:val="000000" w:themeColor="text1"/>
        </w:rPr>
        <w:noBreakHyphen/>
        <w:t>19</w:t>
      </w:r>
      <w:r w:rsidR="003F3115" w:rsidRPr="00C13E80">
        <w:rPr>
          <w:snapToGrid/>
          <w:color w:val="000000" w:themeColor="text1"/>
        </w:rPr>
        <w:t>; and</w:t>
      </w:r>
    </w:p>
    <w:p w14:paraId="17DE34DC" w14:textId="22544F85" w:rsidR="007F1017" w:rsidRPr="00C13E80" w:rsidRDefault="00C30E21" w:rsidP="005C508C">
      <w:pPr>
        <w:pStyle w:val="ListParagraph"/>
        <w:ind w:left="1080"/>
        <w:rPr>
          <w:color w:val="000000" w:themeColor="text1"/>
        </w:rPr>
      </w:pPr>
      <w:r w:rsidRPr="00C13E80">
        <w:rPr>
          <w:snapToGrid/>
        </w:rPr>
        <w:t xml:space="preserve">one </w:t>
      </w:r>
      <w:r w:rsidR="009A3DB8" w:rsidRPr="00C13E80">
        <w:rPr>
          <w:snapToGrid/>
          <w:color w:val="000000" w:themeColor="text1"/>
        </w:rPr>
        <w:t>indirect comparison of molnupiravir versus nirmatrelvir and ritonavir</w:t>
      </w:r>
      <w:r w:rsidR="00A306AD" w:rsidRPr="00C13E80">
        <w:rPr>
          <w:snapToGrid/>
          <w:color w:val="000000" w:themeColor="text1"/>
        </w:rPr>
        <w:t xml:space="preserve"> based on the sponsor-conducted </w:t>
      </w:r>
      <w:r w:rsidR="00BD20CA" w:rsidRPr="00C13E80">
        <w:rPr>
          <w:snapToGrid/>
          <w:color w:val="000000" w:themeColor="text1"/>
        </w:rPr>
        <w:t>RCTs conducted in</w:t>
      </w:r>
      <w:r w:rsidR="005C4E95" w:rsidRPr="00C13E80">
        <w:rPr>
          <w:snapToGrid/>
          <w:color w:val="000000" w:themeColor="text1"/>
        </w:rPr>
        <w:t xml:space="preserve"> non-hospitali</w:t>
      </w:r>
      <w:r w:rsidRPr="00C13E80">
        <w:rPr>
          <w:snapToGrid/>
          <w:color w:val="000000" w:themeColor="text1"/>
        </w:rPr>
        <w:t>s</w:t>
      </w:r>
      <w:r w:rsidR="005C4E95" w:rsidRPr="00C13E80">
        <w:rPr>
          <w:snapToGrid/>
          <w:color w:val="000000" w:themeColor="text1"/>
        </w:rPr>
        <w:t>ed patients with COVID-19</w:t>
      </w:r>
      <w:r w:rsidR="003F3115" w:rsidRPr="00C13E80">
        <w:rPr>
          <w:snapToGrid/>
          <w:color w:val="000000" w:themeColor="text1"/>
        </w:rPr>
        <w:t>.</w:t>
      </w:r>
    </w:p>
    <w:p w14:paraId="0F11541A" w14:textId="38FFCEC9" w:rsidR="000F408A" w:rsidRPr="00C13E80" w:rsidRDefault="005A78C4" w:rsidP="00B46FE9">
      <w:pPr>
        <w:pStyle w:val="3-BodyText"/>
        <w:rPr>
          <w:color w:val="000000" w:themeColor="text1"/>
        </w:rPr>
      </w:pPr>
      <w:r w:rsidRPr="00C13E80">
        <w:rPr>
          <w:snapToGrid/>
          <w:color w:val="000000" w:themeColor="text1"/>
        </w:rPr>
        <w:t xml:space="preserve">One additional RCT </w:t>
      </w:r>
      <w:r w:rsidR="00025502" w:rsidRPr="00C13E80">
        <w:rPr>
          <w:snapToGrid/>
          <w:color w:val="000000" w:themeColor="text1"/>
        </w:rPr>
        <w:t>(EPIC-HR</w:t>
      </w:r>
      <w:r w:rsidR="00B03EB8" w:rsidRPr="00C13E80">
        <w:rPr>
          <w:snapToGrid/>
          <w:color w:val="000000" w:themeColor="text1"/>
        </w:rPr>
        <w:t xml:space="preserve"> reported by Hammond 2022</w:t>
      </w:r>
      <w:r w:rsidR="00025502" w:rsidRPr="00C13E80">
        <w:rPr>
          <w:snapToGrid/>
          <w:color w:val="000000" w:themeColor="text1"/>
        </w:rPr>
        <w:t xml:space="preserve">) </w:t>
      </w:r>
      <w:r w:rsidRPr="00C13E80">
        <w:rPr>
          <w:snapToGrid/>
          <w:color w:val="000000" w:themeColor="text1"/>
        </w:rPr>
        <w:t>inves</w:t>
      </w:r>
      <w:r w:rsidR="00362EAC" w:rsidRPr="00C13E80">
        <w:rPr>
          <w:snapToGrid/>
          <w:color w:val="000000" w:themeColor="text1"/>
        </w:rPr>
        <w:t xml:space="preserve">tigating the efficacy and safety of nirmatrelvir and ritonavir in patients at high risk of developing severe COVID-19 </w:t>
      </w:r>
      <w:r w:rsidRPr="00C13E80">
        <w:rPr>
          <w:snapToGrid/>
          <w:color w:val="000000" w:themeColor="text1"/>
        </w:rPr>
        <w:t>and one</w:t>
      </w:r>
      <w:r w:rsidR="00C87D13" w:rsidRPr="00C13E80">
        <w:rPr>
          <w:snapToGrid/>
          <w:color w:val="000000" w:themeColor="text1"/>
        </w:rPr>
        <w:t xml:space="preserve"> additional </w:t>
      </w:r>
      <w:r w:rsidR="00D23275" w:rsidRPr="00C13E80">
        <w:rPr>
          <w:snapToGrid/>
          <w:color w:val="000000" w:themeColor="text1"/>
        </w:rPr>
        <w:t xml:space="preserve">potentially relevant </w:t>
      </w:r>
      <w:r w:rsidR="00FC42AC" w:rsidRPr="00C13E80">
        <w:rPr>
          <w:snapToGrid/>
          <w:color w:val="000000" w:themeColor="text1"/>
        </w:rPr>
        <w:t xml:space="preserve">retrospective cohort </w:t>
      </w:r>
      <w:r w:rsidR="00D23275" w:rsidRPr="00C13E80">
        <w:rPr>
          <w:snapToGrid/>
          <w:color w:val="000000" w:themeColor="text1"/>
        </w:rPr>
        <w:t>stud</w:t>
      </w:r>
      <w:r w:rsidR="0037546C" w:rsidRPr="00C13E80">
        <w:rPr>
          <w:snapToGrid/>
          <w:color w:val="000000" w:themeColor="text1"/>
        </w:rPr>
        <w:t>y (Wai</w:t>
      </w:r>
      <w:r w:rsidR="005C508C">
        <w:rPr>
          <w:snapToGrid/>
          <w:color w:val="000000" w:themeColor="text1"/>
        </w:rPr>
        <w:t> </w:t>
      </w:r>
      <w:r w:rsidR="0037546C" w:rsidRPr="00C13E80">
        <w:rPr>
          <w:snapToGrid/>
          <w:color w:val="000000" w:themeColor="text1"/>
        </w:rPr>
        <w:t>2022)</w:t>
      </w:r>
      <w:r w:rsidR="00D23275" w:rsidRPr="00C13E80">
        <w:rPr>
          <w:snapToGrid/>
          <w:color w:val="000000" w:themeColor="text1"/>
        </w:rPr>
        <w:t xml:space="preserve"> w</w:t>
      </w:r>
      <w:r w:rsidR="00025502" w:rsidRPr="00C13E80">
        <w:rPr>
          <w:snapToGrid/>
          <w:color w:val="000000" w:themeColor="text1"/>
        </w:rPr>
        <w:t>ere</w:t>
      </w:r>
      <w:r w:rsidR="00D23275" w:rsidRPr="00C13E80">
        <w:rPr>
          <w:snapToGrid/>
          <w:color w:val="000000" w:themeColor="text1"/>
        </w:rPr>
        <w:t xml:space="preserve"> </w:t>
      </w:r>
      <w:r w:rsidR="00E15FE1" w:rsidRPr="00C13E80">
        <w:rPr>
          <w:snapToGrid/>
          <w:color w:val="000000" w:themeColor="text1"/>
        </w:rPr>
        <w:t>retrieved</w:t>
      </w:r>
      <w:r w:rsidR="00D23275" w:rsidRPr="00C13E80">
        <w:rPr>
          <w:snapToGrid/>
          <w:color w:val="000000" w:themeColor="text1"/>
        </w:rPr>
        <w:t xml:space="preserve"> during the evaluation</w:t>
      </w:r>
      <w:r w:rsidR="00E864E0" w:rsidRPr="00C13E80">
        <w:rPr>
          <w:snapToGrid/>
          <w:color w:val="000000" w:themeColor="text1"/>
        </w:rPr>
        <w:t xml:space="preserve"> of the submission</w:t>
      </w:r>
      <w:r w:rsidR="000F408A" w:rsidRPr="00C13E80">
        <w:rPr>
          <w:snapToGrid/>
          <w:color w:val="000000" w:themeColor="text1"/>
        </w:rPr>
        <w:t>.</w:t>
      </w:r>
    </w:p>
    <w:p w14:paraId="2B59ABAC" w14:textId="3524E4FA" w:rsidR="00862502" w:rsidRPr="00C13E80" w:rsidRDefault="00A73134" w:rsidP="00B46FE9">
      <w:pPr>
        <w:pStyle w:val="3-BodyText"/>
        <w:rPr>
          <w:color w:val="000000" w:themeColor="text1"/>
        </w:rPr>
      </w:pPr>
      <w:r w:rsidRPr="00C13E80">
        <w:rPr>
          <w:snapToGrid/>
          <w:color w:val="000000" w:themeColor="text1"/>
        </w:rPr>
        <w:t xml:space="preserve">Details of the </w:t>
      </w:r>
      <w:r w:rsidR="0037438C" w:rsidRPr="00C13E80">
        <w:rPr>
          <w:snapToGrid/>
          <w:color w:val="000000" w:themeColor="text1"/>
        </w:rPr>
        <w:t>studies</w:t>
      </w:r>
      <w:r w:rsidRPr="00C13E80">
        <w:rPr>
          <w:snapToGrid/>
          <w:color w:val="000000" w:themeColor="text1"/>
        </w:rPr>
        <w:t xml:space="preserve"> presented in the submission </w:t>
      </w:r>
      <w:r w:rsidR="00072F52" w:rsidRPr="00C13E80">
        <w:rPr>
          <w:snapToGrid/>
          <w:color w:val="000000" w:themeColor="text1"/>
        </w:rPr>
        <w:t>and the additional stud</w:t>
      </w:r>
      <w:r w:rsidR="00025502" w:rsidRPr="00C13E80">
        <w:rPr>
          <w:snapToGrid/>
          <w:color w:val="000000" w:themeColor="text1"/>
        </w:rPr>
        <w:t>ies</w:t>
      </w:r>
      <w:r w:rsidR="00072F52" w:rsidRPr="00C13E80">
        <w:rPr>
          <w:snapToGrid/>
          <w:color w:val="000000" w:themeColor="text1"/>
        </w:rPr>
        <w:t xml:space="preserve"> located during the evaluation </w:t>
      </w:r>
      <w:r w:rsidRPr="00C13E80">
        <w:rPr>
          <w:snapToGrid/>
          <w:color w:val="000000" w:themeColor="text1"/>
        </w:rPr>
        <w:t xml:space="preserve">are provided in </w:t>
      </w:r>
      <w:r w:rsidR="00696EF9" w:rsidRPr="00C13E80">
        <w:rPr>
          <w:snapToGrid/>
          <w:color w:val="000000" w:themeColor="text1"/>
        </w:rPr>
        <w:fldChar w:fldCharType="begin" w:fldLock="1"/>
      </w:r>
      <w:r w:rsidR="00696EF9" w:rsidRPr="00C13E80">
        <w:rPr>
          <w:snapToGrid/>
          <w:color w:val="000000" w:themeColor="text1"/>
        </w:rPr>
        <w:instrText xml:space="preserve"> REF _Ref104803956 \h </w:instrText>
      </w:r>
      <w:r w:rsidR="00696EF9" w:rsidRPr="00C13E80">
        <w:rPr>
          <w:snapToGrid/>
          <w:color w:val="000000" w:themeColor="text1"/>
        </w:rPr>
      </w:r>
      <w:r w:rsidR="00696EF9" w:rsidRPr="00C13E80">
        <w:rPr>
          <w:snapToGrid/>
          <w:color w:val="000000" w:themeColor="text1"/>
        </w:rPr>
        <w:fldChar w:fldCharType="separate"/>
      </w:r>
      <w:r w:rsidR="00701DEF" w:rsidRPr="00C13E80">
        <w:rPr>
          <w:color w:val="000000" w:themeColor="text1"/>
        </w:rPr>
        <w:t xml:space="preserve">Table </w:t>
      </w:r>
      <w:r w:rsidR="00701DEF">
        <w:rPr>
          <w:noProof/>
          <w:color w:val="000000" w:themeColor="text1"/>
        </w:rPr>
        <w:t>5</w:t>
      </w:r>
      <w:r w:rsidR="00696EF9" w:rsidRPr="00C13E80">
        <w:rPr>
          <w:snapToGrid/>
          <w:color w:val="000000" w:themeColor="text1"/>
        </w:rPr>
        <w:fldChar w:fldCharType="end"/>
      </w:r>
      <w:r w:rsidRPr="00C13E80">
        <w:rPr>
          <w:snapToGrid/>
          <w:color w:val="000000" w:themeColor="text1"/>
        </w:rPr>
        <w:t>.</w:t>
      </w:r>
    </w:p>
    <w:p w14:paraId="7DE3A286" w14:textId="02D6E086" w:rsidR="008E0D3C" w:rsidRPr="00C13E80" w:rsidRDefault="00696EF9" w:rsidP="002E4F02">
      <w:pPr>
        <w:pStyle w:val="TableFigureHeading"/>
        <w:rPr>
          <w:rStyle w:val="CommentReference"/>
          <w:b/>
          <w:szCs w:val="24"/>
        </w:rPr>
      </w:pPr>
      <w:bookmarkStart w:id="42" w:name="_Ref104803956"/>
      <w:r w:rsidRPr="00C13E80">
        <w:rPr>
          <w:color w:val="000000" w:themeColor="text1"/>
        </w:rPr>
        <w:t xml:space="preserve">Table </w:t>
      </w:r>
      <w:r w:rsidR="00A906D7" w:rsidRPr="00C13E80">
        <w:rPr>
          <w:color w:val="000000" w:themeColor="text1"/>
        </w:rPr>
        <w:fldChar w:fldCharType="begin" w:fldLock="1"/>
      </w:r>
      <w:r w:rsidR="00A906D7" w:rsidRPr="00C13E80">
        <w:rPr>
          <w:color w:val="000000" w:themeColor="text1"/>
        </w:rPr>
        <w:instrText xml:space="preserve"> SEQ Table \* ARABIC </w:instrText>
      </w:r>
      <w:r w:rsidR="00A906D7" w:rsidRPr="00C13E80">
        <w:rPr>
          <w:color w:val="000000" w:themeColor="text1"/>
        </w:rPr>
        <w:fldChar w:fldCharType="separate"/>
      </w:r>
      <w:r w:rsidR="00701DEF">
        <w:rPr>
          <w:noProof/>
          <w:color w:val="000000" w:themeColor="text1"/>
        </w:rPr>
        <w:t>5</w:t>
      </w:r>
      <w:r w:rsidR="00A906D7" w:rsidRPr="00C13E80">
        <w:rPr>
          <w:color w:val="000000" w:themeColor="text1"/>
        </w:rPr>
        <w:fldChar w:fldCharType="end"/>
      </w:r>
      <w:bookmarkEnd w:id="42"/>
      <w:r w:rsidRPr="00C13E80">
        <w:rPr>
          <w:color w:val="000000" w:themeColor="text1"/>
        </w:rPr>
        <w:t>:</w:t>
      </w:r>
      <w:r w:rsidR="00BC591F" w:rsidRPr="00C13E80">
        <w:rPr>
          <w:rStyle w:val="CommentReference"/>
          <w:b/>
          <w:color w:val="000000" w:themeColor="text1"/>
          <w:szCs w:val="24"/>
        </w:rPr>
        <w:t xml:space="preserve"> </w:t>
      </w:r>
      <w:r w:rsidR="00BD5E93" w:rsidRPr="00C13E80">
        <w:rPr>
          <w:rStyle w:val="CommentReference"/>
          <w:b/>
          <w:color w:val="000000" w:themeColor="text1"/>
          <w:szCs w:val="24"/>
        </w:rPr>
        <w:t>Studies</w:t>
      </w:r>
      <w:r w:rsidR="008E0D3C" w:rsidRPr="00C13E80">
        <w:rPr>
          <w:rStyle w:val="CommentReference"/>
          <w:b/>
          <w:color w:val="000000" w:themeColor="text1"/>
          <w:szCs w:val="24"/>
        </w:rPr>
        <w:t xml:space="preserve"> </w:t>
      </w:r>
      <w:r w:rsidR="008E0D3C" w:rsidRPr="00C13E80">
        <w:rPr>
          <w:rStyle w:val="CommentReference"/>
          <w:b/>
          <w:szCs w:val="24"/>
        </w:rPr>
        <w:t>and associated reports presented in the submission</w:t>
      </w:r>
      <w:r w:rsidR="00E0127F" w:rsidRPr="00C13E80">
        <w:rPr>
          <w:rStyle w:val="CommentReference"/>
          <w:b/>
          <w:szCs w:val="24"/>
        </w:rPr>
        <w:t xml:space="preserve"> and assessed </w:t>
      </w:r>
      <w:r w:rsidR="00AB73BA" w:rsidRPr="00C13E80">
        <w:rPr>
          <w:rStyle w:val="CommentReference"/>
          <w:b/>
          <w:szCs w:val="24"/>
        </w:rPr>
        <w:t>in the Commentary</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50"/>
        <w:gridCol w:w="4687"/>
        <w:gridCol w:w="3330"/>
      </w:tblGrid>
      <w:tr w:rsidR="001D6F4F" w:rsidRPr="006104A6" w14:paraId="6ACD35C4" w14:textId="77777777" w:rsidTr="006104A6">
        <w:trPr>
          <w:cantSplit/>
          <w:tblHeader/>
        </w:trPr>
        <w:tc>
          <w:tcPr>
            <w:tcW w:w="579" w:type="pct"/>
            <w:shd w:val="clear" w:color="auto" w:fill="D9D9D9" w:themeFill="background1" w:themeFillShade="D9"/>
            <w:vAlign w:val="center"/>
          </w:tcPr>
          <w:p w14:paraId="20DEEB23" w14:textId="540DF212" w:rsidR="008E0D3C" w:rsidRPr="006104A6" w:rsidRDefault="00430389" w:rsidP="00F70311">
            <w:pPr>
              <w:pStyle w:val="In-tableHeading"/>
              <w:keepLines/>
              <w:rPr>
                <w:szCs w:val="20"/>
                <w:lang w:val="en-AU"/>
              </w:rPr>
            </w:pPr>
            <w:r w:rsidRPr="006104A6">
              <w:rPr>
                <w:szCs w:val="20"/>
                <w:lang w:val="en-AU"/>
              </w:rPr>
              <w:t>Study</w:t>
            </w:r>
            <w:r w:rsidR="008E0D3C" w:rsidRPr="006104A6">
              <w:rPr>
                <w:szCs w:val="20"/>
                <w:lang w:val="en-AU"/>
              </w:rPr>
              <w:t xml:space="preserve"> ID</w:t>
            </w:r>
          </w:p>
        </w:tc>
        <w:tc>
          <w:tcPr>
            <w:tcW w:w="3014" w:type="pct"/>
            <w:shd w:val="clear" w:color="auto" w:fill="D9D9D9" w:themeFill="background1" w:themeFillShade="D9"/>
            <w:vAlign w:val="center"/>
          </w:tcPr>
          <w:p w14:paraId="22EF6C51" w14:textId="41023895" w:rsidR="008E0D3C" w:rsidRPr="006104A6" w:rsidRDefault="00430389" w:rsidP="00F70311">
            <w:pPr>
              <w:pStyle w:val="In-tableHeading"/>
              <w:keepLines/>
              <w:rPr>
                <w:szCs w:val="20"/>
                <w:lang w:val="en-AU"/>
              </w:rPr>
            </w:pPr>
            <w:r w:rsidRPr="006104A6">
              <w:rPr>
                <w:szCs w:val="20"/>
                <w:lang w:val="en-AU"/>
              </w:rPr>
              <w:t>P</w:t>
            </w:r>
            <w:r w:rsidR="008E0D3C" w:rsidRPr="006104A6">
              <w:rPr>
                <w:szCs w:val="20"/>
                <w:lang w:val="en-AU"/>
              </w:rPr>
              <w:t>ublication title</w:t>
            </w:r>
          </w:p>
        </w:tc>
        <w:tc>
          <w:tcPr>
            <w:tcW w:w="1407" w:type="pct"/>
            <w:shd w:val="clear" w:color="auto" w:fill="D9D9D9" w:themeFill="background1" w:themeFillShade="D9"/>
            <w:vAlign w:val="center"/>
          </w:tcPr>
          <w:p w14:paraId="561B27A8" w14:textId="77777777" w:rsidR="008E0D3C" w:rsidRPr="006104A6" w:rsidRDefault="008E0D3C" w:rsidP="00F70311">
            <w:pPr>
              <w:pStyle w:val="In-tableHeading"/>
              <w:keepLines/>
              <w:rPr>
                <w:szCs w:val="20"/>
                <w:lang w:val="en-AU"/>
              </w:rPr>
            </w:pPr>
            <w:r w:rsidRPr="006104A6">
              <w:rPr>
                <w:szCs w:val="20"/>
                <w:lang w:val="en-AU"/>
              </w:rPr>
              <w:t>Publication citation</w:t>
            </w:r>
          </w:p>
        </w:tc>
      </w:tr>
      <w:tr w:rsidR="00CE519E" w:rsidRPr="006104A6" w14:paraId="5DF8FE04" w14:textId="77777777" w:rsidTr="0034421A">
        <w:trPr>
          <w:cantSplit/>
        </w:trPr>
        <w:tc>
          <w:tcPr>
            <w:tcW w:w="5000" w:type="pct"/>
            <w:gridSpan w:val="3"/>
            <w:vAlign w:val="center"/>
          </w:tcPr>
          <w:p w14:paraId="49690BDD" w14:textId="72BAB874" w:rsidR="00CE519E" w:rsidRPr="006104A6" w:rsidRDefault="00CE519E" w:rsidP="00F70311">
            <w:pPr>
              <w:pStyle w:val="In-tableHeading"/>
              <w:keepLines/>
              <w:rPr>
                <w:szCs w:val="20"/>
                <w:lang w:val="en-AU"/>
              </w:rPr>
            </w:pPr>
            <w:r w:rsidRPr="006104A6">
              <w:rPr>
                <w:szCs w:val="20"/>
                <w:lang w:val="en-AU"/>
              </w:rPr>
              <w:t>RCTs</w:t>
            </w:r>
          </w:p>
        </w:tc>
      </w:tr>
      <w:tr w:rsidR="003A2DB2" w:rsidRPr="006104A6" w14:paraId="298351BA" w14:textId="77777777" w:rsidTr="0034421A">
        <w:trPr>
          <w:cantSplit/>
          <w:trHeight w:val="227"/>
        </w:trPr>
        <w:tc>
          <w:tcPr>
            <w:tcW w:w="579" w:type="pct"/>
          </w:tcPr>
          <w:p w14:paraId="5D9482F5" w14:textId="0B3EA286" w:rsidR="003A2DB2" w:rsidRPr="006104A6" w:rsidRDefault="003A2DB2" w:rsidP="00F70311">
            <w:pPr>
              <w:pStyle w:val="TableText0"/>
              <w:keepLines/>
              <w:rPr>
                <w:szCs w:val="20"/>
              </w:rPr>
            </w:pPr>
            <w:r w:rsidRPr="006104A6">
              <w:rPr>
                <w:szCs w:val="20"/>
              </w:rPr>
              <w:t>MOVe-OUT</w:t>
            </w:r>
          </w:p>
        </w:tc>
        <w:tc>
          <w:tcPr>
            <w:tcW w:w="3014" w:type="pct"/>
            <w:vAlign w:val="center"/>
          </w:tcPr>
          <w:p w14:paraId="2570DA6E" w14:textId="46EC0025" w:rsidR="003A2DB2" w:rsidRPr="006104A6" w:rsidRDefault="009C446B" w:rsidP="00F70311">
            <w:pPr>
              <w:pStyle w:val="TableText0"/>
              <w:keepLines/>
              <w:rPr>
                <w:szCs w:val="20"/>
              </w:rPr>
            </w:pPr>
            <w:r w:rsidRPr="006104A6">
              <w:rPr>
                <w:szCs w:val="20"/>
              </w:rPr>
              <w:t>Jayk Bernal A, Gomes da Silva MM, Musungaie DB, et al. Molnupiravir for oral treatment of COVID-19 in nonhospitalized patients.</w:t>
            </w:r>
          </w:p>
        </w:tc>
        <w:tc>
          <w:tcPr>
            <w:tcW w:w="1407" w:type="pct"/>
          </w:tcPr>
          <w:p w14:paraId="7578773D" w14:textId="2EAA9B5F" w:rsidR="003A2DB2" w:rsidRPr="006104A6" w:rsidRDefault="00287485" w:rsidP="00F70311">
            <w:pPr>
              <w:pStyle w:val="TableText0"/>
              <w:keepLines/>
              <w:rPr>
                <w:szCs w:val="20"/>
              </w:rPr>
            </w:pPr>
            <w:r w:rsidRPr="006104A6">
              <w:rPr>
                <w:iCs/>
                <w:szCs w:val="20"/>
              </w:rPr>
              <w:t>New England Journal of Medicine.</w:t>
            </w:r>
            <w:r w:rsidRPr="006104A6">
              <w:rPr>
                <w:szCs w:val="20"/>
              </w:rPr>
              <w:t xml:space="preserve"> 2022;386(6):509-20</w:t>
            </w:r>
          </w:p>
        </w:tc>
      </w:tr>
      <w:tr w:rsidR="00025502" w:rsidRPr="006104A6" w14:paraId="5A5D9F78" w14:textId="77777777" w:rsidTr="0034421A">
        <w:trPr>
          <w:cantSplit/>
          <w:trHeight w:val="227"/>
        </w:trPr>
        <w:tc>
          <w:tcPr>
            <w:tcW w:w="579" w:type="pct"/>
          </w:tcPr>
          <w:p w14:paraId="5900AE1A" w14:textId="29F8F1C1" w:rsidR="00025502" w:rsidRPr="006104A6" w:rsidRDefault="00025502" w:rsidP="00F70311">
            <w:pPr>
              <w:pStyle w:val="TableText0"/>
              <w:keepLines/>
              <w:rPr>
                <w:szCs w:val="20"/>
              </w:rPr>
            </w:pPr>
            <w:r w:rsidRPr="006104A6">
              <w:rPr>
                <w:szCs w:val="20"/>
              </w:rPr>
              <w:t>EPIC-HR</w:t>
            </w:r>
          </w:p>
        </w:tc>
        <w:tc>
          <w:tcPr>
            <w:tcW w:w="3014" w:type="pct"/>
            <w:vAlign w:val="center"/>
          </w:tcPr>
          <w:p w14:paraId="0A23F30A" w14:textId="146344CD" w:rsidR="00025502" w:rsidRPr="006104A6" w:rsidRDefault="00095394" w:rsidP="00F70311">
            <w:pPr>
              <w:pStyle w:val="TableText0"/>
              <w:keepLines/>
              <w:rPr>
                <w:szCs w:val="20"/>
              </w:rPr>
            </w:pPr>
            <w:r w:rsidRPr="006104A6">
              <w:rPr>
                <w:szCs w:val="20"/>
              </w:rPr>
              <w:t>Hammond J, Leister-Tebbe H, Gardner A, et al. Oral Nirmatrelvir for High-Risk, Nonhospitalized Adults with Covid</w:t>
            </w:r>
            <w:r w:rsidR="00B411A3" w:rsidRPr="006104A6">
              <w:rPr>
                <w:szCs w:val="20"/>
              </w:rPr>
              <w:noBreakHyphen/>
            </w:r>
            <w:r w:rsidRPr="006104A6">
              <w:rPr>
                <w:szCs w:val="20"/>
              </w:rPr>
              <w:t>19.</w:t>
            </w:r>
          </w:p>
        </w:tc>
        <w:tc>
          <w:tcPr>
            <w:tcW w:w="1407" w:type="pct"/>
          </w:tcPr>
          <w:p w14:paraId="202F8713" w14:textId="719D76CF" w:rsidR="00025502" w:rsidRPr="006104A6" w:rsidRDefault="00095394" w:rsidP="00F70311">
            <w:pPr>
              <w:pStyle w:val="TableText0"/>
              <w:keepLines/>
              <w:rPr>
                <w:i/>
                <w:iCs/>
                <w:szCs w:val="20"/>
              </w:rPr>
            </w:pPr>
            <w:r w:rsidRPr="006104A6">
              <w:rPr>
                <w:iCs/>
                <w:szCs w:val="20"/>
              </w:rPr>
              <w:t>New England Journal of Medicine.</w:t>
            </w:r>
            <w:r w:rsidRPr="006104A6">
              <w:rPr>
                <w:szCs w:val="20"/>
              </w:rPr>
              <w:t xml:space="preserve"> 2022; 386(15):1397-1408 </w:t>
            </w:r>
            <w:hyperlink r:id="rId14" w:history="1">
              <w:r w:rsidRPr="006104A6">
                <w:rPr>
                  <w:rStyle w:val="Hyperlink"/>
                  <w:szCs w:val="20"/>
                </w:rPr>
                <w:t>https://doi.org/10.1056/NEJMoa2118542</w:t>
              </w:r>
            </w:hyperlink>
            <w:r w:rsidRPr="006104A6">
              <w:rPr>
                <w:szCs w:val="20"/>
              </w:rPr>
              <w:t xml:space="preserve"> </w:t>
            </w:r>
          </w:p>
        </w:tc>
      </w:tr>
      <w:tr w:rsidR="003A2DB2" w:rsidRPr="006104A6" w14:paraId="74132A1A" w14:textId="77777777" w:rsidTr="0034421A">
        <w:trPr>
          <w:cantSplit/>
          <w:trHeight w:val="708"/>
        </w:trPr>
        <w:tc>
          <w:tcPr>
            <w:tcW w:w="579" w:type="pct"/>
          </w:tcPr>
          <w:p w14:paraId="30BA87AC" w14:textId="565D7243" w:rsidR="003A2DB2" w:rsidRPr="006104A6" w:rsidRDefault="003A2DB2" w:rsidP="0034421A">
            <w:pPr>
              <w:pStyle w:val="TableText0"/>
              <w:keepNext w:val="0"/>
              <w:widowControl w:val="0"/>
              <w:rPr>
                <w:szCs w:val="20"/>
              </w:rPr>
            </w:pPr>
            <w:r w:rsidRPr="006104A6">
              <w:rPr>
                <w:szCs w:val="20"/>
              </w:rPr>
              <w:t>PANORAMIC</w:t>
            </w:r>
          </w:p>
        </w:tc>
        <w:tc>
          <w:tcPr>
            <w:tcW w:w="3014" w:type="pct"/>
            <w:vAlign w:val="center"/>
          </w:tcPr>
          <w:p w14:paraId="7EF3AEBB" w14:textId="545BCDEB" w:rsidR="003A2DB2" w:rsidRPr="006104A6" w:rsidRDefault="009D163F" w:rsidP="0034421A">
            <w:pPr>
              <w:pStyle w:val="TableText0"/>
              <w:keepNext w:val="0"/>
              <w:widowControl w:val="0"/>
              <w:rPr>
                <w:szCs w:val="20"/>
              </w:rPr>
            </w:pPr>
            <w:r w:rsidRPr="006104A6">
              <w:rPr>
                <w:szCs w:val="20"/>
              </w:rPr>
              <w:t xml:space="preserve">Butler CC, Hobbs FR, Gbinigie OA, et al. Molnupiravir plus usual care versus usual care alone as early treatment for adults with COVID-19 at increased risk of adverse outcomes (PANORAMIC): an open-label, platform-adaptive randomised controlled trial. </w:t>
            </w:r>
          </w:p>
        </w:tc>
        <w:tc>
          <w:tcPr>
            <w:tcW w:w="1407" w:type="pct"/>
          </w:tcPr>
          <w:p w14:paraId="65832AF0" w14:textId="0EF943AC" w:rsidR="003A2DB2" w:rsidRPr="006104A6" w:rsidRDefault="005F32C0" w:rsidP="0034421A">
            <w:pPr>
              <w:pStyle w:val="TableText0"/>
              <w:keepNext w:val="0"/>
              <w:widowControl w:val="0"/>
              <w:rPr>
                <w:szCs w:val="20"/>
              </w:rPr>
            </w:pPr>
            <w:r w:rsidRPr="006104A6">
              <w:rPr>
                <w:iCs/>
                <w:szCs w:val="20"/>
              </w:rPr>
              <w:t>Lancet.</w:t>
            </w:r>
            <w:r w:rsidRPr="006104A6">
              <w:rPr>
                <w:szCs w:val="20"/>
              </w:rPr>
              <w:t xml:space="preserve"> 202</w:t>
            </w:r>
            <w:r w:rsidR="00045D88" w:rsidRPr="006104A6">
              <w:rPr>
                <w:szCs w:val="20"/>
              </w:rPr>
              <w:t>3</w:t>
            </w:r>
            <w:r w:rsidR="002767DC" w:rsidRPr="006104A6">
              <w:rPr>
                <w:szCs w:val="20"/>
              </w:rPr>
              <w:t>;401(10373):281-293</w:t>
            </w:r>
          </w:p>
        </w:tc>
      </w:tr>
      <w:tr w:rsidR="00CE519E" w:rsidRPr="006104A6" w14:paraId="58EA6368" w14:textId="77777777" w:rsidTr="0034421A">
        <w:trPr>
          <w:cantSplit/>
        </w:trPr>
        <w:tc>
          <w:tcPr>
            <w:tcW w:w="5000" w:type="pct"/>
            <w:gridSpan w:val="3"/>
          </w:tcPr>
          <w:p w14:paraId="509400AA" w14:textId="6772C95D" w:rsidR="00CE519E" w:rsidRPr="006104A6" w:rsidRDefault="00FC42AC" w:rsidP="0004213A">
            <w:pPr>
              <w:pStyle w:val="TableText0"/>
              <w:widowControl w:val="0"/>
              <w:rPr>
                <w:b/>
                <w:bCs w:val="0"/>
                <w:szCs w:val="20"/>
              </w:rPr>
            </w:pPr>
            <w:r w:rsidRPr="006104A6">
              <w:rPr>
                <w:b/>
                <w:bCs w:val="0"/>
                <w:szCs w:val="20"/>
              </w:rPr>
              <w:lastRenderedPageBreak/>
              <w:t xml:space="preserve">Retrospective cohort </w:t>
            </w:r>
            <w:r w:rsidR="00CE519E" w:rsidRPr="006104A6">
              <w:rPr>
                <w:b/>
                <w:bCs w:val="0"/>
                <w:szCs w:val="20"/>
              </w:rPr>
              <w:t>studies</w:t>
            </w:r>
          </w:p>
        </w:tc>
      </w:tr>
      <w:tr w:rsidR="001D6F4F" w:rsidRPr="006104A6" w14:paraId="400ADAF8" w14:textId="77777777" w:rsidTr="0034421A">
        <w:trPr>
          <w:cantSplit/>
          <w:trHeight w:val="397"/>
        </w:trPr>
        <w:tc>
          <w:tcPr>
            <w:tcW w:w="579" w:type="pct"/>
          </w:tcPr>
          <w:p w14:paraId="18C64AF1" w14:textId="09007AE2" w:rsidR="008E2614" w:rsidRPr="006104A6" w:rsidRDefault="008E2614" w:rsidP="0034421A">
            <w:pPr>
              <w:pStyle w:val="TableText0"/>
              <w:keepNext w:val="0"/>
              <w:widowControl w:val="0"/>
              <w:rPr>
                <w:szCs w:val="20"/>
              </w:rPr>
            </w:pPr>
            <w:r w:rsidRPr="006104A6">
              <w:rPr>
                <w:szCs w:val="20"/>
              </w:rPr>
              <w:t>Victorian dataset</w:t>
            </w:r>
          </w:p>
        </w:tc>
        <w:tc>
          <w:tcPr>
            <w:tcW w:w="3014" w:type="pct"/>
          </w:tcPr>
          <w:p w14:paraId="51215864" w14:textId="77777777" w:rsidR="008E2614" w:rsidRPr="006104A6" w:rsidRDefault="008E2614" w:rsidP="0034421A">
            <w:pPr>
              <w:pStyle w:val="TableText0"/>
              <w:keepNext w:val="0"/>
              <w:widowControl w:val="0"/>
              <w:rPr>
                <w:szCs w:val="20"/>
              </w:rPr>
            </w:pPr>
            <w:r w:rsidRPr="006104A6">
              <w:rPr>
                <w:szCs w:val="20"/>
              </w:rPr>
              <w:t xml:space="preserve">Cowie </w:t>
            </w:r>
            <w:r w:rsidR="001F251B" w:rsidRPr="006104A6">
              <w:rPr>
                <w:szCs w:val="20"/>
              </w:rPr>
              <w:t xml:space="preserve">B, Sutton B, </w:t>
            </w:r>
            <w:r w:rsidR="00AA7B24" w:rsidRPr="006104A6">
              <w:rPr>
                <w:szCs w:val="20"/>
              </w:rPr>
              <w:t>Van Heer C, Majumdar S</w:t>
            </w:r>
            <w:r w:rsidRPr="006104A6">
              <w:rPr>
                <w:szCs w:val="20"/>
              </w:rPr>
              <w:t xml:space="preserve">. Paxlovid is Australia’s first-line COVID </w:t>
            </w:r>
            <w:proofErr w:type="gramStart"/>
            <w:r w:rsidRPr="006104A6">
              <w:rPr>
                <w:szCs w:val="20"/>
              </w:rPr>
              <w:t>antiviral</w:t>
            </w:r>
            <w:proofErr w:type="gramEnd"/>
            <w:r w:rsidRPr="006104A6">
              <w:rPr>
                <w:szCs w:val="20"/>
              </w:rPr>
              <w:t xml:space="preserve"> but Lagevrio also prevents severe disease in over-70s</w:t>
            </w:r>
          </w:p>
          <w:p w14:paraId="0FCC5147" w14:textId="5BE7BC17" w:rsidR="00C6452A" w:rsidRPr="006104A6" w:rsidRDefault="00C6452A" w:rsidP="0034421A">
            <w:pPr>
              <w:pStyle w:val="TableText0"/>
              <w:keepNext w:val="0"/>
              <w:widowControl w:val="0"/>
              <w:rPr>
                <w:szCs w:val="20"/>
              </w:rPr>
            </w:pPr>
          </w:p>
          <w:p w14:paraId="6427A049" w14:textId="5F3CF9DE" w:rsidR="00C6452A" w:rsidRPr="006104A6" w:rsidRDefault="00C6452A" w:rsidP="0034421A">
            <w:pPr>
              <w:pStyle w:val="TableText0"/>
              <w:keepNext w:val="0"/>
              <w:widowControl w:val="0"/>
              <w:rPr>
                <w:szCs w:val="20"/>
              </w:rPr>
            </w:pPr>
          </w:p>
          <w:p w14:paraId="414AA253" w14:textId="77777777" w:rsidR="00C6452A" w:rsidRPr="006104A6" w:rsidRDefault="00C6452A" w:rsidP="0034421A">
            <w:pPr>
              <w:pStyle w:val="TableText0"/>
              <w:keepNext w:val="0"/>
              <w:widowControl w:val="0"/>
              <w:rPr>
                <w:szCs w:val="20"/>
              </w:rPr>
            </w:pPr>
          </w:p>
          <w:p w14:paraId="0A35B979" w14:textId="49B81E49" w:rsidR="00C6452A" w:rsidRPr="006104A6" w:rsidRDefault="00C6452A" w:rsidP="00C6452A">
            <w:pPr>
              <w:pStyle w:val="TableText0"/>
              <w:keepNext w:val="0"/>
              <w:widowControl w:val="0"/>
              <w:rPr>
                <w:szCs w:val="20"/>
              </w:rPr>
            </w:pPr>
            <w:r w:rsidRPr="006104A6">
              <w:rPr>
                <w:szCs w:val="20"/>
              </w:rPr>
              <w:t>Van Heer C, Majumdar, S, Parta I, et al. Effectiveness of Community-Based Oral Antiviral Treatments Against Severe COVID-19 Outcomes in Victoria, Australia, 2022: An Observational Study</w:t>
            </w:r>
          </w:p>
        </w:tc>
        <w:tc>
          <w:tcPr>
            <w:tcW w:w="1407" w:type="pct"/>
          </w:tcPr>
          <w:p w14:paraId="7EC47F5B" w14:textId="40E3D4F1" w:rsidR="008E2614" w:rsidRPr="006104A6" w:rsidRDefault="001D6E92" w:rsidP="0034421A">
            <w:pPr>
              <w:pStyle w:val="TableText0"/>
              <w:keepNext w:val="0"/>
              <w:widowControl w:val="0"/>
              <w:rPr>
                <w:szCs w:val="20"/>
              </w:rPr>
            </w:pPr>
            <w:r w:rsidRPr="006104A6">
              <w:rPr>
                <w:szCs w:val="20"/>
              </w:rPr>
              <w:t>The Conversation</w:t>
            </w:r>
            <w:r w:rsidR="00EF6E94" w:rsidRPr="006104A6">
              <w:rPr>
                <w:szCs w:val="20"/>
              </w:rPr>
              <w:t>.</w:t>
            </w:r>
            <w:r w:rsidR="008E2614" w:rsidRPr="006104A6">
              <w:rPr>
                <w:szCs w:val="20"/>
              </w:rPr>
              <w:t xml:space="preserve"> </w:t>
            </w:r>
            <w:r w:rsidR="00EF6E94" w:rsidRPr="006104A6">
              <w:rPr>
                <w:szCs w:val="20"/>
              </w:rPr>
              <w:t>2022</w:t>
            </w:r>
            <w:r w:rsidR="008E2614" w:rsidRPr="006104A6">
              <w:rPr>
                <w:szCs w:val="20"/>
              </w:rPr>
              <w:t xml:space="preserve">; </w:t>
            </w:r>
            <w:hyperlink r:id="rId15" w:history="1">
              <w:r w:rsidR="00204BCC" w:rsidRPr="006104A6">
                <w:rPr>
                  <w:rStyle w:val="Hyperlink"/>
                  <w:szCs w:val="20"/>
                </w:rPr>
                <w:t>https://theconversation.com/paxlovid-is-australias-first-line-covid-antiviral-but-lagevrio-also-prevents-severe-disease-in-over-70s-195349</w:t>
              </w:r>
            </w:hyperlink>
            <w:r w:rsidR="00204BCC" w:rsidRPr="006104A6">
              <w:rPr>
                <w:szCs w:val="20"/>
              </w:rPr>
              <w:t xml:space="preserve"> </w:t>
            </w:r>
          </w:p>
          <w:p w14:paraId="4B55D5A6" w14:textId="0991C813" w:rsidR="00C6452A" w:rsidRPr="006104A6" w:rsidRDefault="00C6452A" w:rsidP="0034421A">
            <w:pPr>
              <w:pStyle w:val="TableText0"/>
              <w:keepNext w:val="0"/>
              <w:widowControl w:val="0"/>
              <w:rPr>
                <w:szCs w:val="20"/>
              </w:rPr>
            </w:pPr>
          </w:p>
          <w:p w14:paraId="4A191A18" w14:textId="7F6CF132" w:rsidR="00C6452A" w:rsidRPr="006104A6" w:rsidRDefault="00C6452A" w:rsidP="00C6452A">
            <w:pPr>
              <w:pStyle w:val="TableText0"/>
              <w:keepNext w:val="0"/>
              <w:widowControl w:val="0"/>
              <w:rPr>
                <w:szCs w:val="20"/>
              </w:rPr>
            </w:pPr>
            <w:r w:rsidRPr="006104A6">
              <w:rPr>
                <w:szCs w:val="20"/>
              </w:rPr>
              <w:t>Pre-</w:t>
            </w:r>
            <w:r w:rsidR="00505F0E" w:rsidRPr="006104A6">
              <w:rPr>
                <w:szCs w:val="20"/>
              </w:rPr>
              <w:t>p</w:t>
            </w:r>
            <w:r w:rsidRPr="006104A6">
              <w:rPr>
                <w:szCs w:val="20"/>
              </w:rPr>
              <w:t>rint manuscript</w:t>
            </w:r>
            <w:r w:rsidR="00505F0E" w:rsidRPr="006104A6">
              <w:rPr>
                <w:szCs w:val="20"/>
              </w:rPr>
              <w:t xml:space="preserve"> 2023;</w:t>
            </w:r>
            <w:r w:rsidRPr="006104A6">
              <w:rPr>
                <w:szCs w:val="20"/>
              </w:rPr>
              <w:t xml:space="preserve"> </w:t>
            </w:r>
            <w:hyperlink r:id="rId16" w:history="1">
              <w:r w:rsidRPr="006104A6">
                <w:rPr>
                  <w:rStyle w:val="Hyperlink"/>
                  <w:szCs w:val="20"/>
                </w:rPr>
                <w:t>https://ssrn.com/abstract=4495142</w:t>
              </w:r>
            </w:hyperlink>
            <w:r w:rsidRPr="006104A6">
              <w:rPr>
                <w:szCs w:val="20"/>
              </w:rPr>
              <w:t xml:space="preserve"> </w:t>
            </w:r>
          </w:p>
        </w:tc>
      </w:tr>
      <w:tr w:rsidR="008E2614" w:rsidRPr="006104A6" w14:paraId="0274BA96" w14:textId="77777777" w:rsidTr="0034421A">
        <w:trPr>
          <w:cantSplit/>
          <w:trHeight w:val="397"/>
        </w:trPr>
        <w:tc>
          <w:tcPr>
            <w:tcW w:w="579" w:type="pct"/>
          </w:tcPr>
          <w:p w14:paraId="4E146CEC" w14:textId="749B3531" w:rsidR="008E2614" w:rsidRPr="006104A6" w:rsidRDefault="008E2614" w:rsidP="0034421A">
            <w:pPr>
              <w:pStyle w:val="TableText0"/>
              <w:keepNext w:val="0"/>
              <w:widowControl w:val="0"/>
              <w:rPr>
                <w:szCs w:val="20"/>
              </w:rPr>
            </w:pPr>
            <w:r w:rsidRPr="006104A6">
              <w:rPr>
                <w:szCs w:val="20"/>
              </w:rPr>
              <w:t xml:space="preserve">Arbel 2022 </w:t>
            </w:r>
          </w:p>
        </w:tc>
        <w:tc>
          <w:tcPr>
            <w:tcW w:w="3014" w:type="pct"/>
          </w:tcPr>
          <w:p w14:paraId="1C6FBF3A" w14:textId="6DC059B4" w:rsidR="008E2614" w:rsidRPr="006104A6" w:rsidRDefault="008E2614" w:rsidP="0034421A">
            <w:pPr>
              <w:pStyle w:val="TableText0"/>
              <w:keepNext w:val="0"/>
              <w:widowControl w:val="0"/>
              <w:rPr>
                <w:szCs w:val="20"/>
              </w:rPr>
            </w:pPr>
            <w:r w:rsidRPr="006104A6">
              <w:rPr>
                <w:szCs w:val="20"/>
              </w:rPr>
              <w:t xml:space="preserve">Arbel R, Sagy YW, Battat E, </w:t>
            </w:r>
            <w:r w:rsidR="004A74C6" w:rsidRPr="006104A6">
              <w:rPr>
                <w:szCs w:val="20"/>
              </w:rPr>
              <w:t>et al</w:t>
            </w:r>
            <w:r w:rsidRPr="006104A6">
              <w:rPr>
                <w:szCs w:val="20"/>
              </w:rPr>
              <w:t xml:space="preserve"> Molnupiravir use and severe COVID-19 outcomes during the omicron surge.</w:t>
            </w:r>
          </w:p>
        </w:tc>
        <w:tc>
          <w:tcPr>
            <w:tcW w:w="1407" w:type="pct"/>
          </w:tcPr>
          <w:p w14:paraId="7789F479" w14:textId="116E0E97" w:rsidR="008E2614" w:rsidRPr="006104A6" w:rsidRDefault="00490169" w:rsidP="0034421A">
            <w:pPr>
              <w:pStyle w:val="TableText0"/>
              <w:keepNext w:val="0"/>
              <w:widowControl w:val="0"/>
              <w:rPr>
                <w:szCs w:val="20"/>
              </w:rPr>
            </w:pPr>
            <w:r w:rsidRPr="006104A6">
              <w:rPr>
                <w:iCs/>
                <w:szCs w:val="20"/>
              </w:rPr>
              <w:t>Pre-print</w:t>
            </w:r>
            <w:r w:rsidR="008E2614" w:rsidRPr="006104A6">
              <w:rPr>
                <w:szCs w:val="20"/>
              </w:rPr>
              <w:t xml:space="preserve"> </w:t>
            </w:r>
            <w:r w:rsidR="003B335C" w:rsidRPr="006104A6">
              <w:rPr>
                <w:szCs w:val="20"/>
              </w:rPr>
              <w:t>2022</w:t>
            </w:r>
            <w:r w:rsidR="008E2614" w:rsidRPr="006104A6">
              <w:rPr>
                <w:szCs w:val="20"/>
              </w:rPr>
              <w:t xml:space="preserve">; </w:t>
            </w:r>
            <w:hyperlink r:id="rId17" w:history="1">
              <w:r w:rsidR="00204BCC" w:rsidRPr="006104A6">
                <w:rPr>
                  <w:rStyle w:val="Hyperlink"/>
                  <w:szCs w:val="20"/>
                </w:rPr>
                <w:t>https://www.researchsquare.com/article/rs-2115769/v1</w:t>
              </w:r>
            </w:hyperlink>
            <w:r w:rsidR="00204BCC" w:rsidRPr="006104A6">
              <w:rPr>
                <w:szCs w:val="20"/>
              </w:rPr>
              <w:t xml:space="preserve"> </w:t>
            </w:r>
          </w:p>
        </w:tc>
      </w:tr>
      <w:tr w:rsidR="008E2614" w:rsidRPr="006104A6" w14:paraId="7DFAD07D" w14:textId="77777777" w:rsidTr="0034421A">
        <w:trPr>
          <w:cantSplit/>
          <w:trHeight w:val="397"/>
        </w:trPr>
        <w:tc>
          <w:tcPr>
            <w:tcW w:w="579" w:type="pct"/>
          </w:tcPr>
          <w:p w14:paraId="64EA5EC7" w14:textId="01549E8D" w:rsidR="008E2614" w:rsidRPr="006104A6" w:rsidRDefault="008E2614" w:rsidP="0034421A">
            <w:pPr>
              <w:pStyle w:val="TableText0"/>
              <w:keepNext w:val="0"/>
              <w:widowControl w:val="0"/>
              <w:rPr>
                <w:szCs w:val="20"/>
              </w:rPr>
            </w:pPr>
            <w:r w:rsidRPr="006104A6">
              <w:rPr>
                <w:szCs w:val="20"/>
              </w:rPr>
              <w:t>Najjar-Debbiny 2022</w:t>
            </w:r>
          </w:p>
        </w:tc>
        <w:tc>
          <w:tcPr>
            <w:tcW w:w="3014" w:type="pct"/>
          </w:tcPr>
          <w:p w14:paraId="37419478" w14:textId="2A8DF5BA" w:rsidR="008E2614" w:rsidRPr="006104A6" w:rsidRDefault="008E2614" w:rsidP="0034421A">
            <w:pPr>
              <w:pStyle w:val="TableText0"/>
              <w:keepNext w:val="0"/>
              <w:widowControl w:val="0"/>
              <w:rPr>
                <w:szCs w:val="20"/>
              </w:rPr>
            </w:pPr>
            <w:r w:rsidRPr="006104A6">
              <w:rPr>
                <w:szCs w:val="20"/>
              </w:rPr>
              <w:t xml:space="preserve">Najjar-Debbiny R, Gronich N, Weber G, </w:t>
            </w:r>
            <w:r w:rsidR="00204BCC" w:rsidRPr="006104A6">
              <w:rPr>
                <w:szCs w:val="20"/>
              </w:rPr>
              <w:t>et al.</w:t>
            </w:r>
            <w:r w:rsidRPr="006104A6">
              <w:rPr>
                <w:szCs w:val="20"/>
              </w:rPr>
              <w:t xml:space="preserve"> Effectiveness of molnupiravir in high-risk patients: A propensity score matched analysis.</w:t>
            </w:r>
          </w:p>
        </w:tc>
        <w:tc>
          <w:tcPr>
            <w:tcW w:w="1407" w:type="pct"/>
          </w:tcPr>
          <w:p w14:paraId="406857BD" w14:textId="1E2535C0" w:rsidR="008E2614" w:rsidRPr="006104A6" w:rsidRDefault="00204BCC" w:rsidP="0034421A">
            <w:pPr>
              <w:pStyle w:val="TableText0"/>
              <w:keepNext w:val="0"/>
              <w:widowControl w:val="0"/>
              <w:rPr>
                <w:szCs w:val="20"/>
              </w:rPr>
            </w:pPr>
            <w:r w:rsidRPr="006104A6">
              <w:rPr>
                <w:iCs/>
                <w:szCs w:val="20"/>
              </w:rPr>
              <w:t>Clinical Infectious Diseases.</w:t>
            </w:r>
            <w:r w:rsidRPr="006104A6">
              <w:rPr>
                <w:szCs w:val="20"/>
              </w:rPr>
              <w:t xml:space="preserve"> 2023;76(3):453-60.</w:t>
            </w:r>
          </w:p>
        </w:tc>
      </w:tr>
      <w:tr w:rsidR="008E2614" w:rsidRPr="006104A6" w14:paraId="268F4D3D" w14:textId="77777777" w:rsidTr="0034421A">
        <w:trPr>
          <w:cantSplit/>
          <w:trHeight w:val="397"/>
        </w:trPr>
        <w:tc>
          <w:tcPr>
            <w:tcW w:w="579" w:type="pct"/>
          </w:tcPr>
          <w:p w14:paraId="1C02044C" w14:textId="6352E770" w:rsidR="008E2614" w:rsidRPr="006104A6" w:rsidRDefault="008E2614" w:rsidP="0034421A">
            <w:pPr>
              <w:pStyle w:val="TableText0"/>
              <w:keepNext w:val="0"/>
              <w:widowControl w:val="0"/>
              <w:rPr>
                <w:szCs w:val="20"/>
              </w:rPr>
            </w:pPr>
            <w:r w:rsidRPr="006104A6">
              <w:rPr>
                <w:szCs w:val="20"/>
              </w:rPr>
              <w:t>Bajema 2022</w:t>
            </w:r>
          </w:p>
        </w:tc>
        <w:tc>
          <w:tcPr>
            <w:tcW w:w="3014" w:type="pct"/>
          </w:tcPr>
          <w:p w14:paraId="7F3080BA" w14:textId="5613641D" w:rsidR="008E2614" w:rsidRPr="006104A6" w:rsidRDefault="008E2614" w:rsidP="0034421A">
            <w:pPr>
              <w:pStyle w:val="TableText0"/>
              <w:keepNext w:val="0"/>
              <w:widowControl w:val="0"/>
              <w:rPr>
                <w:szCs w:val="20"/>
              </w:rPr>
            </w:pPr>
            <w:r w:rsidRPr="006104A6">
              <w:rPr>
                <w:szCs w:val="20"/>
              </w:rPr>
              <w:t>Bajema KL, Berry K, Streja E,</w:t>
            </w:r>
            <w:r w:rsidR="00D96CA2" w:rsidRPr="006104A6">
              <w:rPr>
                <w:szCs w:val="20"/>
              </w:rPr>
              <w:t xml:space="preserve"> et al</w:t>
            </w:r>
            <w:r w:rsidRPr="006104A6">
              <w:rPr>
                <w:szCs w:val="20"/>
              </w:rPr>
              <w:t xml:space="preserve">. Effectiveness of COVID-19 treatment with nirmatrelvir-ritonavir or molnupiravir among US Veterans: target trial emulation studies with one-month and six-month outcomes. </w:t>
            </w:r>
            <w:r w:rsidR="00B411A3" w:rsidRPr="006104A6">
              <w:rPr>
                <w:szCs w:val="20"/>
              </w:rPr>
              <w:t>M</w:t>
            </w:r>
            <w:r w:rsidRPr="006104A6">
              <w:rPr>
                <w:szCs w:val="20"/>
              </w:rPr>
              <w:t>edRxiv. 2022 Dec 6:2022-12.</w:t>
            </w:r>
          </w:p>
        </w:tc>
        <w:tc>
          <w:tcPr>
            <w:tcW w:w="1407" w:type="pct"/>
          </w:tcPr>
          <w:p w14:paraId="3475CEE7" w14:textId="46328169" w:rsidR="008E2614" w:rsidRPr="006104A6" w:rsidRDefault="0008507E" w:rsidP="0034421A">
            <w:pPr>
              <w:pStyle w:val="TableText0"/>
              <w:keepNext w:val="0"/>
              <w:widowControl w:val="0"/>
              <w:rPr>
                <w:szCs w:val="20"/>
              </w:rPr>
            </w:pPr>
            <w:r w:rsidRPr="006104A6">
              <w:rPr>
                <w:szCs w:val="20"/>
              </w:rPr>
              <w:t xml:space="preserve">Pre-print </w:t>
            </w:r>
            <w:r w:rsidR="00A26D06" w:rsidRPr="006104A6">
              <w:rPr>
                <w:szCs w:val="20"/>
              </w:rPr>
              <w:t>2022</w:t>
            </w:r>
            <w:r w:rsidR="001D6F4F" w:rsidRPr="006104A6">
              <w:rPr>
                <w:szCs w:val="20"/>
              </w:rPr>
              <w:t xml:space="preserve">; </w:t>
            </w:r>
            <w:hyperlink r:id="rId18" w:history="1">
              <w:r w:rsidR="00894285" w:rsidRPr="006104A6">
                <w:rPr>
                  <w:rStyle w:val="Hyperlink"/>
                  <w:szCs w:val="20"/>
                </w:rPr>
                <w:t>https://www.medrxiv.org/content/10.1101/</w:t>
              </w:r>
              <w:r w:rsidR="00894285" w:rsidRPr="006104A6">
                <w:rPr>
                  <w:rStyle w:val="Hyperlink"/>
                  <w:szCs w:val="20"/>
                </w:rPr>
                <w:br/>
                <w:t>2022.12.05.22283134v2</w:t>
              </w:r>
            </w:hyperlink>
            <w:r w:rsidR="001D6F4F" w:rsidRPr="006104A6">
              <w:rPr>
                <w:szCs w:val="20"/>
              </w:rPr>
              <w:t xml:space="preserve"> </w:t>
            </w:r>
          </w:p>
        </w:tc>
      </w:tr>
      <w:tr w:rsidR="008E2614" w:rsidRPr="006104A6" w14:paraId="704C4FE0" w14:textId="77777777" w:rsidTr="0034421A">
        <w:trPr>
          <w:cantSplit/>
          <w:trHeight w:val="397"/>
        </w:trPr>
        <w:tc>
          <w:tcPr>
            <w:tcW w:w="579" w:type="pct"/>
          </w:tcPr>
          <w:p w14:paraId="5A19AE44" w14:textId="68186D35" w:rsidR="008E2614" w:rsidRPr="006104A6" w:rsidRDefault="008E2614" w:rsidP="0034421A">
            <w:pPr>
              <w:pStyle w:val="TableText0"/>
              <w:keepNext w:val="0"/>
              <w:widowControl w:val="0"/>
              <w:rPr>
                <w:szCs w:val="20"/>
              </w:rPr>
            </w:pPr>
            <w:r w:rsidRPr="006104A6">
              <w:rPr>
                <w:szCs w:val="20"/>
              </w:rPr>
              <w:t>Evans 2023</w:t>
            </w:r>
          </w:p>
        </w:tc>
        <w:tc>
          <w:tcPr>
            <w:tcW w:w="3014" w:type="pct"/>
          </w:tcPr>
          <w:p w14:paraId="66FA3F5E" w14:textId="54002AFC" w:rsidR="008E2614" w:rsidRPr="006104A6" w:rsidRDefault="008E2614" w:rsidP="0034421A">
            <w:pPr>
              <w:pStyle w:val="TableText0"/>
              <w:keepNext w:val="0"/>
              <w:widowControl w:val="0"/>
              <w:rPr>
                <w:szCs w:val="20"/>
              </w:rPr>
            </w:pPr>
            <w:r w:rsidRPr="006104A6">
              <w:rPr>
                <w:szCs w:val="20"/>
              </w:rPr>
              <w:t xml:space="preserve">Evans A, Qi C, Adebayo JO, </w:t>
            </w:r>
            <w:r w:rsidR="00894285" w:rsidRPr="006104A6">
              <w:rPr>
                <w:szCs w:val="20"/>
              </w:rPr>
              <w:t>et al</w:t>
            </w:r>
            <w:r w:rsidRPr="006104A6">
              <w:rPr>
                <w:szCs w:val="20"/>
              </w:rPr>
              <w:t>. Real-world effectiveness of molnupiravir, nirmatrelvir-ritonavir, and sotrovimab on preventing hospital admission among higher-risk patients with COVID-19 in Wales: a retrospective cohort study.</w:t>
            </w:r>
          </w:p>
        </w:tc>
        <w:tc>
          <w:tcPr>
            <w:tcW w:w="1407" w:type="pct"/>
          </w:tcPr>
          <w:p w14:paraId="13D51326" w14:textId="6728DCBB" w:rsidR="008E2614" w:rsidRPr="006104A6" w:rsidRDefault="00894285" w:rsidP="0034421A">
            <w:pPr>
              <w:pStyle w:val="TableText0"/>
              <w:keepNext w:val="0"/>
              <w:widowControl w:val="0"/>
              <w:rPr>
                <w:szCs w:val="20"/>
              </w:rPr>
            </w:pPr>
            <w:r w:rsidRPr="006104A6">
              <w:rPr>
                <w:iCs/>
                <w:szCs w:val="20"/>
              </w:rPr>
              <w:t xml:space="preserve">Journal of Infection. </w:t>
            </w:r>
            <w:r w:rsidRPr="006104A6">
              <w:rPr>
                <w:szCs w:val="20"/>
              </w:rPr>
              <w:t>2023</w:t>
            </w:r>
            <w:r w:rsidR="00972309" w:rsidRPr="006104A6">
              <w:rPr>
                <w:szCs w:val="20"/>
              </w:rPr>
              <w:t>;</w:t>
            </w:r>
            <w:r w:rsidR="007E5401" w:rsidRPr="006104A6">
              <w:rPr>
                <w:szCs w:val="20"/>
              </w:rPr>
              <w:t>86(4):352-360</w:t>
            </w:r>
          </w:p>
        </w:tc>
      </w:tr>
      <w:tr w:rsidR="00CE22E5" w:rsidRPr="006104A6" w14:paraId="333F1C97" w14:textId="77777777" w:rsidTr="0034421A">
        <w:trPr>
          <w:cantSplit/>
          <w:trHeight w:val="397"/>
        </w:trPr>
        <w:tc>
          <w:tcPr>
            <w:tcW w:w="579" w:type="pct"/>
          </w:tcPr>
          <w:p w14:paraId="0CEDF0A7" w14:textId="3A98FA60" w:rsidR="00CE22E5" w:rsidRPr="006104A6" w:rsidRDefault="00CE22E5" w:rsidP="0034421A">
            <w:pPr>
              <w:pStyle w:val="TableText0"/>
              <w:keepNext w:val="0"/>
              <w:widowControl w:val="0"/>
              <w:rPr>
                <w:szCs w:val="20"/>
              </w:rPr>
            </w:pPr>
            <w:r w:rsidRPr="006104A6">
              <w:rPr>
                <w:szCs w:val="20"/>
              </w:rPr>
              <w:t>Gentry 2023</w:t>
            </w:r>
          </w:p>
        </w:tc>
        <w:tc>
          <w:tcPr>
            <w:tcW w:w="3014" w:type="pct"/>
          </w:tcPr>
          <w:p w14:paraId="71590B23" w14:textId="5B88E7B5" w:rsidR="00CE22E5" w:rsidRPr="006104A6" w:rsidRDefault="00CE22E5" w:rsidP="0034421A">
            <w:pPr>
              <w:pStyle w:val="TableText0"/>
              <w:keepNext w:val="0"/>
              <w:widowControl w:val="0"/>
              <w:rPr>
                <w:szCs w:val="20"/>
              </w:rPr>
            </w:pPr>
            <w:r w:rsidRPr="006104A6">
              <w:rPr>
                <w:szCs w:val="20"/>
              </w:rPr>
              <w:t>Gentry CA, Nguyen P, Thind SK,</w:t>
            </w:r>
            <w:r w:rsidR="00972309" w:rsidRPr="006104A6">
              <w:rPr>
                <w:szCs w:val="20"/>
              </w:rPr>
              <w:t xml:space="preserve"> et al</w:t>
            </w:r>
            <w:r w:rsidRPr="006104A6">
              <w:rPr>
                <w:szCs w:val="20"/>
              </w:rPr>
              <w:t>. Characteristics and outcomes of US Veterans at least 65 years of age at high risk of severe SARS-CoV-2 infection with or without receipt of oral antiviral agents.</w:t>
            </w:r>
          </w:p>
        </w:tc>
        <w:tc>
          <w:tcPr>
            <w:tcW w:w="1407" w:type="pct"/>
          </w:tcPr>
          <w:p w14:paraId="16ED9378" w14:textId="64C0C5FE" w:rsidR="00CE22E5" w:rsidRPr="006104A6" w:rsidRDefault="00435DCB" w:rsidP="0034421A">
            <w:pPr>
              <w:pStyle w:val="TableText0"/>
              <w:keepNext w:val="0"/>
              <w:widowControl w:val="0"/>
              <w:rPr>
                <w:szCs w:val="20"/>
              </w:rPr>
            </w:pPr>
            <w:r w:rsidRPr="006104A6">
              <w:rPr>
                <w:iCs/>
                <w:szCs w:val="20"/>
              </w:rPr>
              <w:t xml:space="preserve">Journal of Infection. </w:t>
            </w:r>
            <w:r w:rsidRPr="006104A6">
              <w:rPr>
                <w:szCs w:val="20"/>
              </w:rPr>
              <w:t>2023;86(3):248-255</w:t>
            </w:r>
          </w:p>
        </w:tc>
      </w:tr>
      <w:tr w:rsidR="00CE22E5" w:rsidRPr="006104A6" w14:paraId="4F563AF0" w14:textId="77777777" w:rsidTr="0034421A">
        <w:trPr>
          <w:cantSplit/>
          <w:trHeight w:val="397"/>
        </w:trPr>
        <w:tc>
          <w:tcPr>
            <w:tcW w:w="579" w:type="pct"/>
          </w:tcPr>
          <w:p w14:paraId="282739CA" w14:textId="6D395FF0" w:rsidR="00CE22E5" w:rsidRPr="006104A6" w:rsidRDefault="00CE22E5" w:rsidP="0034421A">
            <w:pPr>
              <w:pStyle w:val="TableText0"/>
              <w:keepNext w:val="0"/>
              <w:widowControl w:val="0"/>
              <w:rPr>
                <w:szCs w:val="20"/>
              </w:rPr>
            </w:pPr>
            <w:r w:rsidRPr="006104A6">
              <w:rPr>
                <w:szCs w:val="20"/>
              </w:rPr>
              <w:t>Wong</w:t>
            </w:r>
            <w:r w:rsidR="00EC0B48" w:rsidRPr="006104A6">
              <w:rPr>
                <w:szCs w:val="20"/>
              </w:rPr>
              <w:t xml:space="preserve"> </w:t>
            </w:r>
            <w:r w:rsidRPr="006104A6">
              <w:rPr>
                <w:szCs w:val="20"/>
              </w:rPr>
              <w:t>2022</w:t>
            </w:r>
          </w:p>
        </w:tc>
        <w:tc>
          <w:tcPr>
            <w:tcW w:w="3014" w:type="pct"/>
          </w:tcPr>
          <w:p w14:paraId="629C477D" w14:textId="654C0988" w:rsidR="00CE22E5" w:rsidRPr="006104A6" w:rsidRDefault="00CE22E5" w:rsidP="0034421A">
            <w:pPr>
              <w:pStyle w:val="TableText0"/>
              <w:keepNext w:val="0"/>
              <w:widowControl w:val="0"/>
              <w:rPr>
                <w:szCs w:val="20"/>
              </w:rPr>
            </w:pPr>
            <w:r w:rsidRPr="006104A6">
              <w:rPr>
                <w:szCs w:val="20"/>
              </w:rPr>
              <w:t xml:space="preserve">Wong CK, Au IC, Lau KT, </w:t>
            </w:r>
            <w:r w:rsidR="00D61F1E" w:rsidRPr="006104A6">
              <w:rPr>
                <w:szCs w:val="20"/>
              </w:rPr>
              <w:t xml:space="preserve">et al. </w:t>
            </w:r>
            <w:r w:rsidRPr="006104A6">
              <w:rPr>
                <w:szCs w:val="20"/>
              </w:rPr>
              <w:t>Real-world effectiveness of molnupiravir and nirmatrelvir plus ritonavir against mortality, hospitalisation, and in-hospital outcomes among community-dwelling, ambulatory patients with confirmed SARS-CoV-2 infection during the omicron wave in Hong Kong: an observational study.</w:t>
            </w:r>
          </w:p>
        </w:tc>
        <w:tc>
          <w:tcPr>
            <w:tcW w:w="1407" w:type="pct"/>
          </w:tcPr>
          <w:p w14:paraId="70F3AD8F" w14:textId="52787F02" w:rsidR="00CE22E5" w:rsidRPr="006104A6" w:rsidRDefault="00D61F1E" w:rsidP="0034421A">
            <w:pPr>
              <w:pStyle w:val="TableText0"/>
              <w:keepNext w:val="0"/>
              <w:widowControl w:val="0"/>
              <w:rPr>
                <w:szCs w:val="20"/>
              </w:rPr>
            </w:pPr>
            <w:r w:rsidRPr="006104A6">
              <w:rPr>
                <w:iCs/>
                <w:szCs w:val="20"/>
              </w:rPr>
              <w:t>Lancet.</w:t>
            </w:r>
            <w:r w:rsidRPr="006104A6">
              <w:rPr>
                <w:szCs w:val="20"/>
              </w:rPr>
              <w:t xml:space="preserve"> 2022;400(10359):1213-22</w:t>
            </w:r>
          </w:p>
        </w:tc>
      </w:tr>
      <w:tr w:rsidR="00CE22E5" w:rsidRPr="006104A6" w14:paraId="7C9A9B9B" w14:textId="77777777" w:rsidTr="0034421A">
        <w:trPr>
          <w:cantSplit/>
          <w:trHeight w:val="397"/>
        </w:trPr>
        <w:tc>
          <w:tcPr>
            <w:tcW w:w="579" w:type="pct"/>
          </w:tcPr>
          <w:p w14:paraId="12EBFB05" w14:textId="273D25BB" w:rsidR="00CE22E5" w:rsidRPr="006104A6" w:rsidRDefault="00CE22E5" w:rsidP="0034421A">
            <w:pPr>
              <w:pStyle w:val="TableText0"/>
              <w:keepNext w:val="0"/>
              <w:widowControl w:val="0"/>
              <w:rPr>
                <w:szCs w:val="20"/>
              </w:rPr>
            </w:pPr>
            <w:r w:rsidRPr="006104A6">
              <w:rPr>
                <w:szCs w:val="20"/>
              </w:rPr>
              <w:t>Yip</w:t>
            </w:r>
            <w:r w:rsidR="00466AC7" w:rsidRPr="006104A6">
              <w:rPr>
                <w:szCs w:val="20"/>
              </w:rPr>
              <w:t xml:space="preserve"> </w:t>
            </w:r>
            <w:r w:rsidRPr="006104A6">
              <w:rPr>
                <w:szCs w:val="20"/>
              </w:rPr>
              <w:t>2022</w:t>
            </w:r>
          </w:p>
        </w:tc>
        <w:tc>
          <w:tcPr>
            <w:tcW w:w="3014" w:type="pct"/>
          </w:tcPr>
          <w:p w14:paraId="45EBF132" w14:textId="67F90801" w:rsidR="00CE22E5" w:rsidRPr="006104A6" w:rsidRDefault="00CE22E5" w:rsidP="0034421A">
            <w:pPr>
              <w:pStyle w:val="TableText0"/>
              <w:keepNext w:val="0"/>
              <w:widowControl w:val="0"/>
              <w:rPr>
                <w:szCs w:val="20"/>
              </w:rPr>
            </w:pPr>
            <w:r w:rsidRPr="006104A6">
              <w:rPr>
                <w:szCs w:val="20"/>
              </w:rPr>
              <w:t xml:space="preserve">Yip TC, Lui GC, Lai MS, </w:t>
            </w:r>
            <w:r w:rsidR="005A44BC" w:rsidRPr="006104A6">
              <w:rPr>
                <w:szCs w:val="20"/>
              </w:rPr>
              <w:t>et al</w:t>
            </w:r>
            <w:r w:rsidRPr="006104A6">
              <w:rPr>
                <w:szCs w:val="20"/>
              </w:rPr>
              <w:t>. Impact of the Use of Oral Antiviral Agents on the Risk of Hospitalization in Community Coronavirus Disease 2019 Patients (COVID-19).</w:t>
            </w:r>
          </w:p>
        </w:tc>
        <w:tc>
          <w:tcPr>
            <w:tcW w:w="1407" w:type="pct"/>
          </w:tcPr>
          <w:p w14:paraId="5BE50917" w14:textId="75A5AC5B" w:rsidR="00CE22E5" w:rsidRPr="006104A6" w:rsidRDefault="005A44BC" w:rsidP="0034421A">
            <w:pPr>
              <w:pStyle w:val="TableText0"/>
              <w:keepNext w:val="0"/>
              <w:widowControl w:val="0"/>
              <w:rPr>
                <w:szCs w:val="20"/>
              </w:rPr>
            </w:pPr>
            <w:r w:rsidRPr="006104A6">
              <w:rPr>
                <w:iCs/>
                <w:szCs w:val="20"/>
              </w:rPr>
              <w:t xml:space="preserve">Clinical Infectious Diseases. </w:t>
            </w:r>
            <w:r w:rsidRPr="006104A6">
              <w:rPr>
                <w:szCs w:val="20"/>
              </w:rPr>
              <w:t>2022</w:t>
            </w:r>
            <w:r w:rsidR="00F265B1" w:rsidRPr="006104A6">
              <w:rPr>
                <w:szCs w:val="20"/>
              </w:rPr>
              <w:t>; 76(3):e26-e33.</w:t>
            </w:r>
          </w:p>
        </w:tc>
      </w:tr>
      <w:tr w:rsidR="00072F52" w:rsidRPr="006104A6" w14:paraId="1290A292" w14:textId="77777777" w:rsidTr="0034421A">
        <w:trPr>
          <w:cantSplit/>
          <w:trHeight w:val="397"/>
        </w:trPr>
        <w:tc>
          <w:tcPr>
            <w:tcW w:w="579" w:type="pct"/>
          </w:tcPr>
          <w:p w14:paraId="487FD847" w14:textId="6A71A37E" w:rsidR="00072F52" w:rsidRPr="006104A6" w:rsidRDefault="00962582" w:rsidP="0034421A">
            <w:pPr>
              <w:pStyle w:val="TableText0"/>
              <w:keepNext w:val="0"/>
              <w:widowControl w:val="0"/>
              <w:rPr>
                <w:szCs w:val="20"/>
              </w:rPr>
            </w:pPr>
            <w:r w:rsidRPr="006104A6">
              <w:rPr>
                <w:szCs w:val="20"/>
              </w:rPr>
              <w:t>Wai 2023</w:t>
            </w:r>
          </w:p>
        </w:tc>
        <w:tc>
          <w:tcPr>
            <w:tcW w:w="3014" w:type="pct"/>
          </w:tcPr>
          <w:p w14:paraId="6B98F4A8" w14:textId="0FE71483" w:rsidR="00072F52" w:rsidRPr="006104A6" w:rsidRDefault="00007406" w:rsidP="0034421A">
            <w:pPr>
              <w:pStyle w:val="TableText0"/>
              <w:keepNext w:val="0"/>
              <w:widowControl w:val="0"/>
              <w:rPr>
                <w:szCs w:val="20"/>
              </w:rPr>
            </w:pPr>
            <w:r w:rsidRPr="006104A6">
              <w:rPr>
                <w:szCs w:val="20"/>
              </w:rPr>
              <w:t xml:space="preserve">Wai AK, Chan CY, Cheung AW, et al. Association of Molnupiravir and Nirmatrelvir-Ritonavir with preventable mortality, hospital admissions and related avoidable healthcare system cost among high-risk patients with mild to moderate COVID-19. </w:t>
            </w:r>
          </w:p>
        </w:tc>
        <w:tc>
          <w:tcPr>
            <w:tcW w:w="1407" w:type="pct"/>
          </w:tcPr>
          <w:p w14:paraId="696945D1" w14:textId="122867B8" w:rsidR="00EC3516" w:rsidRPr="006104A6" w:rsidRDefault="0085728A" w:rsidP="0034421A">
            <w:pPr>
              <w:pStyle w:val="TableText0"/>
              <w:keepNext w:val="0"/>
              <w:widowControl w:val="0"/>
              <w:rPr>
                <w:szCs w:val="20"/>
              </w:rPr>
            </w:pPr>
            <w:r w:rsidRPr="006104A6">
              <w:rPr>
                <w:iCs/>
                <w:szCs w:val="20"/>
              </w:rPr>
              <w:t>The Lancet Regional Health – Western Pacific.</w:t>
            </w:r>
            <w:r w:rsidRPr="006104A6">
              <w:rPr>
                <w:szCs w:val="20"/>
              </w:rPr>
              <w:t xml:space="preserve"> </w:t>
            </w:r>
            <w:r w:rsidR="00D40D43" w:rsidRPr="006104A6">
              <w:rPr>
                <w:szCs w:val="20"/>
              </w:rPr>
              <w:t>202</w:t>
            </w:r>
            <w:r w:rsidR="0006220F" w:rsidRPr="006104A6">
              <w:rPr>
                <w:szCs w:val="20"/>
              </w:rPr>
              <w:t>2</w:t>
            </w:r>
            <w:r w:rsidR="00D40D43" w:rsidRPr="006104A6">
              <w:rPr>
                <w:szCs w:val="20"/>
              </w:rPr>
              <w:t>:100602.</w:t>
            </w:r>
            <w:r w:rsidR="00EC3516" w:rsidRPr="006104A6">
              <w:rPr>
                <w:szCs w:val="20"/>
              </w:rPr>
              <w:t xml:space="preserve"> 202</w:t>
            </w:r>
            <w:r w:rsidR="00620DE1" w:rsidRPr="006104A6">
              <w:rPr>
                <w:szCs w:val="20"/>
              </w:rPr>
              <w:t>3</w:t>
            </w:r>
            <w:r w:rsidR="00EC3516" w:rsidRPr="006104A6">
              <w:rPr>
                <w:szCs w:val="20"/>
              </w:rPr>
              <w:t>;30:100602</w:t>
            </w:r>
          </w:p>
          <w:p w14:paraId="65EEBB34" w14:textId="1A9B68B9" w:rsidR="00072F52" w:rsidRPr="006104A6" w:rsidRDefault="00567EAC" w:rsidP="0034421A">
            <w:pPr>
              <w:pStyle w:val="TableText0"/>
              <w:keepNext w:val="0"/>
              <w:widowControl w:val="0"/>
              <w:rPr>
                <w:i/>
                <w:iCs/>
                <w:szCs w:val="20"/>
              </w:rPr>
            </w:pPr>
            <w:hyperlink r:id="rId19" w:history="1">
              <w:r w:rsidR="00620DE1" w:rsidRPr="006104A6">
                <w:rPr>
                  <w:rStyle w:val="Hyperlink"/>
                  <w:szCs w:val="20"/>
                </w:rPr>
                <w:t>https://doi.org/10.1016/j.lanwpc.2022.100602</w:t>
              </w:r>
            </w:hyperlink>
            <w:r w:rsidR="00620DE1" w:rsidRPr="006104A6">
              <w:rPr>
                <w:szCs w:val="20"/>
              </w:rPr>
              <w:t xml:space="preserve"> </w:t>
            </w:r>
          </w:p>
        </w:tc>
      </w:tr>
      <w:tr w:rsidR="00C30E21" w:rsidRPr="006104A6" w14:paraId="77A80E18" w14:textId="77777777" w:rsidTr="0034421A">
        <w:trPr>
          <w:cantSplit/>
        </w:trPr>
        <w:tc>
          <w:tcPr>
            <w:tcW w:w="5000" w:type="pct"/>
            <w:gridSpan w:val="3"/>
          </w:tcPr>
          <w:p w14:paraId="5CF32A3B" w14:textId="6943EF51" w:rsidR="00C30E21" w:rsidRPr="006104A6" w:rsidRDefault="005A319C" w:rsidP="0034421A">
            <w:pPr>
              <w:pStyle w:val="TableText0"/>
              <w:widowControl w:val="0"/>
              <w:rPr>
                <w:b/>
                <w:bCs w:val="0"/>
                <w:szCs w:val="20"/>
              </w:rPr>
            </w:pPr>
            <w:r w:rsidRPr="006104A6">
              <w:rPr>
                <w:b/>
                <w:bCs w:val="0"/>
                <w:szCs w:val="20"/>
              </w:rPr>
              <w:t>Systematic review</w:t>
            </w:r>
          </w:p>
        </w:tc>
      </w:tr>
      <w:tr w:rsidR="004767A0" w:rsidRPr="006104A6" w14:paraId="1B456161" w14:textId="77777777" w:rsidTr="0034421A">
        <w:trPr>
          <w:cantSplit/>
          <w:trHeight w:val="397"/>
        </w:trPr>
        <w:tc>
          <w:tcPr>
            <w:tcW w:w="582" w:type="pct"/>
          </w:tcPr>
          <w:p w14:paraId="0531A7CF" w14:textId="20155BFA" w:rsidR="004767A0" w:rsidRPr="006104A6" w:rsidRDefault="004767A0" w:rsidP="0034421A">
            <w:pPr>
              <w:pStyle w:val="TableText0"/>
              <w:keepNext w:val="0"/>
              <w:widowControl w:val="0"/>
              <w:rPr>
                <w:szCs w:val="20"/>
              </w:rPr>
            </w:pPr>
            <w:r w:rsidRPr="006104A6">
              <w:rPr>
                <w:szCs w:val="20"/>
              </w:rPr>
              <w:t>Lai</w:t>
            </w:r>
            <w:r w:rsidR="00466AC7" w:rsidRPr="006104A6">
              <w:rPr>
                <w:szCs w:val="20"/>
              </w:rPr>
              <w:t xml:space="preserve"> </w:t>
            </w:r>
            <w:r w:rsidRPr="006104A6">
              <w:rPr>
                <w:szCs w:val="20"/>
              </w:rPr>
              <w:t>2022</w:t>
            </w:r>
          </w:p>
        </w:tc>
        <w:tc>
          <w:tcPr>
            <w:tcW w:w="3011" w:type="pct"/>
          </w:tcPr>
          <w:p w14:paraId="49EDD48F" w14:textId="5FCC86CA" w:rsidR="004767A0" w:rsidRPr="006104A6" w:rsidRDefault="004767A0" w:rsidP="0034421A">
            <w:pPr>
              <w:pStyle w:val="TableText0"/>
              <w:keepNext w:val="0"/>
              <w:widowControl w:val="0"/>
              <w:rPr>
                <w:szCs w:val="20"/>
              </w:rPr>
            </w:pPr>
            <w:r w:rsidRPr="006104A6">
              <w:rPr>
                <w:szCs w:val="20"/>
              </w:rPr>
              <w:t xml:space="preserve">Lai CC, Wang YH, Chen KH, </w:t>
            </w:r>
            <w:r w:rsidR="00FC3E77" w:rsidRPr="006104A6">
              <w:rPr>
                <w:szCs w:val="20"/>
              </w:rPr>
              <w:t>et l</w:t>
            </w:r>
            <w:r w:rsidRPr="006104A6">
              <w:rPr>
                <w:szCs w:val="20"/>
              </w:rPr>
              <w:t>. The clinical efficacy and safety of anti-viral agents for non-hospitalized patients with COVID-19: a systematic review and network meta-analysis of randomized controlled trials.</w:t>
            </w:r>
          </w:p>
        </w:tc>
        <w:tc>
          <w:tcPr>
            <w:tcW w:w="1407" w:type="pct"/>
          </w:tcPr>
          <w:p w14:paraId="59152550" w14:textId="7741946A" w:rsidR="004767A0" w:rsidRPr="006104A6" w:rsidRDefault="00FC3E77" w:rsidP="0034421A">
            <w:pPr>
              <w:pStyle w:val="TableText0"/>
              <w:keepNext w:val="0"/>
              <w:widowControl w:val="0"/>
              <w:rPr>
                <w:szCs w:val="20"/>
              </w:rPr>
            </w:pPr>
            <w:r w:rsidRPr="006104A6">
              <w:rPr>
                <w:iCs/>
                <w:szCs w:val="20"/>
              </w:rPr>
              <w:t xml:space="preserve">Viruses. </w:t>
            </w:r>
            <w:r w:rsidRPr="006104A6">
              <w:rPr>
                <w:szCs w:val="20"/>
              </w:rPr>
              <w:t>2022;14(8):1706.</w:t>
            </w:r>
          </w:p>
        </w:tc>
      </w:tr>
    </w:tbl>
    <w:p w14:paraId="51D8173A" w14:textId="6596897F" w:rsidR="008E0D3C" w:rsidRPr="00C13E80" w:rsidRDefault="008E0D3C" w:rsidP="0034421A">
      <w:pPr>
        <w:pStyle w:val="FooterTableFigure"/>
        <w:widowControl w:val="0"/>
        <w:rPr>
          <w:sz w:val="20"/>
        </w:rPr>
      </w:pPr>
      <w:r w:rsidRPr="00C13E80">
        <w:t xml:space="preserve">Source: </w:t>
      </w:r>
      <w:r w:rsidR="00DB4F79" w:rsidRPr="00C13E80">
        <w:t>Table 2.2-1</w:t>
      </w:r>
      <w:r w:rsidRPr="00C13E80">
        <w:t>, pp</w:t>
      </w:r>
      <w:r w:rsidR="0034373C" w:rsidRPr="00C13E80">
        <w:t>37-38</w:t>
      </w:r>
      <w:r w:rsidRPr="00C13E80">
        <w:t xml:space="preserve"> of the submission</w:t>
      </w:r>
    </w:p>
    <w:p w14:paraId="15354482" w14:textId="3AE98F30" w:rsidR="00261BA1" w:rsidRPr="00C13E80" w:rsidRDefault="00F1235A" w:rsidP="00B46FE9">
      <w:pPr>
        <w:pStyle w:val="3-BodyText"/>
        <w:rPr>
          <w:rFonts w:ascii="Arial Narrow" w:eastAsiaTheme="majorEastAsia" w:hAnsi="Arial Narrow" w:cstheme="majorBidi"/>
          <w:b/>
          <w:sz w:val="20"/>
        </w:rPr>
      </w:pPr>
      <w:r w:rsidRPr="00C13E80">
        <w:rPr>
          <w:color w:val="000000" w:themeColor="text1"/>
        </w:rPr>
        <w:t xml:space="preserve">The </w:t>
      </w:r>
      <w:r w:rsidR="00E51537" w:rsidRPr="00C13E80">
        <w:rPr>
          <w:color w:val="000000" w:themeColor="text1"/>
        </w:rPr>
        <w:t xml:space="preserve">key features of the studies listed in </w:t>
      </w:r>
      <w:r w:rsidR="00E51537" w:rsidRPr="00C13E80">
        <w:rPr>
          <w:color w:val="000000" w:themeColor="text1"/>
        </w:rPr>
        <w:fldChar w:fldCharType="begin" w:fldLock="1"/>
      </w:r>
      <w:r w:rsidR="00E51537" w:rsidRPr="00C13E80">
        <w:rPr>
          <w:color w:val="000000" w:themeColor="text1"/>
        </w:rPr>
        <w:instrText xml:space="preserve"> REF _Ref104803956 \h </w:instrText>
      </w:r>
      <w:r w:rsidR="00E51537" w:rsidRPr="00C13E80">
        <w:rPr>
          <w:color w:val="000000" w:themeColor="text1"/>
        </w:rPr>
      </w:r>
      <w:r w:rsidR="00E51537" w:rsidRPr="00C13E80">
        <w:rPr>
          <w:color w:val="000000" w:themeColor="text1"/>
        </w:rPr>
        <w:fldChar w:fldCharType="separate"/>
      </w:r>
      <w:r w:rsidR="00701DEF" w:rsidRPr="00C13E80">
        <w:rPr>
          <w:color w:val="000000" w:themeColor="text1"/>
        </w:rPr>
        <w:t xml:space="preserve">Table </w:t>
      </w:r>
      <w:r w:rsidR="00701DEF">
        <w:rPr>
          <w:noProof/>
          <w:color w:val="000000" w:themeColor="text1"/>
        </w:rPr>
        <w:t>5</w:t>
      </w:r>
      <w:r w:rsidR="00E51537" w:rsidRPr="00C13E80">
        <w:rPr>
          <w:color w:val="000000" w:themeColor="text1"/>
        </w:rPr>
        <w:fldChar w:fldCharType="end"/>
      </w:r>
      <w:r w:rsidR="00E51537" w:rsidRPr="00C13E80">
        <w:rPr>
          <w:color w:val="000000" w:themeColor="text1"/>
        </w:rPr>
        <w:t xml:space="preserve"> are summarised in </w:t>
      </w:r>
      <w:r w:rsidR="00E51537" w:rsidRPr="00C13E80">
        <w:rPr>
          <w:color w:val="000000" w:themeColor="text1"/>
        </w:rPr>
        <w:fldChar w:fldCharType="begin" w:fldLock="1"/>
      </w:r>
      <w:r w:rsidR="00E51537" w:rsidRPr="00C13E80">
        <w:rPr>
          <w:color w:val="000000" w:themeColor="text1"/>
        </w:rPr>
        <w:instrText xml:space="preserve"> REF _Ref104804098 \h  \* MERGEFORMAT </w:instrText>
      </w:r>
      <w:r w:rsidR="00E51537" w:rsidRPr="00C13E80">
        <w:rPr>
          <w:color w:val="000000" w:themeColor="text1"/>
        </w:rPr>
      </w:r>
      <w:r w:rsidR="00E51537" w:rsidRPr="00C13E80">
        <w:rPr>
          <w:color w:val="000000" w:themeColor="text1"/>
        </w:rPr>
        <w:fldChar w:fldCharType="separate"/>
      </w:r>
      <w:r w:rsidR="00701DEF" w:rsidRPr="00701DEF">
        <w:rPr>
          <w:color w:val="000000" w:themeColor="text1"/>
        </w:rPr>
        <w:t>Table 6</w:t>
      </w:r>
      <w:r w:rsidR="00E51537" w:rsidRPr="00C13E80">
        <w:rPr>
          <w:color w:val="000000" w:themeColor="text1"/>
        </w:rPr>
        <w:fldChar w:fldCharType="end"/>
      </w:r>
      <w:r w:rsidR="00E51537" w:rsidRPr="00C13E80">
        <w:rPr>
          <w:color w:val="000000" w:themeColor="text1"/>
        </w:rPr>
        <w:t xml:space="preserve">. </w:t>
      </w:r>
      <w:r w:rsidR="008F120A" w:rsidRPr="00C13E80">
        <w:rPr>
          <w:color w:val="000000" w:themeColor="text1"/>
        </w:rPr>
        <w:t>The</w:t>
      </w:r>
      <w:r w:rsidR="0011379E" w:rsidRPr="00C13E80">
        <w:rPr>
          <w:color w:val="000000" w:themeColor="text1"/>
        </w:rPr>
        <w:t xml:space="preserve"> three</w:t>
      </w:r>
      <w:r w:rsidR="003D12ED" w:rsidRPr="00C13E80">
        <w:rPr>
          <w:color w:val="000000" w:themeColor="text1"/>
        </w:rPr>
        <w:t xml:space="preserve"> </w:t>
      </w:r>
      <w:r w:rsidR="00B40B6C" w:rsidRPr="00C13E80">
        <w:rPr>
          <w:color w:val="000000" w:themeColor="text1"/>
        </w:rPr>
        <w:t xml:space="preserve">RCTs </w:t>
      </w:r>
      <w:r w:rsidR="00E96608" w:rsidRPr="00C13E80">
        <w:rPr>
          <w:color w:val="000000" w:themeColor="text1"/>
        </w:rPr>
        <w:t xml:space="preserve">are associated with a low risk of bias. Although the PANORAMIC trial was an open-label trial, the key </w:t>
      </w:r>
      <w:r w:rsidR="00E96608" w:rsidRPr="00C13E80">
        <w:rPr>
          <w:color w:val="000000" w:themeColor="text1"/>
        </w:rPr>
        <w:lastRenderedPageBreak/>
        <w:t xml:space="preserve">outcomes </w:t>
      </w:r>
      <w:r w:rsidR="00E51537" w:rsidRPr="00C13E80">
        <w:rPr>
          <w:color w:val="000000" w:themeColor="text1"/>
        </w:rPr>
        <w:t xml:space="preserve">of interest to this submission </w:t>
      </w:r>
      <w:r w:rsidR="00ED2F88" w:rsidRPr="00C13E80">
        <w:rPr>
          <w:color w:val="000000" w:themeColor="text1"/>
        </w:rPr>
        <w:t xml:space="preserve">(i.e., rates of hospitalisation and death) </w:t>
      </w:r>
      <w:r w:rsidR="00E51537" w:rsidRPr="00C13E80">
        <w:rPr>
          <w:color w:val="000000" w:themeColor="text1"/>
        </w:rPr>
        <w:t>are relatively objective outcomes.</w:t>
      </w:r>
      <w:r w:rsidR="00261BA1" w:rsidRPr="00C13E80">
        <w:rPr>
          <w:color w:val="000000" w:themeColor="text1"/>
        </w:rPr>
        <w:t xml:space="preserve"> </w:t>
      </w:r>
      <w:r w:rsidR="00261BA1" w:rsidRPr="00C13E80">
        <w:rPr>
          <w:iCs/>
        </w:rPr>
        <w:t>All of the observational studies</w:t>
      </w:r>
      <w:r w:rsidR="00585A82" w:rsidRPr="00C13E80">
        <w:rPr>
          <w:iCs/>
        </w:rPr>
        <w:t xml:space="preserve"> </w:t>
      </w:r>
      <w:r w:rsidRPr="00C13E80">
        <w:rPr>
          <w:iCs/>
        </w:rPr>
        <w:t>could be considered to be associated with a high risk of bias given that</w:t>
      </w:r>
      <w:r w:rsidR="00FF43F5" w:rsidRPr="00C13E80">
        <w:rPr>
          <w:iCs/>
        </w:rPr>
        <w:t xml:space="preserve"> </w:t>
      </w:r>
      <w:r w:rsidR="00B87AF2" w:rsidRPr="00C13E80">
        <w:rPr>
          <w:iCs/>
        </w:rPr>
        <w:t xml:space="preserve">all of </w:t>
      </w:r>
      <w:r w:rsidR="00FF43F5" w:rsidRPr="00C13E80">
        <w:rPr>
          <w:iCs/>
        </w:rPr>
        <w:t xml:space="preserve">studies were retrospective </w:t>
      </w:r>
      <w:r w:rsidR="00A12BCA" w:rsidRPr="00C13E80">
        <w:rPr>
          <w:iCs/>
        </w:rPr>
        <w:t xml:space="preserve">cohort </w:t>
      </w:r>
      <w:r w:rsidR="00FF43F5" w:rsidRPr="00C13E80">
        <w:rPr>
          <w:iCs/>
        </w:rPr>
        <w:t>studies and are thus</w:t>
      </w:r>
      <w:r w:rsidR="00585A82" w:rsidRPr="00C13E80">
        <w:rPr>
          <w:iCs/>
        </w:rPr>
        <w:t xml:space="preserve"> subject to </w:t>
      </w:r>
      <w:r w:rsidR="00B87AF2" w:rsidRPr="00C13E80">
        <w:rPr>
          <w:iCs/>
        </w:rPr>
        <w:t>confounding due to</w:t>
      </w:r>
      <w:r w:rsidR="00D76220" w:rsidRPr="00C13E80">
        <w:rPr>
          <w:iCs/>
        </w:rPr>
        <w:t xml:space="preserve"> </w:t>
      </w:r>
      <w:r w:rsidR="00F12E2E" w:rsidRPr="00C13E80">
        <w:rPr>
          <w:iCs/>
        </w:rPr>
        <w:t xml:space="preserve">potential </w:t>
      </w:r>
      <w:r w:rsidR="00CD4446" w:rsidRPr="00C13E80">
        <w:rPr>
          <w:iCs/>
        </w:rPr>
        <w:t>for differences across treatment groups in</w:t>
      </w:r>
      <w:r w:rsidR="00F12E2E" w:rsidRPr="00C13E80">
        <w:rPr>
          <w:iCs/>
        </w:rPr>
        <w:t xml:space="preserve"> unreported</w:t>
      </w:r>
      <w:r w:rsidR="00D76220" w:rsidRPr="00C13E80">
        <w:rPr>
          <w:iCs/>
        </w:rPr>
        <w:t xml:space="preserve"> or unmeasured patient characteristics.</w:t>
      </w:r>
      <w:r w:rsidR="008E5A68" w:rsidRPr="00C13E80">
        <w:rPr>
          <w:iCs/>
        </w:rPr>
        <w:t xml:space="preserve"> The indirect compar</w:t>
      </w:r>
      <w:r w:rsidR="001E0FF2" w:rsidRPr="00C13E80">
        <w:rPr>
          <w:iCs/>
        </w:rPr>
        <w:t>ison present</w:t>
      </w:r>
      <w:r w:rsidR="00C01588" w:rsidRPr="00C13E80">
        <w:rPr>
          <w:iCs/>
        </w:rPr>
        <w:t>ed</w:t>
      </w:r>
      <w:r w:rsidR="001E0FF2" w:rsidRPr="00C13E80">
        <w:rPr>
          <w:iCs/>
        </w:rPr>
        <w:t xml:space="preserve"> by Lai 2022 is also associated with a </w:t>
      </w:r>
      <w:r w:rsidR="00A315C2" w:rsidRPr="00C13E80">
        <w:rPr>
          <w:iCs/>
        </w:rPr>
        <w:t>moderate</w:t>
      </w:r>
      <w:r w:rsidR="001E0FF2" w:rsidRPr="00C13E80">
        <w:rPr>
          <w:iCs/>
        </w:rPr>
        <w:t xml:space="preserve"> risk of bias. Even though the </w:t>
      </w:r>
      <w:r w:rsidR="00867495" w:rsidRPr="00C13E80">
        <w:rPr>
          <w:iCs/>
        </w:rPr>
        <w:t>analysis is based on outcomes of RCTs (MOVe-OUT trial for molnupiravir and the</w:t>
      </w:r>
      <w:r w:rsidR="00761A16" w:rsidRPr="00C13E80">
        <w:rPr>
          <w:iCs/>
        </w:rPr>
        <w:t xml:space="preserve"> EPIC-HR trial for nirmatrelvir and ritonavir), as with any indirect comparison, there is a risk of differences in </w:t>
      </w:r>
      <w:r w:rsidR="00EB6E89" w:rsidRPr="00C13E80">
        <w:rPr>
          <w:iCs/>
        </w:rPr>
        <w:t>unreported or unmeasured patient characteristics</w:t>
      </w:r>
      <w:r w:rsidR="00A315C2" w:rsidRPr="00C13E80">
        <w:rPr>
          <w:iCs/>
        </w:rPr>
        <w:t xml:space="preserve"> in the two trials.</w:t>
      </w:r>
    </w:p>
    <w:p w14:paraId="5F6AE2FA" w14:textId="48E21EE6" w:rsidR="00E9034B" w:rsidRPr="00C13E80" w:rsidRDefault="00F910CB" w:rsidP="00B46FE9">
      <w:pPr>
        <w:pStyle w:val="3-BodyText"/>
        <w:rPr>
          <w:iCs/>
        </w:rPr>
      </w:pPr>
      <w:r w:rsidRPr="00C13E80">
        <w:t>The submission described that although observational studies have a lower level of internal validity compared to RCTs, when properly designed to minimise confounding and undertaken in the appropriate populations, they provide valuable information about the effectiveness of COVID-19 interventions in clinical practice, which may be particularly relevant for older populations</w:t>
      </w:r>
      <w:r w:rsidR="00F870EA" w:rsidRPr="00C13E80">
        <w:t xml:space="preserve">. </w:t>
      </w:r>
      <w:r w:rsidRPr="00C13E80">
        <w:t xml:space="preserve">The submission suggested that the identified observational studies therefore provided a higher level of external applicability </w:t>
      </w:r>
      <w:r w:rsidR="000D09F3" w:rsidRPr="00C13E80">
        <w:t xml:space="preserve">to the intended PBS population compared with </w:t>
      </w:r>
      <w:r w:rsidRPr="00C13E80">
        <w:t>the RCTs</w:t>
      </w:r>
      <w:r w:rsidR="00F870EA" w:rsidRPr="00C13E80">
        <w:t xml:space="preserve">. </w:t>
      </w:r>
      <w:r w:rsidR="000D09F3" w:rsidRPr="00C13E80">
        <w:rPr>
          <w:iCs/>
        </w:rPr>
        <w:t xml:space="preserve">The </w:t>
      </w:r>
      <w:r w:rsidR="0076565E">
        <w:rPr>
          <w:iCs/>
        </w:rPr>
        <w:t xml:space="preserve">PBAC agreed with the </w:t>
      </w:r>
      <w:r w:rsidR="000D09F3" w:rsidRPr="00C13E80">
        <w:rPr>
          <w:iCs/>
        </w:rPr>
        <w:t xml:space="preserve">ESC that the randomised trials for molnupiravir and </w:t>
      </w:r>
      <w:r w:rsidR="00A62148" w:rsidRPr="00C13E80">
        <w:rPr>
          <w:iCs/>
        </w:rPr>
        <w:t>nirmatrelvir and ritonavir</w:t>
      </w:r>
      <w:r w:rsidR="000D09F3" w:rsidRPr="00C13E80">
        <w:rPr>
          <w:iCs/>
        </w:rPr>
        <w:t xml:space="preserve"> (MOVe OUT and EPIC-HR, respectively) remained relevant to the assessment of the potential benefits and harms associated with these treatments, while acknowledging the concerns raised by the PBAC previously with respect to applicability of evidence</w:t>
      </w:r>
      <w:r w:rsidR="00DD467C">
        <w:rPr>
          <w:iCs/>
        </w:rPr>
        <w:t xml:space="preserve"> </w:t>
      </w:r>
      <w:r w:rsidR="000D09F3" w:rsidRPr="00C13E80">
        <w:rPr>
          <w:iCs/>
        </w:rPr>
        <w:t>(see paragraph</w:t>
      </w:r>
      <w:r w:rsidR="00C95D11">
        <w:rPr>
          <w:iCs/>
        </w:rPr>
        <w:t xml:space="preserve"> </w:t>
      </w:r>
      <w:r w:rsidR="00C95D11">
        <w:rPr>
          <w:iCs/>
        </w:rPr>
        <w:fldChar w:fldCharType="begin" w:fldLock="1"/>
      </w:r>
      <w:r w:rsidR="00C95D11">
        <w:rPr>
          <w:iCs/>
        </w:rPr>
        <w:instrText xml:space="preserve"> REF _Ref142395905 \r \h </w:instrText>
      </w:r>
      <w:r w:rsidR="00C95D11">
        <w:rPr>
          <w:iCs/>
        </w:rPr>
      </w:r>
      <w:r w:rsidR="00C95D11">
        <w:rPr>
          <w:iCs/>
        </w:rPr>
        <w:fldChar w:fldCharType="separate"/>
      </w:r>
      <w:r w:rsidR="00701DEF">
        <w:rPr>
          <w:iCs/>
        </w:rPr>
        <w:t>6.21</w:t>
      </w:r>
      <w:r w:rsidR="00C95D11">
        <w:rPr>
          <w:iCs/>
        </w:rPr>
        <w:fldChar w:fldCharType="end"/>
      </w:r>
      <w:r w:rsidR="007C7379">
        <w:rPr>
          <w:iCs/>
        </w:rPr>
        <w:t>).</w:t>
      </w:r>
      <w:r w:rsidR="000D09F3" w:rsidRPr="00C13E80">
        <w:rPr>
          <w:iCs/>
        </w:rPr>
        <w:t xml:space="preserve"> </w:t>
      </w:r>
    </w:p>
    <w:p w14:paraId="355E2F15" w14:textId="117EAC98" w:rsidR="007F1017" w:rsidRPr="00C13E80" w:rsidRDefault="00696EF9" w:rsidP="00C42073">
      <w:pPr>
        <w:pStyle w:val="TableFigureHeading"/>
        <w:rPr>
          <w:rStyle w:val="CommentReference"/>
          <w:b/>
          <w:szCs w:val="24"/>
        </w:rPr>
      </w:pPr>
      <w:bookmarkStart w:id="43" w:name="_Ref104804098"/>
      <w:r w:rsidRPr="00C13E80">
        <w:rPr>
          <w:rStyle w:val="CommentReference"/>
          <w:b/>
          <w:szCs w:val="24"/>
        </w:rPr>
        <w:t xml:space="preserve">Table </w:t>
      </w:r>
      <w:r w:rsidR="00A375F1" w:rsidRPr="00C13E80">
        <w:rPr>
          <w:rStyle w:val="CommentReference"/>
          <w:b/>
          <w:szCs w:val="24"/>
        </w:rPr>
        <w:fldChar w:fldCharType="begin" w:fldLock="1"/>
      </w:r>
      <w:r w:rsidR="00A375F1" w:rsidRPr="00C13E80">
        <w:rPr>
          <w:rStyle w:val="CommentReference"/>
          <w:b/>
          <w:szCs w:val="24"/>
        </w:rPr>
        <w:instrText xml:space="preserve"> SEQ Table \* ARABIC </w:instrText>
      </w:r>
      <w:r w:rsidR="00A375F1" w:rsidRPr="00C13E80">
        <w:rPr>
          <w:rStyle w:val="CommentReference"/>
          <w:b/>
          <w:szCs w:val="24"/>
        </w:rPr>
        <w:fldChar w:fldCharType="separate"/>
      </w:r>
      <w:r w:rsidR="00701DEF">
        <w:rPr>
          <w:rStyle w:val="CommentReference"/>
          <w:b/>
          <w:noProof/>
          <w:szCs w:val="24"/>
        </w:rPr>
        <w:t>6</w:t>
      </w:r>
      <w:r w:rsidR="00A375F1" w:rsidRPr="00C13E80">
        <w:rPr>
          <w:rStyle w:val="CommentReference"/>
          <w:b/>
          <w:szCs w:val="24"/>
        </w:rPr>
        <w:fldChar w:fldCharType="end"/>
      </w:r>
      <w:bookmarkEnd w:id="43"/>
      <w:r w:rsidR="00D6076E" w:rsidRPr="00C13E80">
        <w:rPr>
          <w:rStyle w:val="CommentReference"/>
          <w:b/>
          <w:szCs w:val="24"/>
        </w:rPr>
        <w:t xml:space="preserve">: </w:t>
      </w:r>
      <w:r w:rsidR="007F1017" w:rsidRPr="00C13E80">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5"/>
        <w:gridCol w:w="703"/>
        <w:gridCol w:w="988"/>
        <w:gridCol w:w="1127"/>
        <w:gridCol w:w="563"/>
        <w:gridCol w:w="2011"/>
        <w:gridCol w:w="1277"/>
        <w:gridCol w:w="1223"/>
      </w:tblGrid>
      <w:tr w:rsidR="00137375" w:rsidRPr="00C13E80" w14:paraId="53DD7CC6" w14:textId="77777777" w:rsidTr="006104A6">
        <w:trPr>
          <w:cantSplit/>
          <w:tblHeader/>
        </w:trPr>
        <w:tc>
          <w:tcPr>
            <w:tcW w:w="624" w:type="pct"/>
            <w:shd w:val="clear" w:color="auto" w:fill="D9D9D9" w:themeFill="background1" w:themeFillShade="D9"/>
            <w:vAlign w:val="center"/>
          </w:tcPr>
          <w:p w14:paraId="794116BC" w14:textId="03E4787E" w:rsidR="00946870" w:rsidRPr="00C13E80" w:rsidRDefault="00946870" w:rsidP="00DB22E4">
            <w:pPr>
              <w:pStyle w:val="In-tableHeading"/>
              <w:keepNext w:val="0"/>
              <w:widowControl w:val="0"/>
              <w:rPr>
                <w:lang w:val="en-AU"/>
              </w:rPr>
            </w:pPr>
            <w:r w:rsidRPr="00C13E80">
              <w:rPr>
                <w:lang w:val="en-AU"/>
              </w:rPr>
              <w:t>Study</w:t>
            </w:r>
          </w:p>
        </w:tc>
        <w:tc>
          <w:tcPr>
            <w:tcW w:w="390" w:type="pct"/>
            <w:shd w:val="clear" w:color="auto" w:fill="D9D9D9" w:themeFill="background1" w:themeFillShade="D9"/>
            <w:vAlign w:val="center"/>
          </w:tcPr>
          <w:p w14:paraId="51122FE5" w14:textId="77777777" w:rsidR="00946870" w:rsidRPr="00C13E80" w:rsidRDefault="00946870" w:rsidP="00DB22E4">
            <w:pPr>
              <w:pStyle w:val="In-tableHeading"/>
              <w:keepNext w:val="0"/>
              <w:widowControl w:val="0"/>
              <w:jc w:val="center"/>
              <w:rPr>
                <w:lang w:val="en-AU"/>
              </w:rPr>
            </w:pPr>
            <w:r w:rsidRPr="00C13E80">
              <w:rPr>
                <w:lang w:val="en-AU"/>
              </w:rPr>
              <w:t>N</w:t>
            </w:r>
          </w:p>
        </w:tc>
        <w:tc>
          <w:tcPr>
            <w:tcW w:w="548" w:type="pct"/>
            <w:shd w:val="clear" w:color="auto" w:fill="D9D9D9" w:themeFill="background1" w:themeFillShade="D9"/>
            <w:vAlign w:val="center"/>
          </w:tcPr>
          <w:p w14:paraId="64F1BA28" w14:textId="2074A64C" w:rsidR="00946870" w:rsidRPr="00C13E80" w:rsidRDefault="00946870" w:rsidP="00DB22E4">
            <w:pPr>
              <w:pStyle w:val="In-tableHeading"/>
              <w:keepNext w:val="0"/>
              <w:widowControl w:val="0"/>
              <w:jc w:val="center"/>
              <w:rPr>
                <w:lang w:val="en-AU"/>
              </w:rPr>
            </w:pPr>
            <w:r w:rsidRPr="00C13E80">
              <w:rPr>
                <w:lang w:val="en-AU"/>
              </w:rPr>
              <w:t>Setting</w:t>
            </w:r>
          </w:p>
        </w:tc>
        <w:tc>
          <w:tcPr>
            <w:tcW w:w="625" w:type="pct"/>
            <w:shd w:val="clear" w:color="auto" w:fill="D9D9D9" w:themeFill="background1" w:themeFillShade="D9"/>
            <w:vAlign w:val="center"/>
          </w:tcPr>
          <w:p w14:paraId="41C438EF" w14:textId="035B69AD" w:rsidR="00946870" w:rsidRPr="00C13E80" w:rsidRDefault="00946870" w:rsidP="00DB22E4">
            <w:pPr>
              <w:pStyle w:val="In-tableHeading"/>
              <w:keepNext w:val="0"/>
              <w:widowControl w:val="0"/>
              <w:jc w:val="center"/>
              <w:rPr>
                <w:lang w:val="en-AU"/>
              </w:rPr>
            </w:pPr>
            <w:r w:rsidRPr="00C13E80">
              <w:rPr>
                <w:lang w:val="en-AU"/>
              </w:rPr>
              <w:t>Design/ duration</w:t>
            </w:r>
          </w:p>
        </w:tc>
        <w:tc>
          <w:tcPr>
            <w:tcW w:w="312" w:type="pct"/>
            <w:shd w:val="clear" w:color="auto" w:fill="D9D9D9" w:themeFill="background1" w:themeFillShade="D9"/>
            <w:vAlign w:val="center"/>
          </w:tcPr>
          <w:p w14:paraId="1FC91360" w14:textId="77777777" w:rsidR="00946870" w:rsidRPr="00C13E80" w:rsidRDefault="00946870" w:rsidP="00DB22E4">
            <w:pPr>
              <w:pStyle w:val="In-tableHeading"/>
              <w:keepNext w:val="0"/>
              <w:widowControl w:val="0"/>
              <w:jc w:val="center"/>
              <w:rPr>
                <w:lang w:val="en-AU"/>
              </w:rPr>
            </w:pPr>
            <w:r w:rsidRPr="00C13E80">
              <w:rPr>
                <w:lang w:val="en-AU"/>
              </w:rPr>
              <w:t>Risk of bias</w:t>
            </w:r>
          </w:p>
        </w:tc>
        <w:tc>
          <w:tcPr>
            <w:tcW w:w="1115" w:type="pct"/>
            <w:shd w:val="clear" w:color="auto" w:fill="D9D9D9" w:themeFill="background1" w:themeFillShade="D9"/>
            <w:vAlign w:val="center"/>
          </w:tcPr>
          <w:p w14:paraId="7FF90896" w14:textId="77777777" w:rsidR="00946870" w:rsidRPr="00C13E80" w:rsidRDefault="00946870" w:rsidP="00DB22E4">
            <w:pPr>
              <w:pStyle w:val="In-tableHeading"/>
              <w:keepNext w:val="0"/>
              <w:widowControl w:val="0"/>
              <w:jc w:val="center"/>
              <w:rPr>
                <w:lang w:val="en-AU"/>
              </w:rPr>
            </w:pPr>
            <w:r w:rsidRPr="00C13E80">
              <w:rPr>
                <w:lang w:val="en-AU"/>
              </w:rPr>
              <w:t>Patient population</w:t>
            </w:r>
          </w:p>
        </w:tc>
        <w:tc>
          <w:tcPr>
            <w:tcW w:w="708" w:type="pct"/>
            <w:shd w:val="clear" w:color="auto" w:fill="D9D9D9" w:themeFill="background1" w:themeFillShade="D9"/>
            <w:vAlign w:val="center"/>
          </w:tcPr>
          <w:p w14:paraId="0FCB63F9" w14:textId="5C9A7D6B" w:rsidR="00946870" w:rsidRPr="00C13E80" w:rsidRDefault="00946870" w:rsidP="00DB22E4">
            <w:pPr>
              <w:pStyle w:val="In-tableHeading"/>
              <w:keepNext w:val="0"/>
              <w:widowControl w:val="0"/>
              <w:jc w:val="center"/>
              <w:rPr>
                <w:lang w:val="en-AU"/>
              </w:rPr>
            </w:pPr>
            <w:r w:rsidRPr="00C13E80">
              <w:rPr>
                <w:lang w:val="en-AU"/>
              </w:rPr>
              <w:t>Outcome</w:t>
            </w:r>
            <w:r w:rsidR="00D60C61" w:rsidRPr="00C13E80">
              <w:rPr>
                <w:lang w:val="en-AU"/>
              </w:rPr>
              <w:t>s of interest</w:t>
            </w:r>
          </w:p>
        </w:tc>
        <w:tc>
          <w:tcPr>
            <w:tcW w:w="679" w:type="pct"/>
            <w:shd w:val="clear" w:color="auto" w:fill="D9D9D9" w:themeFill="background1" w:themeFillShade="D9"/>
            <w:vAlign w:val="center"/>
          </w:tcPr>
          <w:p w14:paraId="08C6F624" w14:textId="77777777" w:rsidR="00946870" w:rsidRPr="00C13E80" w:rsidRDefault="00946870" w:rsidP="00DB22E4">
            <w:pPr>
              <w:pStyle w:val="In-tableHeading"/>
              <w:keepNext w:val="0"/>
              <w:widowControl w:val="0"/>
              <w:jc w:val="center"/>
              <w:rPr>
                <w:lang w:val="en-AU"/>
              </w:rPr>
            </w:pPr>
            <w:r w:rsidRPr="00C13E80">
              <w:rPr>
                <w:lang w:val="en-AU"/>
              </w:rPr>
              <w:t>Use in modelled evaluation</w:t>
            </w:r>
          </w:p>
        </w:tc>
      </w:tr>
      <w:tr w:rsidR="00137375" w:rsidRPr="00C13E80" w14:paraId="4EE88DCB" w14:textId="77777777" w:rsidTr="006104A6">
        <w:trPr>
          <w:cantSplit/>
        </w:trPr>
        <w:tc>
          <w:tcPr>
            <w:tcW w:w="624" w:type="pct"/>
            <w:shd w:val="clear" w:color="auto" w:fill="auto"/>
            <w:vAlign w:val="center"/>
          </w:tcPr>
          <w:p w14:paraId="6EE77D33" w14:textId="1F42F18D" w:rsidR="00946870" w:rsidRPr="00C13E80" w:rsidRDefault="00946870" w:rsidP="00DB22E4">
            <w:pPr>
              <w:pStyle w:val="TableText0"/>
              <w:keepNext w:val="0"/>
              <w:widowControl w:val="0"/>
            </w:pPr>
            <w:r w:rsidRPr="00C13E80">
              <w:t>MOVe-OUT</w:t>
            </w:r>
          </w:p>
        </w:tc>
        <w:tc>
          <w:tcPr>
            <w:tcW w:w="390" w:type="pct"/>
            <w:shd w:val="clear" w:color="auto" w:fill="auto"/>
            <w:vAlign w:val="center"/>
          </w:tcPr>
          <w:p w14:paraId="41BB0E41" w14:textId="70427851" w:rsidR="00946870" w:rsidRPr="00C13E80" w:rsidRDefault="00946870" w:rsidP="00DB22E4">
            <w:pPr>
              <w:pStyle w:val="TableText0"/>
              <w:keepNext w:val="0"/>
              <w:widowControl w:val="0"/>
              <w:jc w:val="center"/>
            </w:pPr>
            <w:r w:rsidRPr="00C13E80">
              <w:t>1,433</w:t>
            </w:r>
          </w:p>
        </w:tc>
        <w:tc>
          <w:tcPr>
            <w:tcW w:w="548" w:type="pct"/>
            <w:vAlign w:val="center"/>
          </w:tcPr>
          <w:p w14:paraId="105D727B" w14:textId="5A40C4DA" w:rsidR="00946870" w:rsidRPr="00C13E80" w:rsidRDefault="003B6F01" w:rsidP="00DB22E4">
            <w:pPr>
              <w:pStyle w:val="TableText0"/>
              <w:keepNext w:val="0"/>
              <w:widowControl w:val="0"/>
              <w:jc w:val="center"/>
            </w:pPr>
            <w:r w:rsidRPr="00C13E80">
              <w:t>International</w:t>
            </w:r>
          </w:p>
        </w:tc>
        <w:tc>
          <w:tcPr>
            <w:tcW w:w="625" w:type="pct"/>
            <w:shd w:val="clear" w:color="auto" w:fill="auto"/>
            <w:vAlign w:val="center"/>
          </w:tcPr>
          <w:p w14:paraId="6AFC5E86" w14:textId="7231F009" w:rsidR="00176960" w:rsidRPr="00C13E80" w:rsidRDefault="00946870" w:rsidP="00DB22E4">
            <w:pPr>
              <w:pStyle w:val="TableText0"/>
              <w:keepNext w:val="0"/>
              <w:widowControl w:val="0"/>
              <w:jc w:val="center"/>
            </w:pPr>
            <w:r w:rsidRPr="00C13E80">
              <w:t>R, DB</w:t>
            </w:r>
            <w:r w:rsidR="00650506" w:rsidRPr="00C13E80">
              <w:t>, MC</w:t>
            </w:r>
          </w:p>
          <w:p w14:paraId="615E3F24" w14:textId="2E6F9268" w:rsidR="00176960" w:rsidRPr="00C13E80" w:rsidRDefault="006D23A8" w:rsidP="00DB22E4">
            <w:pPr>
              <w:pStyle w:val="TableText0"/>
              <w:keepNext w:val="0"/>
              <w:widowControl w:val="0"/>
              <w:jc w:val="center"/>
            </w:pPr>
            <w:r w:rsidRPr="00C13E80">
              <w:t>4 weeks</w:t>
            </w:r>
            <w:r w:rsidR="00B87A4F" w:rsidRPr="00C13E80">
              <w:t xml:space="preserve"> follow-up</w:t>
            </w:r>
          </w:p>
          <w:p w14:paraId="744D08AC" w14:textId="7F0797FA" w:rsidR="008B62D5" w:rsidRPr="00C13E80" w:rsidRDefault="008B62D5" w:rsidP="00DB22E4">
            <w:pPr>
              <w:pStyle w:val="TableText0"/>
              <w:keepNext w:val="0"/>
              <w:widowControl w:val="0"/>
              <w:jc w:val="center"/>
            </w:pPr>
            <w:r w:rsidRPr="00C13E80">
              <w:t>May-Nov 2021</w:t>
            </w:r>
          </w:p>
        </w:tc>
        <w:tc>
          <w:tcPr>
            <w:tcW w:w="312" w:type="pct"/>
            <w:shd w:val="clear" w:color="auto" w:fill="auto"/>
            <w:vAlign w:val="center"/>
          </w:tcPr>
          <w:p w14:paraId="4A529D74" w14:textId="77777777" w:rsidR="00946870" w:rsidRPr="00C13E80" w:rsidRDefault="00946870" w:rsidP="00DB22E4">
            <w:pPr>
              <w:pStyle w:val="TableText0"/>
              <w:keepNext w:val="0"/>
              <w:widowControl w:val="0"/>
              <w:jc w:val="center"/>
            </w:pPr>
            <w:r w:rsidRPr="00C13E80">
              <w:t>Low</w:t>
            </w:r>
          </w:p>
        </w:tc>
        <w:tc>
          <w:tcPr>
            <w:tcW w:w="1115" w:type="pct"/>
            <w:shd w:val="clear" w:color="auto" w:fill="auto"/>
            <w:vAlign w:val="center"/>
          </w:tcPr>
          <w:p w14:paraId="5E6F456D" w14:textId="2281305D" w:rsidR="00946870" w:rsidRPr="00C13E80" w:rsidRDefault="005B2DCC" w:rsidP="00DB22E4">
            <w:pPr>
              <w:pStyle w:val="TableText0"/>
              <w:keepNext w:val="0"/>
              <w:widowControl w:val="0"/>
              <w:jc w:val="center"/>
            </w:pPr>
            <w:r w:rsidRPr="00C13E80">
              <w:t>Non-hospitalised, unvaccinated adults with mild or moderate COVID and ≥1 risk factor diagnosed within 5 days of symptom onset</w:t>
            </w:r>
          </w:p>
        </w:tc>
        <w:tc>
          <w:tcPr>
            <w:tcW w:w="708" w:type="pct"/>
            <w:shd w:val="clear" w:color="auto" w:fill="auto"/>
            <w:vAlign w:val="center"/>
          </w:tcPr>
          <w:p w14:paraId="6DC76214" w14:textId="3BF4778A" w:rsidR="00946870" w:rsidRPr="00C13E80" w:rsidRDefault="001A2977" w:rsidP="00DB22E4">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150A804C" w14:textId="6E9ED11E" w:rsidR="00946870" w:rsidRPr="00C13E80" w:rsidRDefault="004C465D" w:rsidP="00DB22E4">
            <w:pPr>
              <w:pStyle w:val="TableText0"/>
              <w:keepNext w:val="0"/>
              <w:widowControl w:val="0"/>
              <w:jc w:val="center"/>
            </w:pPr>
            <w:r w:rsidRPr="00C13E80">
              <w:t>Not use</w:t>
            </w:r>
            <w:r w:rsidR="001417CC" w:rsidRPr="00C13E80">
              <w:t>d</w:t>
            </w:r>
          </w:p>
        </w:tc>
      </w:tr>
      <w:tr w:rsidR="00137375" w:rsidRPr="00C13E80" w14:paraId="4481560A" w14:textId="77777777" w:rsidTr="006104A6">
        <w:trPr>
          <w:cantSplit/>
        </w:trPr>
        <w:tc>
          <w:tcPr>
            <w:tcW w:w="624" w:type="pct"/>
            <w:shd w:val="clear" w:color="auto" w:fill="auto"/>
            <w:vAlign w:val="center"/>
          </w:tcPr>
          <w:p w14:paraId="0A14395C" w14:textId="5CD87508" w:rsidR="00B411A3" w:rsidRPr="00C13E80" w:rsidRDefault="00B411A3" w:rsidP="00DB22E4">
            <w:pPr>
              <w:pStyle w:val="TableText0"/>
              <w:keepNext w:val="0"/>
              <w:widowControl w:val="0"/>
            </w:pPr>
            <w:r w:rsidRPr="00C13E80">
              <w:t>EPIC-HR</w:t>
            </w:r>
          </w:p>
        </w:tc>
        <w:tc>
          <w:tcPr>
            <w:tcW w:w="390" w:type="pct"/>
            <w:shd w:val="clear" w:color="auto" w:fill="auto"/>
            <w:vAlign w:val="center"/>
          </w:tcPr>
          <w:p w14:paraId="44E9247C" w14:textId="1A62D845" w:rsidR="00B411A3" w:rsidRPr="00C13E80" w:rsidRDefault="000A0F64" w:rsidP="00DB22E4">
            <w:pPr>
              <w:pStyle w:val="TableText0"/>
              <w:keepNext w:val="0"/>
              <w:widowControl w:val="0"/>
              <w:jc w:val="center"/>
            </w:pPr>
            <w:r w:rsidRPr="00C13E80">
              <w:t>2,246</w:t>
            </w:r>
          </w:p>
        </w:tc>
        <w:tc>
          <w:tcPr>
            <w:tcW w:w="548" w:type="pct"/>
            <w:vAlign w:val="center"/>
          </w:tcPr>
          <w:p w14:paraId="3F298D60" w14:textId="4D7ECBB3" w:rsidR="00B411A3" w:rsidRPr="00C13E80" w:rsidRDefault="000A0F64" w:rsidP="00DB22E4">
            <w:pPr>
              <w:pStyle w:val="TableText0"/>
              <w:keepNext w:val="0"/>
              <w:widowControl w:val="0"/>
              <w:jc w:val="center"/>
            </w:pPr>
            <w:r w:rsidRPr="00C13E80">
              <w:t>International</w:t>
            </w:r>
          </w:p>
        </w:tc>
        <w:tc>
          <w:tcPr>
            <w:tcW w:w="625" w:type="pct"/>
            <w:shd w:val="clear" w:color="auto" w:fill="auto"/>
            <w:vAlign w:val="center"/>
          </w:tcPr>
          <w:p w14:paraId="4E3436FD" w14:textId="566851AF" w:rsidR="00B411A3" w:rsidRPr="00C13E80" w:rsidRDefault="000A0F64" w:rsidP="00DB22E4">
            <w:pPr>
              <w:pStyle w:val="TableText0"/>
              <w:keepNext w:val="0"/>
              <w:widowControl w:val="0"/>
              <w:jc w:val="center"/>
            </w:pPr>
            <w:r w:rsidRPr="00C13E80">
              <w:t>R, DB</w:t>
            </w:r>
            <w:r w:rsidR="00650506" w:rsidRPr="00C13E80">
              <w:t>, MC</w:t>
            </w:r>
          </w:p>
          <w:p w14:paraId="7A1E4045" w14:textId="5BD2E9BE" w:rsidR="00F57210" w:rsidRPr="00C13E80" w:rsidRDefault="006D23A8" w:rsidP="00DB22E4">
            <w:pPr>
              <w:pStyle w:val="TableText0"/>
              <w:keepNext w:val="0"/>
              <w:widowControl w:val="0"/>
              <w:jc w:val="center"/>
            </w:pPr>
            <w:r w:rsidRPr="00C13E80">
              <w:t>4 weeks</w:t>
            </w:r>
            <w:r w:rsidR="00B87A4F" w:rsidRPr="00C13E80">
              <w:t xml:space="preserve"> follow-up</w:t>
            </w:r>
          </w:p>
          <w:p w14:paraId="38217E08" w14:textId="0714478D" w:rsidR="008003B3" w:rsidRPr="00C13E80" w:rsidRDefault="00F57210" w:rsidP="00DB22E4">
            <w:pPr>
              <w:pStyle w:val="TableText0"/>
              <w:keepNext w:val="0"/>
              <w:widowControl w:val="0"/>
              <w:jc w:val="center"/>
            </w:pPr>
            <w:r w:rsidRPr="00C13E80">
              <w:t>Jul-</w:t>
            </w:r>
            <w:r w:rsidR="008003B3" w:rsidRPr="00C13E80">
              <w:t xml:space="preserve">Dec </w:t>
            </w:r>
            <w:r w:rsidRPr="00C13E80">
              <w:t>2021-</w:t>
            </w:r>
          </w:p>
        </w:tc>
        <w:tc>
          <w:tcPr>
            <w:tcW w:w="312" w:type="pct"/>
            <w:shd w:val="clear" w:color="auto" w:fill="auto"/>
            <w:vAlign w:val="center"/>
          </w:tcPr>
          <w:p w14:paraId="77ECD0CB" w14:textId="6AFF2C89" w:rsidR="00B411A3" w:rsidRPr="00C13E80" w:rsidRDefault="00F57210" w:rsidP="00DB22E4">
            <w:pPr>
              <w:pStyle w:val="TableText0"/>
              <w:keepNext w:val="0"/>
              <w:widowControl w:val="0"/>
              <w:jc w:val="center"/>
              <w:rPr>
                <w:iCs/>
              </w:rPr>
            </w:pPr>
            <w:r w:rsidRPr="00C13E80">
              <w:rPr>
                <w:iCs/>
              </w:rPr>
              <w:t>Low</w:t>
            </w:r>
          </w:p>
        </w:tc>
        <w:tc>
          <w:tcPr>
            <w:tcW w:w="1115" w:type="pct"/>
            <w:shd w:val="clear" w:color="auto" w:fill="auto"/>
            <w:vAlign w:val="center"/>
          </w:tcPr>
          <w:p w14:paraId="5312FE6C" w14:textId="5CE2AF5A" w:rsidR="00B411A3" w:rsidRPr="00C13E80" w:rsidRDefault="004E0B2C" w:rsidP="00DB22E4">
            <w:pPr>
              <w:pStyle w:val="TableText0"/>
              <w:keepNext w:val="0"/>
              <w:widowControl w:val="0"/>
              <w:jc w:val="center"/>
            </w:pPr>
            <w:r w:rsidRPr="00C13E80">
              <w:t>Non-hospitalised, unvaccinated adults with mild or moderate COVID and ≥1 risk factor diagnosed within 5 days of symptom onset</w:t>
            </w:r>
          </w:p>
        </w:tc>
        <w:tc>
          <w:tcPr>
            <w:tcW w:w="708" w:type="pct"/>
            <w:shd w:val="clear" w:color="auto" w:fill="auto"/>
            <w:vAlign w:val="center"/>
          </w:tcPr>
          <w:p w14:paraId="1AB746AF" w14:textId="2C9AAAD9" w:rsidR="00B411A3" w:rsidRPr="00C13E80" w:rsidRDefault="001A2977" w:rsidP="00DB22E4">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041F6C10" w14:textId="7B6EB989" w:rsidR="00B411A3" w:rsidRPr="00C13E80" w:rsidRDefault="001417CC" w:rsidP="00DB22E4">
            <w:pPr>
              <w:pStyle w:val="TableText0"/>
              <w:keepNext w:val="0"/>
              <w:widowControl w:val="0"/>
              <w:jc w:val="center"/>
            </w:pPr>
            <w:r w:rsidRPr="00C13E80">
              <w:t>Not used</w:t>
            </w:r>
          </w:p>
        </w:tc>
      </w:tr>
      <w:tr w:rsidR="00137375" w:rsidRPr="00C13E80" w14:paraId="13A6895C" w14:textId="77777777" w:rsidTr="006104A6">
        <w:trPr>
          <w:cantSplit/>
        </w:trPr>
        <w:tc>
          <w:tcPr>
            <w:tcW w:w="624" w:type="pct"/>
            <w:shd w:val="clear" w:color="auto" w:fill="auto"/>
            <w:vAlign w:val="center"/>
          </w:tcPr>
          <w:p w14:paraId="4A9488B3" w14:textId="42858047" w:rsidR="00946870" w:rsidRPr="00C13E80" w:rsidRDefault="00946870" w:rsidP="00DB22E4">
            <w:pPr>
              <w:pStyle w:val="TableText0"/>
              <w:keepNext w:val="0"/>
              <w:widowControl w:val="0"/>
            </w:pPr>
            <w:r w:rsidRPr="00C13E80">
              <w:t>PANORAMIC</w:t>
            </w:r>
          </w:p>
        </w:tc>
        <w:tc>
          <w:tcPr>
            <w:tcW w:w="390" w:type="pct"/>
            <w:shd w:val="clear" w:color="auto" w:fill="auto"/>
            <w:vAlign w:val="center"/>
          </w:tcPr>
          <w:p w14:paraId="3F4D20B5" w14:textId="6505066B" w:rsidR="00946870" w:rsidRPr="00C13E80" w:rsidRDefault="00946870" w:rsidP="00DB22E4">
            <w:pPr>
              <w:pStyle w:val="TableText0"/>
              <w:keepNext w:val="0"/>
              <w:widowControl w:val="0"/>
              <w:jc w:val="center"/>
            </w:pPr>
            <w:r w:rsidRPr="00C13E80">
              <w:t>25,054</w:t>
            </w:r>
          </w:p>
        </w:tc>
        <w:tc>
          <w:tcPr>
            <w:tcW w:w="548" w:type="pct"/>
            <w:vAlign w:val="center"/>
          </w:tcPr>
          <w:p w14:paraId="615F25D2" w14:textId="2872C275" w:rsidR="00946870" w:rsidRPr="00C13E80" w:rsidRDefault="003B6F01" w:rsidP="00DB22E4">
            <w:pPr>
              <w:pStyle w:val="TableText0"/>
              <w:keepNext w:val="0"/>
              <w:widowControl w:val="0"/>
              <w:jc w:val="center"/>
            </w:pPr>
            <w:r w:rsidRPr="00C13E80">
              <w:t>UK</w:t>
            </w:r>
          </w:p>
        </w:tc>
        <w:tc>
          <w:tcPr>
            <w:tcW w:w="625" w:type="pct"/>
            <w:shd w:val="clear" w:color="auto" w:fill="auto"/>
            <w:vAlign w:val="center"/>
          </w:tcPr>
          <w:p w14:paraId="0CEC85E4" w14:textId="3B5B4BE3" w:rsidR="00946870" w:rsidRPr="00C13E80" w:rsidRDefault="00946870" w:rsidP="00DB22E4">
            <w:pPr>
              <w:pStyle w:val="TableText0"/>
              <w:keepNext w:val="0"/>
              <w:widowControl w:val="0"/>
              <w:jc w:val="center"/>
            </w:pPr>
            <w:r w:rsidRPr="00C13E80">
              <w:t>R, OL</w:t>
            </w:r>
            <w:r w:rsidR="00650506" w:rsidRPr="00C13E80">
              <w:t>, MC</w:t>
            </w:r>
          </w:p>
          <w:p w14:paraId="68D92FE7" w14:textId="449905C6" w:rsidR="00946870" w:rsidRPr="00C13E80" w:rsidRDefault="006D23A8" w:rsidP="00DB22E4">
            <w:pPr>
              <w:pStyle w:val="TableText0"/>
              <w:keepNext w:val="0"/>
              <w:widowControl w:val="0"/>
              <w:jc w:val="center"/>
            </w:pPr>
            <w:r w:rsidRPr="00C13E80">
              <w:t>4 weeks</w:t>
            </w:r>
            <w:r w:rsidR="00B87A4F" w:rsidRPr="00C13E80">
              <w:t xml:space="preserve"> follow-up</w:t>
            </w:r>
            <w:r w:rsidR="002471B5" w:rsidRPr="00C13E80">
              <w:br/>
            </w:r>
            <w:r w:rsidR="00C51840" w:rsidRPr="00C13E80">
              <w:t>Dec</w:t>
            </w:r>
            <w:r w:rsidR="002471B5" w:rsidRPr="00C13E80">
              <w:t xml:space="preserve"> 2021 </w:t>
            </w:r>
            <w:r w:rsidR="00FC42AC" w:rsidRPr="00C13E80">
              <w:t>–</w:t>
            </w:r>
            <w:r w:rsidR="002471B5" w:rsidRPr="00C13E80">
              <w:t xml:space="preserve"> </w:t>
            </w:r>
            <w:r w:rsidR="00C51840" w:rsidRPr="00C13E80">
              <w:t>Apr 202</w:t>
            </w:r>
            <w:r w:rsidR="002471B5" w:rsidRPr="00C13E80">
              <w:t>2</w:t>
            </w:r>
          </w:p>
        </w:tc>
        <w:tc>
          <w:tcPr>
            <w:tcW w:w="312" w:type="pct"/>
            <w:shd w:val="clear" w:color="auto" w:fill="auto"/>
            <w:vAlign w:val="center"/>
          </w:tcPr>
          <w:p w14:paraId="6F0F93F8" w14:textId="02F2A28A" w:rsidR="00946870" w:rsidRPr="00C13E80" w:rsidRDefault="00397A15" w:rsidP="00DB22E4">
            <w:pPr>
              <w:pStyle w:val="TableText0"/>
              <w:keepNext w:val="0"/>
              <w:widowControl w:val="0"/>
              <w:jc w:val="center"/>
              <w:rPr>
                <w:iCs/>
              </w:rPr>
            </w:pPr>
            <w:r w:rsidRPr="00C13E80">
              <w:rPr>
                <w:iCs/>
              </w:rPr>
              <w:t>Low</w:t>
            </w:r>
          </w:p>
        </w:tc>
        <w:tc>
          <w:tcPr>
            <w:tcW w:w="1115" w:type="pct"/>
            <w:shd w:val="clear" w:color="auto" w:fill="auto"/>
            <w:vAlign w:val="center"/>
          </w:tcPr>
          <w:p w14:paraId="43AC963E" w14:textId="2E313625" w:rsidR="00946870" w:rsidRPr="00C13E80" w:rsidRDefault="00D51EF4" w:rsidP="00DB22E4">
            <w:pPr>
              <w:pStyle w:val="TableText0"/>
              <w:keepNext w:val="0"/>
              <w:widowControl w:val="0"/>
              <w:jc w:val="center"/>
            </w:pPr>
            <w:r w:rsidRPr="00C13E80">
              <w:t xml:space="preserve">Vaccinated and unvaccinated </w:t>
            </w:r>
            <w:r w:rsidR="00C80D12" w:rsidRPr="00C13E80">
              <w:t xml:space="preserve">non-hospitalised </w:t>
            </w:r>
            <w:r w:rsidRPr="00C13E80">
              <w:t>adults aged ≥50 years (or ≥18 years with relevant comorbidities) diagnosed within 5 days of symptom onset</w:t>
            </w:r>
          </w:p>
        </w:tc>
        <w:tc>
          <w:tcPr>
            <w:tcW w:w="708" w:type="pct"/>
            <w:shd w:val="clear" w:color="auto" w:fill="auto"/>
            <w:vAlign w:val="center"/>
          </w:tcPr>
          <w:p w14:paraId="4F0C99D2" w14:textId="3D7F4696" w:rsidR="00946870" w:rsidRPr="00C13E80" w:rsidRDefault="00D60C61" w:rsidP="00DB22E4">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3175EA34" w14:textId="775EC336" w:rsidR="00946870" w:rsidRPr="00C13E80" w:rsidRDefault="002646F3" w:rsidP="00DB22E4">
            <w:pPr>
              <w:pStyle w:val="TableText0"/>
              <w:keepNext w:val="0"/>
              <w:widowControl w:val="0"/>
              <w:jc w:val="center"/>
            </w:pPr>
            <w:r w:rsidRPr="00C13E80">
              <w:t>Source of symptom duration in the model</w:t>
            </w:r>
          </w:p>
        </w:tc>
      </w:tr>
      <w:tr w:rsidR="00137375" w:rsidRPr="00C13E80" w14:paraId="6DAFAEAF" w14:textId="77777777" w:rsidTr="006104A6">
        <w:trPr>
          <w:cantSplit/>
        </w:trPr>
        <w:tc>
          <w:tcPr>
            <w:tcW w:w="624" w:type="pct"/>
            <w:shd w:val="clear" w:color="auto" w:fill="auto"/>
            <w:vAlign w:val="center"/>
          </w:tcPr>
          <w:p w14:paraId="76F0584C" w14:textId="7073366F" w:rsidR="00946870" w:rsidRPr="00C13E80" w:rsidRDefault="00946870" w:rsidP="00DB22E4">
            <w:pPr>
              <w:pStyle w:val="TableText0"/>
              <w:keepNext w:val="0"/>
              <w:widowControl w:val="0"/>
            </w:pPr>
            <w:r w:rsidRPr="00C13E80">
              <w:lastRenderedPageBreak/>
              <w:t>Victorian dataset</w:t>
            </w:r>
          </w:p>
        </w:tc>
        <w:tc>
          <w:tcPr>
            <w:tcW w:w="390" w:type="pct"/>
            <w:shd w:val="clear" w:color="auto" w:fill="auto"/>
            <w:vAlign w:val="center"/>
          </w:tcPr>
          <w:p w14:paraId="7D785F8E" w14:textId="1CF99B07" w:rsidR="00946870" w:rsidRPr="00C13E80" w:rsidRDefault="007779E5" w:rsidP="007779E5">
            <w:pPr>
              <w:pStyle w:val="TableText0"/>
              <w:keepNext w:val="0"/>
              <w:widowControl w:val="0"/>
              <w:jc w:val="center"/>
              <w:rPr>
                <w:highlight w:val="magenta"/>
              </w:rPr>
            </w:pPr>
            <w:r w:rsidRPr="00C13E80">
              <w:t>38,933</w:t>
            </w:r>
          </w:p>
        </w:tc>
        <w:tc>
          <w:tcPr>
            <w:tcW w:w="548" w:type="pct"/>
            <w:vAlign w:val="center"/>
          </w:tcPr>
          <w:p w14:paraId="25802B46" w14:textId="27B45807" w:rsidR="00946870" w:rsidRPr="00C13E80" w:rsidRDefault="004942E2" w:rsidP="00DB22E4">
            <w:pPr>
              <w:pStyle w:val="TableText0"/>
              <w:keepNext w:val="0"/>
              <w:widowControl w:val="0"/>
              <w:jc w:val="center"/>
            </w:pPr>
            <w:r w:rsidRPr="00C13E80">
              <w:t>Victoria, Australia</w:t>
            </w:r>
          </w:p>
        </w:tc>
        <w:tc>
          <w:tcPr>
            <w:tcW w:w="625" w:type="pct"/>
            <w:shd w:val="clear" w:color="auto" w:fill="auto"/>
            <w:vAlign w:val="center"/>
          </w:tcPr>
          <w:p w14:paraId="3A95D4E3" w14:textId="2C70C62B" w:rsidR="00946870" w:rsidRPr="00C13E80" w:rsidRDefault="00EB50DF" w:rsidP="00DB22E4">
            <w:pPr>
              <w:pStyle w:val="TableText0"/>
              <w:keepNext w:val="0"/>
              <w:widowControl w:val="0"/>
              <w:jc w:val="center"/>
            </w:pPr>
            <w:r w:rsidRPr="00C13E80">
              <w:t xml:space="preserve">Retrospective </w:t>
            </w:r>
            <w:r w:rsidR="00FC42AC" w:rsidRPr="00C13E80">
              <w:t>cohort</w:t>
            </w:r>
          </w:p>
          <w:p w14:paraId="761A8F41" w14:textId="77777777" w:rsidR="009E219F" w:rsidRPr="00C13E80" w:rsidRDefault="009E219F" w:rsidP="00DB22E4">
            <w:pPr>
              <w:pStyle w:val="TableText0"/>
              <w:keepNext w:val="0"/>
              <w:widowControl w:val="0"/>
              <w:jc w:val="center"/>
            </w:pPr>
            <w:r w:rsidRPr="00C13E80">
              <w:t>30 day follow up</w:t>
            </w:r>
          </w:p>
          <w:p w14:paraId="4F10C1AA" w14:textId="1403EFFE" w:rsidR="007C15B0" w:rsidRPr="00C13E80" w:rsidRDefault="008E6B68" w:rsidP="00DB22E4">
            <w:pPr>
              <w:pStyle w:val="TableText0"/>
              <w:keepNext w:val="0"/>
              <w:widowControl w:val="0"/>
              <w:jc w:val="center"/>
            </w:pPr>
            <w:r w:rsidRPr="00C13E80">
              <w:t xml:space="preserve">Diagnosed bwn </w:t>
            </w:r>
            <w:r w:rsidR="007C15B0" w:rsidRPr="00C13E80">
              <w:t>Jul</w:t>
            </w:r>
            <w:r w:rsidRPr="00C13E80">
              <w:t xml:space="preserve"> &amp; Oct</w:t>
            </w:r>
            <w:r w:rsidR="007C15B0" w:rsidRPr="00C13E80">
              <w:t xml:space="preserve"> 2022-</w:t>
            </w:r>
          </w:p>
        </w:tc>
        <w:tc>
          <w:tcPr>
            <w:tcW w:w="312" w:type="pct"/>
            <w:shd w:val="clear" w:color="auto" w:fill="auto"/>
            <w:vAlign w:val="center"/>
          </w:tcPr>
          <w:p w14:paraId="50E27A90" w14:textId="35B3BB7E" w:rsidR="00946870" w:rsidRPr="00C13E80" w:rsidRDefault="00397A15" w:rsidP="00DB22E4">
            <w:pPr>
              <w:pStyle w:val="TableText0"/>
              <w:keepNext w:val="0"/>
              <w:widowControl w:val="0"/>
              <w:jc w:val="center"/>
            </w:pPr>
            <w:r w:rsidRPr="00C13E80">
              <w:t>High</w:t>
            </w:r>
          </w:p>
        </w:tc>
        <w:tc>
          <w:tcPr>
            <w:tcW w:w="1115" w:type="pct"/>
            <w:shd w:val="clear" w:color="auto" w:fill="auto"/>
            <w:vAlign w:val="center"/>
          </w:tcPr>
          <w:p w14:paraId="1B84BE0E" w14:textId="652B5E97" w:rsidR="00946870" w:rsidRPr="00C13E80" w:rsidRDefault="00E615FE" w:rsidP="00DB22E4">
            <w:pPr>
              <w:pStyle w:val="TableText0"/>
              <w:keepNext w:val="0"/>
              <w:widowControl w:val="0"/>
              <w:jc w:val="center"/>
            </w:pPr>
            <w:r w:rsidRPr="00C13E80">
              <w:t>Non-hospitalised, adults aged ≥70 years, diagnosed within 5 days of symptom onset</w:t>
            </w:r>
          </w:p>
        </w:tc>
        <w:tc>
          <w:tcPr>
            <w:tcW w:w="708" w:type="pct"/>
            <w:shd w:val="clear" w:color="auto" w:fill="auto"/>
            <w:vAlign w:val="center"/>
          </w:tcPr>
          <w:p w14:paraId="4E7BED76" w14:textId="7D6F29A6" w:rsidR="00946870" w:rsidRPr="00C13E80" w:rsidRDefault="00BC3318" w:rsidP="00DB22E4">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0351A18F" w14:textId="4784BFE7" w:rsidR="00946870" w:rsidRPr="00C13E80" w:rsidRDefault="00F640ED" w:rsidP="00DB22E4">
            <w:pPr>
              <w:pStyle w:val="TableText0"/>
              <w:keepNext w:val="0"/>
              <w:widowControl w:val="0"/>
              <w:jc w:val="center"/>
            </w:pPr>
            <w:r w:rsidRPr="00C13E80">
              <w:t>Primary source of treatment effect in the model</w:t>
            </w:r>
            <w:r w:rsidR="001417CC" w:rsidRPr="00C13E80">
              <w:t xml:space="preserve"> for the 70+ &amp; 50-69 high risk population</w:t>
            </w:r>
          </w:p>
        </w:tc>
      </w:tr>
      <w:tr w:rsidR="00137375" w:rsidRPr="00C13E80" w14:paraId="1D3A41A3" w14:textId="77777777" w:rsidTr="006104A6">
        <w:trPr>
          <w:cantSplit/>
        </w:trPr>
        <w:tc>
          <w:tcPr>
            <w:tcW w:w="624" w:type="pct"/>
            <w:shd w:val="clear" w:color="auto" w:fill="auto"/>
            <w:vAlign w:val="center"/>
          </w:tcPr>
          <w:p w14:paraId="0ACC7C3B" w14:textId="6F55A53B" w:rsidR="00EB50DF" w:rsidRPr="00C13E80" w:rsidRDefault="00EB50DF" w:rsidP="00DB22E4">
            <w:pPr>
              <w:pStyle w:val="TableText0"/>
              <w:keepNext w:val="0"/>
              <w:widowControl w:val="0"/>
            </w:pPr>
            <w:r w:rsidRPr="00C13E80">
              <w:t>Arbel 2022</w:t>
            </w:r>
          </w:p>
        </w:tc>
        <w:tc>
          <w:tcPr>
            <w:tcW w:w="390" w:type="pct"/>
            <w:shd w:val="clear" w:color="auto" w:fill="auto"/>
            <w:vAlign w:val="center"/>
          </w:tcPr>
          <w:p w14:paraId="61C6AC7D" w14:textId="66F4150A" w:rsidR="00EB50DF" w:rsidRPr="00C13E80" w:rsidRDefault="00EB50DF" w:rsidP="00DB22E4">
            <w:pPr>
              <w:pStyle w:val="TableText0"/>
              <w:keepNext w:val="0"/>
              <w:widowControl w:val="0"/>
              <w:jc w:val="center"/>
            </w:pPr>
            <w:r w:rsidRPr="00C13E80">
              <w:t>19,868</w:t>
            </w:r>
          </w:p>
        </w:tc>
        <w:tc>
          <w:tcPr>
            <w:tcW w:w="548" w:type="pct"/>
            <w:vAlign w:val="center"/>
          </w:tcPr>
          <w:p w14:paraId="20860800" w14:textId="73B057EA" w:rsidR="00EB50DF" w:rsidRPr="00C13E80" w:rsidRDefault="00EB50DF" w:rsidP="00DB22E4">
            <w:pPr>
              <w:pStyle w:val="TableText0"/>
              <w:keepNext w:val="0"/>
              <w:widowControl w:val="0"/>
              <w:jc w:val="center"/>
            </w:pPr>
            <w:r w:rsidRPr="00C13E80">
              <w:t>Israel</w:t>
            </w:r>
          </w:p>
        </w:tc>
        <w:tc>
          <w:tcPr>
            <w:tcW w:w="625" w:type="pct"/>
            <w:shd w:val="clear" w:color="auto" w:fill="auto"/>
            <w:vAlign w:val="center"/>
          </w:tcPr>
          <w:p w14:paraId="4E4C3307" w14:textId="2C9DB0D4" w:rsidR="00EB50DF" w:rsidRPr="00C13E80" w:rsidRDefault="00EB50DF" w:rsidP="00DB22E4">
            <w:pPr>
              <w:pStyle w:val="TableText0"/>
              <w:keepNext w:val="0"/>
              <w:widowControl w:val="0"/>
              <w:jc w:val="center"/>
            </w:pPr>
            <w:r w:rsidRPr="00C13E80">
              <w:t xml:space="preserve">Retrospective </w:t>
            </w:r>
            <w:r w:rsidR="00FC42AC" w:rsidRPr="00C13E80">
              <w:t>cohort</w:t>
            </w:r>
          </w:p>
          <w:p w14:paraId="74B6AABE" w14:textId="49F14596" w:rsidR="005F47C9" w:rsidRPr="00C13E80" w:rsidRDefault="00080E8C" w:rsidP="00DB22E4">
            <w:pPr>
              <w:pStyle w:val="TableText0"/>
              <w:keepNext w:val="0"/>
              <w:widowControl w:val="0"/>
              <w:jc w:val="center"/>
            </w:pPr>
            <w:r w:rsidRPr="00C13E80">
              <w:t>5 weeks</w:t>
            </w:r>
            <w:r w:rsidR="007F7BA5" w:rsidRPr="00C13E80">
              <w:t xml:space="preserve"> follow up</w:t>
            </w:r>
          </w:p>
          <w:p w14:paraId="1DD41513" w14:textId="08ABB3A6" w:rsidR="00080E8C" w:rsidRPr="00C13E80" w:rsidRDefault="006361BE" w:rsidP="00DB22E4">
            <w:pPr>
              <w:pStyle w:val="TableText0"/>
              <w:keepNext w:val="0"/>
              <w:widowControl w:val="0"/>
              <w:jc w:val="center"/>
            </w:pPr>
            <w:r w:rsidRPr="00C13E80">
              <w:t>Jan-Mar 2022</w:t>
            </w:r>
          </w:p>
        </w:tc>
        <w:tc>
          <w:tcPr>
            <w:tcW w:w="312" w:type="pct"/>
            <w:shd w:val="clear" w:color="auto" w:fill="auto"/>
            <w:vAlign w:val="center"/>
          </w:tcPr>
          <w:p w14:paraId="6C392F53" w14:textId="47479378" w:rsidR="00EB50DF" w:rsidRPr="00C13E80" w:rsidRDefault="00EB50DF" w:rsidP="00DB22E4">
            <w:pPr>
              <w:pStyle w:val="TableText0"/>
              <w:keepNext w:val="0"/>
              <w:widowControl w:val="0"/>
              <w:jc w:val="center"/>
            </w:pPr>
            <w:r w:rsidRPr="00C13E80">
              <w:t>High</w:t>
            </w:r>
          </w:p>
        </w:tc>
        <w:tc>
          <w:tcPr>
            <w:tcW w:w="1115" w:type="pct"/>
            <w:shd w:val="clear" w:color="auto" w:fill="auto"/>
            <w:vAlign w:val="center"/>
          </w:tcPr>
          <w:p w14:paraId="68D9708C" w14:textId="1D8A3654" w:rsidR="00EB50DF" w:rsidRPr="00C13E80" w:rsidRDefault="00EB50DF" w:rsidP="00DB22E4">
            <w:pPr>
              <w:pStyle w:val="Tabletext"/>
              <w:widowControl w:val="0"/>
              <w:jc w:val="center"/>
            </w:pPr>
            <w:r w:rsidRPr="00C13E80">
              <w:t xml:space="preserve">Vaccinated and unvaccinated, non-hospitalised adults </w:t>
            </w:r>
            <w:r w:rsidRPr="00C13E80">
              <w:rPr>
                <w:rFonts w:cs="Arial"/>
              </w:rPr>
              <w:t>≥</w:t>
            </w:r>
            <w:r w:rsidRPr="00C13E80">
              <w:t>40 years diagnosed in an outpatient setting and not eligible for NMT/r with high risk of progression to severe COVID</w:t>
            </w:r>
          </w:p>
        </w:tc>
        <w:tc>
          <w:tcPr>
            <w:tcW w:w="708" w:type="pct"/>
            <w:shd w:val="clear" w:color="auto" w:fill="auto"/>
            <w:vAlign w:val="center"/>
          </w:tcPr>
          <w:p w14:paraId="78BF8C30" w14:textId="389581AB" w:rsidR="00EB50DF" w:rsidRPr="00C13E80" w:rsidRDefault="001C5C08" w:rsidP="00DB22E4">
            <w:pPr>
              <w:pStyle w:val="TableText0"/>
              <w:keepNext w:val="0"/>
              <w:widowControl w:val="0"/>
              <w:jc w:val="center"/>
            </w:pPr>
            <w:r w:rsidRPr="00C13E80">
              <w:t xml:space="preserve">COVID-19-related </w:t>
            </w:r>
            <w:r w:rsidR="00C25D1F" w:rsidRPr="00C13E80">
              <w:t>h</w:t>
            </w:r>
            <w:r w:rsidR="00FC42AC" w:rsidRPr="00C13E80">
              <w:t>ospitali</w:t>
            </w:r>
            <w:r w:rsidR="00D80E6A" w:rsidRPr="00C13E80">
              <w:t>s</w:t>
            </w:r>
            <w:r w:rsidR="00FC42AC" w:rsidRPr="00C13E80">
              <w:t>ation</w:t>
            </w:r>
            <w:r w:rsidRPr="00C13E80">
              <w:t xml:space="preserve"> or death</w:t>
            </w:r>
          </w:p>
        </w:tc>
        <w:tc>
          <w:tcPr>
            <w:tcW w:w="679" w:type="pct"/>
            <w:shd w:val="clear" w:color="auto" w:fill="auto"/>
            <w:vAlign w:val="center"/>
          </w:tcPr>
          <w:p w14:paraId="67720BC4" w14:textId="32220E6D" w:rsidR="00EB50DF" w:rsidRPr="00C13E80" w:rsidRDefault="0088434D" w:rsidP="00DB22E4">
            <w:pPr>
              <w:pStyle w:val="TableText0"/>
              <w:keepNext w:val="0"/>
              <w:widowControl w:val="0"/>
              <w:jc w:val="center"/>
            </w:pPr>
            <w:r w:rsidRPr="00C13E80">
              <w:t>Not used</w:t>
            </w:r>
          </w:p>
        </w:tc>
      </w:tr>
      <w:tr w:rsidR="00137375" w:rsidRPr="00C13E80" w14:paraId="6E373176" w14:textId="77777777" w:rsidTr="006104A6">
        <w:trPr>
          <w:cantSplit/>
        </w:trPr>
        <w:tc>
          <w:tcPr>
            <w:tcW w:w="624" w:type="pct"/>
            <w:shd w:val="clear" w:color="auto" w:fill="auto"/>
            <w:vAlign w:val="center"/>
          </w:tcPr>
          <w:p w14:paraId="5EF4BF1D" w14:textId="5DC0EBA1" w:rsidR="00EB50DF" w:rsidRPr="00C13E80" w:rsidRDefault="00EB50DF" w:rsidP="00DB22E4">
            <w:pPr>
              <w:pStyle w:val="TableText0"/>
              <w:keepNext w:val="0"/>
              <w:widowControl w:val="0"/>
            </w:pPr>
            <w:r w:rsidRPr="00C13E80">
              <w:t>Najjar-Debbiny 2022</w:t>
            </w:r>
          </w:p>
        </w:tc>
        <w:tc>
          <w:tcPr>
            <w:tcW w:w="390" w:type="pct"/>
            <w:shd w:val="clear" w:color="auto" w:fill="auto"/>
            <w:vAlign w:val="center"/>
          </w:tcPr>
          <w:p w14:paraId="6E549E83" w14:textId="0142684D" w:rsidR="00EB50DF" w:rsidRPr="00C13E80" w:rsidRDefault="00EB50DF" w:rsidP="00DB22E4">
            <w:pPr>
              <w:pStyle w:val="TableText0"/>
              <w:keepNext w:val="0"/>
              <w:widowControl w:val="0"/>
              <w:jc w:val="center"/>
            </w:pPr>
            <w:r w:rsidRPr="00C13E80">
              <w:t>5,322</w:t>
            </w:r>
          </w:p>
        </w:tc>
        <w:tc>
          <w:tcPr>
            <w:tcW w:w="548" w:type="pct"/>
            <w:vAlign w:val="center"/>
          </w:tcPr>
          <w:p w14:paraId="4DDD3238" w14:textId="54B6FD74" w:rsidR="00EB50DF" w:rsidRPr="00C13E80" w:rsidRDefault="00EB50DF" w:rsidP="00DB22E4">
            <w:pPr>
              <w:pStyle w:val="TableText0"/>
              <w:keepNext w:val="0"/>
              <w:widowControl w:val="0"/>
              <w:jc w:val="center"/>
            </w:pPr>
            <w:r w:rsidRPr="00C13E80">
              <w:t>Israel</w:t>
            </w:r>
          </w:p>
        </w:tc>
        <w:tc>
          <w:tcPr>
            <w:tcW w:w="625" w:type="pct"/>
            <w:shd w:val="clear" w:color="auto" w:fill="auto"/>
            <w:vAlign w:val="center"/>
          </w:tcPr>
          <w:p w14:paraId="435A8DA6" w14:textId="5A9C4FFE" w:rsidR="00EB50DF" w:rsidRPr="00C13E80" w:rsidRDefault="00EB50DF" w:rsidP="00DB22E4">
            <w:pPr>
              <w:pStyle w:val="TableText0"/>
              <w:keepNext w:val="0"/>
              <w:widowControl w:val="0"/>
              <w:jc w:val="center"/>
            </w:pPr>
            <w:r w:rsidRPr="00C13E80">
              <w:t xml:space="preserve">Retrospective </w:t>
            </w:r>
            <w:r w:rsidR="00FC42AC" w:rsidRPr="00C13E80">
              <w:t>cohort</w:t>
            </w:r>
          </w:p>
          <w:p w14:paraId="03F8F77E" w14:textId="4F2C0F9D" w:rsidR="00185BF0" w:rsidRPr="00C13E80" w:rsidRDefault="00185BF0" w:rsidP="00185BF0">
            <w:pPr>
              <w:pStyle w:val="TableText0"/>
              <w:keepNext w:val="0"/>
              <w:widowControl w:val="0"/>
              <w:jc w:val="center"/>
            </w:pPr>
            <w:r w:rsidRPr="00C13E80">
              <w:t>4 weeks follow up</w:t>
            </w:r>
          </w:p>
          <w:p w14:paraId="3F5205C5" w14:textId="09E838F4" w:rsidR="00185BF0" w:rsidRPr="00C13E80" w:rsidRDefault="00185BF0" w:rsidP="00185BF0">
            <w:pPr>
              <w:pStyle w:val="TableText0"/>
              <w:keepNext w:val="0"/>
              <w:widowControl w:val="0"/>
              <w:jc w:val="center"/>
            </w:pPr>
            <w:r w:rsidRPr="00C13E80">
              <w:t>Jan-Feb 2022</w:t>
            </w:r>
          </w:p>
        </w:tc>
        <w:tc>
          <w:tcPr>
            <w:tcW w:w="312" w:type="pct"/>
            <w:shd w:val="clear" w:color="auto" w:fill="auto"/>
            <w:vAlign w:val="center"/>
          </w:tcPr>
          <w:p w14:paraId="48B42BE9" w14:textId="1FF144D4" w:rsidR="00EB50DF" w:rsidRPr="00C13E80" w:rsidRDefault="00EB50DF" w:rsidP="00DB22E4">
            <w:pPr>
              <w:pStyle w:val="TableText0"/>
              <w:keepNext w:val="0"/>
              <w:widowControl w:val="0"/>
              <w:jc w:val="center"/>
            </w:pPr>
            <w:r w:rsidRPr="00C13E80">
              <w:t>High</w:t>
            </w:r>
          </w:p>
        </w:tc>
        <w:tc>
          <w:tcPr>
            <w:tcW w:w="1115" w:type="pct"/>
            <w:shd w:val="clear" w:color="auto" w:fill="auto"/>
            <w:vAlign w:val="center"/>
          </w:tcPr>
          <w:p w14:paraId="43055F36" w14:textId="0DF069A8" w:rsidR="00EB50DF" w:rsidRPr="00C13E80" w:rsidRDefault="00EB50DF" w:rsidP="00DB22E4">
            <w:pPr>
              <w:pStyle w:val="TableText0"/>
              <w:keepNext w:val="0"/>
              <w:widowControl w:val="0"/>
              <w:jc w:val="center"/>
            </w:pPr>
            <w:r w:rsidRPr="00C13E80">
              <w:t xml:space="preserve">Vaccinated and unvaccinated, non-hospitalised adults aged </w:t>
            </w:r>
            <w:r w:rsidRPr="00C13E80">
              <w:rPr>
                <w:rFonts w:cs="Arial"/>
              </w:rPr>
              <w:t>≥</w:t>
            </w:r>
            <w:r w:rsidRPr="00C13E80">
              <w:t xml:space="preserve">18 years with </w:t>
            </w:r>
            <w:r w:rsidRPr="00C13E80">
              <w:rPr>
                <w:rFonts w:cs="Arial"/>
              </w:rPr>
              <w:t>≥</w:t>
            </w:r>
            <w:r w:rsidRPr="00C13E80">
              <w:t>1 comorbidities or condition associated with high risk of progression to severe COVID</w:t>
            </w:r>
          </w:p>
        </w:tc>
        <w:tc>
          <w:tcPr>
            <w:tcW w:w="708" w:type="pct"/>
            <w:shd w:val="clear" w:color="auto" w:fill="auto"/>
            <w:vAlign w:val="center"/>
          </w:tcPr>
          <w:p w14:paraId="40228517" w14:textId="486C1A2D" w:rsidR="00EB50DF" w:rsidRPr="00C13E80" w:rsidRDefault="00F64D9D" w:rsidP="00DB22E4">
            <w:pPr>
              <w:pStyle w:val="Tabletext"/>
              <w:widowControl w:val="0"/>
              <w:jc w:val="center"/>
            </w:pPr>
            <w:r w:rsidRPr="00C13E80">
              <w:t>Severe</w:t>
            </w:r>
            <w:r w:rsidR="00D80E6A" w:rsidRPr="00C13E80">
              <w:t xml:space="preserve"> </w:t>
            </w:r>
            <w:r w:rsidRPr="00C13E80">
              <w:t>COVID-19 or COVID-19</w:t>
            </w:r>
            <w:r w:rsidR="006D1F19" w:rsidRPr="00C13E80">
              <w:t>-</w:t>
            </w:r>
            <w:r w:rsidRPr="00C13E80">
              <w:t>related death</w:t>
            </w:r>
          </w:p>
        </w:tc>
        <w:tc>
          <w:tcPr>
            <w:tcW w:w="679" w:type="pct"/>
            <w:shd w:val="clear" w:color="auto" w:fill="auto"/>
            <w:vAlign w:val="center"/>
          </w:tcPr>
          <w:p w14:paraId="0758A178" w14:textId="65810680" w:rsidR="00EB50DF" w:rsidRPr="00C13E80" w:rsidRDefault="0088434D" w:rsidP="00DB22E4">
            <w:pPr>
              <w:pStyle w:val="TableText0"/>
              <w:keepNext w:val="0"/>
              <w:widowControl w:val="0"/>
              <w:jc w:val="center"/>
            </w:pPr>
            <w:r w:rsidRPr="00C13E80">
              <w:t>Not used</w:t>
            </w:r>
          </w:p>
        </w:tc>
      </w:tr>
      <w:tr w:rsidR="00137375" w:rsidRPr="00C13E80" w14:paraId="08C3439E" w14:textId="77777777" w:rsidTr="006104A6">
        <w:trPr>
          <w:cantSplit/>
        </w:trPr>
        <w:tc>
          <w:tcPr>
            <w:tcW w:w="624" w:type="pct"/>
            <w:shd w:val="clear" w:color="auto" w:fill="auto"/>
            <w:vAlign w:val="center"/>
          </w:tcPr>
          <w:p w14:paraId="2A3DE736" w14:textId="589523E5" w:rsidR="00EB50DF" w:rsidRPr="00C13E80" w:rsidRDefault="00EB50DF" w:rsidP="00DB22E4">
            <w:pPr>
              <w:pStyle w:val="TableText0"/>
              <w:keepNext w:val="0"/>
              <w:widowControl w:val="0"/>
            </w:pPr>
            <w:r w:rsidRPr="00C13E80">
              <w:t>Bajema 2022</w:t>
            </w:r>
          </w:p>
        </w:tc>
        <w:tc>
          <w:tcPr>
            <w:tcW w:w="390" w:type="pct"/>
            <w:shd w:val="clear" w:color="auto" w:fill="auto"/>
            <w:vAlign w:val="center"/>
          </w:tcPr>
          <w:p w14:paraId="23AB3928" w14:textId="63B075E5" w:rsidR="00EB50DF" w:rsidRPr="00C13E80" w:rsidRDefault="00EB50DF" w:rsidP="00DB22E4">
            <w:pPr>
              <w:pStyle w:val="TableText0"/>
              <w:keepNext w:val="0"/>
              <w:widowControl w:val="0"/>
              <w:jc w:val="center"/>
            </w:pPr>
            <w:r w:rsidRPr="00C13E80">
              <w:t>1,794</w:t>
            </w:r>
            <w:r w:rsidRPr="00C13E80">
              <w:rPr>
                <w:vertAlign w:val="superscript"/>
              </w:rPr>
              <w:t>a</w:t>
            </w:r>
          </w:p>
          <w:p w14:paraId="23DBBF63" w14:textId="5430880E" w:rsidR="00EB50DF" w:rsidRPr="00C13E80" w:rsidRDefault="00EB50DF" w:rsidP="00DB22E4">
            <w:pPr>
              <w:pStyle w:val="TableText0"/>
              <w:keepNext w:val="0"/>
              <w:widowControl w:val="0"/>
              <w:jc w:val="center"/>
              <w:rPr>
                <w:vertAlign w:val="superscript"/>
              </w:rPr>
            </w:pPr>
            <w:r w:rsidRPr="00C13E80">
              <w:t>1,538</w:t>
            </w:r>
            <w:r w:rsidRPr="00C13E80">
              <w:rPr>
                <w:vertAlign w:val="superscript"/>
              </w:rPr>
              <w:t>b</w:t>
            </w:r>
          </w:p>
        </w:tc>
        <w:tc>
          <w:tcPr>
            <w:tcW w:w="548" w:type="pct"/>
            <w:vAlign w:val="center"/>
          </w:tcPr>
          <w:p w14:paraId="23E69331" w14:textId="554AF5FA" w:rsidR="00EB50DF" w:rsidRPr="00C13E80" w:rsidRDefault="00EB50DF" w:rsidP="00DB22E4">
            <w:pPr>
              <w:pStyle w:val="TableText0"/>
              <w:keepNext w:val="0"/>
              <w:widowControl w:val="0"/>
              <w:jc w:val="center"/>
            </w:pPr>
            <w:r w:rsidRPr="00C13E80">
              <w:t>US</w:t>
            </w:r>
          </w:p>
        </w:tc>
        <w:tc>
          <w:tcPr>
            <w:tcW w:w="625" w:type="pct"/>
            <w:shd w:val="clear" w:color="auto" w:fill="auto"/>
            <w:vAlign w:val="center"/>
          </w:tcPr>
          <w:p w14:paraId="6911D473" w14:textId="39B59911" w:rsidR="00EB50DF" w:rsidRPr="00C13E80" w:rsidRDefault="00EB50DF" w:rsidP="00DB22E4">
            <w:pPr>
              <w:pStyle w:val="TableText0"/>
              <w:keepNext w:val="0"/>
              <w:widowControl w:val="0"/>
              <w:jc w:val="center"/>
            </w:pPr>
            <w:r w:rsidRPr="00C13E80">
              <w:t xml:space="preserve">Retrospective </w:t>
            </w:r>
            <w:r w:rsidR="00FC42AC" w:rsidRPr="00C13E80">
              <w:t>cohort</w:t>
            </w:r>
          </w:p>
          <w:p w14:paraId="6C101F9C" w14:textId="77777777" w:rsidR="00185BF0" w:rsidRPr="00C13E80" w:rsidRDefault="00185BF0" w:rsidP="00185BF0">
            <w:pPr>
              <w:pStyle w:val="TableText0"/>
              <w:keepNext w:val="0"/>
              <w:widowControl w:val="0"/>
              <w:jc w:val="center"/>
            </w:pPr>
            <w:r w:rsidRPr="00C13E80">
              <w:t>4 weeks follow up</w:t>
            </w:r>
          </w:p>
          <w:p w14:paraId="4049F85B" w14:textId="419989B9" w:rsidR="00185BF0" w:rsidRPr="00C13E80" w:rsidRDefault="00185BF0" w:rsidP="00185BF0">
            <w:pPr>
              <w:pStyle w:val="TableText0"/>
              <w:keepNext w:val="0"/>
              <w:widowControl w:val="0"/>
              <w:jc w:val="center"/>
            </w:pPr>
            <w:r w:rsidRPr="00C13E80">
              <w:t>Jan-Feb 2022</w:t>
            </w:r>
          </w:p>
        </w:tc>
        <w:tc>
          <w:tcPr>
            <w:tcW w:w="312" w:type="pct"/>
            <w:shd w:val="clear" w:color="auto" w:fill="auto"/>
            <w:vAlign w:val="center"/>
          </w:tcPr>
          <w:p w14:paraId="70C98828" w14:textId="05EA3184" w:rsidR="00EB50DF" w:rsidRPr="00C13E80" w:rsidRDefault="00EB50DF" w:rsidP="00DB22E4">
            <w:pPr>
              <w:pStyle w:val="TableText0"/>
              <w:keepNext w:val="0"/>
              <w:widowControl w:val="0"/>
              <w:jc w:val="center"/>
            </w:pPr>
            <w:r w:rsidRPr="00C13E80">
              <w:t>High</w:t>
            </w:r>
          </w:p>
        </w:tc>
        <w:tc>
          <w:tcPr>
            <w:tcW w:w="1115" w:type="pct"/>
            <w:shd w:val="clear" w:color="auto" w:fill="auto"/>
            <w:vAlign w:val="center"/>
          </w:tcPr>
          <w:p w14:paraId="7E796335" w14:textId="46F9FF09" w:rsidR="00EB50DF" w:rsidRPr="00C13E80" w:rsidRDefault="00EB50DF" w:rsidP="00DB22E4">
            <w:pPr>
              <w:pStyle w:val="TableText0"/>
              <w:keepNext w:val="0"/>
              <w:widowControl w:val="0"/>
              <w:jc w:val="center"/>
            </w:pPr>
            <w:r w:rsidRPr="00C13E80">
              <w:t>Vaccinated and unvaccinated, non-hospitalised adults ≥18 years at risk of severe COVID diagnosed in an outpatient setting</w:t>
            </w:r>
          </w:p>
        </w:tc>
        <w:tc>
          <w:tcPr>
            <w:tcW w:w="708" w:type="pct"/>
            <w:shd w:val="clear" w:color="auto" w:fill="auto"/>
            <w:vAlign w:val="center"/>
          </w:tcPr>
          <w:p w14:paraId="11DFF20D" w14:textId="06BDFA32" w:rsidR="00EB50DF" w:rsidRPr="00C13E80" w:rsidRDefault="007D4691" w:rsidP="00DB22E4">
            <w:pPr>
              <w:pStyle w:val="TableText0"/>
              <w:keepNext w:val="0"/>
              <w:widowControl w:val="0"/>
              <w:jc w:val="center"/>
            </w:pPr>
            <w:r w:rsidRPr="00C13E80">
              <w:t xml:space="preserve">All cause </w:t>
            </w:r>
            <w:r w:rsidR="00D80E6A" w:rsidRPr="00C13E80">
              <w:t>h</w:t>
            </w:r>
            <w:r w:rsidR="00FC42AC" w:rsidRPr="00C13E80">
              <w:t>ospitali</w:t>
            </w:r>
            <w:r w:rsidR="00D80E6A" w:rsidRPr="00C13E80">
              <w:t>s</w:t>
            </w:r>
            <w:r w:rsidR="00FC42AC" w:rsidRPr="00C13E80">
              <w:t>ation</w:t>
            </w:r>
            <w:r w:rsidRPr="00C13E80">
              <w:t xml:space="preserve"> or death</w:t>
            </w:r>
          </w:p>
        </w:tc>
        <w:tc>
          <w:tcPr>
            <w:tcW w:w="679" w:type="pct"/>
            <w:shd w:val="clear" w:color="auto" w:fill="auto"/>
            <w:vAlign w:val="center"/>
          </w:tcPr>
          <w:p w14:paraId="575591B2" w14:textId="4B7B0565" w:rsidR="00EB50DF" w:rsidRPr="00C13E80" w:rsidRDefault="0088434D" w:rsidP="00DB22E4">
            <w:pPr>
              <w:pStyle w:val="TableText0"/>
              <w:keepNext w:val="0"/>
              <w:widowControl w:val="0"/>
              <w:jc w:val="center"/>
            </w:pPr>
            <w:r w:rsidRPr="00C13E80">
              <w:t>Not used</w:t>
            </w:r>
          </w:p>
        </w:tc>
      </w:tr>
      <w:tr w:rsidR="00137375" w:rsidRPr="00C13E80" w14:paraId="2120FF17" w14:textId="77777777" w:rsidTr="006104A6">
        <w:trPr>
          <w:cantSplit/>
        </w:trPr>
        <w:tc>
          <w:tcPr>
            <w:tcW w:w="624" w:type="pct"/>
            <w:shd w:val="clear" w:color="auto" w:fill="auto"/>
            <w:vAlign w:val="center"/>
          </w:tcPr>
          <w:p w14:paraId="4605B1BB" w14:textId="42CF6411" w:rsidR="00EB50DF" w:rsidRPr="00C13E80" w:rsidRDefault="00EB50DF" w:rsidP="00DB22E4">
            <w:pPr>
              <w:pStyle w:val="TableText0"/>
              <w:keepNext w:val="0"/>
              <w:widowControl w:val="0"/>
            </w:pPr>
            <w:r w:rsidRPr="00C13E80">
              <w:t>Evans 2023</w:t>
            </w:r>
          </w:p>
        </w:tc>
        <w:tc>
          <w:tcPr>
            <w:tcW w:w="390" w:type="pct"/>
            <w:shd w:val="clear" w:color="auto" w:fill="auto"/>
            <w:vAlign w:val="center"/>
          </w:tcPr>
          <w:p w14:paraId="638028A6" w14:textId="14B0F4EA" w:rsidR="00EB50DF" w:rsidRPr="00C13E80" w:rsidRDefault="00EB50DF" w:rsidP="00DB22E4">
            <w:pPr>
              <w:pStyle w:val="TableText0"/>
              <w:keepNext w:val="0"/>
              <w:widowControl w:val="0"/>
              <w:jc w:val="center"/>
            </w:pPr>
            <w:r w:rsidRPr="00C13E80">
              <w:t>5,332</w:t>
            </w:r>
          </w:p>
        </w:tc>
        <w:tc>
          <w:tcPr>
            <w:tcW w:w="548" w:type="pct"/>
            <w:vAlign w:val="center"/>
          </w:tcPr>
          <w:p w14:paraId="3EDA27CD" w14:textId="249DABC9" w:rsidR="00EB50DF" w:rsidRPr="00C13E80" w:rsidRDefault="00481838" w:rsidP="00DB22E4">
            <w:pPr>
              <w:pStyle w:val="TableText0"/>
              <w:keepNext w:val="0"/>
              <w:widowControl w:val="0"/>
              <w:jc w:val="center"/>
            </w:pPr>
            <w:r w:rsidRPr="00C13E80">
              <w:t>Wa</w:t>
            </w:r>
            <w:r w:rsidR="004C5223" w:rsidRPr="00C13E80">
              <w:t>les</w:t>
            </w:r>
          </w:p>
        </w:tc>
        <w:tc>
          <w:tcPr>
            <w:tcW w:w="625" w:type="pct"/>
            <w:shd w:val="clear" w:color="auto" w:fill="auto"/>
            <w:vAlign w:val="center"/>
          </w:tcPr>
          <w:p w14:paraId="2F68CF88" w14:textId="4133FB8C" w:rsidR="00EB50DF" w:rsidRPr="00C13E80" w:rsidRDefault="00EB50DF" w:rsidP="00DB22E4">
            <w:pPr>
              <w:pStyle w:val="TableText0"/>
              <w:keepNext w:val="0"/>
              <w:widowControl w:val="0"/>
              <w:jc w:val="center"/>
            </w:pPr>
            <w:r w:rsidRPr="00C13E80">
              <w:t xml:space="preserve">Retrospective </w:t>
            </w:r>
            <w:r w:rsidR="00FC42AC" w:rsidRPr="00C13E80">
              <w:t>cohort</w:t>
            </w:r>
          </w:p>
          <w:p w14:paraId="62EE5405" w14:textId="0401297A" w:rsidR="00B34DC1" w:rsidRPr="00C13E80" w:rsidRDefault="00B34DC1" w:rsidP="00B34DC1">
            <w:pPr>
              <w:pStyle w:val="TableText0"/>
              <w:keepNext w:val="0"/>
              <w:widowControl w:val="0"/>
              <w:jc w:val="center"/>
            </w:pPr>
            <w:r w:rsidRPr="00C13E80">
              <w:t>180 days</w:t>
            </w:r>
            <w:r w:rsidR="00ED2826" w:rsidRPr="00C13E80">
              <w:t xml:space="preserve"> </w:t>
            </w:r>
            <w:r w:rsidRPr="00C13E80">
              <w:t>follow up</w:t>
            </w:r>
          </w:p>
          <w:p w14:paraId="46A460B7" w14:textId="1E057091" w:rsidR="00B34DC1" w:rsidRPr="00C13E80" w:rsidRDefault="00ED2826" w:rsidP="00B34DC1">
            <w:pPr>
              <w:pStyle w:val="TableText0"/>
              <w:keepNext w:val="0"/>
              <w:widowControl w:val="0"/>
              <w:jc w:val="center"/>
            </w:pPr>
            <w:r w:rsidRPr="00C13E80">
              <w:t>Dec 2021</w:t>
            </w:r>
            <w:r w:rsidR="00B34DC1" w:rsidRPr="00C13E80">
              <w:t>-</w:t>
            </w:r>
            <w:r w:rsidRPr="00C13E80">
              <w:t>Apr</w:t>
            </w:r>
            <w:r w:rsidR="00B34DC1" w:rsidRPr="00C13E80">
              <w:t xml:space="preserve"> 2022</w:t>
            </w:r>
          </w:p>
        </w:tc>
        <w:tc>
          <w:tcPr>
            <w:tcW w:w="312" w:type="pct"/>
            <w:shd w:val="clear" w:color="auto" w:fill="auto"/>
            <w:vAlign w:val="center"/>
          </w:tcPr>
          <w:p w14:paraId="2B1F225A" w14:textId="047A46C9" w:rsidR="00EB50DF" w:rsidRPr="00C13E80" w:rsidRDefault="00EB50DF" w:rsidP="00DB22E4">
            <w:pPr>
              <w:pStyle w:val="TableText0"/>
              <w:keepNext w:val="0"/>
              <w:widowControl w:val="0"/>
              <w:jc w:val="center"/>
            </w:pPr>
            <w:r w:rsidRPr="00C13E80">
              <w:t>High</w:t>
            </w:r>
          </w:p>
        </w:tc>
        <w:tc>
          <w:tcPr>
            <w:tcW w:w="1115" w:type="pct"/>
            <w:shd w:val="clear" w:color="auto" w:fill="auto"/>
            <w:vAlign w:val="center"/>
          </w:tcPr>
          <w:p w14:paraId="64759050" w14:textId="7FB9DA87" w:rsidR="00EB50DF" w:rsidRPr="00C13E80" w:rsidRDefault="00EB50DF" w:rsidP="00DB22E4">
            <w:pPr>
              <w:pStyle w:val="TableText0"/>
              <w:keepNext w:val="0"/>
              <w:widowControl w:val="0"/>
              <w:jc w:val="center"/>
            </w:pPr>
            <w:r w:rsidRPr="00C13E80">
              <w:t>Vaccinated and unvaccinated, non-hospitalised adults diagnosed with higher-risk COVID infection</w:t>
            </w:r>
          </w:p>
        </w:tc>
        <w:tc>
          <w:tcPr>
            <w:tcW w:w="708" w:type="pct"/>
            <w:shd w:val="clear" w:color="auto" w:fill="auto"/>
            <w:vAlign w:val="center"/>
          </w:tcPr>
          <w:p w14:paraId="0D2E410E" w14:textId="02460A39" w:rsidR="00EB50DF" w:rsidRPr="00C13E80" w:rsidRDefault="00D90E47" w:rsidP="00DB22E4">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42827075" w14:textId="5402D072" w:rsidR="00EB50DF" w:rsidRPr="00C13E80" w:rsidRDefault="0088434D" w:rsidP="00DB22E4">
            <w:pPr>
              <w:pStyle w:val="TableText0"/>
              <w:keepNext w:val="0"/>
              <w:widowControl w:val="0"/>
              <w:jc w:val="center"/>
            </w:pPr>
            <w:r w:rsidRPr="00C13E80">
              <w:t xml:space="preserve">Source of baseline risk of </w:t>
            </w:r>
            <w:r w:rsidR="00137375" w:rsidRPr="00C13E80">
              <w:t>h</w:t>
            </w:r>
            <w:r w:rsidR="00FC42AC" w:rsidRPr="00C13E80">
              <w:t>ospitali</w:t>
            </w:r>
            <w:r w:rsidR="00137375" w:rsidRPr="00C13E80">
              <w:t>s</w:t>
            </w:r>
            <w:r w:rsidR="00FC42AC" w:rsidRPr="00C13E80">
              <w:t>ation</w:t>
            </w:r>
            <w:r w:rsidRPr="00C13E80">
              <w:t xml:space="preserve"> and death and treatment effect in </w:t>
            </w:r>
            <w:r w:rsidR="00137375" w:rsidRPr="00C13E80">
              <w:t>immune-</w:t>
            </w:r>
            <w:r w:rsidRPr="00C13E80">
              <w:t>compromised population</w:t>
            </w:r>
          </w:p>
        </w:tc>
      </w:tr>
      <w:tr w:rsidR="00137375" w:rsidRPr="00C13E80" w14:paraId="1354D511" w14:textId="77777777" w:rsidTr="006104A6">
        <w:trPr>
          <w:cantSplit/>
        </w:trPr>
        <w:tc>
          <w:tcPr>
            <w:tcW w:w="624" w:type="pct"/>
            <w:shd w:val="clear" w:color="auto" w:fill="auto"/>
            <w:vAlign w:val="center"/>
          </w:tcPr>
          <w:p w14:paraId="3E552EA9" w14:textId="6644FF31" w:rsidR="00EB50DF" w:rsidRPr="00C13E80" w:rsidRDefault="00EB50DF" w:rsidP="00DB22E4">
            <w:pPr>
              <w:pStyle w:val="TableText0"/>
              <w:keepNext w:val="0"/>
              <w:widowControl w:val="0"/>
            </w:pPr>
            <w:r w:rsidRPr="00C13E80">
              <w:t>Gentry 2023</w:t>
            </w:r>
          </w:p>
        </w:tc>
        <w:tc>
          <w:tcPr>
            <w:tcW w:w="390" w:type="pct"/>
            <w:shd w:val="clear" w:color="auto" w:fill="auto"/>
            <w:vAlign w:val="center"/>
          </w:tcPr>
          <w:p w14:paraId="64EBF0CB" w14:textId="6168EDA5" w:rsidR="00EB50DF" w:rsidRPr="00C13E80" w:rsidRDefault="00EB50DF" w:rsidP="00DB22E4">
            <w:pPr>
              <w:pStyle w:val="TableText0"/>
              <w:keepNext w:val="0"/>
              <w:widowControl w:val="0"/>
              <w:jc w:val="center"/>
            </w:pPr>
            <w:r w:rsidRPr="00C13E80">
              <w:t>1,927</w:t>
            </w:r>
          </w:p>
        </w:tc>
        <w:tc>
          <w:tcPr>
            <w:tcW w:w="548" w:type="pct"/>
            <w:vAlign w:val="center"/>
          </w:tcPr>
          <w:p w14:paraId="6C6C529F" w14:textId="5E579D77" w:rsidR="00EB50DF" w:rsidRPr="00C13E80" w:rsidRDefault="00EB50DF" w:rsidP="00DB22E4">
            <w:pPr>
              <w:pStyle w:val="TableText0"/>
              <w:keepNext w:val="0"/>
              <w:widowControl w:val="0"/>
              <w:jc w:val="center"/>
            </w:pPr>
            <w:r w:rsidRPr="00C13E80">
              <w:t>US</w:t>
            </w:r>
          </w:p>
        </w:tc>
        <w:tc>
          <w:tcPr>
            <w:tcW w:w="625" w:type="pct"/>
            <w:shd w:val="clear" w:color="auto" w:fill="auto"/>
            <w:vAlign w:val="center"/>
          </w:tcPr>
          <w:p w14:paraId="015470B4" w14:textId="0B0397E9" w:rsidR="00EB50DF" w:rsidRPr="00C13E80" w:rsidRDefault="00EB50DF" w:rsidP="00DB22E4">
            <w:pPr>
              <w:pStyle w:val="TableText0"/>
              <w:keepNext w:val="0"/>
              <w:widowControl w:val="0"/>
              <w:jc w:val="center"/>
            </w:pPr>
            <w:r w:rsidRPr="00C13E80">
              <w:t xml:space="preserve">Retrospective </w:t>
            </w:r>
            <w:r w:rsidR="00FC42AC" w:rsidRPr="00C13E80">
              <w:t>cohort</w:t>
            </w:r>
          </w:p>
          <w:p w14:paraId="1F7448F0" w14:textId="0B80B07C" w:rsidR="00D70ABC" w:rsidRPr="00C13E80" w:rsidRDefault="00D70ABC" w:rsidP="00D70ABC">
            <w:pPr>
              <w:pStyle w:val="TableText0"/>
              <w:keepNext w:val="0"/>
              <w:widowControl w:val="0"/>
              <w:jc w:val="center"/>
            </w:pPr>
            <w:r w:rsidRPr="00C13E80">
              <w:t>30 days follow up</w:t>
            </w:r>
          </w:p>
          <w:p w14:paraId="4A818F0F" w14:textId="4B1EE4B9" w:rsidR="00D70ABC" w:rsidRPr="00C13E80" w:rsidRDefault="00D70ABC" w:rsidP="00D70ABC">
            <w:pPr>
              <w:pStyle w:val="TableText0"/>
              <w:keepNext w:val="0"/>
              <w:widowControl w:val="0"/>
              <w:jc w:val="center"/>
            </w:pPr>
            <w:r w:rsidRPr="00C13E80">
              <w:t>Jan-Feb 2022</w:t>
            </w:r>
          </w:p>
        </w:tc>
        <w:tc>
          <w:tcPr>
            <w:tcW w:w="312" w:type="pct"/>
            <w:shd w:val="clear" w:color="auto" w:fill="auto"/>
            <w:vAlign w:val="center"/>
          </w:tcPr>
          <w:p w14:paraId="675A2131" w14:textId="61FA387A" w:rsidR="00EB50DF" w:rsidRPr="00C13E80" w:rsidRDefault="00EB50DF" w:rsidP="00DB22E4">
            <w:pPr>
              <w:pStyle w:val="TableText0"/>
              <w:keepNext w:val="0"/>
              <w:widowControl w:val="0"/>
              <w:jc w:val="center"/>
            </w:pPr>
            <w:r w:rsidRPr="00C13E80">
              <w:t>High</w:t>
            </w:r>
          </w:p>
        </w:tc>
        <w:tc>
          <w:tcPr>
            <w:tcW w:w="1115" w:type="pct"/>
            <w:shd w:val="clear" w:color="auto" w:fill="auto"/>
          </w:tcPr>
          <w:p w14:paraId="07B8407A" w14:textId="6B8E5B1C" w:rsidR="00EB50DF" w:rsidRPr="00C13E80" w:rsidRDefault="00EB50DF" w:rsidP="00DB22E4">
            <w:pPr>
              <w:pStyle w:val="TableText0"/>
              <w:keepNext w:val="0"/>
              <w:widowControl w:val="0"/>
              <w:jc w:val="center"/>
            </w:pPr>
            <w:r w:rsidRPr="00C13E80">
              <w:t xml:space="preserve">Vaccinated and unvaccinated adults aged </w:t>
            </w:r>
            <w:r w:rsidRPr="00C13E80">
              <w:rPr>
                <w:rFonts w:ascii="Calibri" w:hAnsi="Calibri" w:cs="Calibri"/>
              </w:rPr>
              <w:t>≥</w:t>
            </w:r>
            <w:r w:rsidRPr="00C13E80">
              <w:t>65 years diagnosed with mild to moderate COVID infection</w:t>
            </w:r>
          </w:p>
        </w:tc>
        <w:tc>
          <w:tcPr>
            <w:tcW w:w="708" w:type="pct"/>
            <w:shd w:val="clear" w:color="auto" w:fill="auto"/>
            <w:vAlign w:val="center"/>
          </w:tcPr>
          <w:p w14:paraId="428E3C78" w14:textId="23E77EBE" w:rsidR="00EB50DF" w:rsidRPr="00C13E80" w:rsidRDefault="00A84BF0" w:rsidP="00DB22E4">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65B2B19E" w14:textId="7B669044" w:rsidR="00EB50DF" w:rsidRPr="00C13E80" w:rsidRDefault="0088434D" w:rsidP="00DB22E4">
            <w:pPr>
              <w:pStyle w:val="TableText0"/>
              <w:keepNext w:val="0"/>
              <w:widowControl w:val="0"/>
              <w:jc w:val="center"/>
            </w:pPr>
            <w:r w:rsidRPr="00C13E80">
              <w:t>Not used</w:t>
            </w:r>
          </w:p>
        </w:tc>
      </w:tr>
      <w:tr w:rsidR="00137375" w:rsidRPr="00C13E80" w14:paraId="6B97BE22" w14:textId="77777777" w:rsidTr="006104A6">
        <w:trPr>
          <w:cantSplit/>
        </w:trPr>
        <w:tc>
          <w:tcPr>
            <w:tcW w:w="624" w:type="pct"/>
            <w:shd w:val="clear" w:color="auto" w:fill="auto"/>
            <w:vAlign w:val="center"/>
          </w:tcPr>
          <w:p w14:paraId="387E9869" w14:textId="7240FA6E" w:rsidR="0088434D" w:rsidRPr="00C13E80" w:rsidRDefault="0088434D" w:rsidP="0088434D">
            <w:pPr>
              <w:pStyle w:val="TableText0"/>
              <w:keepNext w:val="0"/>
              <w:widowControl w:val="0"/>
            </w:pPr>
            <w:r w:rsidRPr="00C13E80">
              <w:t>Wong 2022</w:t>
            </w:r>
          </w:p>
        </w:tc>
        <w:tc>
          <w:tcPr>
            <w:tcW w:w="390" w:type="pct"/>
            <w:shd w:val="clear" w:color="auto" w:fill="auto"/>
            <w:vAlign w:val="center"/>
          </w:tcPr>
          <w:p w14:paraId="6BA9C690" w14:textId="4EBB5E27" w:rsidR="0088434D" w:rsidRPr="00C13E80" w:rsidRDefault="0088434D" w:rsidP="0088434D">
            <w:pPr>
              <w:pStyle w:val="TableText0"/>
              <w:keepNext w:val="0"/>
              <w:widowControl w:val="0"/>
              <w:jc w:val="center"/>
            </w:pPr>
            <w:r w:rsidRPr="00C13E80">
              <w:t>54,217</w:t>
            </w:r>
          </w:p>
        </w:tc>
        <w:tc>
          <w:tcPr>
            <w:tcW w:w="548" w:type="pct"/>
            <w:vAlign w:val="center"/>
          </w:tcPr>
          <w:p w14:paraId="54F178BA" w14:textId="28BAF815" w:rsidR="0088434D" w:rsidRPr="00C13E80" w:rsidRDefault="0088434D" w:rsidP="0088434D">
            <w:pPr>
              <w:pStyle w:val="TableText0"/>
              <w:keepNext w:val="0"/>
              <w:widowControl w:val="0"/>
              <w:jc w:val="center"/>
            </w:pPr>
            <w:r w:rsidRPr="00C13E80">
              <w:t>Hong Kong</w:t>
            </w:r>
          </w:p>
        </w:tc>
        <w:tc>
          <w:tcPr>
            <w:tcW w:w="625" w:type="pct"/>
            <w:shd w:val="clear" w:color="auto" w:fill="auto"/>
            <w:vAlign w:val="center"/>
          </w:tcPr>
          <w:p w14:paraId="768F62AC" w14:textId="02F6023D" w:rsidR="0088434D" w:rsidRPr="00C13E80" w:rsidRDefault="0088434D" w:rsidP="0088434D">
            <w:pPr>
              <w:pStyle w:val="TableText0"/>
              <w:keepNext w:val="0"/>
              <w:widowControl w:val="0"/>
              <w:jc w:val="center"/>
            </w:pPr>
            <w:r w:rsidRPr="00C13E80">
              <w:t xml:space="preserve">Retrospective </w:t>
            </w:r>
            <w:r w:rsidR="00FC42AC" w:rsidRPr="00C13E80">
              <w:t>cohort</w:t>
            </w:r>
          </w:p>
          <w:p w14:paraId="75C960AF" w14:textId="77777777" w:rsidR="0088434D" w:rsidRPr="00C13E80" w:rsidRDefault="0088434D" w:rsidP="0088434D">
            <w:pPr>
              <w:pStyle w:val="TableText0"/>
              <w:keepNext w:val="0"/>
              <w:widowControl w:val="0"/>
              <w:jc w:val="center"/>
            </w:pPr>
            <w:r w:rsidRPr="00C13E80">
              <w:t>4 weeks follow up</w:t>
            </w:r>
          </w:p>
          <w:p w14:paraId="6B337B05" w14:textId="2453F0C5" w:rsidR="0088434D" w:rsidRPr="00C13E80" w:rsidRDefault="0088434D" w:rsidP="0088434D">
            <w:pPr>
              <w:pStyle w:val="TableText0"/>
              <w:keepNext w:val="0"/>
              <w:widowControl w:val="0"/>
              <w:jc w:val="center"/>
            </w:pPr>
            <w:r w:rsidRPr="00C13E80">
              <w:t>Feb-Jun 2022</w:t>
            </w:r>
          </w:p>
        </w:tc>
        <w:tc>
          <w:tcPr>
            <w:tcW w:w="312" w:type="pct"/>
            <w:shd w:val="clear" w:color="auto" w:fill="auto"/>
            <w:vAlign w:val="center"/>
          </w:tcPr>
          <w:p w14:paraId="310360A2" w14:textId="575587A5" w:rsidR="0088434D" w:rsidRPr="00C13E80" w:rsidRDefault="0088434D" w:rsidP="0088434D">
            <w:pPr>
              <w:pStyle w:val="TableText0"/>
              <w:keepNext w:val="0"/>
              <w:widowControl w:val="0"/>
              <w:jc w:val="center"/>
            </w:pPr>
            <w:r w:rsidRPr="00C13E80">
              <w:t>High</w:t>
            </w:r>
          </w:p>
        </w:tc>
        <w:tc>
          <w:tcPr>
            <w:tcW w:w="1115" w:type="pct"/>
            <w:shd w:val="clear" w:color="auto" w:fill="auto"/>
          </w:tcPr>
          <w:p w14:paraId="699EFD64" w14:textId="4F4A3B87" w:rsidR="0088434D" w:rsidRPr="00C13E80" w:rsidRDefault="0088434D" w:rsidP="0088434D">
            <w:pPr>
              <w:pStyle w:val="TableText0"/>
              <w:keepNext w:val="0"/>
              <w:widowControl w:val="0"/>
              <w:jc w:val="center"/>
            </w:pPr>
            <w:r w:rsidRPr="00C13E80">
              <w:t xml:space="preserve">Vaccinated and unvaccinated, non-hospitalised adults aged </w:t>
            </w:r>
            <w:r w:rsidRPr="00C13E80">
              <w:rPr>
                <w:rFonts w:ascii="Calibri" w:hAnsi="Calibri" w:cs="Calibri"/>
              </w:rPr>
              <w:t>≥</w:t>
            </w:r>
            <w:r w:rsidRPr="00C13E80">
              <w:t>18 years admitted within 5 days of symptom onset in an outpatient setting</w:t>
            </w:r>
          </w:p>
        </w:tc>
        <w:tc>
          <w:tcPr>
            <w:tcW w:w="708" w:type="pct"/>
            <w:shd w:val="clear" w:color="auto" w:fill="auto"/>
            <w:vAlign w:val="center"/>
          </w:tcPr>
          <w:p w14:paraId="136BDDAA" w14:textId="32C08F04" w:rsidR="0088434D" w:rsidRPr="00C13E80" w:rsidRDefault="0088434D" w:rsidP="0088434D">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2C2391A9" w14:textId="5A085580" w:rsidR="0088434D" w:rsidRPr="00C13E80" w:rsidRDefault="0088434D" w:rsidP="0088434D">
            <w:pPr>
              <w:pStyle w:val="TableText0"/>
              <w:keepNext w:val="0"/>
              <w:widowControl w:val="0"/>
              <w:jc w:val="center"/>
            </w:pPr>
            <w:r w:rsidRPr="00C13E80">
              <w:t>Not used</w:t>
            </w:r>
          </w:p>
        </w:tc>
      </w:tr>
      <w:tr w:rsidR="00137375" w:rsidRPr="00C13E80" w14:paraId="28762BB8" w14:textId="77777777" w:rsidTr="006104A6">
        <w:trPr>
          <w:cantSplit/>
        </w:trPr>
        <w:tc>
          <w:tcPr>
            <w:tcW w:w="624" w:type="pct"/>
            <w:shd w:val="clear" w:color="auto" w:fill="auto"/>
            <w:vAlign w:val="center"/>
          </w:tcPr>
          <w:p w14:paraId="04CC38D8" w14:textId="095CEC49" w:rsidR="0088434D" w:rsidRPr="00C13E80" w:rsidRDefault="0088434D" w:rsidP="0088434D">
            <w:pPr>
              <w:pStyle w:val="TableText0"/>
              <w:keepNext w:val="0"/>
              <w:widowControl w:val="0"/>
            </w:pPr>
            <w:r w:rsidRPr="00C13E80">
              <w:lastRenderedPageBreak/>
              <w:t>Yip 2022</w:t>
            </w:r>
          </w:p>
        </w:tc>
        <w:tc>
          <w:tcPr>
            <w:tcW w:w="390" w:type="pct"/>
            <w:shd w:val="clear" w:color="auto" w:fill="auto"/>
            <w:vAlign w:val="center"/>
          </w:tcPr>
          <w:p w14:paraId="29AD5FAE" w14:textId="7590F9E8" w:rsidR="0088434D" w:rsidRPr="00C13E80" w:rsidRDefault="0088434D" w:rsidP="0088434D">
            <w:pPr>
              <w:pStyle w:val="TableText0"/>
              <w:keepNext w:val="0"/>
              <w:widowControl w:val="0"/>
              <w:jc w:val="center"/>
            </w:pPr>
            <w:r w:rsidRPr="00C13E80">
              <w:t>9,556</w:t>
            </w:r>
          </w:p>
        </w:tc>
        <w:tc>
          <w:tcPr>
            <w:tcW w:w="548" w:type="pct"/>
            <w:vAlign w:val="center"/>
          </w:tcPr>
          <w:p w14:paraId="6C28A2BE" w14:textId="27CC1380" w:rsidR="0088434D" w:rsidRPr="00C13E80" w:rsidRDefault="0088434D" w:rsidP="0088434D">
            <w:pPr>
              <w:pStyle w:val="TableText0"/>
              <w:keepNext w:val="0"/>
              <w:widowControl w:val="0"/>
              <w:jc w:val="center"/>
            </w:pPr>
            <w:r w:rsidRPr="00C13E80">
              <w:t>Hong Kong</w:t>
            </w:r>
          </w:p>
        </w:tc>
        <w:tc>
          <w:tcPr>
            <w:tcW w:w="625" w:type="pct"/>
            <w:shd w:val="clear" w:color="auto" w:fill="auto"/>
            <w:vAlign w:val="center"/>
          </w:tcPr>
          <w:p w14:paraId="78DCEA27" w14:textId="203B506B" w:rsidR="0088434D" w:rsidRPr="00C13E80" w:rsidRDefault="0088434D" w:rsidP="0088434D">
            <w:pPr>
              <w:pStyle w:val="TableText0"/>
              <w:keepNext w:val="0"/>
              <w:widowControl w:val="0"/>
              <w:jc w:val="center"/>
            </w:pPr>
            <w:r w:rsidRPr="00C13E80">
              <w:t xml:space="preserve">Retrospective </w:t>
            </w:r>
            <w:r w:rsidR="00FC42AC" w:rsidRPr="00C13E80">
              <w:t>cohort</w:t>
            </w:r>
          </w:p>
          <w:p w14:paraId="4E0FC9F6" w14:textId="3EE50DF6" w:rsidR="0088434D" w:rsidRPr="00C13E80" w:rsidRDefault="0088434D" w:rsidP="0088434D">
            <w:pPr>
              <w:pStyle w:val="TableText0"/>
              <w:keepNext w:val="0"/>
              <w:widowControl w:val="0"/>
              <w:jc w:val="center"/>
            </w:pPr>
            <w:r w:rsidRPr="00C13E80">
              <w:t>30 days follow up</w:t>
            </w:r>
          </w:p>
          <w:p w14:paraId="7B3C6C4D" w14:textId="171DF643" w:rsidR="0088434D" w:rsidRPr="00C13E80" w:rsidRDefault="0088434D" w:rsidP="0088434D">
            <w:pPr>
              <w:pStyle w:val="TableText0"/>
              <w:keepNext w:val="0"/>
              <w:widowControl w:val="0"/>
              <w:jc w:val="center"/>
            </w:pPr>
            <w:r w:rsidRPr="00C13E80">
              <w:t>Feb-Mar 2022</w:t>
            </w:r>
          </w:p>
        </w:tc>
        <w:tc>
          <w:tcPr>
            <w:tcW w:w="312" w:type="pct"/>
            <w:shd w:val="clear" w:color="auto" w:fill="auto"/>
            <w:vAlign w:val="center"/>
          </w:tcPr>
          <w:p w14:paraId="5813BADC" w14:textId="0741B14B" w:rsidR="0088434D" w:rsidRPr="00C13E80" w:rsidRDefault="0088434D" w:rsidP="0088434D">
            <w:pPr>
              <w:pStyle w:val="TableText0"/>
              <w:keepNext w:val="0"/>
              <w:widowControl w:val="0"/>
              <w:jc w:val="center"/>
            </w:pPr>
            <w:r w:rsidRPr="00C13E80">
              <w:t>High</w:t>
            </w:r>
          </w:p>
        </w:tc>
        <w:tc>
          <w:tcPr>
            <w:tcW w:w="1115" w:type="pct"/>
            <w:shd w:val="clear" w:color="auto" w:fill="auto"/>
            <w:vAlign w:val="center"/>
          </w:tcPr>
          <w:p w14:paraId="6DDA9BB5" w14:textId="6682DC15" w:rsidR="0088434D" w:rsidRPr="00C13E80" w:rsidRDefault="0088434D" w:rsidP="0088434D">
            <w:pPr>
              <w:pStyle w:val="Tabletext"/>
              <w:widowControl w:val="0"/>
              <w:jc w:val="center"/>
            </w:pPr>
            <w:r w:rsidRPr="00C13E80">
              <w:t>Vaccinated and unvaccinated, non-hospitalised patients admitted within 5 days of symptom onset in</w:t>
            </w:r>
          </w:p>
          <w:p w14:paraId="07F4718D" w14:textId="4541F3DC" w:rsidR="0088434D" w:rsidRPr="00C13E80" w:rsidRDefault="0088434D" w:rsidP="0088434D">
            <w:pPr>
              <w:pStyle w:val="TableText0"/>
              <w:keepNext w:val="0"/>
              <w:widowControl w:val="0"/>
              <w:jc w:val="center"/>
            </w:pPr>
            <w:r w:rsidRPr="00C13E80">
              <w:t>an outpatient setting</w:t>
            </w:r>
          </w:p>
        </w:tc>
        <w:tc>
          <w:tcPr>
            <w:tcW w:w="708" w:type="pct"/>
            <w:shd w:val="clear" w:color="auto" w:fill="auto"/>
            <w:vAlign w:val="center"/>
          </w:tcPr>
          <w:p w14:paraId="47B4E9B7" w14:textId="1E88D9B0" w:rsidR="0088434D" w:rsidRPr="00C13E80" w:rsidRDefault="0088434D" w:rsidP="0088434D">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0276F3DE" w14:textId="0CC50810" w:rsidR="0088434D" w:rsidRPr="00C13E80" w:rsidRDefault="0088434D" w:rsidP="0088434D">
            <w:pPr>
              <w:pStyle w:val="TableText0"/>
              <w:keepNext w:val="0"/>
              <w:widowControl w:val="0"/>
              <w:jc w:val="center"/>
            </w:pPr>
            <w:r w:rsidRPr="00C13E80">
              <w:t>Not used</w:t>
            </w:r>
          </w:p>
        </w:tc>
      </w:tr>
      <w:tr w:rsidR="00137375" w:rsidRPr="00C13E80" w14:paraId="6BB16954" w14:textId="77777777" w:rsidTr="006104A6">
        <w:trPr>
          <w:cantSplit/>
        </w:trPr>
        <w:tc>
          <w:tcPr>
            <w:tcW w:w="624" w:type="pct"/>
            <w:shd w:val="clear" w:color="auto" w:fill="auto"/>
            <w:vAlign w:val="center"/>
          </w:tcPr>
          <w:p w14:paraId="587801CB" w14:textId="7AC846DA" w:rsidR="0088434D" w:rsidRPr="00C13E80" w:rsidRDefault="0088434D" w:rsidP="0088434D">
            <w:pPr>
              <w:pStyle w:val="TableText0"/>
              <w:keepNext w:val="0"/>
              <w:widowControl w:val="0"/>
            </w:pPr>
            <w:r w:rsidRPr="00C13E80">
              <w:t>Wai 2023</w:t>
            </w:r>
          </w:p>
        </w:tc>
        <w:tc>
          <w:tcPr>
            <w:tcW w:w="390" w:type="pct"/>
            <w:shd w:val="clear" w:color="auto" w:fill="auto"/>
            <w:vAlign w:val="center"/>
          </w:tcPr>
          <w:p w14:paraId="0EE9B253" w14:textId="5DE69662" w:rsidR="0088434D" w:rsidRPr="00C13E80" w:rsidRDefault="0088434D" w:rsidP="0088434D">
            <w:pPr>
              <w:pStyle w:val="TableText0"/>
              <w:keepNext w:val="0"/>
              <w:widowControl w:val="0"/>
              <w:jc w:val="center"/>
            </w:pPr>
            <w:r w:rsidRPr="00C13E80">
              <w:t>33,217</w:t>
            </w:r>
            <w:r w:rsidRPr="00C13E80">
              <w:rPr>
                <w:vertAlign w:val="superscript"/>
              </w:rPr>
              <w:t>c</w:t>
            </w:r>
          </w:p>
        </w:tc>
        <w:tc>
          <w:tcPr>
            <w:tcW w:w="548" w:type="pct"/>
            <w:vAlign w:val="center"/>
          </w:tcPr>
          <w:p w14:paraId="05C1704C" w14:textId="5043AE50" w:rsidR="0088434D" w:rsidRPr="00C13E80" w:rsidRDefault="0088434D" w:rsidP="0088434D">
            <w:pPr>
              <w:pStyle w:val="TableText0"/>
              <w:keepNext w:val="0"/>
              <w:widowControl w:val="0"/>
              <w:jc w:val="center"/>
            </w:pPr>
            <w:r w:rsidRPr="00C13E80">
              <w:t>Hong Kong</w:t>
            </w:r>
          </w:p>
        </w:tc>
        <w:tc>
          <w:tcPr>
            <w:tcW w:w="625" w:type="pct"/>
            <w:shd w:val="clear" w:color="auto" w:fill="auto"/>
            <w:vAlign w:val="center"/>
          </w:tcPr>
          <w:p w14:paraId="536020FA" w14:textId="0313ECFD" w:rsidR="0088434D" w:rsidRPr="00C13E80" w:rsidRDefault="0088434D" w:rsidP="0088434D">
            <w:pPr>
              <w:pStyle w:val="TableText0"/>
              <w:keepNext w:val="0"/>
              <w:widowControl w:val="0"/>
              <w:jc w:val="center"/>
            </w:pPr>
            <w:r w:rsidRPr="00C13E80">
              <w:t xml:space="preserve">Retrospective </w:t>
            </w:r>
            <w:r w:rsidR="00FC42AC" w:rsidRPr="00C13E80">
              <w:t>cohort</w:t>
            </w:r>
          </w:p>
          <w:p w14:paraId="1BCB167E" w14:textId="5837D1CC" w:rsidR="0088434D" w:rsidRPr="00C13E80" w:rsidRDefault="0088434D" w:rsidP="0088434D">
            <w:pPr>
              <w:pStyle w:val="TableText0"/>
              <w:keepNext w:val="0"/>
              <w:widowControl w:val="0"/>
              <w:jc w:val="center"/>
            </w:pPr>
            <w:r w:rsidRPr="00C13E80">
              <w:t>4 weeks follow up</w:t>
            </w:r>
          </w:p>
          <w:p w14:paraId="366ACB02" w14:textId="24C5E914" w:rsidR="0088434D" w:rsidRPr="00C13E80" w:rsidRDefault="0088434D" w:rsidP="0088434D">
            <w:pPr>
              <w:pStyle w:val="TableText0"/>
              <w:keepNext w:val="0"/>
              <w:widowControl w:val="0"/>
              <w:jc w:val="center"/>
            </w:pPr>
            <w:r w:rsidRPr="00C13E80">
              <w:t>Feb-Apr 2022</w:t>
            </w:r>
          </w:p>
        </w:tc>
        <w:tc>
          <w:tcPr>
            <w:tcW w:w="312" w:type="pct"/>
            <w:shd w:val="clear" w:color="auto" w:fill="auto"/>
            <w:vAlign w:val="center"/>
          </w:tcPr>
          <w:p w14:paraId="39FACFB0" w14:textId="7E3B3062" w:rsidR="0088434D" w:rsidRPr="00C13E80" w:rsidRDefault="0088434D" w:rsidP="0088434D">
            <w:pPr>
              <w:pStyle w:val="TableText0"/>
              <w:keepNext w:val="0"/>
              <w:widowControl w:val="0"/>
              <w:jc w:val="center"/>
            </w:pPr>
            <w:r w:rsidRPr="00C13E80">
              <w:t>High</w:t>
            </w:r>
          </w:p>
        </w:tc>
        <w:tc>
          <w:tcPr>
            <w:tcW w:w="1115" w:type="pct"/>
            <w:shd w:val="clear" w:color="auto" w:fill="auto"/>
            <w:vAlign w:val="center"/>
          </w:tcPr>
          <w:p w14:paraId="55EB5FA9" w14:textId="77777777" w:rsidR="0088434D" w:rsidRPr="00C13E80" w:rsidRDefault="0088434D" w:rsidP="0088434D">
            <w:pPr>
              <w:pStyle w:val="Tabletext"/>
              <w:widowControl w:val="0"/>
              <w:jc w:val="center"/>
            </w:pPr>
            <w:r w:rsidRPr="00C13E80">
              <w:t>Vaccinated and unvaccinated, non-hospitalised patients admitted within 5 days of symptom onset in</w:t>
            </w:r>
          </w:p>
          <w:p w14:paraId="65FE631C" w14:textId="41C1B0D5" w:rsidR="0088434D" w:rsidRPr="00C13E80" w:rsidRDefault="0088434D" w:rsidP="0088434D">
            <w:pPr>
              <w:pStyle w:val="TableText0"/>
              <w:keepNext w:val="0"/>
              <w:widowControl w:val="0"/>
              <w:jc w:val="center"/>
            </w:pPr>
            <w:r w:rsidRPr="00C13E80">
              <w:t>an outpatient setting</w:t>
            </w:r>
          </w:p>
        </w:tc>
        <w:tc>
          <w:tcPr>
            <w:tcW w:w="708" w:type="pct"/>
            <w:shd w:val="clear" w:color="auto" w:fill="auto"/>
            <w:vAlign w:val="center"/>
          </w:tcPr>
          <w:p w14:paraId="6B2D10A5" w14:textId="4ABA8764" w:rsidR="0088434D" w:rsidRPr="00C13E80" w:rsidRDefault="0088434D" w:rsidP="0088434D">
            <w:pPr>
              <w:pStyle w:val="TableText0"/>
              <w:keepNext w:val="0"/>
              <w:widowControl w:val="0"/>
              <w:jc w:val="center"/>
            </w:pPr>
            <w:r w:rsidRPr="00C13E80">
              <w:t>Death</w:t>
            </w:r>
          </w:p>
        </w:tc>
        <w:tc>
          <w:tcPr>
            <w:tcW w:w="679" w:type="pct"/>
            <w:shd w:val="clear" w:color="auto" w:fill="auto"/>
            <w:vAlign w:val="center"/>
          </w:tcPr>
          <w:p w14:paraId="3AE4843A" w14:textId="7DD30B40" w:rsidR="0088434D" w:rsidRPr="00C13E80" w:rsidRDefault="0088434D" w:rsidP="0088434D">
            <w:pPr>
              <w:pStyle w:val="TableText0"/>
              <w:keepNext w:val="0"/>
              <w:widowControl w:val="0"/>
              <w:jc w:val="center"/>
            </w:pPr>
            <w:r w:rsidRPr="00C13E80">
              <w:t>Not used</w:t>
            </w:r>
          </w:p>
        </w:tc>
      </w:tr>
      <w:tr w:rsidR="00137375" w:rsidRPr="00C13E80" w14:paraId="0199FD0E" w14:textId="77777777" w:rsidTr="006104A6">
        <w:trPr>
          <w:cantSplit/>
        </w:trPr>
        <w:tc>
          <w:tcPr>
            <w:tcW w:w="624" w:type="pct"/>
            <w:shd w:val="clear" w:color="auto" w:fill="auto"/>
            <w:vAlign w:val="center"/>
          </w:tcPr>
          <w:p w14:paraId="266364DA" w14:textId="55E5ADB6" w:rsidR="0088434D" w:rsidRPr="00C13E80" w:rsidRDefault="0088434D" w:rsidP="0088434D">
            <w:pPr>
              <w:pStyle w:val="TableText0"/>
              <w:keepNext w:val="0"/>
              <w:widowControl w:val="0"/>
            </w:pPr>
            <w:r w:rsidRPr="00C13E80">
              <w:t>Lai 2022</w:t>
            </w:r>
          </w:p>
        </w:tc>
        <w:tc>
          <w:tcPr>
            <w:tcW w:w="390" w:type="pct"/>
            <w:shd w:val="clear" w:color="auto" w:fill="auto"/>
            <w:vAlign w:val="center"/>
          </w:tcPr>
          <w:p w14:paraId="4E20B3A5" w14:textId="77BEF4D1" w:rsidR="0088434D" w:rsidRPr="00C13E80" w:rsidRDefault="0088434D" w:rsidP="0088434D">
            <w:pPr>
              <w:pStyle w:val="TableText0"/>
              <w:keepNext w:val="0"/>
              <w:widowControl w:val="0"/>
              <w:jc w:val="center"/>
            </w:pPr>
            <w:r w:rsidRPr="00C13E80">
              <w:t>3,679</w:t>
            </w:r>
          </w:p>
        </w:tc>
        <w:tc>
          <w:tcPr>
            <w:tcW w:w="548" w:type="pct"/>
            <w:vAlign w:val="center"/>
          </w:tcPr>
          <w:p w14:paraId="1E0E5403" w14:textId="03CEE2D0" w:rsidR="0088434D" w:rsidRPr="00C13E80" w:rsidRDefault="0088434D" w:rsidP="0088434D">
            <w:pPr>
              <w:pStyle w:val="TableText0"/>
              <w:keepNext w:val="0"/>
              <w:widowControl w:val="0"/>
              <w:jc w:val="center"/>
            </w:pPr>
            <w:r w:rsidRPr="00C13E80">
              <w:t>International</w:t>
            </w:r>
          </w:p>
        </w:tc>
        <w:tc>
          <w:tcPr>
            <w:tcW w:w="625" w:type="pct"/>
            <w:shd w:val="clear" w:color="auto" w:fill="auto"/>
            <w:vAlign w:val="center"/>
          </w:tcPr>
          <w:p w14:paraId="5798A079" w14:textId="01AF88EB" w:rsidR="0088434D" w:rsidRPr="00C13E80" w:rsidRDefault="0088434D" w:rsidP="0088434D">
            <w:pPr>
              <w:pStyle w:val="TableText0"/>
              <w:keepNext w:val="0"/>
              <w:widowControl w:val="0"/>
              <w:jc w:val="center"/>
            </w:pPr>
            <w:r w:rsidRPr="00C13E80">
              <w:t>Indirect comparison using MOVe-OUT and EPIC-HR RCTs</w:t>
            </w:r>
          </w:p>
        </w:tc>
        <w:tc>
          <w:tcPr>
            <w:tcW w:w="312" w:type="pct"/>
            <w:shd w:val="clear" w:color="auto" w:fill="auto"/>
            <w:vAlign w:val="center"/>
          </w:tcPr>
          <w:p w14:paraId="15513281" w14:textId="698B83DA" w:rsidR="0088434D" w:rsidRPr="00C13E80" w:rsidRDefault="0088434D" w:rsidP="0088434D">
            <w:pPr>
              <w:pStyle w:val="TableText0"/>
              <w:keepNext w:val="0"/>
              <w:widowControl w:val="0"/>
              <w:jc w:val="center"/>
            </w:pPr>
            <w:r w:rsidRPr="00C13E80">
              <w:t>Moderate</w:t>
            </w:r>
          </w:p>
        </w:tc>
        <w:tc>
          <w:tcPr>
            <w:tcW w:w="1115" w:type="pct"/>
            <w:shd w:val="clear" w:color="auto" w:fill="auto"/>
            <w:vAlign w:val="center"/>
          </w:tcPr>
          <w:p w14:paraId="670B2B98" w14:textId="381AD727" w:rsidR="0088434D" w:rsidRPr="00C13E80" w:rsidRDefault="0088434D" w:rsidP="0088434D">
            <w:pPr>
              <w:pStyle w:val="TableText0"/>
              <w:keepNext w:val="0"/>
              <w:widowControl w:val="0"/>
              <w:jc w:val="center"/>
            </w:pPr>
            <w:r w:rsidRPr="00C13E80">
              <w:t>Non-hospitalised, unvaccinated adults with mild or moderate COVID and ≥1 risk factor diagnosed within 5 days of symptom onset</w:t>
            </w:r>
          </w:p>
        </w:tc>
        <w:tc>
          <w:tcPr>
            <w:tcW w:w="708" w:type="pct"/>
            <w:shd w:val="clear" w:color="auto" w:fill="auto"/>
            <w:vAlign w:val="center"/>
          </w:tcPr>
          <w:p w14:paraId="329450EB" w14:textId="2E77544B" w:rsidR="0088434D" w:rsidRPr="00C13E80" w:rsidRDefault="0088434D" w:rsidP="0088434D">
            <w:pPr>
              <w:pStyle w:val="TableText0"/>
              <w:keepNext w:val="0"/>
              <w:widowControl w:val="0"/>
              <w:jc w:val="center"/>
            </w:pPr>
            <w:r w:rsidRPr="00C13E80">
              <w:t xml:space="preserve">All cause </w:t>
            </w:r>
            <w:r w:rsidR="00D80E6A" w:rsidRPr="00C13E80">
              <w:t>hospitalisation</w:t>
            </w:r>
            <w:r w:rsidRPr="00C13E80">
              <w:t xml:space="preserve"> or death</w:t>
            </w:r>
          </w:p>
        </w:tc>
        <w:tc>
          <w:tcPr>
            <w:tcW w:w="679" w:type="pct"/>
            <w:shd w:val="clear" w:color="auto" w:fill="auto"/>
            <w:vAlign w:val="center"/>
          </w:tcPr>
          <w:p w14:paraId="7EF11405" w14:textId="2463945B" w:rsidR="0088434D" w:rsidRPr="00C13E80" w:rsidRDefault="0088434D" w:rsidP="0088434D">
            <w:pPr>
              <w:pStyle w:val="TableText0"/>
              <w:keepNext w:val="0"/>
              <w:widowControl w:val="0"/>
              <w:jc w:val="center"/>
            </w:pPr>
            <w:r w:rsidRPr="00C13E80">
              <w:t>Not used</w:t>
            </w:r>
          </w:p>
        </w:tc>
      </w:tr>
    </w:tbl>
    <w:p w14:paraId="560080D2" w14:textId="179299ED" w:rsidR="00045017" w:rsidRPr="00C13E80" w:rsidRDefault="00045017" w:rsidP="00EC5836">
      <w:pPr>
        <w:pStyle w:val="FooterTableFigure"/>
      </w:pPr>
      <w:r w:rsidRPr="00C13E80">
        <w:t xml:space="preserve">Source: </w:t>
      </w:r>
      <w:r w:rsidR="00941988" w:rsidRPr="00C13E80">
        <w:t>Table 2.3-1</w:t>
      </w:r>
      <w:r w:rsidR="003B59E1" w:rsidRPr="00C13E80">
        <w:t xml:space="preserve"> on</w:t>
      </w:r>
      <w:r w:rsidRPr="00C13E80">
        <w:t xml:space="preserve"> </w:t>
      </w:r>
      <w:r w:rsidR="003B59E1" w:rsidRPr="00C13E80">
        <w:t>pp</w:t>
      </w:r>
      <w:r w:rsidR="00A841A7" w:rsidRPr="00C13E80">
        <w:t>.43-46 of the submission</w:t>
      </w:r>
      <w:r w:rsidR="0051240B" w:rsidRPr="00C13E80">
        <w:t xml:space="preserve">; </w:t>
      </w:r>
      <w:r w:rsidR="00595CA0" w:rsidRPr="00C13E80">
        <w:t>Wai 2023</w:t>
      </w:r>
      <w:r w:rsidR="009F79E9" w:rsidRPr="00C13E80">
        <w:t>; Van Heer et al. (2023).</w:t>
      </w:r>
    </w:p>
    <w:p w14:paraId="0D2B11BD" w14:textId="028BD983" w:rsidR="00362B7D" w:rsidRPr="00C13E80" w:rsidRDefault="00733CF0" w:rsidP="00362B7D">
      <w:pPr>
        <w:pStyle w:val="FooterTableFigure"/>
        <w:tabs>
          <w:tab w:val="left" w:pos="284"/>
        </w:tabs>
      </w:pPr>
      <w:proofErr w:type="gramStart"/>
      <w:r w:rsidRPr="00C13E80">
        <w:rPr>
          <w:vertAlign w:val="superscript"/>
        </w:rPr>
        <w:t>a</w:t>
      </w:r>
      <w:r w:rsidR="00362B7D" w:rsidRPr="00C13E80">
        <w:rPr>
          <w:vertAlign w:val="superscript"/>
        </w:rPr>
        <w:tab/>
      </w:r>
      <w:r w:rsidR="00BB1F18" w:rsidRPr="00C13E80">
        <w:t>for</w:t>
      </w:r>
      <w:proofErr w:type="gramEnd"/>
      <w:r w:rsidR="00BB1F18" w:rsidRPr="00C13E80">
        <w:t xml:space="preserve"> comparison of </w:t>
      </w:r>
      <w:r w:rsidR="00BB1F18" w:rsidRPr="00C13E80">
        <w:rPr>
          <w:color w:val="000000" w:themeColor="text1"/>
        </w:rPr>
        <w:t>molnupiravir vs usual care</w:t>
      </w:r>
    </w:p>
    <w:p w14:paraId="641A7647" w14:textId="3C9FD754" w:rsidR="00362B7D" w:rsidRPr="00C13E80" w:rsidRDefault="00362B7D" w:rsidP="00362B7D">
      <w:pPr>
        <w:pStyle w:val="FooterTableFigure"/>
        <w:tabs>
          <w:tab w:val="left" w:pos="284"/>
        </w:tabs>
        <w:rPr>
          <w:color w:val="000000" w:themeColor="text1"/>
        </w:rPr>
      </w:pPr>
      <w:r w:rsidRPr="00C13E80">
        <w:rPr>
          <w:vertAlign w:val="superscript"/>
        </w:rPr>
        <w:t>b</w:t>
      </w:r>
      <w:r w:rsidR="00BB1F18" w:rsidRPr="00C13E80">
        <w:rPr>
          <w:vertAlign w:val="superscript"/>
        </w:rPr>
        <w:tab/>
      </w:r>
      <w:r w:rsidR="00BB1F18" w:rsidRPr="00C13E80">
        <w:t xml:space="preserve">for comparison of </w:t>
      </w:r>
      <w:r w:rsidR="00BB1F18" w:rsidRPr="00C13E80">
        <w:rPr>
          <w:color w:val="000000" w:themeColor="text1"/>
        </w:rPr>
        <w:t>molnupiravir vs nirmatrelvir and ritonavir</w:t>
      </w:r>
    </w:p>
    <w:p w14:paraId="6E8E4592" w14:textId="0A312B18" w:rsidR="007C3780" w:rsidRPr="00C13E80" w:rsidRDefault="007C3780" w:rsidP="00362B7D">
      <w:pPr>
        <w:pStyle w:val="FooterTableFigure"/>
        <w:tabs>
          <w:tab w:val="left" w:pos="284"/>
        </w:tabs>
      </w:pPr>
      <w:r w:rsidRPr="00C13E80">
        <w:rPr>
          <w:color w:val="000000" w:themeColor="text1"/>
          <w:vertAlign w:val="superscript"/>
        </w:rPr>
        <w:t>c</w:t>
      </w:r>
      <w:r w:rsidRPr="00C13E80">
        <w:rPr>
          <w:color w:val="000000" w:themeColor="text1"/>
        </w:rPr>
        <w:tab/>
        <w:t>for the outpatient cohort</w:t>
      </w:r>
    </w:p>
    <w:p w14:paraId="1095487C" w14:textId="28E13D3B" w:rsidR="00620C25" w:rsidRPr="00C13E80" w:rsidRDefault="008E6B68" w:rsidP="00362B7D">
      <w:pPr>
        <w:pStyle w:val="FooterTableFigure"/>
        <w:tabs>
          <w:tab w:val="left" w:pos="284"/>
        </w:tabs>
        <w:rPr>
          <w:sz w:val="20"/>
        </w:rPr>
      </w:pPr>
      <w:r w:rsidRPr="00C13E80">
        <w:t xml:space="preserve">bwn </w:t>
      </w:r>
      <w:r w:rsidR="004F2321" w:rsidRPr="00C13E80">
        <w:t xml:space="preserve">= between; </w:t>
      </w:r>
      <w:r w:rsidR="00620C25" w:rsidRPr="00C13E80">
        <w:t>DB = double blind; MC = multi-centre; OL = open label; R = randomised</w:t>
      </w:r>
      <w:r w:rsidR="003B6F01" w:rsidRPr="00C13E80">
        <w:t>; UK = United Kingdom</w:t>
      </w:r>
      <w:r w:rsidR="008E5046" w:rsidRPr="00C13E80">
        <w:t>; US = United States</w:t>
      </w:r>
    </w:p>
    <w:p w14:paraId="69D36E93" w14:textId="4925B6BA" w:rsidR="00D52C46" w:rsidRPr="00C13E80" w:rsidRDefault="00D52C46" w:rsidP="00B46FE9">
      <w:pPr>
        <w:pStyle w:val="3-BodyText"/>
        <w:rPr>
          <w:rFonts w:ascii="Arial Narrow" w:eastAsiaTheme="majorEastAsia" w:hAnsi="Arial Narrow" w:cstheme="majorBidi"/>
          <w:b/>
          <w:iCs/>
          <w:sz w:val="20"/>
        </w:rPr>
      </w:pPr>
      <w:r w:rsidRPr="00C13E80">
        <w:rPr>
          <w:iCs/>
        </w:rPr>
        <w:t xml:space="preserve">There are several potential applicability issues with the majority of the studies presented in </w:t>
      </w:r>
      <w:r w:rsidRPr="00C13E80">
        <w:rPr>
          <w:iCs/>
          <w:color w:val="000000" w:themeColor="text1"/>
        </w:rPr>
        <w:fldChar w:fldCharType="begin" w:fldLock="1"/>
      </w:r>
      <w:r w:rsidRPr="00C13E80">
        <w:rPr>
          <w:iCs/>
          <w:color w:val="000000" w:themeColor="text1"/>
        </w:rPr>
        <w:instrText xml:space="preserve"> REF _Ref104804098 \h  \* MERGEFORMAT </w:instrText>
      </w:r>
      <w:r w:rsidRPr="00C13E80">
        <w:rPr>
          <w:iCs/>
          <w:color w:val="000000" w:themeColor="text1"/>
        </w:rPr>
      </w:r>
      <w:r w:rsidRPr="00C13E80">
        <w:rPr>
          <w:iCs/>
          <w:color w:val="000000" w:themeColor="text1"/>
        </w:rPr>
        <w:fldChar w:fldCharType="separate"/>
      </w:r>
      <w:r w:rsidR="00701DEF" w:rsidRPr="00701DEF">
        <w:rPr>
          <w:iCs/>
          <w:color w:val="000000" w:themeColor="text1"/>
        </w:rPr>
        <w:t>Table 6</w:t>
      </w:r>
      <w:r w:rsidRPr="00C13E80">
        <w:rPr>
          <w:iCs/>
          <w:color w:val="000000" w:themeColor="text1"/>
        </w:rPr>
        <w:fldChar w:fldCharType="end"/>
      </w:r>
      <w:r w:rsidRPr="00C13E80">
        <w:rPr>
          <w:iCs/>
          <w:color w:val="000000" w:themeColor="text1"/>
        </w:rPr>
        <w:t>.</w:t>
      </w:r>
      <w:r w:rsidR="00513691" w:rsidRPr="00C13E80">
        <w:rPr>
          <w:iCs/>
          <w:color w:val="000000" w:themeColor="text1"/>
        </w:rPr>
        <w:t xml:space="preserve"> In particular</w:t>
      </w:r>
      <w:r w:rsidRPr="00C13E80">
        <w:rPr>
          <w:iCs/>
          <w:color w:val="000000" w:themeColor="text1"/>
        </w:rPr>
        <w:t>,</w:t>
      </w:r>
      <w:r w:rsidRPr="00C13E80">
        <w:rPr>
          <w:iCs/>
        </w:rPr>
        <w:t xml:space="preserve"> the variation in the study periods examined by the studies could mean that the </w:t>
      </w:r>
      <w:r w:rsidR="00FD7D1D" w:rsidRPr="00C13E80">
        <w:rPr>
          <w:iCs/>
        </w:rPr>
        <w:t>evidence</w:t>
      </w:r>
      <w:r w:rsidRPr="00C13E80">
        <w:rPr>
          <w:iCs/>
        </w:rPr>
        <w:t xml:space="preserve"> </w:t>
      </w:r>
      <w:r w:rsidR="00FD7D1D" w:rsidRPr="00C13E80">
        <w:rPr>
          <w:iCs/>
        </w:rPr>
        <w:t>is</w:t>
      </w:r>
      <w:r w:rsidRPr="00C13E80">
        <w:rPr>
          <w:iCs/>
        </w:rPr>
        <w:t xml:space="preserve"> not applicable to the current scenario </w:t>
      </w:r>
      <w:r w:rsidR="002521D6" w:rsidRPr="00C13E80">
        <w:rPr>
          <w:iCs/>
        </w:rPr>
        <w:t>(</w:t>
      </w:r>
      <w:r w:rsidRPr="00C13E80">
        <w:rPr>
          <w:iCs/>
        </w:rPr>
        <w:t>in terms of variants circulating</w:t>
      </w:r>
      <w:r w:rsidR="009F0057" w:rsidRPr="00C13E80">
        <w:rPr>
          <w:iCs/>
        </w:rPr>
        <w:t>, in terms of proportion of the population vaccinated, etc</w:t>
      </w:r>
      <w:r w:rsidRPr="00C13E80">
        <w:rPr>
          <w:iCs/>
        </w:rPr>
        <w:t>)</w:t>
      </w:r>
      <w:r w:rsidR="004A3D30" w:rsidRPr="00C13E80">
        <w:rPr>
          <w:iCs/>
        </w:rPr>
        <w:t xml:space="preserve"> and</w:t>
      </w:r>
      <w:r w:rsidRPr="00C13E80">
        <w:rPr>
          <w:iCs/>
        </w:rPr>
        <w:t xml:space="preserve"> variations in the settings in which the studies were conducted could mean that the data are not applicable to the Australian setting (e.g., if ‘usual care’ before and after hospitalisation is different to that experienced by patients in Australia</w:t>
      </w:r>
      <w:r w:rsidR="006372F9" w:rsidRPr="00C13E80">
        <w:rPr>
          <w:iCs/>
        </w:rPr>
        <w:t>, if the threshold for referring patients for admission to hospital are different to that applying in Australia</w:t>
      </w:r>
      <w:r w:rsidRPr="00C13E80">
        <w:rPr>
          <w:iCs/>
        </w:rPr>
        <w:t>).</w:t>
      </w:r>
    </w:p>
    <w:p w14:paraId="4A4FE085" w14:textId="1C5613CC" w:rsidR="00B60939" w:rsidRPr="00C13E80" w:rsidRDefault="00B60939" w:rsidP="00EC5836">
      <w:pPr>
        <w:pStyle w:val="4-SubsectionHeading"/>
        <w:rPr>
          <w:i w:val="0"/>
        </w:rPr>
      </w:pPr>
      <w:bookmarkStart w:id="44" w:name="_Toc22897641"/>
      <w:bookmarkStart w:id="45" w:name="_Toc135232221"/>
      <w:r w:rsidRPr="00C13E80">
        <w:rPr>
          <w:i w:val="0"/>
        </w:rPr>
        <w:t>Comparative effectiveness</w:t>
      </w:r>
      <w:bookmarkEnd w:id="44"/>
      <w:bookmarkEnd w:id="45"/>
    </w:p>
    <w:p w14:paraId="754D042E" w14:textId="18A8A8A3" w:rsidR="002C0F5B" w:rsidRPr="00C13E80" w:rsidRDefault="00FF1B3F" w:rsidP="00B46FE9">
      <w:pPr>
        <w:pStyle w:val="3-BodyText"/>
      </w:pPr>
      <w:r w:rsidRPr="00C13E80">
        <w:fldChar w:fldCharType="begin" w:fldLock="1"/>
      </w:r>
      <w:r w:rsidRPr="00C13E80">
        <w:instrText xml:space="preserve"> REF _Ref134387665 \h  \* MERGEFORMAT </w:instrText>
      </w:r>
      <w:r w:rsidRPr="00C13E80">
        <w:fldChar w:fldCharType="separate"/>
      </w:r>
      <w:r w:rsidR="00701DEF" w:rsidRPr="00701DEF">
        <w:t>Table 7</w:t>
      </w:r>
      <w:r w:rsidRPr="00C13E80">
        <w:fldChar w:fldCharType="end"/>
      </w:r>
      <w:r w:rsidRPr="00C13E80">
        <w:t xml:space="preserve"> summarises the results of the key comparisons provided </w:t>
      </w:r>
      <w:r w:rsidR="00433A2A" w:rsidRPr="00C13E80">
        <w:t>by each of the studies.</w:t>
      </w:r>
      <w:r w:rsidR="00464D7E" w:rsidRPr="00C13E80">
        <w:t xml:space="preserve"> Odds ratios are unadjusted unless specified as being adjusted for </w:t>
      </w:r>
      <w:r w:rsidR="00C6329F" w:rsidRPr="00C13E80">
        <w:t>covariates.</w:t>
      </w:r>
    </w:p>
    <w:p w14:paraId="4D2417E8" w14:textId="48888DED" w:rsidR="00A55407" w:rsidRPr="00C13E80" w:rsidRDefault="00D80A75" w:rsidP="00B46FE9">
      <w:pPr>
        <w:pStyle w:val="3-BodyText"/>
        <w:rPr>
          <w:iCs/>
        </w:rPr>
      </w:pPr>
      <w:r w:rsidRPr="00C13E80">
        <w:rPr>
          <w:iCs/>
        </w:rPr>
        <w:t xml:space="preserve">The results of the comparison of molnupiravir versus usual care, as </w:t>
      </w:r>
      <w:r w:rsidRPr="00C13E80">
        <w:t xml:space="preserve">presented </w:t>
      </w:r>
      <w:r w:rsidR="00C75B40" w:rsidRPr="00C13E80">
        <w:t xml:space="preserve">in </w:t>
      </w:r>
      <w:r w:rsidR="00C75B40" w:rsidRPr="005C508C">
        <w:rPr>
          <w:rFonts w:cstheme="minorHAnsi"/>
          <w:b/>
          <w:bCs/>
        </w:rPr>
        <w:fldChar w:fldCharType="begin" w:fldLock="1"/>
      </w:r>
      <w:r w:rsidR="00C75B40" w:rsidRPr="005C508C">
        <w:rPr>
          <w:rFonts w:cstheme="minorHAnsi"/>
          <w:b/>
          <w:bCs/>
        </w:rPr>
        <w:instrText xml:space="preserve"> REF _Ref134387665 \h </w:instrText>
      </w:r>
      <w:r w:rsidR="005C508C" w:rsidRPr="005C508C">
        <w:rPr>
          <w:rFonts w:cstheme="minorHAnsi"/>
          <w:b/>
          <w:bCs/>
        </w:rPr>
        <w:instrText xml:space="preserve"> \* MERGEFORMAT </w:instrText>
      </w:r>
      <w:r w:rsidR="00C75B40" w:rsidRPr="005C508C">
        <w:rPr>
          <w:rFonts w:cstheme="minorHAnsi"/>
          <w:b/>
          <w:bCs/>
        </w:rPr>
      </w:r>
      <w:r w:rsidR="00C75B40" w:rsidRPr="005C508C">
        <w:rPr>
          <w:rFonts w:cstheme="minorHAnsi"/>
          <w:b/>
          <w:bCs/>
        </w:rPr>
        <w:fldChar w:fldCharType="separate"/>
      </w:r>
      <w:r w:rsidR="00701DEF" w:rsidRPr="00701DEF">
        <w:rPr>
          <w:rStyle w:val="CommentReference"/>
          <w:rFonts w:asciiTheme="minorHAnsi" w:hAnsiTheme="minorHAnsi" w:cstheme="minorHAnsi"/>
          <w:b w:val="0"/>
          <w:bCs/>
          <w:sz w:val="24"/>
          <w:szCs w:val="24"/>
        </w:rPr>
        <w:t>Table</w:t>
      </w:r>
      <w:r w:rsidR="00701DEF" w:rsidRPr="00C13E80">
        <w:rPr>
          <w:rStyle w:val="CommentReference"/>
          <w:szCs w:val="24"/>
        </w:rPr>
        <w:t xml:space="preserve"> </w:t>
      </w:r>
      <w:r w:rsidR="00701DEF">
        <w:rPr>
          <w:rStyle w:val="CommentReference"/>
          <w:b w:val="0"/>
          <w:noProof/>
          <w:szCs w:val="24"/>
        </w:rPr>
        <w:t>7</w:t>
      </w:r>
      <w:r w:rsidR="00C75B40" w:rsidRPr="005C508C">
        <w:rPr>
          <w:rFonts w:cstheme="minorHAnsi"/>
          <w:b/>
          <w:bCs/>
        </w:rPr>
        <w:fldChar w:fldCharType="end"/>
      </w:r>
      <w:r w:rsidR="00C75B40" w:rsidRPr="00C13E80">
        <w:t xml:space="preserve"> </w:t>
      </w:r>
      <w:r w:rsidRPr="00C13E80">
        <w:t>are variable and there is thus substantial uncertainty around the extent of b</w:t>
      </w:r>
      <w:r w:rsidRPr="00C13E80">
        <w:rPr>
          <w:iCs/>
        </w:rPr>
        <w:t>enefit</w:t>
      </w:r>
      <w:r w:rsidR="007A3FDE" w:rsidRPr="00C13E80">
        <w:rPr>
          <w:iCs/>
        </w:rPr>
        <w:t xml:space="preserve"> </w:t>
      </w:r>
      <w:r w:rsidR="00247EC3" w:rsidRPr="00C13E80">
        <w:rPr>
          <w:iCs/>
        </w:rPr>
        <w:t>associated with molnupiravir</w:t>
      </w:r>
      <w:r w:rsidR="009A67C7" w:rsidRPr="00C13E80">
        <w:rPr>
          <w:iCs/>
        </w:rPr>
        <w:t xml:space="preserve"> in terms of reduction in hospitalisations and death.</w:t>
      </w:r>
    </w:p>
    <w:p w14:paraId="3773DA6C" w14:textId="16F8B6F7" w:rsidR="00E9034B" w:rsidRPr="00C13E80" w:rsidRDefault="001A3A25" w:rsidP="00B46FE9">
      <w:pPr>
        <w:pStyle w:val="3-BodyText"/>
        <w:rPr>
          <w:iCs/>
        </w:rPr>
      </w:pPr>
      <w:r w:rsidRPr="00C13E80">
        <w:rPr>
          <w:iCs/>
        </w:rPr>
        <w:t>Examination of the studies where hospitalisations and deaths are reported separately indicates that both mol</w:t>
      </w:r>
      <w:r w:rsidR="00A803F0" w:rsidRPr="00C13E80">
        <w:rPr>
          <w:iCs/>
        </w:rPr>
        <w:t xml:space="preserve">nupiravir and nirmatrelvir and ritonavir </w:t>
      </w:r>
      <w:r w:rsidR="00F713D7" w:rsidRPr="00C13E80">
        <w:rPr>
          <w:iCs/>
        </w:rPr>
        <w:t>reduce hospitalisations but</w:t>
      </w:r>
      <w:r w:rsidR="008037C8" w:rsidRPr="00C13E80">
        <w:rPr>
          <w:iCs/>
        </w:rPr>
        <w:t xml:space="preserve"> that they also</w:t>
      </w:r>
      <w:r w:rsidR="00F713D7" w:rsidRPr="00C13E80">
        <w:rPr>
          <w:iCs/>
        </w:rPr>
        <w:t xml:space="preserve"> reduce the </w:t>
      </w:r>
      <w:r w:rsidR="00A55407" w:rsidRPr="00C13E80">
        <w:rPr>
          <w:iCs/>
        </w:rPr>
        <w:t xml:space="preserve">relative </w:t>
      </w:r>
      <w:r w:rsidR="00F713D7" w:rsidRPr="00C13E80">
        <w:rPr>
          <w:iCs/>
        </w:rPr>
        <w:t>risk of death</w:t>
      </w:r>
      <w:r w:rsidR="008037C8" w:rsidRPr="00C13E80">
        <w:rPr>
          <w:iCs/>
        </w:rPr>
        <w:t xml:space="preserve"> and do so</w:t>
      </w:r>
      <w:r w:rsidR="00A55407" w:rsidRPr="00C13E80">
        <w:rPr>
          <w:iCs/>
        </w:rPr>
        <w:t xml:space="preserve"> to a greater extent</w:t>
      </w:r>
      <w:r w:rsidR="00872E83" w:rsidRPr="00C13E80">
        <w:rPr>
          <w:iCs/>
        </w:rPr>
        <w:t xml:space="preserve"> than </w:t>
      </w:r>
      <w:r w:rsidR="005511D5" w:rsidRPr="00C13E80">
        <w:rPr>
          <w:iCs/>
        </w:rPr>
        <w:t>hospitalisations</w:t>
      </w:r>
      <w:r w:rsidR="0023702D" w:rsidRPr="00C13E80">
        <w:rPr>
          <w:iCs/>
        </w:rPr>
        <w:t>.</w:t>
      </w:r>
    </w:p>
    <w:p w14:paraId="47776B3F" w14:textId="2286A857" w:rsidR="00AE22CF" w:rsidRPr="00C13E80" w:rsidRDefault="008F1043" w:rsidP="00E42B49">
      <w:pPr>
        <w:pStyle w:val="3-BodyText"/>
      </w:pPr>
      <w:r w:rsidRPr="00C13E80">
        <w:lastRenderedPageBreak/>
        <w:t>Initial information from a Victorian Department of Health data linkage project in patients ≥70 years of age was reported by Cowie et al (2022)</w:t>
      </w:r>
      <w:r w:rsidR="00F870EA" w:rsidRPr="00C13E80">
        <w:t xml:space="preserve">. </w:t>
      </w:r>
      <w:r w:rsidRPr="00C13E80">
        <w:t>At the time of preparing these minutes, the results of this analysis (described as the Victorian dataset) were available as a pre</w:t>
      </w:r>
      <w:r w:rsidR="002525F5">
        <w:noBreakHyphen/>
      </w:r>
      <w:r w:rsidRPr="00C13E80">
        <w:t xml:space="preserve">print article </w:t>
      </w:r>
      <w:r w:rsidR="009F79E9" w:rsidRPr="00C13E80">
        <w:t xml:space="preserve">by Van Heer et al. (2023) </w:t>
      </w:r>
      <w:r w:rsidRPr="00C13E80">
        <w:t>on the Lancet website</w:t>
      </w:r>
      <w:r w:rsidRPr="00C13E80">
        <w:rPr>
          <w:rStyle w:val="FootnoteReference"/>
        </w:rPr>
        <w:footnoteReference w:id="12"/>
      </w:r>
      <w:r w:rsidRPr="00C13E80">
        <w:t>, which had not yet been peer reviewed</w:t>
      </w:r>
      <w:r w:rsidR="00F870EA" w:rsidRPr="00C13E80">
        <w:t xml:space="preserve">. </w:t>
      </w:r>
      <w:r w:rsidRPr="00C13E80">
        <w:t>The Victorian Department of Health had earlier provided the Commonwealth with results of these analyses on a confidential basis</w:t>
      </w:r>
      <w:r w:rsidR="0086582C">
        <w:t>.</w:t>
      </w:r>
      <w:r w:rsidR="00DD467C">
        <w:t xml:space="preserve"> </w:t>
      </w:r>
      <w:r w:rsidR="0086582C">
        <w:t xml:space="preserve">The PBAC considered these real world data of interest, although noted that limited </w:t>
      </w:r>
      <w:r w:rsidR="00AA6198">
        <w:t>information</w:t>
      </w:r>
      <w:r w:rsidR="0086582C">
        <w:t xml:space="preserve"> was available during the evaluation</w:t>
      </w:r>
      <w:r w:rsidR="00AA6198">
        <w:t xml:space="preserve"> and at the time of DUSC and ESC meetings (see paragraph </w:t>
      </w:r>
      <w:r w:rsidR="00AA6198">
        <w:fldChar w:fldCharType="begin" w:fldLock="1"/>
      </w:r>
      <w:r w:rsidR="00AA6198">
        <w:instrText xml:space="preserve"> REF _Ref142397371 \r \h </w:instrText>
      </w:r>
      <w:r w:rsidR="00AA6198">
        <w:fldChar w:fldCharType="separate"/>
      </w:r>
      <w:r w:rsidR="00701DEF">
        <w:t>6.30</w:t>
      </w:r>
      <w:r w:rsidR="00AA6198">
        <w:fldChar w:fldCharType="end"/>
      </w:r>
      <w:r w:rsidR="00AA6198">
        <w:t>)</w:t>
      </w:r>
      <w:r w:rsidR="00F870EA" w:rsidRPr="00C13E80">
        <w:t xml:space="preserve">. </w:t>
      </w:r>
    </w:p>
    <w:p w14:paraId="4742C47E" w14:textId="0F960815" w:rsidR="002C0F5B" w:rsidRPr="00C13E80" w:rsidRDefault="002C0F5B" w:rsidP="003E5B86">
      <w:pPr>
        <w:pStyle w:val="TableFigureHeading"/>
        <w:rPr>
          <w:rStyle w:val="CommentReference"/>
          <w:b/>
          <w:szCs w:val="24"/>
        </w:rPr>
      </w:pPr>
      <w:bookmarkStart w:id="46" w:name="_Ref134387665"/>
      <w:bookmarkStart w:id="47" w:name="_Hlk141700493"/>
      <w:r w:rsidRPr="00C13E80">
        <w:rPr>
          <w:rStyle w:val="CommentReference"/>
          <w:b/>
          <w:szCs w:val="24"/>
        </w:rPr>
        <w:t xml:space="preserve">Table </w:t>
      </w:r>
      <w:r w:rsidRPr="00C13E80">
        <w:rPr>
          <w:rStyle w:val="CommentReference"/>
          <w:b/>
          <w:szCs w:val="24"/>
        </w:rPr>
        <w:fldChar w:fldCharType="begin" w:fldLock="1"/>
      </w:r>
      <w:r w:rsidRPr="00C13E80">
        <w:rPr>
          <w:rStyle w:val="CommentReference"/>
          <w:b/>
          <w:szCs w:val="24"/>
        </w:rPr>
        <w:instrText xml:space="preserve"> SEQ Table \* ARABIC </w:instrText>
      </w:r>
      <w:r w:rsidRPr="00C13E80">
        <w:rPr>
          <w:rStyle w:val="CommentReference"/>
          <w:b/>
          <w:szCs w:val="24"/>
        </w:rPr>
        <w:fldChar w:fldCharType="separate"/>
      </w:r>
      <w:r w:rsidR="00701DEF">
        <w:rPr>
          <w:rStyle w:val="CommentReference"/>
          <w:b/>
          <w:noProof/>
          <w:szCs w:val="24"/>
        </w:rPr>
        <w:t>7</w:t>
      </w:r>
      <w:r w:rsidRPr="00C13E80">
        <w:rPr>
          <w:rStyle w:val="CommentReference"/>
          <w:b/>
          <w:szCs w:val="24"/>
        </w:rPr>
        <w:fldChar w:fldCharType="end"/>
      </w:r>
      <w:bookmarkEnd w:id="46"/>
      <w:r w:rsidRPr="00C13E80">
        <w:rPr>
          <w:rStyle w:val="CommentReference"/>
          <w:b/>
          <w:szCs w:val="24"/>
        </w:rPr>
        <w:t xml:space="preserve">: Key </w:t>
      </w:r>
      <w:r w:rsidR="00A5131A" w:rsidRPr="00C13E80">
        <w:rPr>
          <w:rStyle w:val="CommentReference"/>
          <w:b/>
          <w:szCs w:val="24"/>
        </w:rPr>
        <w:t>results from the studies</w:t>
      </w:r>
      <w:r w:rsidR="0030406D" w:rsidRPr="00C13E80">
        <w:rPr>
          <w:rStyle w:val="CommentReference"/>
          <w:b/>
          <w:szCs w:val="24"/>
        </w:rPr>
        <w:t xml:space="preserve"> presented in the submission</w:t>
      </w:r>
      <w:r w:rsidR="00C62C4A" w:rsidRPr="00C13E80">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8"/>
        <w:gridCol w:w="1244"/>
        <w:gridCol w:w="914"/>
        <w:gridCol w:w="1071"/>
        <w:gridCol w:w="1006"/>
        <w:gridCol w:w="1048"/>
        <w:gridCol w:w="958"/>
        <w:gridCol w:w="1048"/>
      </w:tblGrid>
      <w:tr w:rsidR="0064510A" w:rsidRPr="006104A6" w14:paraId="7020B58F" w14:textId="77777777" w:rsidTr="006104A6">
        <w:trPr>
          <w:cantSplit/>
          <w:tblHeader/>
        </w:trPr>
        <w:tc>
          <w:tcPr>
            <w:tcW w:w="958" w:type="pct"/>
            <w:shd w:val="clear" w:color="auto" w:fill="D9D9D9" w:themeFill="background1" w:themeFillShade="D9"/>
            <w:vAlign w:val="center"/>
          </w:tcPr>
          <w:p w14:paraId="67790304" w14:textId="05B9A61F" w:rsidR="001376E4" w:rsidRPr="006104A6" w:rsidRDefault="001376E4">
            <w:pPr>
              <w:pStyle w:val="In-tableHeading"/>
              <w:keepNext w:val="0"/>
              <w:widowControl w:val="0"/>
              <w:rPr>
                <w:szCs w:val="20"/>
                <w:lang w:val="en-AU"/>
              </w:rPr>
            </w:pPr>
            <w:r w:rsidRPr="006104A6">
              <w:rPr>
                <w:szCs w:val="20"/>
                <w:lang w:val="en-AU"/>
              </w:rPr>
              <w:t>Study</w:t>
            </w:r>
            <w:r w:rsidR="005E0E3B" w:rsidRPr="006104A6">
              <w:rPr>
                <w:szCs w:val="20"/>
                <w:lang w:val="en-AU"/>
              </w:rPr>
              <w:t xml:space="preserve"> (and subgroup)</w:t>
            </w:r>
          </w:p>
        </w:tc>
        <w:tc>
          <w:tcPr>
            <w:tcW w:w="690" w:type="pct"/>
            <w:shd w:val="clear" w:color="auto" w:fill="D9D9D9" w:themeFill="background1" w:themeFillShade="D9"/>
            <w:vAlign w:val="center"/>
          </w:tcPr>
          <w:p w14:paraId="6D4E0EF9" w14:textId="556D427F" w:rsidR="001376E4" w:rsidRPr="006104A6" w:rsidRDefault="001376E4" w:rsidP="002D0601">
            <w:pPr>
              <w:pStyle w:val="In-tableHeading"/>
              <w:keepNext w:val="0"/>
              <w:widowControl w:val="0"/>
              <w:jc w:val="center"/>
              <w:rPr>
                <w:szCs w:val="20"/>
                <w:lang w:val="en-AU"/>
              </w:rPr>
            </w:pPr>
            <w:r w:rsidRPr="006104A6">
              <w:rPr>
                <w:szCs w:val="20"/>
                <w:lang w:val="en-AU"/>
              </w:rPr>
              <w:t>Endpoint</w:t>
            </w:r>
          </w:p>
        </w:tc>
        <w:tc>
          <w:tcPr>
            <w:tcW w:w="507" w:type="pct"/>
            <w:shd w:val="clear" w:color="auto" w:fill="D9D9D9" w:themeFill="background1" w:themeFillShade="D9"/>
            <w:vAlign w:val="center"/>
          </w:tcPr>
          <w:p w14:paraId="74E7B406" w14:textId="7BA9CDB8" w:rsidR="001376E4" w:rsidRPr="006104A6" w:rsidRDefault="001376E4">
            <w:pPr>
              <w:pStyle w:val="In-tableHeading"/>
              <w:keepNext w:val="0"/>
              <w:widowControl w:val="0"/>
              <w:jc w:val="center"/>
              <w:rPr>
                <w:szCs w:val="20"/>
                <w:lang w:val="en-AU"/>
              </w:rPr>
            </w:pPr>
            <w:r w:rsidRPr="006104A6">
              <w:rPr>
                <w:szCs w:val="20"/>
                <w:lang w:val="en-AU"/>
              </w:rPr>
              <w:t>M</w:t>
            </w:r>
            <w:r w:rsidR="002D0601" w:rsidRPr="006104A6">
              <w:rPr>
                <w:szCs w:val="20"/>
                <w:lang w:val="en-AU"/>
              </w:rPr>
              <w:t>olnupiravir</w:t>
            </w:r>
          </w:p>
          <w:p w14:paraId="2875AA37" w14:textId="10F19CC0" w:rsidR="001376E4" w:rsidRPr="006104A6" w:rsidRDefault="001376E4">
            <w:pPr>
              <w:pStyle w:val="In-tableHeading"/>
              <w:keepNext w:val="0"/>
              <w:widowControl w:val="0"/>
              <w:jc w:val="center"/>
              <w:rPr>
                <w:szCs w:val="20"/>
                <w:lang w:val="en-AU"/>
              </w:rPr>
            </w:pPr>
            <w:r w:rsidRPr="006104A6">
              <w:rPr>
                <w:szCs w:val="20"/>
                <w:lang w:val="en-AU"/>
              </w:rPr>
              <w:t>n/N (</w:t>
            </w:r>
            <w:r w:rsidR="000D3B60" w:rsidRPr="006104A6">
              <w:rPr>
                <w:szCs w:val="20"/>
                <w:lang w:val="en-AU"/>
              </w:rPr>
              <w:t>%)</w:t>
            </w:r>
          </w:p>
        </w:tc>
        <w:tc>
          <w:tcPr>
            <w:tcW w:w="594" w:type="pct"/>
            <w:shd w:val="clear" w:color="auto" w:fill="D9D9D9" w:themeFill="background1" w:themeFillShade="D9"/>
            <w:vAlign w:val="center"/>
          </w:tcPr>
          <w:p w14:paraId="36B928AD" w14:textId="53AE011B" w:rsidR="001376E4" w:rsidRPr="006104A6" w:rsidRDefault="002D0601">
            <w:pPr>
              <w:pStyle w:val="In-tableHeading"/>
              <w:keepNext w:val="0"/>
              <w:widowControl w:val="0"/>
              <w:jc w:val="center"/>
              <w:rPr>
                <w:szCs w:val="20"/>
                <w:lang w:val="en-AU"/>
              </w:rPr>
            </w:pPr>
            <w:r w:rsidRPr="006104A6">
              <w:rPr>
                <w:szCs w:val="20"/>
                <w:lang w:val="en-AU"/>
              </w:rPr>
              <w:t>Usual care</w:t>
            </w:r>
          </w:p>
          <w:p w14:paraId="450FB9D3" w14:textId="1281FE61" w:rsidR="000D3B60" w:rsidRPr="006104A6" w:rsidRDefault="000D3B60">
            <w:pPr>
              <w:pStyle w:val="In-tableHeading"/>
              <w:keepNext w:val="0"/>
              <w:widowControl w:val="0"/>
              <w:jc w:val="center"/>
              <w:rPr>
                <w:szCs w:val="20"/>
                <w:lang w:val="en-AU"/>
              </w:rPr>
            </w:pPr>
            <w:r w:rsidRPr="006104A6">
              <w:rPr>
                <w:szCs w:val="20"/>
                <w:lang w:val="en-AU"/>
              </w:rPr>
              <w:t>n/N (%)</w:t>
            </w:r>
          </w:p>
        </w:tc>
        <w:tc>
          <w:tcPr>
            <w:tcW w:w="558" w:type="pct"/>
            <w:shd w:val="clear" w:color="auto" w:fill="D9D9D9" w:themeFill="background1" w:themeFillShade="D9"/>
            <w:vAlign w:val="center"/>
          </w:tcPr>
          <w:p w14:paraId="00778492" w14:textId="03F2E4F6" w:rsidR="001376E4" w:rsidRPr="006104A6" w:rsidRDefault="002D0601">
            <w:pPr>
              <w:pStyle w:val="In-tableHeading"/>
              <w:keepNext w:val="0"/>
              <w:widowControl w:val="0"/>
              <w:jc w:val="center"/>
              <w:rPr>
                <w:szCs w:val="20"/>
                <w:lang w:val="en-AU"/>
              </w:rPr>
            </w:pPr>
            <w:r w:rsidRPr="006104A6">
              <w:rPr>
                <w:szCs w:val="20"/>
                <w:lang w:val="en-AU"/>
              </w:rPr>
              <w:t>Nirmatrelvir</w:t>
            </w:r>
            <w:r w:rsidR="00DD467C" w:rsidRPr="006104A6">
              <w:rPr>
                <w:szCs w:val="20"/>
                <w:lang w:val="en-AU"/>
              </w:rPr>
              <w:t xml:space="preserve"> </w:t>
            </w:r>
            <w:r w:rsidRPr="006104A6">
              <w:rPr>
                <w:szCs w:val="20"/>
                <w:lang w:val="en-AU"/>
              </w:rPr>
              <w:t>and ritonavir</w:t>
            </w:r>
          </w:p>
          <w:p w14:paraId="0758B630" w14:textId="49E54B5F" w:rsidR="000D3B60" w:rsidRPr="006104A6" w:rsidRDefault="000D3B60">
            <w:pPr>
              <w:pStyle w:val="In-tableHeading"/>
              <w:keepNext w:val="0"/>
              <w:widowControl w:val="0"/>
              <w:jc w:val="center"/>
              <w:rPr>
                <w:szCs w:val="20"/>
                <w:lang w:val="en-AU"/>
              </w:rPr>
            </w:pPr>
            <w:r w:rsidRPr="006104A6">
              <w:rPr>
                <w:szCs w:val="20"/>
                <w:lang w:val="en-AU"/>
              </w:rPr>
              <w:t>n/N (%)</w:t>
            </w:r>
          </w:p>
        </w:tc>
        <w:tc>
          <w:tcPr>
            <w:tcW w:w="581" w:type="pct"/>
            <w:shd w:val="clear" w:color="auto" w:fill="D9D9D9" w:themeFill="background1" w:themeFillShade="D9"/>
            <w:vAlign w:val="center"/>
          </w:tcPr>
          <w:p w14:paraId="7151FD71" w14:textId="3B92E4A7" w:rsidR="001376E4" w:rsidRPr="006104A6" w:rsidRDefault="00442A7C">
            <w:pPr>
              <w:pStyle w:val="In-tableHeading"/>
              <w:keepNext w:val="0"/>
              <w:widowControl w:val="0"/>
              <w:jc w:val="center"/>
              <w:rPr>
                <w:szCs w:val="20"/>
                <w:lang w:val="en-AU"/>
              </w:rPr>
            </w:pPr>
            <w:r w:rsidRPr="006104A6">
              <w:rPr>
                <w:szCs w:val="20"/>
                <w:lang w:val="en-AU"/>
              </w:rPr>
              <w:t>OR</w:t>
            </w:r>
            <w:r w:rsidR="001376E4" w:rsidRPr="006104A6">
              <w:rPr>
                <w:szCs w:val="20"/>
                <w:lang w:val="en-AU"/>
              </w:rPr>
              <w:t xml:space="preserve"> </w:t>
            </w:r>
            <w:r w:rsidR="002D0601" w:rsidRPr="006104A6">
              <w:rPr>
                <w:szCs w:val="20"/>
                <w:lang w:val="en-AU"/>
              </w:rPr>
              <w:t>molnupiravir vs usual care (95% CI)</w:t>
            </w:r>
          </w:p>
        </w:tc>
        <w:tc>
          <w:tcPr>
            <w:tcW w:w="531" w:type="pct"/>
            <w:shd w:val="clear" w:color="auto" w:fill="D9D9D9" w:themeFill="background1" w:themeFillShade="D9"/>
            <w:vAlign w:val="center"/>
          </w:tcPr>
          <w:p w14:paraId="7174C61E" w14:textId="5D386C0B" w:rsidR="001376E4" w:rsidRPr="006104A6" w:rsidRDefault="00442A7C">
            <w:pPr>
              <w:pStyle w:val="In-tableHeading"/>
              <w:keepNext w:val="0"/>
              <w:widowControl w:val="0"/>
              <w:jc w:val="center"/>
              <w:rPr>
                <w:szCs w:val="20"/>
                <w:lang w:val="en-AU"/>
              </w:rPr>
            </w:pPr>
            <w:r w:rsidRPr="006104A6">
              <w:rPr>
                <w:szCs w:val="20"/>
                <w:lang w:val="en-AU"/>
              </w:rPr>
              <w:t>OR</w:t>
            </w:r>
            <w:r w:rsidR="002D0601" w:rsidRPr="006104A6">
              <w:rPr>
                <w:szCs w:val="20"/>
                <w:lang w:val="en-AU"/>
              </w:rPr>
              <w:t xml:space="preserve"> nirmatrelvir and ritonavir vs usual care (95% CI)</w:t>
            </w:r>
          </w:p>
        </w:tc>
        <w:tc>
          <w:tcPr>
            <w:tcW w:w="581" w:type="pct"/>
            <w:shd w:val="clear" w:color="auto" w:fill="D9D9D9" w:themeFill="background1" w:themeFillShade="D9"/>
            <w:vAlign w:val="center"/>
          </w:tcPr>
          <w:p w14:paraId="27E166A9" w14:textId="1AF6808D" w:rsidR="001376E4" w:rsidRPr="006104A6" w:rsidRDefault="00442A7C">
            <w:pPr>
              <w:pStyle w:val="In-tableHeading"/>
              <w:keepNext w:val="0"/>
              <w:widowControl w:val="0"/>
              <w:jc w:val="center"/>
              <w:rPr>
                <w:szCs w:val="20"/>
                <w:lang w:val="en-AU"/>
              </w:rPr>
            </w:pPr>
            <w:r w:rsidRPr="006104A6">
              <w:rPr>
                <w:szCs w:val="20"/>
                <w:lang w:val="en-AU"/>
              </w:rPr>
              <w:t>OR</w:t>
            </w:r>
            <w:r w:rsidR="002D0601" w:rsidRPr="006104A6">
              <w:rPr>
                <w:szCs w:val="20"/>
                <w:lang w:val="en-AU"/>
              </w:rPr>
              <w:t xml:space="preserve"> molnupiravir vs nirmatrelvir and ritonavir (95% CI)</w:t>
            </w:r>
          </w:p>
        </w:tc>
      </w:tr>
      <w:tr w:rsidR="0089164A" w:rsidRPr="006104A6" w14:paraId="4C987C36" w14:textId="77777777" w:rsidTr="000B6AA2">
        <w:trPr>
          <w:cantSplit/>
        </w:trPr>
        <w:tc>
          <w:tcPr>
            <w:tcW w:w="958" w:type="pct"/>
            <w:shd w:val="clear" w:color="auto" w:fill="auto"/>
            <w:vAlign w:val="center"/>
          </w:tcPr>
          <w:p w14:paraId="359A6959" w14:textId="404C2587" w:rsidR="0089164A" w:rsidRPr="006104A6" w:rsidRDefault="0089164A" w:rsidP="0089164A">
            <w:pPr>
              <w:pStyle w:val="TableText0"/>
              <w:keepNext w:val="0"/>
              <w:widowControl w:val="0"/>
              <w:rPr>
                <w:szCs w:val="20"/>
              </w:rPr>
            </w:pPr>
            <w:r w:rsidRPr="006104A6">
              <w:rPr>
                <w:szCs w:val="20"/>
              </w:rPr>
              <w:t>MOVe-OUT</w:t>
            </w:r>
          </w:p>
        </w:tc>
        <w:tc>
          <w:tcPr>
            <w:tcW w:w="690" w:type="pct"/>
            <w:vAlign w:val="center"/>
          </w:tcPr>
          <w:p w14:paraId="7FC85637" w14:textId="00A2F0DA" w:rsidR="0089164A" w:rsidRPr="006104A6" w:rsidRDefault="0089164A" w:rsidP="0089164A">
            <w:pPr>
              <w:pStyle w:val="TableText0"/>
              <w:keepNext w:val="0"/>
              <w:widowControl w:val="0"/>
              <w:rPr>
                <w:szCs w:val="20"/>
              </w:rPr>
            </w:pPr>
            <w:r w:rsidRPr="006104A6">
              <w:rPr>
                <w:szCs w:val="20"/>
              </w:rPr>
              <w:t>Hospitalisation or death – Day 28</w:t>
            </w:r>
          </w:p>
        </w:tc>
        <w:tc>
          <w:tcPr>
            <w:tcW w:w="507" w:type="pct"/>
            <w:shd w:val="clear" w:color="auto" w:fill="auto"/>
            <w:vAlign w:val="center"/>
          </w:tcPr>
          <w:p w14:paraId="7A05B7EA" w14:textId="77777777" w:rsidR="0089164A" w:rsidRPr="006104A6" w:rsidRDefault="0089164A" w:rsidP="0089164A">
            <w:pPr>
              <w:pStyle w:val="TableText0"/>
              <w:keepNext w:val="0"/>
              <w:widowControl w:val="0"/>
              <w:jc w:val="center"/>
              <w:rPr>
                <w:szCs w:val="20"/>
              </w:rPr>
            </w:pPr>
            <w:r w:rsidRPr="006104A6">
              <w:rPr>
                <w:szCs w:val="20"/>
              </w:rPr>
              <w:t>48/709</w:t>
            </w:r>
          </w:p>
          <w:p w14:paraId="43A088D9" w14:textId="26ED55EA" w:rsidR="0089164A" w:rsidRPr="006104A6" w:rsidRDefault="0089164A" w:rsidP="0089164A">
            <w:pPr>
              <w:pStyle w:val="TableText0"/>
              <w:keepNext w:val="0"/>
              <w:widowControl w:val="0"/>
              <w:jc w:val="center"/>
              <w:rPr>
                <w:szCs w:val="20"/>
              </w:rPr>
            </w:pPr>
            <w:r w:rsidRPr="006104A6">
              <w:rPr>
                <w:szCs w:val="20"/>
              </w:rPr>
              <w:t>(6.8%)</w:t>
            </w:r>
          </w:p>
        </w:tc>
        <w:tc>
          <w:tcPr>
            <w:tcW w:w="594" w:type="pct"/>
            <w:vAlign w:val="center"/>
          </w:tcPr>
          <w:p w14:paraId="021B68E8" w14:textId="77777777" w:rsidR="0089164A" w:rsidRPr="006104A6" w:rsidRDefault="0089164A" w:rsidP="0089164A">
            <w:pPr>
              <w:pStyle w:val="TableText0"/>
              <w:keepNext w:val="0"/>
              <w:widowControl w:val="0"/>
              <w:jc w:val="center"/>
              <w:rPr>
                <w:szCs w:val="20"/>
              </w:rPr>
            </w:pPr>
            <w:r w:rsidRPr="006104A6">
              <w:rPr>
                <w:szCs w:val="20"/>
              </w:rPr>
              <w:t>68/699</w:t>
            </w:r>
          </w:p>
          <w:p w14:paraId="00AEB2E5" w14:textId="2A9DC857" w:rsidR="0089164A" w:rsidRPr="006104A6" w:rsidRDefault="0089164A" w:rsidP="0089164A">
            <w:pPr>
              <w:pStyle w:val="TableText0"/>
              <w:keepNext w:val="0"/>
              <w:widowControl w:val="0"/>
              <w:jc w:val="center"/>
              <w:rPr>
                <w:szCs w:val="20"/>
              </w:rPr>
            </w:pPr>
            <w:r w:rsidRPr="006104A6">
              <w:rPr>
                <w:szCs w:val="20"/>
              </w:rPr>
              <w:t>(9.7%)</w:t>
            </w:r>
          </w:p>
        </w:tc>
        <w:tc>
          <w:tcPr>
            <w:tcW w:w="558" w:type="pct"/>
            <w:shd w:val="clear" w:color="auto" w:fill="auto"/>
            <w:vAlign w:val="center"/>
          </w:tcPr>
          <w:p w14:paraId="4911A84C" w14:textId="0459247B" w:rsidR="0089164A" w:rsidRPr="006104A6" w:rsidRDefault="0089164A" w:rsidP="0089164A">
            <w:pPr>
              <w:pStyle w:val="TableText0"/>
              <w:keepNext w:val="0"/>
              <w:widowControl w:val="0"/>
              <w:jc w:val="center"/>
              <w:rPr>
                <w:szCs w:val="20"/>
              </w:rPr>
            </w:pPr>
            <w:r w:rsidRPr="006104A6">
              <w:rPr>
                <w:szCs w:val="20"/>
              </w:rPr>
              <w:t>n/a</w:t>
            </w:r>
          </w:p>
        </w:tc>
        <w:tc>
          <w:tcPr>
            <w:tcW w:w="581" w:type="pct"/>
            <w:shd w:val="clear" w:color="auto" w:fill="auto"/>
            <w:vAlign w:val="center"/>
          </w:tcPr>
          <w:p w14:paraId="6987782B" w14:textId="77777777" w:rsidR="0089164A" w:rsidRPr="006104A6" w:rsidRDefault="0089164A" w:rsidP="0089164A">
            <w:pPr>
              <w:pStyle w:val="TableText0"/>
              <w:widowControl w:val="0"/>
              <w:jc w:val="center"/>
              <w:rPr>
                <w:b/>
                <w:bCs w:val="0"/>
                <w:szCs w:val="20"/>
              </w:rPr>
            </w:pPr>
            <w:r w:rsidRPr="006104A6">
              <w:rPr>
                <w:b/>
                <w:bCs w:val="0"/>
                <w:szCs w:val="20"/>
              </w:rPr>
              <w:t xml:space="preserve">0.67 </w:t>
            </w:r>
          </w:p>
          <w:p w14:paraId="457252C9" w14:textId="0D19EF9A" w:rsidR="0089164A" w:rsidRPr="006104A6" w:rsidRDefault="0089164A" w:rsidP="0089164A">
            <w:pPr>
              <w:pStyle w:val="TableText0"/>
              <w:keepNext w:val="0"/>
              <w:widowControl w:val="0"/>
              <w:jc w:val="center"/>
              <w:rPr>
                <w:b/>
                <w:bCs w:val="0"/>
                <w:szCs w:val="20"/>
              </w:rPr>
            </w:pPr>
            <w:r w:rsidRPr="006104A6">
              <w:rPr>
                <w:b/>
                <w:bCs w:val="0"/>
                <w:szCs w:val="20"/>
              </w:rPr>
              <w:t>(0.46, 0.99)</w:t>
            </w:r>
          </w:p>
        </w:tc>
        <w:tc>
          <w:tcPr>
            <w:tcW w:w="531" w:type="pct"/>
            <w:shd w:val="clear" w:color="auto" w:fill="auto"/>
            <w:vAlign w:val="center"/>
          </w:tcPr>
          <w:p w14:paraId="4DDED2E5" w14:textId="00E9CD17" w:rsidR="0089164A" w:rsidRPr="006104A6" w:rsidRDefault="0089164A" w:rsidP="0089164A">
            <w:pPr>
              <w:pStyle w:val="TableText0"/>
              <w:keepNext w:val="0"/>
              <w:widowControl w:val="0"/>
              <w:jc w:val="center"/>
              <w:rPr>
                <w:szCs w:val="20"/>
              </w:rPr>
            </w:pPr>
            <w:r w:rsidRPr="006104A6">
              <w:rPr>
                <w:szCs w:val="20"/>
              </w:rPr>
              <w:t>n/a</w:t>
            </w:r>
          </w:p>
        </w:tc>
        <w:tc>
          <w:tcPr>
            <w:tcW w:w="581" w:type="pct"/>
            <w:shd w:val="clear" w:color="auto" w:fill="auto"/>
            <w:vAlign w:val="center"/>
          </w:tcPr>
          <w:p w14:paraId="784D67EA" w14:textId="2575B752" w:rsidR="0089164A" w:rsidRPr="006104A6" w:rsidRDefault="0089164A" w:rsidP="0089164A">
            <w:pPr>
              <w:pStyle w:val="TableText0"/>
              <w:keepNext w:val="0"/>
              <w:widowControl w:val="0"/>
              <w:jc w:val="center"/>
              <w:rPr>
                <w:szCs w:val="20"/>
              </w:rPr>
            </w:pPr>
            <w:r w:rsidRPr="006104A6">
              <w:rPr>
                <w:szCs w:val="20"/>
              </w:rPr>
              <w:t>n/a</w:t>
            </w:r>
          </w:p>
        </w:tc>
      </w:tr>
      <w:tr w:rsidR="00293DFF" w:rsidRPr="006104A6" w14:paraId="00EA90F3" w14:textId="77777777" w:rsidTr="000B6AA2">
        <w:trPr>
          <w:cantSplit/>
        </w:trPr>
        <w:tc>
          <w:tcPr>
            <w:tcW w:w="958" w:type="pct"/>
            <w:shd w:val="clear" w:color="auto" w:fill="auto"/>
            <w:vAlign w:val="center"/>
          </w:tcPr>
          <w:p w14:paraId="1A0AD8D4" w14:textId="2FFC9539" w:rsidR="00571001" w:rsidRPr="006104A6" w:rsidRDefault="00571001" w:rsidP="00571001">
            <w:pPr>
              <w:pStyle w:val="TableText0"/>
              <w:keepNext w:val="0"/>
              <w:widowControl w:val="0"/>
              <w:rPr>
                <w:szCs w:val="20"/>
              </w:rPr>
            </w:pPr>
            <w:r w:rsidRPr="006104A6">
              <w:rPr>
                <w:szCs w:val="20"/>
              </w:rPr>
              <w:t>EPIC-HR</w:t>
            </w:r>
          </w:p>
        </w:tc>
        <w:tc>
          <w:tcPr>
            <w:tcW w:w="690" w:type="pct"/>
            <w:vAlign w:val="center"/>
          </w:tcPr>
          <w:p w14:paraId="2D2CE9E7" w14:textId="7AF9D5C2" w:rsidR="00571001" w:rsidRPr="006104A6" w:rsidRDefault="00571001" w:rsidP="00571001">
            <w:pPr>
              <w:pStyle w:val="TableText0"/>
              <w:keepNext w:val="0"/>
              <w:widowControl w:val="0"/>
              <w:rPr>
                <w:szCs w:val="20"/>
              </w:rPr>
            </w:pPr>
            <w:r w:rsidRPr="006104A6">
              <w:rPr>
                <w:szCs w:val="20"/>
              </w:rPr>
              <w:t>Hospitalisation or death</w:t>
            </w:r>
            <w:r w:rsidR="00AD54C4" w:rsidRPr="006104A6">
              <w:rPr>
                <w:szCs w:val="20"/>
              </w:rPr>
              <w:t xml:space="preserve"> </w:t>
            </w:r>
            <w:r w:rsidR="00371B70" w:rsidRPr="006104A6">
              <w:rPr>
                <w:szCs w:val="20"/>
              </w:rPr>
              <w:t xml:space="preserve">– </w:t>
            </w:r>
            <w:r w:rsidR="00AD54C4" w:rsidRPr="006104A6">
              <w:rPr>
                <w:szCs w:val="20"/>
              </w:rPr>
              <w:t>Day</w:t>
            </w:r>
            <w:r w:rsidR="00371B70" w:rsidRPr="006104A6">
              <w:rPr>
                <w:szCs w:val="20"/>
              </w:rPr>
              <w:t> 28</w:t>
            </w:r>
          </w:p>
        </w:tc>
        <w:tc>
          <w:tcPr>
            <w:tcW w:w="507" w:type="pct"/>
            <w:shd w:val="clear" w:color="auto" w:fill="auto"/>
            <w:vAlign w:val="center"/>
          </w:tcPr>
          <w:p w14:paraId="2F15FD32" w14:textId="4AE04C47" w:rsidR="00571001" w:rsidRPr="006104A6" w:rsidRDefault="00571001" w:rsidP="00571001">
            <w:pPr>
              <w:pStyle w:val="TableText0"/>
              <w:keepNext w:val="0"/>
              <w:widowControl w:val="0"/>
              <w:jc w:val="center"/>
              <w:rPr>
                <w:szCs w:val="20"/>
              </w:rPr>
            </w:pPr>
            <w:r w:rsidRPr="006104A6">
              <w:rPr>
                <w:szCs w:val="20"/>
              </w:rPr>
              <w:t>n/a</w:t>
            </w:r>
          </w:p>
        </w:tc>
        <w:tc>
          <w:tcPr>
            <w:tcW w:w="594" w:type="pct"/>
            <w:vAlign w:val="center"/>
          </w:tcPr>
          <w:p w14:paraId="60434CAD" w14:textId="77777777" w:rsidR="00904667" w:rsidRPr="006104A6" w:rsidRDefault="00571001" w:rsidP="00571001">
            <w:pPr>
              <w:pStyle w:val="TableText0"/>
              <w:keepNext w:val="0"/>
              <w:widowControl w:val="0"/>
              <w:jc w:val="center"/>
              <w:rPr>
                <w:szCs w:val="20"/>
              </w:rPr>
            </w:pPr>
            <w:r w:rsidRPr="006104A6">
              <w:rPr>
                <w:szCs w:val="20"/>
              </w:rPr>
              <w:t>66/1046</w:t>
            </w:r>
          </w:p>
          <w:p w14:paraId="799F2EA4" w14:textId="10E16982" w:rsidR="00571001" w:rsidRPr="006104A6" w:rsidRDefault="00571001" w:rsidP="00571001">
            <w:pPr>
              <w:pStyle w:val="TableText0"/>
              <w:keepNext w:val="0"/>
              <w:widowControl w:val="0"/>
              <w:jc w:val="center"/>
              <w:rPr>
                <w:szCs w:val="20"/>
              </w:rPr>
            </w:pPr>
            <w:r w:rsidRPr="006104A6">
              <w:rPr>
                <w:szCs w:val="20"/>
              </w:rPr>
              <w:t>(6.3%)</w:t>
            </w:r>
          </w:p>
        </w:tc>
        <w:tc>
          <w:tcPr>
            <w:tcW w:w="558" w:type="pct"/>
            <w:shd w:val="clear" w:color="auto" w:fill="auto"/>
            <w:vAlign w:val="center"/>
          </w:tcPr>
          <w:p w14:paraId="3C31AE6E" w14:textId="77777777" w:rsidR="00571001" w:rsidRPr="006104A6" w:rsidRDefault="00571001" w:rsidP="00571001">
            <w:pPr>
              <w:pStyle w:val="TableText0"/>
              <w:keepNext w:val="0"/>
              <w:widowControl w:val="0"/>
              <w:jc w:val="center"/>
              <w:rPr>
                <w:szCs w:val="20"/>
              </w:rPr>
            </w:pPr>
            <w:r w:rsidRPr="006104A6">
              <w:rPr>
                <w:szCs w:val="20"/>
              </w:rPr>
              <w:t>8/1039</w:t>
            </w:r>
          </w:p>
          <w:p w14:paraId="6ACD54B8" w14:textId="02A983CB" w:rsidR="00571001" w:rsidRPr="006104A6" w:rsidRDefault="00571001" w:rsidP="00571001">
            <w:pPr>
              <w:pStyle w:val="TableText0"/>
              <w:keepNext w:val="0"/>
              <w:widowControl w:val="0"/>
              <w:jc w:val="center"/>
              <w:rPr>
                <w:szCs w:val="20"/>
              </w:rPr>
            </w:pPr>
            <w:r w:rsidRPr="006104A6">
              <w:rPr>
                <w:szCs w:val="20"/>
              </w:rPr>
              <w:t>(0.8%)</w:t>
            </w:r>
          </w:p>
        </w:tc>
        <w:tc>
          <w:tcPr>
            <w:tcW w:w="581" w:type="pct"/>
            <w:shd w:val="clear" w:color="auto" w:fill="auto"/>
            <w:vAlign w:val="center"/>
          </w:tcPr>
          <w:p w14:paraId="6237FC85" w14:textId="731D5C57" w:rsidR="00571001" w:rsidRPr="006104A6" w:rsidRDefault="00571001" w:rsidP="00571001">
            <w:pPr>
              <w:pStyle w:val="TableText0"/>
              <w:keepNext w:val="0"/>
              <w:widowControl w:val="0"/>
              <w:jc w:val="center"/>
              <w:rPr>
                <w:szCs w:val="20"/>
              </w:rPr>
            </w:pPr>
            <w:r w:rsidRPr="006104A6">
              <w:rPr>
                <w:szCs w:val="20"/>
              </w:rPr>
              <w:t>n/a</w:t>
            </w:r>
          </w:p>
        </w:tc>
        <w:tc>
          <w:tcPr>
            <w:tcW w:w="531" w:type="pct"/>
            <w:shd w:val="clear" w:color="auto" w:fill="auto"/>
            <w:vAlign w:val="center"/>
          </w:tcPr>
          <w:p w14:paraId="3168EC34" w14:textId="77777777" w:rsidR="001B11AC" w:rsidRPr="006104A6" w:rsidRDefault="00AC39D9" w:rsidP="00571001">
            <w:pPr>
              <w:pStyle w:val="TableText0"/>
              <w:keepNext w:val="0"/>
              <w:widowControl w:val="0"/>
              <w:jc w:val="center"/>
              <w:rPr>
                <w:b/>
                <w:bCs w:val="0"/>
                <w:szCs w:val="20"/>
              </w:rPr>
            </w:pPr>
            <w:r w:rsidRPr="006104A6">
              <w:rPr>
                <w:b/>
                <w:bCs w:val="0"/>
                <w:szCs w:val="20"/>
              </w:rPr>
              <w:t>0.12</w:t>
            </w:r>
          </w:p>
          <w:p w14:paraId="18DF66E4" w14:textId="71501C01" w:rsidR="00571001" w:rsidRPr="006104A6" w:rsidRDefault="001B11AC" w:rsidP="00571001">
            <w:pPr>
              <w:pStyle w:val="TableText0"/>
              <w:keepNext w:val="0"/>
              <w:widowControl w:val="0"/>
              <w:jc w:val="center"/>
              <w:rPr>
                <w:b/>
                <w:bCs w:val="0"/>
                <w:szCs w:val="20"/>
              </w:rPr>
            </w:pPr>
            <w:r w:rsidRPr="006104A6">
              <w:rPr>
                <w:b/>
                <w:bCs w:val="0"/>
                <w:szCs w:val="20"/>
              </w:rPr>
              <w:t>(0.06, 0.2</w:t>
            </w:r>
            <w:r w:rsidR="00956BBF" w:rsidRPr="006104A6">
              <w:rPr>
                <w:b/>
                <w:bCs w:val="0"/>
                <w:szCs w:val="20"/>
              </w:rPr>
              <w:t>4</w:t>
            </w:r>
            <w:r w:rsidRPr="006104A6">
              <w:rPr>
                <w:b/>
                <w:bCs w:val="0"/>
                <w:szCs w:val="20"/>
              </w:rPr>
              <w:t>)</w:t>
            </w:r>
          </w:p>
        </w:tc>
        <w:tc>
          <w:tcPr>
            <w:tcW w:w="581" w:type="pct"/>
            <w:shd w:val="clear" w:color="auto" w:fill="auto"/>
            <w:vAlign w:val="center"/>
          </w:tcPr>
          <w:p w14:paraId="4D7AF3DF" w14:textId="08CB71DE" w:rsidR="00571001" w:rsidRPr="006104A6" w:rsidRDefault="00571001" w:rsidP="00571001">
            <w:pPr>
              <w:pStyle w:val="TableText0"/>
              <w:keepNext w:val="0"/>
              <w:widowControl w:val="0"/>
              <w:jc w:val="center"/>
              <w:rPr>
                <w:szCs w:val="20"/>
              </w:rPr>
            </w:pPr>
            <w:r w:rsidRPr="006104A6">
              <w:rPr>
                <w:szCs w:val="20"/>
              </w:rPr>
              <w:t>n/a</w:t>
            </w:r>
          </w:p>
        </w:tc>
      </w:tr>
      <w:tr w:rsidR="0064510A" w:rsidRPr="006104A6" w14:paraId="4F8B82BD" w14:textId="77777777" w:rsidTr="000B6AA2">
        <w:trPr>
          <w:cantSplit/>
        </w:trPr>
        <w:tc>
          <w:tcPr>
            <w:tcW w:w="958" w:type="pct"/>
            <w:shd w:val="clear" w:color="auto" w:fill="auto"/>
            <w:vAlign w:val="center"/>
          </w:tcPr>
          <w:p w14:paraId="4A878867" w14:textId="122A940B" w:rsidR="00AF71E2" w:rsidRPr="006104A6" w:rsidRDefault="004A51D1" w:rsidP="00571001">
            <w:pPr>
              <w:pStyle w:val="TableText0"/>
              <w:keepNext w:val="0"/>
              <w:widowControl w:val="0"/>
              <w:rPr>
                <w:szCs w:val="20"/>
              </w:rPr>
            </w:pPr>
            <w:r w:rsidRPr="006104A6">
              <w:rPr>
                <w:szCs w:val="20"/>
              </w:rPr>
              <w:t xml:space="preserve">Lai 2022 </w:t>
            </w:r>
            <w:r w:rsidR="00AF71E2" w:rsidRPr="006104A6">
              <w:rPr>
                <w:szCs w:val="20"/>
              </w:rPr>
              <w:t>Indirect comparison based on MOVe-OUT and EPIC-HR</w:t>
            </w:r>
          </w:p>
        </w:tc>
        <w:tc>
          <w:tcPr>
            <w:tcW w:w="690" w:type="pct"/>
            <w:vAlign w:val="center"/>
          </w:tcPr>
          <w:p w14:paraId="4C88A98A" w14:textId="01FB3284" w:rsidR="00AF71E2" w:rsidRPr="006104A6" w:rsidRDefault="00AF71E2" w:rsidP="00571001">
            <w:pPr>
              <w:pStyle w:val="TableText0"/>
              <w:keepNext w:val="0"/>
              <w:widowControl w:val="0"/>
              <w:rPr>
                <w:szCs w:val="20"/>
              </w:rPr>
            </w:pPr>
            <w:r w:rsidRPr="006104A6">
              <w:rPr>
                <w:szCs w:val="20"/>
              </w:rPr>
              <w:t>Hospitalisation or death – Day 28</w:t>
            </w:r>
          </w:p>
        </w:tc>
        <w:tc>
          <w:tcPr>
            <w:tcW w:w="1659" w:type="pct"/>
            <w:gridSpan w:val="3"/>
            <w:shd w:val="clear" w:color="auto" w:fill="auto"/>
            <w:vAlign w:val="center"/>
          </w:tcPr>
          <w:p w14:paraId="7D05FD00" w14:textId="01D9890E" w:rsidR="00AF71E2" w:rsidRPr="006104A6" w:rsidRDefault="00AF71E2" w:rsidP="00571001">
            <w:pPr>
              <w:pStyle w:val="TableText0"/>
              <w:keepNext w:val="0"/>
              <w:widowControl w:val="0"/>
              <w:jc w:val="center"/>
              <w:rPr>
                <w:szCs w:val="20"/>
              </w:rPr>
            </w:pPr>
            <w:r w:rsidRPr="006104A6">
              <w:rPr>
                <w:szCs w:val="20"/>
              </w:rPr>
              <w:t>As presented in the above two rows</w:t>
            </w:r>
          </w:p>
        </w:tc>
        <w:tc>
          <w:tcPr>
            <w:tcW w:w="581" w:type="pct"/>
            <w:shd w:val="clear" w:color="auto" w:fill="auto"/>
            <w:vAlign w:val="center"/>
          </w:tcPr>
          <w:p w14:paraId="2C2117CF" w14:textId="77777777" w:rsidR="00AF71E2" w:rsidRPr="006104A6" w:rsidRDefault="00AF71E2" w:rsidP="00B323BE">
            <w:pPr>
              <w:pStyle w:val="TableText0"/>
              <w:widowControl w:val="0"/>
              <w:jc w:val="center"/>
              <w:rPr>
                <w:b/>
                <w:bCs w:val="0"/>
                <w:szCs w:val="20"/>
              </w:rPr>
            </w:pPr>
            <w:r w:rsidRPr="006104A6">
              <w:rPr>
                <w:b/>
                <w:bCs w:val="0"/>
                <w:szCs w:val="20"/>
              </w:rPr>
              <w:t xml:space="preserve">0.67 </w:t>
            </w:r>
          </w:p>
          <w:p w14:paraId="69C7EC92" w14:textId="0C9B292F" w:rsidR="00AF71E2" w:rsidRPr="006104A6" w:rsidRDefault="00AF71E2" w:rsidP="00B323BE">
            <w:pPr>
              <w:pStyle w:val="TableText0"/>
              <w:keepNext w:val="0"/>
              <w:widowControl w:val="0"/>
              <w:jc w:val="center"/>
              <w:rPr>
                <w:szCs w:val="20"/>
              </w:rPr>
            </w:pPr>
            <w:r w:rsidRPr="006104A6">
              <w:rPr>
                <w:b/>
                <w:bCs w:val="0"/>
                <w:szCs w:val="20"/>
              </w:rPr>
              <w:t>(0.46, 0.99)</w:t>
            </w:r>
          </w:p>
        </w:tc>
        <w:tc>
          <w:tcPr>
            <w:tcW w:w="531" w:type="pct"/>
            <w:shd w:val="clear" w:color="auto" w:fill="auto"/>
            <w:vAlign w:val="center"/>
          </w:tcPr>
          <w:p w14:paraId="7ECF73BF" w14:textId="77777777" w:rsidR="00AF71E2" w:rsidRPr="006104A6" w:rsidRDefault="00AF71E2" w:rsidP="00B323BE">
            <w:pPr>
              <w:pStyle w:val="TableText0"/>
              <w:keepNext w:val="0"/>
              <w:widowControl w:val="0"/>
              <w:jc w:val="center"/>
              <w:rPr>
                <w:b/>
                <w:bCs w:val="0"/>
                <w:szCs w:val="20"/>
              </w:rPr>
            </w:pPr>
            <w:r w:rsidRPr="006104A6">
              <w:rPr>
                <w:b/>
                <w:bCs w:val="0"/>
                <w:szCs w:val="20"/>
              </w:rPr>
              <w:t>0.12</w:t>
            </w:r>
          </w:p>
          <w:p w14:paraId="35CB9BBE" w14:textId="779866BC" w:rsidR="00AF71E2" w:rsidRPr="006104A6" w:rsidRDefault="00AF71E2" w:rsidP="00B323BE">
            <w:pPr>
              <w:pStyle w:val="TableText0"/>
              <w:keepNext w:val="0"/>
              <w:widowControl w:val="0"/>
              <w:jc w:val="center"/>
              <w:rPr>
                <w:b/>
                <w:bCs w:val="0"/>
                <w:szCs w:val="20"/>
              </w:rPr>
            </w:pPr>
            <w:r w:rsidRPr="006104A6">
              <w:rPr>
                <w:b/>
                <w:bCs w:val="0"/>
                <w:szCs w:val="20"/>
              </w:rPr>
              <w:t>(0.06, 0.24)</w:t>
            </w:r>
          </w:p>
        </w:tc>
        <w:tc>
          <w:tcPr>
            <w:tcW w:w="581" w:type="pct"/>
            <w:shd w:val="clear" w:color="auto" w:fill="auto"/>
            <w:vAlign w:val="center"/>
          </w:tcPr>
          <w:p w14:paraId="68D992FA" w14:textId="77777777" w:rsidR="00AF71E2" w:rsidRPr="006104A6" w:rsidRDefault="00AF71E2" w:rsidP="00571001">
            <w:pPr>
              <w:pStyle w:val="TableText0"/>
              <w:keepNext w:val="0"/>
              <w:widowControl w:val="0"/>
              <w:jc w:val="center"/>
              <w:rPr>
                <w:b/>
                <w:bCs w:val="0"/>
                <w:szCs w:val="20"/>
              </w:rPr>
            </w:pPr>
            <w:r w:rsidRPr="006104A6">
              <w:rPr>
                <w:b/>
                <w:bCs w:val="0"/>
                <w:szCs w:val="20"/>
              </w:rPr>
              <w:t>5.85</w:t>
            </w:r>
          </w:p>
          <w:p w14:paraId="5F22A7C8" w14:textId="364240C9" w:rsidR="00AF71E2" w:rsidRPr="006104A6" w:rsidRDefault="00AF71E2" w:rsidP="00571001">
            <w:pPr>
              <w:pStyle w:val="TableText0"/>
              <w:keepNext w:val="0"/>
              <w:widowControl w:val="0"/>
              <w:jc w:val="center"/>
              <w:rPr>
                <w:szCs w:val="20"/>
              </w:rPr>
            </w:pPr>
            <w:r w:rsidRPr="006104A6">
              <w:rPr>
                <w:b/>
                <w:bCs w:val="0"/>
                <w:szCs w:val="20"/>
              </w:rPr>
              <w:t>(2.54, 13.46)</w:t>
            </w:r>
          </w:p>
        </w:tc>
      </w:tr>
      <w:bookmarkEnd w:id="47"/>
      <w:tr w:rsidR="00293DFF" w:rsidRPr="006104A6" w14:paraId="7955D73B" w14:textId="77777777" w:rsidTr="000B6AA2">
        <w:trPr>
          <w:cantSplit/>
        </w:trPr>
        <w:tc>
          <w:tcPr>
            <w:tcW w:w="958" w:type="pct"/>
            <w:shd w:val="clear" w:color="auto" w:fill="auto"/>
            <w:vAlign w:val="center"/>
          </w:tcPr>
          <w:p w14:paraId="102A3CD6" w14:textId="60AB760B" w:rsidR="005E0E3B" w:rsidRPr="006104A6" w:rsidRDefault="005E0E3B" w:rsidP="005E0E3B">
            <w:pPr>
              <w:pStyle w:val="TableText0"/>
              <w:keepNext w:val="0"/>
              <w:widowControl w:val="0"/>
              <w:rPr>
                <w:szCs w:val="20"/>
              </w:rPr>
            </w:pPr>
            <w:r w:rsidRPr="006104A6">
              <w:rPr>
                <w:szCs w:val="20"/>
              </w:rPr>
              <w:t>PANORAMIC</w:t>
            </w:r>
          </w:p>
        </w:tc>
        <w:tc>
          <w:tcPr>
            <w:tcW w:w="690" w:type="pct"/>
            <w:vAlign w:val="center"/>
          </w:tcPr>
          <w:p w14:paraId="3F6C8F3C" w14:textId="2723ADCA" w:rsidR="005E0E3B" w:rsidRPr="006104A6" w:rsidRDefault="005E0E3B" w:rsidP="005E0E3B">
            <w:pPr>
              <w:pStyle w:val="TableText0"/>
              <w:keepNext w:val="0"/>
              <w:widowControl w:val="0"/>
              <w:rPr>
                <w:szCs w:val="20"/>
              </w:rPr>
            </w:pPr>
            <w:r w:rsidRPr="006104A6">
              <w:rPr>
                <w:szCs w:val="20"/>
              </w:rPr>
              <w:t>Hospitalisation or death</w:t>
            </w:r>
            <w:r w:rsidR="00371B70" w:rsidRPr="006104A6">
              <w:rPr>
                <w:szCs w:val="20"/>
              </w:rPr>
              <w:t xml:space="preserve"> – Day 28</w:t>
            </w:r>
          </w:p>
        </w:tc>
        <w:tc>
          <w:tcPr>
            <w:tcW w:w="507" w:type="pct"/>
            <w:shd w:val="clear" w:color="auto" w:fill="auto"/>
            <w:vAlign w:val="center"/>
          </w:tcPr>
          <w:p w14:paraId="61170EF4" w14:textId="77777777" w:rsidR="00904667" w:rsidRPr="006104A6" w:rsidRDefault="005E0E3B" w:rsidP="005E0E3B">
            <w:pPr>
              <w:pStyle w:val="TableText0"/>
              <w:keepNext w:val="0"/>
              <w:widowControl w:val="0"/>
              <w:jc w:val="center"/>
              <w:rPr>
                <w:szCs w:val="20"/>
              </w:rPr>
            </w:pPr>
            <w:r w:rsidRPr="006104A6">
              <w:rPr>
                <w:szCs w:val="20"/>
              </w:rPr>
              <w:t>105/12529</w:t>
            </w:r>
          </w:p>
          <w:p w14:paraId="42BFB671" w14:textId="4CA59383" w:rsidR="005E0E3B" w:rsidRPr="006104A6" w:rsidRDefault="005E0E3B" w:rsidP="005E0E3B">
            <w:pPr>
              <w:pStyle w:val="TableText0"/>
              <w:keepNext w:val="0"/>
              <w:widowControl w:val="0"/>
              <w:jc w:val="center"/>
              <w:rPr>
                <w:szCs w:val="20"/>
              </w:rPr>
            </w:pPr>
            <w:r w:rsidRPr="006104A6">
              <w:rPr>
                <w:szCs w:val="20"/>
              </w:rPr>
              <w:t>(0.84%)</w:t>
            </w:r>
          </w:p>
        </w:tc>
        <w:tc>
          <w:tcPr>
            <w:tcW w:w="594" w:type="pct"/>
            <w:vAlign w:val="center"/>
          </w:tcPr>
          <w:p w14:paraId="7D0CE217" w14:textId="77777777" w:rsidR="005E0E3B" w:rsidRPr="006104A6" w:rsidRDefault="005E0E3B" w:rsidP="005E0E3B">
            <w:pPr>
              <w:pStyle w:val="TableText0"/>
              <w:keepNext w:val="0"/>
              <w:widowControl w:val="0"/>
              <w:jc w:val="center"/>
              <w:rPr>
                <w:szCs w:val="20"/>
              </w:rPr>
            </w:pPr>
            <w:r w:rsidRPr="006104A6">
              <w:rPr>
                <w:szCs w:val="20"/>
              </w:rPr>
              <w:t>98/12525</w:t>
            </w:r>
          </w:p>
          <w:p w14:paraId="4FC6F3B4" w14:textId="2BEFBB33" w:rsidR="005E0E3B" w:rsidRPr="006104A6" w:rsidRDefault="005E0E3B" w:rsidP="005E0E3B">
            <w:pPr>
              <w:pStyle w:val="TableText0"/>
              <w:keepNext w:val="0"/>
              <w:widowControl w:val="0"/>
              <w:jc w:val="center"/>
              <w:rPr>
                <w:szCs w:val="20"/>
              </w:rPr>
            </w:pPr>
            <w:r w:rsidRPr="006104A6">
              <w:rPr>
                <w:szCs w:val="20"/>
              </w:rPr>
              <w:t>(0.78%)</w:t>
            </w:r>
          </w:p>
        </w:tc>
        <w:tc>
          <w:tcPr>
            <w:tcW w:w="558" w:type="pct"/>
            <w:shd w:val="clear" w:color="auto" w:fill="auto"/>
            <w:vAlign w:val="center"/>
          </w:tcPr>
          <w:p w14:paraId="1E801463" w14:textId="56AFEC7F" w:rsidR="005E0E3B" w:rsidRPr="006104A6" w:rsidRDefault="005E0E3B" w:rsidP="005E0E3B">
            <w:pPr>
              <w:pStyle w:val="TableText0"/>
              <w:keepNext w:val="0"/>
              <w:widowControl w:val="0"/>
              <w:jc w:val="center"/>
              <w:rPr>
                <w:szCs w:val="20"/>
              </w:rPr>
            </w:pPr>
            <w:r w:rsidRPr="006104A6">
              <w:rPr>
                <w:szCs w:val="20"/>
              </w:rPr>
              <w:t>n/a</w:t>
            </w:r>
          </w:p>
        </w:tc>
        <w:tc>
          <w:tcPr>
            <w:tcW w:w="581" w:type="pct"/>
            <w:shd w:val="clear" w:color="auto" w:fill="auto"/>
            <w:vAlign w:val="center"/>
          </w:tcPr>
          <w:p w14:paraId="034E6F94" w14:textId="77777777" w:rsidR="005E0E3B" w:rsidRPr="006104A6" w:rsidRDefault="005E0E3B" w:rsidP="005E0E3B">
            <w:pPr>
              <w:pStyle w:val="TableText0"/>
              <w:keepNext w:val="0"/>
              <w:widowControl w:val="0"/>
              <w:jc w:val="center"/>
              <w:rPr>
                <w:szCs w:val="20"/>
              </w:rPr>
            </w:pPr>
            <w:r w:rsidRPr="006104A6">
              <w:rPr>
                <w:szCs w:val="20"/>
              </w:rPr>
              <w:t>1.07</w:t>
            </w:r>
          </w:p>
          <w:p w14:paraId="329AE532" w14:textId="443A72EB" w:rsidR="005E0E3B" w:rsidRPr="006104A6" w:rsidRDefault="005E0E3B" w:rsidP="005E0E3B">
            <w:pPr>
              <w:pStyle w:val="TableText0"/>
              <w:keepNext w:val="0"/>
              <w:widowControl w:val="0"/>
              <w:jc w:val="center"/>
              <w:rPr>
                <w:b/>
                <w:bCs w:val="0"/>
                <w:szCs w:val="20"/>
              </w:rPr>
            </w:pPr>
            <w:r w:rsidRPr="006104A6">
              <w:rPr>
                <w:szCs w:val="20"/>
              </w:rPr>
              <w:t>(0.81, 1.41)</w:t>
            </w:r>
          </w:p>
        </w:tc>
        <w:tc>
          <w:tcPr>
            <w:tcW w:w="531" w:type="pct"/>
            <w:shd w:val="clear" w:color="auto" w:fill="auto"/>
            <w:vAlign w:val="center"/>
          </w:tcPr>
          <w:p w14:paraId="7B5770B9" w14:textId="0DA1ED41" w:rsidR="005E0E3B" w:rsidRPr="006104A6" w:rsidRDefault="005E0E3B" w:rsidP="005E0E3B">
            <w:pPr>
              <w:pStyle w:val="TableText0"/>
              <w:keepNext w:val="0"/>
              <w:widowControl w:val="0"/>
              <w:jc w:val="center"/>
              <w:rPr>
                <w:szCs w:val="20"/>
              </w:rPr>
            </w:pPr>
            <w:r w:rsidRPr="006104A6">
              <w:rPr>
                <w:szCs w:val="20"/>
              </w:rPr>
              <w:t>n/a</w:t>
            </w:r>
          </w:p>
        </w:tc>
        <w:tc>
          <w:tcPr>
            <w:tcW w:w="581" w:type="pct"/>
            <w:shd w:val="clear" w:color="auto" w:fill="auto"/>
            <w:vAlign w:val="center"/>
          </w:tcPr>
          <w:p w14:paraId="648C66EF" w14:textId="18178C31" w:rsidR="005E0E3B" w:rsidRPr="006104A6" w:rsidRDefault="005E0E3B" w:rsidP="005E0E3B">
            <w:pPr>
              <w:pStyle w:val="TableText0"/>
              <w:keepNext w:val="0"/>
              <w:widowControl w:val="0"/>
              <w:jc w:val="center"/>
              <w:rPr>
                <w:szCs w:val="20"/>
              </w:rPr>
            </w:pPr>
            <w:r w:rsidRPr="006104A6">
              <w:rPr>
                <w:szCs w:val="20"/>
              </w:rPr>
              <w:t>n/a</w:t>
            </w:r>
          </w:p>
        </w:tc>
      </w:tr>
      <w:tr w:rsidR="0064510A" w:rsidRPr="006104A6" w14:paraId="14EEA502" w14:textId="77777777" w:rsidTr="000B6AA2">
        <w:trPr>
          <w:cantSplit/>
        </w:trPr>
        <w:tc>
          <w:tcPr>
            <w:tcW w:w="958" w:type="pct"/>
            <w:shd w:val="clear" w:color="auto" w:fill="auto"/>
            <w:vAlign w:val="center"/>
          </w:tcPr>
          <w:p w14:paraId="629E5B72" w14:textId="32BAA240" w:rsidR="0023242E" w:rsidRPr="006104A6" w:rsidRDefault="0023242E" w:rsidP="0023242E">
            <w:pPr>
              <w:pStyle w:val="TableText0"/>
              <w:keepNext w:val="0"/>
              <w:widowControl w:val="0"/>
              <w:rPr>
                <w:szCs w:val="20"/>
              </w:rPr>
            </w:pPr>
            <w:r w:rsidRPr="006104A6">
              <w:rPr>
                <w:szCs w:val="20"/>
              </w:rPr>
              <w:t xml:space="preserve">PANORAMIC ≥ 65 years </w:t>
            </w:r>
          </w:p>
        </w:tc>
        <w:tc>
          <w:tcPr>
            <w:tcW w:w="690" w:type="pct"/>
            <w:vAlign w:val="center"/>
          </w:tcPr>
          <w:p w14:paraId="70270358" w14:textId="45EF708C" w:rsidR="0023242E" w:rsidRPr="006104A6" w:rsidRDefault="0023242E" w:rsidP="0023242E">
            <w:pPr>
              <w:pStyle w:val="TableText0"/>
              <w:keepNext w:val="0"/>
              <w:widowControl w:val="0"/>
              <w:rPr>
                <w:szCs w:val="20"/>
              </w:rPr>
            </w:pPr>
            <w:r w:rsidRPr="006104A6">
              <w:rPr>
                <w:szCs w:val="20"/>
              </w:rPr>
              <w:t>Hospitalisation or death – Day 28</w:t>
            </w:r>
          </w:p>
        </w:tc>
        <w:tc>
          <w:tcPr>
            <w:tcW w:w="507" w:type="pct"/>
            <w:shd w:val="clear" w:color="auto" w:fill="auto"/>
            <w:vAlign w:val="center"/>
          </w:tcPr>
          <w:p w14:paraId="23B84C7E" w14:textId="1E06A9E3" w:rsidR="0023242E" w:rsidRPr="006104A6" w:rsidRDefault="0023242E" w:rsidP="0023242E">
            <w:pPr>
              <w:pStyle w:val="TableText0"/>
              <w:keepNext w:val="0"/>
              <w:widowControl w:val="0"/>
              <w:jc w:val="center"/>
              <w:rPr>
                <w:szCs w:val="20"/>
              </w:rPr>
            </w:pPr>
            <w:r w:rsidRPr="006104A6">
              <w:rPr>
                <w:szCs w:val="20"/>
              </w:rPr>
              <w:t>NR</w:t>
            </w:r>
          </w:p>
        </w:tc>
        <w:tc>
          <w:tcPr>
            <w:tcW w:w="594" w:type="pct"/>
            <w:vAlign w:val="center"/>
          </w:tcPr>
          <w:p w14:paraId="705B4B9F" w14:textId="00DCE982" w:rsidR="0023242E" w:rsidRPr="006104A6" w:rsidRDefault="0023242E" w:rsidP="0023242E">
            <w:pPr>
              <w:pStyle w:val="TableText0"/>
              <w:keepNext w:val="0"/>
              <w:widowControl w:val="0"/>
              <w:jc w:val="center"/>
              <w:rPr>
                <w:szCs w:val="20"/>
              </w:rPr>
            </w:pPr>
            <w:r w:rsidRPr="006104A6">
              <w:rPr>
                <w:szCs w:val="20"/>
              </w:rPr>
              <w:t>NR</w:t>
            </w:r>
          </w:p>
        </w:tc>
        <w:tc>
          <w:tcPr>
            <w:tcW w:w="558" w:type="pct"/>
            <w:shd w:val="clear" w:color="auto" w:fill="auto"/>
            <w:vAlign w:val="center"/>
          </w:tcPr>
          <w:p w14:paraId="79710865" w14:textId="37778DFC" w:rsidR="0023242E" w:rsidRPr="006104A6" w:rsidRDefault="0023242E" w:rsidP="0023242E">
            <w:pPr>
              <w:pStyle w:val="TableText0"/>
              <w:keepNext w:val="0"/>
              <w:widowControl w:val="0"/>
              <w:jc w:val="center"/>
              <w:rPr>
                <w:szCs w:val="20"/>
              </w:rPr>
            </w:pPr>
            <w:r w:rsidRPr="006104A6">
              <w:rPr>
                <w:szCs w:val="20"/>
              </w:rPr>
              <w:t>n/a</w:t>
            </w:r>
          </w:p>
        </w:tc>
        <w:tc>
          <w:tcPr>
            <w:tcW w:w="581" w:type="pct"/>
            <w:shd w:val="clear" w:color="auto" w:fill="auto"/>
            <w:vAlign w:val="center"/>
          </w:tcPr>
          <w:p w14:paraId="609865A3" w14:textId="77777777" w:rsidR="0023242E" w:rsidRPr="006104A6" w:rsidRDefault="0023242E" w:rsidP="0023242E">
            <w:pPr>
              <w:pStyle w:val="TableText0"/>
              <w:keepNext w:val="0"/>
              <w:widowControl w:val="0"/>
              <w:jc w:val="center"/>
              <w:rPr>
                <w:szCs w:val="20"/>
              </w:rPr>
            </w:pPr>
            <w:r w:rsidRPr="006104A6">
              <w:rPr>
                <w:szCs w:val="20"/>
              </w:rPr>
              <w:t>0.76</w:t>
            </w:r>
          </w:p>
          <w:p w14:paraId="005C11CB" w14:textId="5AB210DF" w:rsidR="0023242E" w:rsidRPr="006104A6" w:rsidRDefault="0023242E" w:rsidP="0023242E">
            <w:pPr>
              <w:pStyle w:val="TableText0"/>
              <w:keepNext w:val="0"/>
              <w:widowControl w:val="0"/>
              <w:jc w:val="center"/>
              <w:rPr>
                <w:szCs w:val="20"/>
              </w:rPr>
            </w:pPr>
            <w:r w:rsidRPr="006104A6">
              <w:rPr>
                <w:szCs w:val="20"/>
              </w:rPr>
              <w:t>(0.46, 1.32)</w:t>
            </w:r>
          </w:p>
        </w:tc>
        <w:tc>
          <w:tcPr>
            <w:tcW w:w="531" w:type="pct"/>
            <w:shd w:val="clear" w:color="auto" w:fill="auto"/>
            <w:vAlign w:val="center"/>
          </w:tcPr>
          <w:p w14:paraId="6723390A" w14:textId="1B8BBE66" w:rsidR="0023242E" w:rsidRPr="006104A6" w:rsidRDefault="0023242E" w:rsidP="0023242E">
            <w:pPr>
              <w:pStyle w:val="TableText0"/>
              <w:keepNext w:val="0"/>
              <w:widowControl w:val="0"/>
              <w:jc w:val="center"/>
              <w:rPr>
                <w:szCs w:val="20"/>
              </w:rPr>
            </w:pPr>
            <w:r w:rsidRPr="006104A6">
              <w:rPr>
                <w:szCs w:val="20"/>
              </w:rPr>
              <w:t>n/a</w:t>
            </w:r>
          </w:p>
        </w:tc>
        <w:tc>
          <w:tcPr>
            <w:tcW w:w="581" w:type="pct"/>
            <w:shd w:val="clear" w:color="auto" w:fill="auto"/>
            <w:vAlign w:val="center"/>
          </w:tcPr>
          <w:p w14:paraId="4D50197D" w14:textId="5B140F1E" w:rsidR="0023242E" w:rsidRPr="006104A6" w:rsidRDefault="0023242E" w:rsidP="0023242E">
            <w:pPr>
              <w:pStyle w:val="TableText0"/>
              <w:keepNext w:val="0"/>
              <w:widowControl w:val="0"/>
              <w:jc w:val="center"/>
              <w:rPr>
                <w:szCs w:val="20"/>
              </w:rPr>
            </w:pPr>
            <w:r w:rsidRPr="006104A6">
              <w:rPr>
                <w:szCs w:val="20"/>
              </w:rPr>
              <w:t>n/a</w:t>
            </w:r>
          </w:p>
        </w:tc>
      </w:tr>
      <w:tr w:rsidR="0064510A" w:rsidRPr="006104A6" w14:paraId="095010F3" w14:textId="77777777" w:rsidTr="000B6AA2">
        <w:trPr>
          <w:cantSplit/>
        </w:trPr>
        <w:tc>
          <w:tcPr>
            <w:tcW w:w="958" w:type="pct"/>
            <w:shd w:val="clear" w:color="auto" w:fill="auto"/>
            <w:vAlign w:val="center"/>
          </w:tcPr>
          <w:p w14:paraId="1E36B3F9" w14:textId="488B9695" w:rsidR="0023242E" w:rsidRPr="006104A6" w:rsidRDefault="0023242E" w:rsidP="0023242E">
            <w:pPr>
              <w:pStyle w:val="TableText0"/>
              <w:keepNext w:val="0"/>
              <w:widowControl w:val="0"/>
              <w:rPr>
                <w:szCs w:val="20"/>
              </w:rPr>
            </w:pPr>
            <w:r w:rsidRPr="006104A6">
              <w:rPr>
                <w:szCs w:val="20"/>
              </w:rPr>
              <w:t>PANORAMIC ≥ 80 years</w:t>
            </w:r>
          </w:p>
        </w:tc>
        <w:tc>
          <w:tcPr>
            <w:tcW w:w="690" w:type="pct"/>
            <w:vAlign w:val="center"/>
          </w:tcPr>
          <w:p w14:paraId="33A32C21" w14:textId="0DBD8826" w:rsidR="0023242E" w:rsidRPr="006104A6" w:rsidRDefault="0023242E" w:rsidP="0023242E">
            <w:pPr>
              <w:pStyle w:val="TableText0"/>
              <w:keepNext w:val="0"/>
              <w:widowControl w:val="0"/>
              <w:rPr>
                <w:szCs w:val="20"/>
              </w:rPr>
            </w:pPr>
            <w:r w:rsidRPr="006104A6">
              <w:rPr>
                <w:szCs w:val="20"/>
              </w:rPr>
              <w:t>Hospitalisation or death – Day 28</w:t>
            </w:r>
          </w:p>
        </w:tc>
        <w:tc>
          <w:tcPr>
            <w:tcW w:w="507" w:type="pct"/>
            <w:shd w:val="clear" w:color="auto" w:fill="auto"/>
            <w:vAlign w:val="center"/>
          </w:tcPr>
          <w:p w14:paraId="15E0AB35" w14:textId="171898E4" w:rsidR="0023242E" w:rsidRPr="006104A6" w:rsidRDefault="0023242E" w:rsidP="0023242E">
            <w:pPr>
              <w:pStyle w:val="TableText0"/>
              <w:keepNext w:val="0"/>
              <w:widowControl w:val="0"/>
              <w:jc w:val="center"/>
              <w:rPr>
                <w:szCs w:val="20"/>
              </w:rPr>
            </w:pPr>
            <w:r w:rsidRPr="006104A6">
              <w:rPr>
                <w:szCs w:val="20"/>
              </w:rPr>
              <w:t>NR</w:t>
            </w:r>
          </w:p>
        </w:tc>
        <w:tc>
          <w:tcPr>
            <w:tcW w:w="594" w:type="pct"/>
            <w:vAlign w:val="center"/>
          </w:tcPr>
          <w:p w14:paraId="6714D316" w14:textId="25AE1209" w:rsidR="0023242E" w:rsidRPr="006104A6" w:rsidRDefault="0023242E" w:rsidP="0023242E">
            <w:pPr>
              <w:pStyle w:val="TableText0"/>
              <w:keepNext w:val="0"/>
              <w:widowControl w:val="0"/>
              <w:jc w:val="center"/>
              <w:rPr>
                <w:szCs w:val="20"/>
              </w:rPr>
            </w:pPr>
            <w:r w:rsidRPr="006104A6">
              <w:rPr>
                <w:szCs w:val="20"/>
              </w:rPr>
              <w:t>NR</w:t>
            </w:r>
          </w:p>
        </w:tc>
        <w:tc>
          <w:tcPr>
            <w:tcW w:w="558" w:type="pct"/>
            <w:shd w:val="clear" w:color="auto" w:fill="auto"/>
            <w:vAlign w:val="center"/>
          </w:tcPr>
          <w:p w14:paraId="24F2F418" w14:textId="21F6A762" w:rsidR="0023242E" w:rsidRPr="006104A6" w:rsidRDefault="0023242E" w:rsidP="0023242E">
            <w:pPr>
              <w:pStyle w:val="TableText0"/>
              <w:keepNext w:val="0"/>
              <w:widowControl w:val="0"/>
              <w:jc w:val="center"/>
              <w:rPr>
                <w:szCs w:val="20"/>
              </w:rPr>
            </w:pPr>
            <w:r w:rsidRPr="006104A6">
              <w:rPr>
                <w:szCs w:val="20"/>
              </w:rPr>
              <w:t>n/a</w:t>
            </w:r>
          </w:p>
        </w:tc>
        <w:tc>
          <w:tcPr>
            <w:tcW w:w="581" w:type="pct"/>
            <w:shd w:val="clear" w:color="auto" w:fill="auto"/>
            <w:vAlign w:val="center"/>
          </w:tcPr>
          <w:p w14:paraId="71B69F36" w14:textId="77777777" w:rsidR="0023242E" w:rsidRPr="006104A6" w:rsidRDefault="0023242E" w:rsidP="0023242E">
            <w:pPr>
              <w:pStyle w:val="TableText0"/>
              <w:keepNext w:val="0"/>
              <w:widowControl w:val="0"/>
              <w:jc w:val="center"/>
              <w:rPr>
                <w:szCs w:val="20"/>
              </w:rPr>
            </w:pPr>
            <w:r w:rsidRPr="006104A6">
              <w:rPr>
                <w:szCs w:val="20"/>
              </w:rPr>
              <w:t>0.51</w:t>
            </w:r>
          </w:p>
          <w:p w14:paraId="178B1549" w14:textId="34C9061B" w:rsidR="0023242E" w:rsidRPr="006104A6" w:rsidRDefault="0023242E" w:rsidP="0023242E">
            <w:pPr>
              <w:pStyle w:val="TableText0"/>
              <w:keepNext w:val="0"/>
              <w:widowControl w:val="0"/>
              <w:jc w:val="center"/>
              <w:rPr>
                <w:szCs w:val="20"/>
              </w:rPr>
            </w:pPr>
            <w:r w:rsidRPr="006104A6">
              <w:rPr>
                <w:szCs w:val="20"/>
              </w:rPr>
              <w:t>(0.16, 1.40)</w:t>
            </w:r>
          </w:p>
        </w:tc>
        <w:tc>
          <w:tcPr>
            <w:tcW w:w="531" w:type="pct"/>
            <w:shd w:val="clear" w:color="auto" w:fill="auto"/>
            <w:vAlign w:val="center"/>
          </w:tcPr>
          <w:p w14:paraId="4DBC5FD2" w14:textId="2B94D75A" w:rsidR="0023242E" w:rsidRPr="006104A6" w:rsidRDefault="0023242E" w:rsidP="0023242E">
            <w:pPr>
              <w:pStyle w:val="TableText0"/>
              <w:keepNext w:val="0"/>
              <w:widowControl w:val="0"/>
              <w:jc w:val="center"/>
              <w:rPr>
                <w:szCs w:val="20"/>
              </w:rPr>
            </w:pPr>
            <w:r w:rsidRPr="006104A6">
              <w:rPr>
                <w:szCs w:val="20"/>
              </w:rPr>
              <w:t>n/a</w:t>
            </w:r>
          </w:p>
        </w:tc>
        <w:tc>
          <w:tcPr>
            <w:tcW w:w="581" w:type="pct"/>
            <w:shd w:val="clear" w:color="auto" w:fill="auto"/>
            <w:vAlign w:val="center"/>
          </w:tcPr>
          <w:p w14:paraId="4EB4CE02" w14:textId="08166F4A" w:rsidR="0023242E" w:rsidRPr="006104A6" w:rsidRDefault="0023242E" w:rsidP="0023242E">
            <w:pPr>
              <w:pStyle w:val="TableText0"/>
              <w:keepNext w:val="0"/>
              <w:widowControl w:val="0"/>
              <w:jc w:val="center"/>
              <w:rPr>
                <w:szCs w:val="20"/>
              </w:rPr>
            </w:pPr>
            <w:r w:rsidRPr="006104A6">
              <w:rPr>
                <w:szCs w:val="20"/>
              </w:rPr>
              <w:t>n/a</w:t>
            </w:r>
          </w:p>
        </w:tc>
      </w:tr>
      <w:tr w:rsidR="00070462" w:rsidRPr="006104A6" w14:paraId="6FE13DA6" w14:textId="77777777" w:rsidTr="000B6AA2">
        <w:trPr>
          <w:cantSplit/>
        </w:trPr>
        <w:tc>
          <w:tcPr>
            <w:tcW w:w="958" w:type="pct"/>
            <w:vMerge w:val="restart"/>
            <w:shd w:val="clear" w:color="auto" w:fill="auto"/>
            <w:vAlign w:val="center"/>
          </w:tcPr>
          <w:p w14:paraId="23C23489" w14:textId="77777777" w:rsidR="00070462" w:rsidRPr="006104A6" w:rsidRDefault="00070462" w:rsidP="00070462">
            <w:pPr>
              <w:pStyle w:val="TableText0"/>
              <w:widowControl w:val="0"/>
              <w:rPr>
                <w:szCs w:val="20"/>
              </w:rPr>
            </w:pPr>
            <w:r w:rsidRPr="006104A6">
              <w:rPr>
                <w:szCs w:val="20"/>
              </w:rPr>
              <w:t>Analyses presented in the manuscript</w:t>
            </w:r>
          </w:p>
          <w:p w14:paraId="6C66424F" w14:textId="77777777" w:rsidR="00070462" w:rsidRPr="006104A6" w:rsidRDefault="00070462" w:rsidP="00070462">
            <w:pPr>
              <w:pStyle w:val="TableText0"/>
              <w:widowControl w:val="0"/>
              <w:rPr>
                <w:szCs w:val="20"/>
              </w:rPr>
            </w:pPr>
            <w:r w:rsidRPr="006104A6">
              <w:rPr>
                <w:szCs w:val="20"/>
              </w:rPr>
              <w:t>Victorian dataset</w:t>
            </w:r>
          </w:p>
          <w:p w14:paraId="6E0045C0" w14:textId="1614B771" w:rsidR="00070462" w:rsidRPr="006104A6" w:rsidRDefault="00070462" w:rsidP="00070462">
            <w:pPr>
              <w:pStyle w:val="TableText0"/>
              <w:widowControl w:val="0"/>
              <w:rPr>
                <w:szCs w:val="20"/>
              </w:rPr>
            </w:pPr>
            <w:r w:rsidRPr="006104A6">
              <w:rPr>
                <w:szCs w:val="20"/>
              </w:rPr>
              <w:t>(≥ 70 years)</w:t>
            </w:r>
          </w:p>
        </w:tc>
        <w:tc>
          <w:tcPr>
            <w:tcW w:w="690" w:type="pct"/>
            <w:vAlign w:val="center"/>
          </w:tcPr>
          <w:p w14:paraId="1B80C98B" w14:textId="426F1712" w:rsidR="00070462" w:rsidRPr="006104A6" w:rsidRDefault="00070462" w:rsidP="00D443EC">
            <w:pPr>
              <w:pStyle w:val="TableText0"/>
              <w:keepNext w:val="0"/>
              <w:widowControl w:val="0"/>
              <w:rPr>
                <w:szCs w:val="20"/>
              </w:rPr>
            </w:pPr>
            <w:r w:rsidRPr="006104A6">
              <w:rPr>
                <w:szCs w:val="20"/>
                <w:lang w:eastAsia="en-US"/>
              </w:rPr>
              <w:t>Hospitalised (subgroup</w:t>
            </w:r>
            <w:r w:rsidR="00CC3717" w:rsidRPr="006104A6">
              <w:rPr>
                <w:szCs w:val="20"/>
                <w:vertAlign w:val="superscript"/>
                <w:lang w:eastAsia="en-US"/>
              </w:rPr>
              <w:t>#</w:t>
            </w:r>
            <w:r w:rsidRPr="006104A6">
              <w:rPr>
                <w:szCs w:val="20"/>
                <w:lang w:eastAsia="en-US"/>
              </w:rPr>
              <w:t>)</w:t>
            </w:r>
          </w:p>
        </w:tc>
        <w:tc>
          <w:tcPr>
            <w:tcW w:w="507" w:type="pct"/>
            <w:shd w:val="clear" w:color="auto" w:fill="auto"/>
            <w:vAlign w:val="center"/>
          </w:tcPr>
          <w:p w14:paraId="34DE5D99" w14:textId="77777777" w:rsidR="00070462" w:rsidRPr="006104A6" w:rsidRDefault="00070462" w:rsidP="00D443EC">
            <w:pPr>
              <w:pStyle w:val="TableText0"/>
              <w:keepNext w:val="0"/>
              <w:widowControl w:val="0"/>
              <w:spacing w:line="256" w:lineRule="auto"/>
              <w:jc w:val="center"/>
              <w:rPr>
                <w:szCs w:val="20"/>
                <w:lang w:eastAsia="en-US"/>
              </w:rPr>
            </w:pPr>
            <w:r w:rsidRPr="006104A6">
              <w:rPr>
                <w:szCs w:val="20"/>
                <w:lang w:eastAsia="en-US"/>
              </w:rPr>
              <w:t>195/15,673</w:t>
            </w:r>
          </w:p>
          <w:p w14:paraId="36C09776" w14:textId="51B97F1D" w:rsidR="00070462" w:rsidRPr="006104A6" w:rsidRDefault="00070462" w:rsidP="00D443EC">
            <w:pPr>
              <w:pStyle w:val="TableText0"/>
              <w:keepNext w:val="0"/>
              <w:widowControl w:val="0"/>
              <w:jc w:val="center"/>
              <w:rPr>
                <w:szCs w:val="20"/>
                <w:highlight w:val="yellow"/>
              </w:rPr>
            </w:pPr>
            <w:r w:rsidRPr="006104A6">
              <w:rPr>
                <w:szCs w:val="20"/>
                <w:lang w:eastAsia="en-US"/>
              </w:rPr>
              <w:t>(1.24%)</w:t>
            </w:r>
          </w:p>
        </w:tc>
        <w:tc>
          <w:tcPr>
            <w:tcW w:w="594" w:type="pct"/>
            <w:vAlign w:val="center"/>
          </w:tcPr>
          <w:p w14:paraId="544E4EC8" w14:textId="77777777" w:rsidR="00070462" w:rsidRPr="006104A6" w:rsidRDefault="00070462" w:rsidP="00D443EC">
            <w:pPr>
              <w:pStyle w:val="TableText0"/>
              <w:keepNext w:val="0"/>
              <w:widowControl w:val="0"/>
              <w:spacing w:line="256" w:lineRule="auto"/>
              <w:jc w:val="center"/>
              <w:rPr>
                <w:szCs w:val="20"/>
                <w:lang w:eastAsia="en-US"/>
              </w:rPr>
            </w:pPr>
            <w:r w:rsidRPr="006104A6">
              <w:rPr>
                <w:szCs w:val="20"/>
                <w:lang w:eastAsia="en-US"/>
              </w:rPr>
              <w:t>185/10,637</w:t>
            </w:r>
          </w:p>
          <w:p w14:paraId="157F6C07" w14:textId="5B3120ED" w:rsidR="00070462" w:rsidRPr="006104A6" w:rsidRDefault="00070462" w:rsidP="00D443EC">
            <w:pPr>
              <w:pStyle w:val="TableText0"/>
              <w:keepNext w:val="0"/>
              <w:widowControl w:val="0"/>
              <w:jc w:val="center"/>
              <w:rPr>
                <w:szCs w:val="20"/>
                <w:highlight w:val="yellow"/>
              </w:rPr>
            </w:pPr>
            <w:r w:rsidRPr="006104A6">
              <w:rPr>
                <w:szCs w:val="20"/>
                <w:lang w:eastAsia="en-US"/>
              </w:rPr>
              <w:t>(1.74%)</w:t>
            </w:r>
          </w:p>
        </w:tc>
        <w:tc>
          <w:tcPr>
            <w:tcW w:w="558" w:type="pct"/>
            <w:shd w:val="clear" w:color="auto" w:fill="auto"/>
            <w:vAlign w:val="center"/>
          </w:tcPr>
          <w:p w14:paraId="06C90EE0" w14:textId="77777777" w:rsidR="00070462" w:rsidRPr="006104A6" w:rsidRDefault="00070462" w:rsidP="00D443EC">
            <w:pPr>
              <w:pStyle w:val="TableText0"/>
              <w:keepNext w:val="0"/>
              <w:widowControl w:val="0"/>
              <w:spacing w:line="256" w:lineRule="auto"/>
              <w:jc w:val="center"/>
              <w:rPr>
                <w:szCs w:val="20"/>
                <w:lang w:eastAsia="en-US"/>
              </w:rPr>
            </w:pPr>
            <w:r w:rsidRPr="006104A6">
              <w:rPr>
                <w:szCs w:val="20"/>
                <w:lang w:eastAsia="en-US"/>
              </w:rPr>
              <w:t>46/4,823</w:t>
            </w:r>
          </w:p>
          <w:p w14:paraId="545FFA12" w14:textId="6A4C54A1" w:rsidR="00070462" w:rsidRPr="006104A6" w:rsidRDefault="00070462" w:rsidP="00D443EC">
            <w:pPr>
              <w:pStyle w:val="TableText0"/>
              <w:keepNext w:val="0"/>
              <w:widowControl w:val="0"/>
              <w:jc w:val="center"/>
              <w:rPr>
                <w:szCs w:val="20"/>
                <w:highlight w:val="yellow"/>
              </w:rPr>
            </w:pPr>
            <w:r w:rsidRPr="006104A6">
              <w:rPr>
                <w:szCs w:val="20"/>
                <w:lang w:eastAsia="en-US"/>
              </w:rPr>
              <w:t>(0.95%)</w:t>
            </w:r>
          </w:p>
        </w:tc>
        <w:tc>
          <w:tcPr>
            <w:tcW w:w="581" w:type="pct"/>
            <w:shd w:val="clear" w:color="auto" w:fill="auto"/>
            <w:vAlign w:val="center"/>
          </w:tcPr>
          <w:p w14:paraId="19D2A489" w14:textId="5A1AC643" w:rsidR="00070462" w:rsidRPr="006104A6" w:rsidRDefault="00070462" w:rsidP="00D443EC">
            <w:pPr>
              <w:pStyle w:val="TableText0"/>
              <w:keepNext w:val="0"/>
              <w:widowControl w:val="0"/>
              <w:spacing w:line="256" w:lineRule="auto"/>
              <w:jc w:val="center"/>
              <w:rPr>
                <w:b/>
                <w:szCs w:val="20"/>
                <w:lang w:eastAsia="en-US"/>
              </w:rPr>
            </w:pPr>
            <w:r w:rsidRPr="006104A6">
              <w:rPr>
                <w:b/>
                <w:szCs w:val="20"/>
                <w:lang w:eastAsia="en-US"/>
              </w:rPr>
              <w:t>0.71*</w:t>
            </w:r>
          </w:p>
          <w:p w14:paraId="010960DB" w14:textId="40FED05F" w:rsidR="00070462" w:rsidRPr="006104A6" w:rsidRDefault="00070462" w:rsidP="00D443EC">
            <w:pPr>
              <w:pStyle w:val="TableText0"/>
              <w:keepNext w:val="0"/>
              <w:widowControl w:val="0"/>
              <w:jc w:val="center"/>
              <w:rPr>
                <w:b/>
                <w:szCs w:val="20"/>
                <w:highlight w:val="yellow"/>
              </w:rPr>
            </w:pPr>
            <w:r w:rsidRPr="006104A6">
              <w:rPr>
                <w:b/>
                <w:szCs w:val="20"/>
                <w:lang w:eastAsia="en-US"/>
              </w:rPr>
              <w:t>(0.58, 0.87)</w:t>
            </w:r>
          </w:p>
        </w:tc>
        <w:tc>
          <w:tcPr>
            <w:tcW w:w="531" w:type="pct"/>
            <w:shd w:val="clear" w:color="auto" w:fill="auto"/>
            <w:vAlign w:val="center"/>
          </w:tcPr>
          <w:p w14:paraId="0A8C939F" w14:textId="7DB24D8B" w:rsidR="00070462" w:rsidRPr="006104A6" w:rsidRDefault="00070462" w:rsidP="00D443EC">
            <w:pPr>
              <w:pStyle w:val="TableText0"/>
              <w:keepNext w:val="0"/>
              <w:widowControl w:val="0"/>
              <w:spacing w:line="256" w:lineRule="auto"/>
              <w:jc w:val="center"/>
              <w:rPr>
                <w:b/>
                <w:szCs w:val="20"/>
                <w:lang w:eastAsia="en-US"/>
              </w:rPr>
            </w:pPr>
            <w:r w:rsidRPr="006104A6">
              <w:rPr>
                <w:b/>
                <w:szCs w:val="20"/>
                <w:lang w:eastAsia="en-US"/>
              </w:rPr>
              <w:t>0.60*</w:t>
            </w:r>
          </w:p>
          <w:p w14:paraId="5FD55CA4" w14:textId="4E07FCB3" w:rsidR="00070462" w:rsidRPr="006104A6" w:rsidRDefault="00070462" w:rsidP="00D443EC">
            <w:pPr>
              <w:pStyle w:val="TableText0"/>
              <w:keepNext w:val="0"/>
              <w:widowControl w:val="0"/>
              <w:jc w:val="center"/>
              <w:rPr>
                <w:b/>
                <w:szCs w:val="20"/>
                <w:highlight w:val="yellow"/>
              </w:rPr>
            </w:pPr>
            <w:r w:rsidRPr="006104A6">
              <w:rPr>
                <w:b/>
                <w:szCs w:val="20"/>
                <w:lang w:eastAsia="en-US"/>
              </w:rPr>
              <w:t>(0.43, 0.83)</w:t>
            </w:r>
          </w:p>
        </w:tc>
        <w:tc>
          <w:tcPr>
            <w:tcW w:w="581" w:type="pct"/>
            <w:shd w:val="clear" w:color="auto" w:fill="auto"/>
            <w:vAlign w:val="center"/>
          </w:tcPr>
          <w:p w14:paraId="237632E0" w14:textId="710EA722" w:rsidR="00070462" w:rsidRPr="006104A6" w:rsidRDefault="00070462" w:rsidP="00D443EC">
            <w:pPr>
              <w:pStyle w:val="TableText0"/>
              <w:keepNext w:val="0"/>
              <w:widowControl w:val="0"/>
              <w:spacing w:line="256" w:lineRule="auto"/>
              <w:jc w:val="center"/>
              <w:rPr>
                <w:bCs w:val="0"/>
                <w:i/>
                <w:szCs w:val="20"/>
                <w:lang w:eastAsia="en-US"/>
              </w:rPr>
            </w:pPr>
            <w:r w:rsidRPr="006104A6">
              <w:rPr>
                <w:bCs w:val="0"/>
                <w:i/>
                <w:szCs w:val="20"/>
                <w:lang w:eastAsia="en-US"/>
              </w:rPr>
              <w:t>1.18*</w:t>
            </w:r>
          </w:p>
          <w:p w14:paraId="174FEA6E" w14:textId="088A78AC" w:rsidR="00070462" w:rsidRPr="006104A6" w:rsidRDefault="00070462" w:rsidP="00D443EC">
            <w:pPr>
              <w:pStyle w:val="TableText0"/>
              <w:keepNext w:val="0"/>
              <w:widowControl w:val="0"/>
              <w:jc w:val="center"/>
              <w:rPr>
                <w:b/>
                <w:szCs w:val="20"/>
                <w:highlight w:val="yellow"/>
              </w:rPr>
            </w:pPr>
            <w:r w:rsidRPr="006104A6">
              <w:rPr>
                <w:bCs w:val="0"/>
                <w:i/>
                <w:szCs w:val="20"/>
                <w:lang w:eastAsia="en-US"/>
              </w:rPr>
              <w:t>(0.80, 1.74)</w:t>
            </w:r>
          </w:p>
        </w:tc>
      </w:tr>
      <w:tr w:rsidR="00070462" w:rsidRPr="006104A6" w14:paraId="0A9A79A5" w14:textId="77777777" w:rsidTr="000B6AA2">
        <w:trPr>
          <w:cantSplit/>
        </w:trPr>
        <w:tc>
          <w:tcPr>
            <w:tcW w:w="958" w:type="pct"/>
            <w:vMerge/>
            <w:shd w:val="clear" w:color="auto" w:fill="auto"/>
            <w:vAlign w:val="center"/>
          </w:tcPr>
          <w:p w14:paraId="09FBCB77" w14:textId="77777777" w:rsidR="00070462" w:rsidRPr="006104A6" w:rsidRDefault="00070462" w:rsidP="00D443EC">
            <w:pPr>
              <w:pStyle w:val="TableText0"/>
              <w:keepNext w:val="0"/>
              <w:widowControl w:val="0"/>
              <w:rPr>
                <w:szCs w:val="20"/>
              </w:rPr>
            </w:pPr>
          </w:p>
        </w:tc>
        <w:tc>
          <w:tcPr>
            <w:tcW w:w="690" w:type="pct"/>
            <w:vAlign w:val="center"/>
          </w:tcPr>
          <w:p w14:paraId="1BB954F9" w14:textId="2E8DDD1C" w:rsidR="00070462" w:rsidRPr="006104A6" w:rsidRDefault="00070462" w:rsidP="00D443EC">
            <w:pPr>
              <w:pStyle w:val="TableText0"/>
              <w:keepNext w:val="0"/>
              <w:widowControl w:val="0"/>
              <w:rPr>
                <w:szCs w:val="20"/>
              </w:rPr>
            </w:pPr>
            <w:r w:rsidRPr="006104A6">
              <w:rPr>
                <w:szCs w:val="20"/>
                <w:lang w:eastAsia="en-US"/>
              </w:rPr>
              <w:t>Hospitalised (full cohort)</w:t>
            </w:r>
          </w:p>
        </w:tc>
        <w:tc>
          <w:tcPr>
            <w:tcW w:w="507" w:type="pct"/>
            <w:shd w:val="clear" w:color="auto" w:fill="auto"/>
            <w:vAlign w:val="center"/>
          </w:tcPr>
          <w:p w14:paraId="1368420F" w14:textId="77777777" w:rsidR="00070462" w:rsidRPr="006104A6" w:rsidRDefault="00070462" w:rsidP="00D443EC">
            <w:pPr>
              <w:pStyle w:val="TableText0"/>
              <w:keepNext w:val="0"/>
              <w:widowControl w:val="0"/>
              <w:spacing w:line="256" w:lineRule="auto"/>
              <w:jc w:val="center"/>
              <w:rPr>
                <w:szCs w:val="20"/>
                <w:lang w:eastAsia="en-US"/>
              </w:rPr>
            </w:pPr>
            <w:r w:rsidRPr="006104A6">
              <w:rPr>
                <w:szCs w:val="20"/>
                <w:lang w:eastAsia="en-US"/>
              </w:rPr>
              <w:t>696/19,962</w:t>
            </w:r>
          </w:p>
          <w:p w14:paraId="2FFD8589" w14:textId="21BAF1FC" w:rsidR="00070462" w:rsidRPr="006104A6" w:rsidRDefault="00070462" w:rsidP="00D443EC">
            <w:pPr>
              <w:pStyle w:val="TableText0"/>
              <w:keepNext w:val="0"/>
              <w:widowControl w:val="0"/>
              <w:jc w:val="center"/>
              <w:rPr>
                <w:szCs w:val="20"/>
                <w:highlight w:val="yellow"/>
              </w:rPr>
            </w:pPr>
            <w:r w:rsidRPr="006104A6">
              <w:rPr>
                <w:szCs w:val="20"/>
                <w:lang w:eastAsia="en-US"/>
              </w:rPr>
              <w:t>(3.49%)</w:t>
            </w:r>
          </w:p>
        </w:tc>
        <w:tc>
          <w:tcPr>
            <w:tcW w:w="594" w:type="pct"/>
            <w:vAlign w:val="center"/>
          </w:tcPr>
          <w:p w14:paraId="1BE2190B" w14:textId="77777777" w:rsidR="00070462" w:rsidRPr="006104A6" w:rsidRDefault="00070462" w:rsidP="00D443EC">
            <w:pPr>
              <w:pStyle w:val="TableText0"/>
              <w:keepNext w:val="0"/>
              <w:widowControl w:val="0"/>
              <w:spacing w:line="256" w:lineRule="auto"/>
              <w:jc w:val="center"/>
              <w:rPr>
                <w:szCs w:val="20"/>
                <w:lang w:eastAsia="en-US"/>
              </w:rPr>
            </w:pPr>
            <w:r w:rsidRPr="006104A6">
              <w:rPr>
                <w:szCs w:val="20"/>
                <w:lang w:eastAsia="en-US"/>
              </w:rPr>
              <w:t>1,635/13,721</w:t>
            </w:r>
          </w:p>
          <w:p w14:paraId="2BF8B1A3" w14:textId="4BE77793" w:rsidR="00070462" w:rsidRPr="006104A6" w:rsidRDefault="00070462" w:rsidP="00D443EC">
            <w:pPr>
              <w:pStyle w:val="TableText0"/>
              <w:keepNext w:val="0"/>
              <w:widowControl w:val="0"/>
              <w:jc w:val="center"/>
              <w:rPr>
                <w:szCs w:val="20"/>
                <w:highlight w:val="yellow"/>
              </w:rPr>
            </w:pPr>
            <w:r w:rsidRPr="006104A6">
              <w:rPr>
                <w:szCs w:val="20"/>
                <w:lang w:eastAsia="en-US"/>
              </w:rPr>
              <w:t>(11.92%)</w:t>
            </w:r>
          </w:p>
        </w:tc>
        <w:tc>
          <w:tcPr>
            <w:tcW w:w="558" w:type="pct"/>
            <w:shd w:val="clear" w:color="auto" w:fill="auto"/>
            <w:vAlign w:val="center"/>
          </w:tcPr>
          <w:p w14:paraId="09E329EB" w14:textId="77777777" w:rsidR="00070462" w:rsidRPr="006104A6" w:rsidRDefault="00070462" w:rsidP="00D443EC">
            <w:pPr>
              <w:pStyle w:val="TableText0"/>
              <w:keepNext w:val="0"/>
              <w:widowControl w:val="0"/>
              <w:spacing w:line="256" w:lineRule="auto"/>
              <w:jc w:val="center"/>
              <w:rPr>
                <w:szCs w:val="20"/>
                <w:lang w:eastAsia="en-US"/>
              </w:rPr>
            </w:pPr>
            <w:r w:rsidRPr="006104A6">
              <w:rPr>
                <w:szCs w:val="20"/>
                <w:lang w:eastAsia="en-US"/>
              </w:rPr>
              <w:t>295/5,250</w:t>
            </w:r>
          </w:p>
          <w:p w14:paraId="7EC37E05" w14:textId="6ACBE08E" w:rsidR="00070462" w:rsidRPr="006104A6" w:rsidRDefault="00070462" w:rsidP="00D443EC">
            <w:pPr>
              <w:pStyle w:val="TableText0"/>
              <w:keepNext w:val="0"/>
              <w:widowControl w:val="0"/>
              <w:jc w:val="center"/>
              <w:rPr>
                <w:szCs w:val="20"/>
                <w:highlight w:val="yellow"/>
              </w:rPr>
            </w:pPr>
            <w:r w:rsidRPr="006104A6">
              <w:rPr>
                <w:szCs w:val="20"/>
                <w:lang w:eastAsia="en-US"/>
              </w:rPr>
              <w:t>(5.62%)</w:t>
            </w:r>
          </w:p>
        </w:tc>
        <w:tc>
          <w:tcPr>
            <w:tcW w:w="581" w:type="pct"/>
            <w:shd w:val="clear" w:color="auto" w:fill="auto"/>
            <w:vAlign w:val="center"/>
          </w:tcPr>
          <w:p w14:paraId="2CC694C8" w14:textId="373159DC" w:rsidR="00070462" w:rsidRPr="006104A6" w:rsidRDefault="00070462" w:rsidP="00D443EC">
            <w:pPr>
              <w:pStyle w:val="TableText0"/>
              <w:keepNext w:val="0"/>
              <w:widowControl w:val="0"/>
              <w:jc w:val="center"/>
              <w:rPr>
                <w:bCs w:val="0"/>
                <w:szCs w:val="20"/>
                <w:highlight w:val="yellow"/>
              </w:rPr>
            </w:pPr>
            <w:r w:rsidRPr="006104A6">
              <w:rPr>
                <w:bCs w:val="0"/>
                <w:szCs w:val="20"/>
                <w:lang w:eastAsia="en-US"/>
              </w:rPr>
              <w:t>NR*</w:t>
            </w:r>
          </w:p>
        </w:tc>
        <w:tc>
          <w:tcPr>
            <w:tcW w:w="531" w:type="pct"/>
            <w:shd w:val="clear" w:color="auto" w:fill="auto"/>
            <w:vAlign w:val="center"/>
          </w:tcPr>
          <w:p w14:paraId="59468603" w14:textId="2CF79A04" w:rsidR="00070462" w:rsidRPr="006104A6" w:rsidRDefault="00070462" w:rsidP="00D443EC">
            <w:pPr>
              <w:pStyle w:val="TableText0"/>
              <w:keepNext w:val="0"/>
              <w:widowControl w:val="0"/>
              <w:jc w:val="center"/>
              <w:rPr>
                <w:bCs w:val="0"/>
                <w:szCs w:val="20"/>
                <w:highlight w:val="yellow"/>
              </w:rPr>
            </w:pPr>
            <w:r w:rsidRPr="006104A6">
              <w:rPr>
                <w:bCs w:val="0"/>
                <w:szCs w:val="20"/>
                <w:lang w:eastAsia="en-US"/>
              </w:rPr>
              <w:t>NR*</w:t>
            </w:r>
          </w:p>
        </w:tc>
        <w:tc>
          <w:tcPr>
            <w:tcW w:w="581" w:type="pct"/>
            <w:shd w:val="clear" w:color="auto" w:fill="auto"/>
            <w:vAlign w:val="center"/>
          </w:tcPr>
          <w:p w14:paraId="018FF444" w14:textId="510B19A1" w:rsidR="00070462" w:rsidRPr="006104A6" w:rsidRDefault="00070462" w:rsidP="00D443EC">
            <w:pPr>
              <w:pStyle w:val="TableText0"/>
              <w:keepNext w:val="0"/>
              <w:widowControl w:val="0"/>
              <w:jc w:val="center"/>
              <w:rPr>
                <w:bCs w:val="0"/>
                <w:szCs w:val="20"/>
                <w:highlight w:val="yellow"/>
              </w:rPr>
            </w:pPr>
            <w:r w:rsidRPr="006104A6">
              <w:rPr>
                <w:bCs w:val="0"/>
                <w:i/>
                <w:szCs w:val="20"/>
                <w:lang w:eastAsia="en-US"/>
              </w:rPr>
              <w:t>NC*</w:t>
            </w:r>
          </w:p>
        </w:tc>
      </w:tr>
      <w:tr w:rsidR="00070462" w:rsidRPr="006104A6" w14:paraId="4F978DB4" w14:textId="77777777" w:rsidTr="000B6AA2">
        <w:trPr>
          <w:cantSplit/>
        </w:trPr>
        <w:tc>
          <w:tcPr>
            <w:tcW w:w="958" w:type="pct"/>
            <w:vMerge/>
            <w:shd w:val="clear" w:color="auto" w:fill="auto"/>
            <w:vAlign w:val="center"/>
          </w:tcPr>
          <w:p w14:paraId="3B5A935D" w14:textId="77777777" w:rsidR="00070462" w:rsidRPr="006104A6" w:rsidRDefault="00070462" w:rsidP="00070462">
            <w:pPr>
              <w:pStyle w:val="TableText0"/>
              <w:keepNext w:val="0"/>
              <w:widowControl w:val="0"/>
              <w:rPr>
                <w:szCs w:val="20"/>
              </w:rPr>
            </w:pPr>
          </w:p>
        </w:tc>
        <w:tc>
          <w:tcPr>
            <w:tcW w:w="690" w:type="pct"/>
            <w:vAlign w:val="center"/>
          </w:tcPr>
          <w:p w14:paraId="1CD425D6" w14:textId="09245487" w:rsidR="00070462" w:rsidRPr="006104A6" w:rsidRDefault="00070462" w:rsidP="00070462">
            <w:pPr>
              <w:pStyle w:val="TableText0"/>
              <w:keepNext w:val="0"/>
              <w:widowControl w:val="0"/>
              <w:rPr>
                <w:szCs w:val="20"/>
              </w:rPr>
            </w:pPr>
            <w:r w:rsidRPr="006104A6">
              <w:rPr>
                <w:szCs w:val="20"/>
                <w:lang w:eastAsia="en-US"/>
              </w:rPr>
              <w:t>Death (full cohort)</w:t>
            </w:r>
          </w:p>
        </w:tc>
        <w:tc>
          <w:tcPr>
            <w:tcW w:w="507" w:type="pct"/>
            <w:shd w:val="clear" w:color="auto" w:fill="auto"/>
            <w:vAlign w:val="center"/>
          </w:tcPr>
          <w:p w14:paraId="51CB718B" w14:textId="77777777" w:rsidR="00070462" w:rsidRPr="006104A6" w:rsidRDefault="00070462" w:rsidP="00070462">
            <w:pPr>
              <w:pStyle w:val="TableText0"/>
              <w:keepNext w:val="0"/>
              <w:widowControl w:val="0"/>
              <w:spacing w:line="256" w:lineRule="auto"/>
              <w:jc w:val="center"/>
              <w:rPr>
                <w:szCs w:val="20"/>
                <w:lang w:eastAsia="en-US"/>
              </w:rPr>
            </w:pPr>
            <w:r w:rsidRPr="006104A6">
              <w:rPr>
                <w:szCs w:val="20"/>
                <w:lang w:eastAsia="en-US"/>
              </w:rPr>
              <w:t>346/19,962</w:t>
            </w:r>
          </w:p>
          <w:p w14:paraId="11BC4E6C" w14:textId="04CFCBAC" w:rsidR="00070462" w:rsidRPr="006104A6" w:rsidRDefault="00070462" w:rsidP="00070462">
            <w:pPr>
              <w:pStyle w:val="TableText0"/>
              <w:keepNext w:val="0"/>
              <w:widowControl w:val="0"/>
              <w:jc w:val="center"/>
              <w:rPr>
                <w:szCs w:val="20"/>
                <w:highlight w:val="yellow"/>
              </w:rPr>
            </w:pPr>
            <w:r w:rsidRPr="006104A6">
              <w:rPr>
                <w:szCs w:val="20"/>
                <w:lang w:eastAsia="en-US"/>
              </w:rPr>
              <w:t>(1.73%)</w:t>
            </w:r>
          </w:p>
        </w:tc>
        <w:tc>
          <w:tcPr>
            <w:tcW w:w="594" w:type="pct"/>
            <w:vAlign w:val="center"/>
          </w:tcPr>
          <w:p w14:paraId="32C547B9" w14:textId="77777777" w:rsidR="00070462" w:rsidRPr="006104A6" w:rsidRDefault="00070462" w:rsidP="00070462">
            <w:pPr>
              <w:pStyle w:val="TableText0"/>
              <w:keepNext w:val="0"/>
              <w:widowControl w:val="0"/>
              <w:spacing w:line="256" w:lineRule="auto"/>
              <w:jc w:val="center"/>
              <w:rPr>
                <w:szCs w:val="20"/>
                <w:lang w:eastAsia="en-US"/>
              </w:rPr>
            </w:pPr>
            <w:r w:rsidRPr="006104A6">
              <w:rPr>
                <w:szCs w:val="20"/>
                <w:lang w:eastAsia="en-US"/>
              </w:rPr>
              <w:t>462/13,721</w:t>
            </w:r>
          </w:p>
          <w:p w14:paraId="00194A3F" w14:textId="555D4D90" w:rsidR="00070462" w:rsidRPr="006104A6" w:rsidRDefault="00070462" w:rsidP="00070462">
            <w:pPr>
              <w:pStyle w:val="TableText0"/>
              <w:keepNext w:val="0"/>
              <w:widowControl w:val="0"/>
              <w:jc w:val="center"/>
              <w:rPr>
                <w:szCs w:val="20"/>
                <w:highlight w:val="yellow"/>
              </w:rPr>
            </w:pPr>
            <w:r w:rsidRPr="006104A6">
              <w:rPr>
                <w:szCs w:val="20"/>
                <w:lang w:eastAsia="en-US"/>
              </w:rPr>
              <w:t>(3.37%)</w:t>
            </w:r>
          </w:p>
        </w:tc>
        <w:tc>
          <w:tcPr>
            <w:tcW w:w="558" w:type="pct"/>
            <w:shd w:val="clear" w:color="auto" w:fill="auto"/>
            <w:vAlign w:val="center"/>
          </w:tcPr>
          <w:p w14:paraId="7775607B" w14:textId="77777777" w:rsidR="00070462" w:rsidRPr="006104A6" w:rsidRDefault="00070462" w:rsidP="00070462">
            <w:pPr>
              <w:pStyle w:val="TableText0"/>
              <w:keepNext w:val="0"/>
              <w:widowControl w:val="0"/>
              <w:spacing w:line="256" w:lineRule="auto"/>
              <w:jc w:val="center"/>
              <w:rPr>
                <w:szCs w:val="20"/>
                <w:lang w:eastAsia="en-US"/>
              </w:rPr>
            </w:pPr>
            <w:r w:rsidRPr="006104A6">
              <w:rPr>
                <w:szCs w:val="20"/>
                <w:lang w:eastAsia="en-US"/>
              </w:rPr>
              <w:t>29/5,250</w:t>
            </w:r>
          </w:p>
          <w:p w14:paraId="65421186" w14:textId="6D034059" w:rsidR="00070462" w:rsidRPr="006104A6" w:rsidRDefault="00070462" w:rsidP="00070462">
            <w:pPr>
              <w:pStyle w:val="TableText0"/>
              <w:keepNext w:val="0"/>
              <w:widowControl w:val="0"/>
              <w:jc w:val="center"/>
              <w:rPr>
                <w:szCs w:val="20"/>
                <w:highlight w:val="yellow"/>
              </w:rPr>
            </w:pPr>
            <w:r w:rsidRPr="006104A6">
              <w:rPr>
                <w:szCs w:val="20"/>
                <w:lang w:eastAsia="en-US"/>
              </w:rPr>
              <w:t>(0.55%)</w:t>
            </w:r>
          </w:p>
        </w:tc>
        <w:tc>
          <w:tcPr>
            <w:tcW w:w="581" w:type="pct"/>
            <w:shd w:val="clear" w:color="auto" w:fill="auto"/>
            <w:vAlign w:val="center"/>
          </w:tcPr>
          <w:p w14:paraId="3AED143E" w14:textId="043A6F16" w:rsidR="00070462" w:rsidRPr="006104A6" w:rsidRDefault="00070462" w:rsidP="00070462">
            <w:pPr>
              <w:pStyle w:val="TableText0"/>
              <w:keepNext w:val="0"/>
              <w:widowControl w:val="0"/>
              <w:spacing w:line="256" w:lineRule="auto"/>
              <w:jc w:val="center"/>
              <w:rPr>
                <w:b/>
                <w:szCs w:val="20"/>
                <w:lang w:eastAsia="en-US"/>
              </w:rPr>
            </w:pPr>
            <w:r w:rsidRPr="006104A6">
              <w:rPr>
                <w:b/>
                <w:szCs w:val="20"/>
                <w:lang w:eastAsia="en-US"/>
              </w:rPr>
              <w:t>0.45*</w:t>
            </w:r>
          </w:p>
          <w:p w14:paraId="32A73C31" w14:textId="342E6B70" w:rsidR="00070462" w:rsidRPr="006104A6" w:rsidRDefault="00070462" w:rsidP="00070462">
            <w:pPr>
              <w:pStyle w:val="TableText0"/>
              <w:keepNext w:val="0"/>
              <w:widowControl w:val="0"/>
              <w:jc w:val="center"/>
              <w:rPr>
                <w:b/>
                <w:szCs w:val="20"/>
                <w:highlight w:val="yellow"/>
              </w:rPr>
            </w:pPr>
            <w:r w:rsidRPr="006104A6">
              <w:rPr>
                <w:b/>
                <w:szCs w:val="20"/>
                <w:lang w:eastAsia="en-US"/>
              </w:rPr>
              <w:t>(0.39, 0.53)</w:t>
            </w:r>
          </w:p>
        </w:tc>
        <w:tc>
          <w:tcPr>
            <w:tcW w:w="531" w:type="pct"/>
            <w:shd w:val="clear" w:color="auto" w:fill="auto"/>
            <w:vAlign w:val="center"/>
          </w:tcPr>
          <w:p w14:paraId="73DC6427" w14:textId="2BF6A780" w:rsidR="00070462" w:rsidRPr="006104A6" w:rsidRDefault="00070462" w:rsidP="00070462">
            <w:pPr>
              <w:pStyle w:val="TableText0"/>
              <w:keepNext w:val="0"/>
              <w:widowControl w:val="0"/>
              <w:spacing w:line="256" w:lineRule="auto"/>
              <w:jc w:val="center"/>
              <w:rPr>
                <w:b/>
                <w:szCs w:val="20"/>
                <w:lang w:eastAsia="en-US"/>
              </w:rPr>
            </w:pPr>
            <w:r w:rsidRPr="006104A6">
              <w:rPr>
                <w:b/>
                <w:szCs w:val="20"/>
                <w:lang w:eastAsia="en-US"/>
              </w:rPr>
              <w:t>0.27*</w:t>
            </w:r>
          </w:p>
          <w:p w14:paraId="54BCE43D" w14:textId="68FB1C69" w:rsidR="00070462" w:rsidRPr="006104A6" w:rsidRDefault="00070462" w:rsidP="00070462">
            <w:pPr>
              <w:pStyle w:val="TableText0"/>
              <w:keepNext w:val="0"/>
              <w:widowControl w:val="0"/>
              <w:jc w:val="center"/>
              <w:rPr>
                <w:b/>
                <w:szCs w:val="20"/>
                <w:highlight w:val="yellow"/>
              </w:rPr>
            </w:pPr>
            <w:r w:rsidRPr="006104A6">
              <w:rPr>
                <w:b/>
                <w:szCs w:val="20"/>
                <w:lang w:eastAsia="en-US"/>
              </w:rPr>
              <w:t>(0.18, 0.38)</w:t>
            </w:r>
          </w:p>
        </w:tc>
        <w:tc>
          <w:tcPr>
            <w:tcW w:w="581" w:type="pct"/>
            <w:shd w:val="clear" w:color="auto" w:fill="auto"/>
            <w:vAlign w:val="center"/>
          </w:tcPr>
          <w:p w14:paraId="047DC5E2" w14:textId="45FD7E20" w:rsidR="00070462" w:rsidRPr="006104A6" w:rsidRDefault="00070462" w:rsidP="00070462">
            <w:pPr>
              <w:pStyle w:val="TableText0"/>
              <w:keepNext w:val="0"/>
              <w:widowControl w:val="0"/>
              <w:spacing w:line="256" w:lineRule="auto"/>
              <w:jc w:val="center"/>
              <w:rPr>
                <w:b/>
                <w:i/>
                <w:szCs w:val="20"/>
                <w:lang w:eastAsia="en-US"/>
              </w:rPr>
            </w:pPr>
            <w:r w:rsidRPr="006104A6">
              <w:rPr>
                <w:b/>
                <w:i/>
                <w:szCs w:val="20"/>
                <w:lang w:eastAsia="en-US"/>
              </w:rPr>
              <w:t>1.67*</w:t>
            </w:r>
          </w:p>
          <w:p w14:paraId="6D8CDA17" w14:textId="681D2B7E" w:rsidR="00070462" w:rsidRPr="006104A6" w:rsidRDefault="00070462" w:rsidP="00070462">
            <w:pPr>
              <w:pStyle w:val="TableText0"/>
              <w:keepNext w:val="0"/>
              <w:widowControl w:val="0"/>
              <w:jc w:val="center"/>
              <w:rPr>
                <w:b/>
                <w:szCs w:val="20"/>
                <w:highlight w:val="yellow"/>
              </w:rPr>
            </w:pPr>
            <w:r w:rsidRPr="006104A6">
              <w:rPr>
                <w:b/>
                <w:i/>
                <w:szCs w:val="20"/>
                <w:lang w:eastAsia="en-US"/>
              </w:rPr>
              <w:t>(1.11, 2.50)</w:t>
            </w:r>
          </w:p>
        </w:tc>
      </w:tr>
      <w:tr w:rsidR="00070462" w:rsidRPr="006104A6" w14:paraId="2F47E239" w14:textId="77777777" w:rsidTr="00055738">
        <w:trPr>
          <w:cantSplit/>
        </w:trPr>
        <w:tc>
          <w:tcPr>
            <w:tcW w:w="958" w:type="pct"/>
            <w:vMerge w:val="restart"/>
            <w:shd w:val="clear" w:color="auto" w:fill="auto"/>
            <w:vAlign w:val="center"/>
          </w:tcPr>
          <w:p w14:paraId="6D125ABF" w14:textId="31A146EE" w:rsidR="00070462" w:rsidRPr="006104A6" w:rsidRDefault="00070462" w:rsidP="006104A6">
            <w:pPr>
              <w:pStyle w:val="TableText0"/>
              <w:widowControl w:val="0"/>
              <w:rPr>
                <w:szCs w:val="20"/>
              </w:rPr>
            </w:pPr>
            <w:r w:rsidRPr="006104A6">
              <w:rPr>
                <w:szCs w:val="20"/>
              </w:rPr>
              <w:lastRenderedPageBreak/>
              <w:t>Arbel 2022</w:t>
            </w:r>
          </w:p>
        </w:tc>
        <w:tc>
          <w:tcPr>
            <w:tcW w:w="690" w:type="pct"/>
            <w:vAlign w:val="center"/>
          </w:tcPr>
          <w:p w14:paraId="74305389" w14:textId="2073CFE9" w:rsidR="00070462" w:rsidRPr="006104A6" w:rsidRDefault="00070462" w:rsidP="00070462">
            <w:pPr>
              <w:pStyle w:val="TableText0"/>
              <w:keepNext w:val="0"/>
              <w:widowControl w:val="0"/>
              <w:rPr>
                <w:szCs w:val="20"/>
              </w:rPr>
            </w:pPr>
            <w:r w:rsidRPr="006104A6">
              <w:rPr>
                <w:szCs w:val="20"/>
              </w:rPr>
              <w:t>Hospitalisation – Day 35</w:t>
            </w:r>
          </w:p>
        </w:tc>
        <w:tc>
          <w:tcPr>
            <w:tcW w:w="507" w:type="pct"/>
            <w:shd w:val="clear" w:color="auto" w:fill="auto"/>
            <w:vAlign w:val="center"/>
          </w:tcPr>
          <w:p w14:paraId="6B90B188" w14:textId="77777777" w:rsidR="00070462" w:rsidRPr="006104A6" w:rsidRDefault="00070462" w:rsidP="00070462">
            <w:pPr>
              <w:pStyle w:val="TableText0"/>
              <w:keepNext w:val="0"/>
              <w:widowControl w:val="0"/>
              <w:jc w:val="center"/>
              <w:rPr>
                <w:szCs w:val="20"/>
              </w:rPr>
            </w:pPr>
            <w:r w:rsidRPr="006104A6">
              <w:rPr>
                <w:szCs w:val="20"/>
              </w:rPr>
              <w:t>26/1069</w:t>
            </w:r>
          </w:p>
          <w:p w14:paraId="7D019C3D" w14:textId="69A49FBB" w:rsidR="00070462" w:rsidRPr="006104A6" w:rsidRDefault="00070462" w:rsidP="00070462">
            <w:pPr>
              <w:pStyle w:val="TableText0"/>
              <w:keepNext w:val="0"/>
              <w:widowControl w:val="0"/>
              <w:jc w:val="center"/>
              <w:rPr>
                <w:szCs w:val="20"/>
              </w:rPr>
            </w:pPr>
            <w:r w:rsidRPr="006104A6">
              <w:rPr>
                <w:szCs w:val="20"/>
              </w:rPr>
              <w:t>(2.43%)</w:t>
            </w:r>
          </w:p>
        </w:tc>
        <w:tc>
          <w:tcPr>
            <w:tcW w:w="594" w:type="pct"/>
            <w:vAlign w:val="center"/>
          </w:tcPr>
          <w:p w14:paraId="6A19B148" w14:textId="77777777" w:rsidR="00070462" w:rsidRPr="006104A6" w:rsidRDefault="00070462" w:rsidP="00070462">
            <w:pPr>
              <w:pStyle w:val="TableText0"/>
              <w:keepNext w:val="0"/>
              <w:widowControl w:val="0"/>
              <w:jc w:val="center"/>
              <w:rPr>
                <w:szCs w:val="20"/>
              </w:rPr>
            </w:pPr>
            <w:r w:rsidRPr="006104A6">
              <w:rPr>
                <w:szCs w:val="20"/>
              </w:rPr>
              <w:t>610/18799</w:t>
            </w:r>
          </w:p>
          <w:p w14:paraId="41D3B889" w14:textId="3E7A04DF" w:rsidR="00070462" w:rsidRPr="006104A6" w:rsidRDefault="00070462" w:rsidP="00070462">
            <w:pPr>
              <w:pStyle w:val="TableText0"/>
              <w:keepNext w:val="0"/>
              <w:widowControl w:val="0"/>
              <w:jc w:val="center"/>
              <w:rPr>
                <w:szCs w:val="20"/>
              </w:rPr>
            </w:pPr>
            <w:r w:rsidRPr="006104A6">
              <w:rPr>
                <w:szCs w:val="20"/>
              </w:rPr>
              <w:t>(3.24%)</w:t>
            </w:r>
          </w:p>
        </w:tc>
        <w:tc>
          <w:tcPr>
            <w:tcW w:w="558" w:type="pct"/>
            <w:shd w:val="clear" w:color="auto" w:fill="auto"/>
            <w:vAlign w:val="center"/>
          </w:tcPr>
          <w:p w14:paraId="725B3AA8" w14:textId="4BD41FD3"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tcPr>
          <w:p w14:paraId="28D56DEC" w14:textId="77777777" w:rsidR="00070462" w:rsidRPr="006104A6" w:rsidRDefault="00070462" w:rsidP="00070462">
            <w:pPr>
              <w:pStyle w:val="TableText0"/>
              <w:keepNext w:val="0"/>
              <w:widowControl w:val="0"/>
              <w:jc w:val="center"/>
              <w:rPr>
                <w:szCs w:val="20"/>
              </w:rPr>
            </w:pPr>
            <w:r w:rsidRPr="006104A6">
              <w:rPr>
                <w:szCs w:val="20"/>
              </w:rPr>
              <w:t>0.74</w:t>
            </w:r>
          </w:p>
          <w:p w14:paraId="30E62589" w14:textId="05B0BEDF" w:rsidR="00070462" w:rsidRPr="006104A6" w:rsidRDefault="00070462" w:rsidP="00070462">
            <w:pPr>
              <w:pStyle w:val="TableText0"/>
              <w:keepNext w:val="0"/>
              <w:widowControl w:val="0"/>
              <w:jc w:val="center"/>
              <w:rPr>
                <w:szCs w:val="20"/>
              </w:rPr>
            </w:pPr>
            <w:r w:rsidRPr="006104A6">
              <w:rPr>
                <w:szCs w:val="20"/>
              </w:rPr>
              <w:t>(0.50, 1.11)</w:t>
            </w:r>
          </w:p>
        </w:tc>
        <w:tc>
          <w:tcPr>
            <w:tcW w:w="531" w:type="pct"/>
            <w:shd w:val="clear" w:color="auto" w:fill="auto"/>
            <w:vAlign w:val="center"/>
          </w:tcPr>
          <w:p w14:paraId="083ABED5" w14:textId="0105B401"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50B79E7C" w14:textId="2E1B9359"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2CC572F7" w14:textId="77777777" w:rsidTr="000B6AA2">
        <w:trPr>
          <w:cantSplit/>
        </w:trPr>
        <w:tc>
          <w:tcPr>
            <w:tcW w:w="958" w:type="pct"/>
            <w:vMerge/>
            <w:shd w:val="clear" w:color="auto" w:fill="auto"/>
            <w:vAlign w:val="center"/>
          </w:tcPr>
          <w:p w14:paraId="49F3671B" w14:textId="77777777" w:rsidR="00070462" w:rsidRPr="006104A6" w:rsidRDefault="00070462" w:rsidP="00070462">
            <w:pPr>
              <w:pStyle w:val="TableText0"/>
              <w:keepNext w:val="0"/>
              <w:widowControl w:val="0"/>
              <w:rPr>
                <w:szCs w:val="20"/>
              </w:rPr>
            </w:pPr>
          </w:p>
        </w:tc>
        <w:tc>
          <w:tcPr>
            <w:tcW w:w="690" w:type="pct"/>
            <w:vAlign w:val="center"/>
          </w:tcPr>
          <w:p w14:paraId="19382F2A" w14:textId="77777777" w:rsidR="00070462" w:rsidRPr="006104A6" w:rsidRDefault="00070462" w:rsidP="00070462">
            <w:pPr>
              <w:pStyle w:val="TableText0"/>
              <w:keepNext w:val="0"/>
              <w:widowControl w:val="0"/>
              <w:rPr>
                <w:szCs w:val="20"/>
              </w:rPr>
            </w:pPr>
            <w:r w:rsidRPr="006104A6">
              <w:rPr>
                <w:szCs w:val="20"/>
              </w:rPr>
              <w:t>Death</w:t>
            </w:r>
          </w:p>
          <w:p w14:paraId="19C7494F" w14:textId="0C75AB45" w:rsidR="00070462" w:rsidRPr="006104A6" w:rsidRDefault="00070462" w:rsidP="00070462">
            <w:pPr>
              <w:pStyle w:val="TableText0"/>
              <w:keepNext w:val="0"/>
              <w:widowControl w:val="0"/>
              <w:rPr>
                <w:szCs w:val="20"/>
              </w:rPr>
            </w:pPr>
            <w:r w:rsidRPr="006104A6">
              <w:rPr>
                <w:szCs w:val="20"/>
              </w:rPr>
              <w:t>– Day 35</w:t>
            </w:r>
          </w:p>
        </w:tc>
        <w:tc>
          <w:tcPr>
            <w:tcW w:w="507" w:type="pct"/>
            <w:shd w:val="clear" w:color="auto" w:fill="auto"/>
          </w:tcPr>
          <w:p w14:paraId="47AA8361" w14:textId="77777777" w:rsidR="00070462" w:rsidRPr="006104A6" w:rsidRDefault="00070462" w:rsidP="00070462">
            <w:pPr>
              <w:pStyle w:val="TableText0"/>
              <w:keepNext w:val="0"/>
              <w:widowControl w:val="0"/>
              <w:jc w:val="center"/>
              <w:rPr>
                <w:szCs w:val="20"/>
              </w:rPr>
            </w:pPr>
            <w:r w:rsidRPr="006104A6">
              <w:rPr>
                <w:szCs w:val="20"/>
              </w:rPr>
              <w:t>8/1069</w:t>
            </w:r>
          </w:p>
          <w:p w14:paraId="0D540EA7" w14:textId="4C5DDB15" w:rsidR="00070462" w:rsidRPr="006104A6" w:rsidRDefault="00070462" w:rsidP="00070462">
            <w:pPr>
              <w:pStyle w:val="TableText0"/>
              <w:keepNext w:val="0"/>
              <w:widowControl w:val="0"/>
              <w:jc w:val="center"/>
              <w:rPr>
                <w:szCs w:val="20"/>
              </w:rPr>
            </w:pPr>
            <w:r w:rsidRPr="006104A6">
              <w:rPr>
                <w:szCs w:val="20"/>
              </w:rPr>
              <w:t>(0.75%)</w:t>
            </w:r>
          </w:p>
        </w:tc>
        <w:tc>
          <w:tcPr>
            <w:tcW w:w="594" w:type="pct"/>
          </w:tcPr>
          <w:p w14:paraId="7275C3FF" w14:textId="77777777" w:rsidR="00070462" w:rsidRPr="006104A6" w:rsidRDefault="00070462" w:rsidP="00070462">
            <w:pPr>
              <w:pStyle w:val="TableText0"/>
              <w:keepNext w:val="0"/>
              <w:widowControl w:val="0"/>
              <w:jc w:val="center"/>
              <w:rPr>
                <w:szCs w:val="20"/>
              </w:rPr>
            </w:pPr>
            <w:r w:rsidRPr="006104A6">
              <w:rPr>
                <w:szCs w:val="20"/>
              </w:rPr>
              <w:t>144/18799</w:t>
            </w:r>
          </w:p>
          <w:p w14:paraId="6CC2E3EC" w14:textId="3EE1AB4F" w:rsidR="00070462" w:rsidRPr="006104A6" w:rsidRDefault="00070462" w:rsidP="00070462">
            <w:pPr>
              <w:pStyle w:val="TableText0"/>
              <w:keepNext w:val="0"/>
              <w:widowControl w:val="0"/>
              <w:jc w:val="center"/>
              <w:rPr>
                <w:szCs w:val="20"/>
              </w:rPr>
            </w:pPr>
            <w:r w:rsidRPr="006104A6">
              <w:rPr>
                <w:szCs w:val="20"/>
              </w:rPr>
              <w:t>(0.77%)</w:t>
            </w:r>
          </w:p>
        </w:tc>
        <w:tc>
          <w:tcPr>
            <w:tcW w:w="558" w:type="pct"/>
            <w:shd w:val="clear" w:color="auto" w:fill="auto"/>
            <w:vAlign w:val="center"/>
          </w:tcPr>
          <w:p w14:paraId="0BAECAFA" w14:textId="23D5B2BA"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tcPr>
          <w:p w14:paraId="35118EBA" w14:textId="77777777" w:rsidR="00070462" w:rsidRPr="006104A6" w:rsidRDefault="00070462" w:rsidP="00070462">
            <w:pPr>
              <w:pStyle w:val="TableText0"/>
              <w:keepNext w:val="0"/>
              <w:widowControl w:val="0"/>
              <w:jc w:val="center"/>
              <w:rPr>
                <w:szCs w:val="20"/>
              </w:rPr>
            </w:pPr>
            <w:r w:rsidRPr="006104A6">
              <w:rPr>
                <w:szCs w:val="20"/>
              </w:rPr>
              <w:t>0.98</w:t>
            </w:r>
          </w:p>
          <w:p w14:paraId="4BAD7E36" w14:textId="4B70B835" w:rsidR="00070462" w:rsidRPr="006104A6" w:rsidRDefault="00070462" w:rsidP="00070462">
            <w:pPr>
              <w:pStyle w:val="TableText0"/>
              <w:keepNext w:val="0"/>
              <w:widowControl w:val="0"/>
              <w:jc w:val="center"/>
              <w:rPr>
                <w:szCs w:val="20"/>
              </w:rPr>
            </w:pPr>
            <w:r w:rsidRPr="006104A6">
              <w:rPr>
                <w:szCs w:val="20"/>
              </w:rPr>
              <w:t>(0.48, 2.00)</w:t>
            </w:r>
          </w:p>
        </w:tc>
        <w:tc>
          <w:tcPr>
            <w:tcW w:w="531" w:type="pct"/>
            <w:shd w:val="clear" w:color="auto" w:fill="auto"/>
            <w:vAlign w:val="center"/>
          </w:tcPr>
          <w:p w14:paraId="59CFA998" w14:textId="52D74807"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0EAA0D1B" w14:textId="72F08EB4"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287FFC39" w14:textId="77777777" w:rsidTr="000B6AA2">
        <w:trPr>
          <w:cantSplit/>
        </w:trPr>
        <w:tc>
          <w:tcPr>
            <w:tcW w:w="958" w:type="pct"/>
            <w:vMerge w:val="restart"/>
            <w:shd w:val="clear" w:color="auto" w:fill="auto"/>
            <w:vAlign w:val="center"/>
          </w:tcPr>
          <w:p w14:paraId="1468BF42" w14:textId="77777777" w:rsidR="00070462" w:rsidRPr="006104A6" w:rsidRDefault="00070462" w:rsidP="00070462">
            <w:pPr>
              <w:pStyle w:val="TableText0"/>
              <w:keepNext w:val="0"/>
              <w:widowControl w:val="0"/>
              <w:rPr>
                <w:szCs w:val="20"/>
              </w:rPr>
            </w:pPr>
            <w:r w:rsidRPr="006104A6">
              <w:rPr>
                <w:szCs w:val="20"/>
              </w:rPr>
              <w:t>Arbel 2022</w:t>
            </w:r>
          </w:p>
          <w:p w14:paraId="2F6A4432" w14:textId="543A06A4" w:rsidR="00070462" w:rsidRPr="006104A6" w:rsidRDefault="00070462" w:rsidP="00070462">
            <w:pPr>
              <w:pStyle w:val="TableText0"/>
              <w:keepNext w:val="0"/>
              <w:widowControl w:val="0"/>
              <w:rPr>
                <w:szCs w:val="20"/>
              </w:rPr>
            </w:pPr>
            <w:r w:rsidRPr="006104A6">
              <w:rPr>
                <w:szCs w:val="20"/>
              </w:rPr>
              <w:t>≥ 65 years</w:t>
            </w:r>
          </w:p>
        </w:tc>
        <w:tc>
          <w:tcPr>
            <w:tcW w:w="690" w:type="pct"/>
            <w:vAlign w:val="center"/>
          </w:tcPr>
          <w:p w14:paraId="1AC7045D" w14:textId="336FEF95" w:rsidR="00070462" w:rsidRPr="006104A6" w:rsidRDefault="00070462" w:rsidP="00070462">
            <w:pPr>
              <w:pStyle w:val="TableText0"/>
              <w:keepNext w:val="0"/>
              <w:widowControl w:val="0"/>
              <w:rPr>
                <w:szCs w:val="20"/>
              </w:rPr>
            </w:pPr>
            <w:r w:rsidRPr="006104A6">
              <w:rPr>
                <w:szCs w:val="20"/>
              </w:rPr>
              <w:t>Hospitalisation – Day 35</w:t>
            </w:r>
          </w:p>
        </w:tc>
        <w:tc>
          <w:tcPr>
            <w:tcW w:w="507" w:type="pct"/>
            <w:shd w:val="clear" w:color="auto" w:fill="auto"/>
          </w:tcPr>
          <w:p w14:paraId="2773DA12" w14:textId="77777777" w:rsidR="00070462" w:rsidRPr="006104A6" w:rsidRDefault="00070462" w:rsidP="00070462">
            <w:pPr>
              <w:pStyle w:val="TableText0"/>
              <w:keepNext w:val="0"/>
              <w:widowControl w:val="0"/>
              <w:jc w:val="center"/>
              <w:rPr>
                <w:szCs w:val="20"/>
              </w:rPr>
            </w:pPr>
            <w:r w:rsidRPr="006104A6">
              <w:rPr>
                <w:szCs w:val="20"/>
              </w:rPr>
              <w:t>18/845</w:t>
            </w:r>
          </w:p>
          <w:p w14:paraId="5FFF213A" w14:textId="6227AF10" w:rsidR="00070462" w:rsidRPr="006104A6" w:rsidRDefault="00070462" w:rsidP="00070462">
            <w:pPr>
              <w:pStyle w:val="TableText0"/>
              <w:keepNext w:val="0"/>
              <w:widowControl w:val="0"/>
              <w:jc w:val="center"/>
              <w:rPr>
                <w:szCs w:val="20"/>
              </w:rPr>
            </w:pPr>
            <w:r w:rsidRPr="006104A6">
              <w:rPr>
                <w:szCs w:val="20"/>
              </w:rPr>
              <w:t>(2.13%)</w:t>
            </w:r>
          </w:p>
        </w:tc>
        <w:tc>
          <w:tcPr>
            <w:tcW w:w="594" w:type="pct"/>
          </w:tcPr>
          <w:p w14:paraId="5B6EED5A" w14:textId="77777777" w:rsidR="00070462" w:rsidRPr="006104A6" w:rsidRDefault="00070462" w:rsidP="00070462">
            <w:pPr>
              <w:pStyle w:val="TableText0"/>
              <w:keepNext w:val="0"/>
              <w:widowControl w:val="0"/>
              <w:jc w:val="center"/>
              <w:rPr>
                <w:szCs w:val="20"/>
              </w:rPr>
            </w:pPr>
            <w:r w:rsidRPr="006104A6">
              <w:rPr>
                <w:szCs w:val="20"/>
              </w:rPr>
              <w:t>513/12724</w:t>
            </w:r>
          </w:p>
          <w:p w14:paraId="59AA85CF" w14:textId="320DEDF7" w:rsidR="00070462" w:rsidRPr="006104A6" w:rsidRDefault="00070462" w:rsidP="00070462">
            <w:pPr>
              <w:pStyle w:val="TableText0"/>
              <w:keepNext w:val="0"/>
              <w:widowControl w:val="0"/>
              <w:jc w:val="center"/>
              <w:rPr>
                <w:szCs w:val="20"/>
              </w:rPr>
            </w:pPr>
            <w:r w:rsidRPr="006104A6">
              <w:rPr>
                <w:szCs w:val="20"/>
              </w:rPr>
              <w:t>(4.03%)</w:t>
            </w:r>
          </w:p>
        </w:tc>
        <w:tc>
          <w:tcPr>
            <w:tcW w:w="558" w:type="pct"/>
            <w:shd w:val="clear" w:color="auto" w:fill="auto"/>
            <w:vAlign w:val="center"/>
          </w:tcPr>
          <w:p w14:paraId="7DDC4AEF" w14:textId="58365193"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tcPr>
          <w:p w14:paraId="7314B19A" w14:textId="77777777" w:rsidR="00070462" w:rsidRPr="006104A6" w:rsidRDefault="00070462" w:rsidP="00070462">
            <w:pPr>
              <w:pStyle w:val="TableText0"/>
              <w:keepNext w:val="0"/>
              <w:widowControl w:val="0"/>
              <w:jc w:val="center"/>
              <w:rPr>
                <w:b/>
                <w:szCs w:val="20"/>
              </w:rPr>
            </w:pPr>
            <w:r w:rsidRPr="006104A6">
              <w:rPr>
                <w:b/>
                <w:szCs w:val="20"/>
              </w:rPr>
              <w:t>0.52</w:t>
            </w:r>
          </w:p>
          <w:p w14:paraId="0733B2E1" w14:textId="16374A43" w:rsidR="00070462" w:rsidRPr="006104A6" w:rsidRDefault="00070462" w:rsidP="00070462">
            <w:pPr>
              <w:pStyle w:val="TableText0"/>
              <w:keepNext w:val="0"/>
              <w:widowControl w:val="0"/>
              <w:jc w:val="center"/>
              <w:rPr>
                <w:szCs w:val="20"/>
              </w:rPr>
            </w:pPr>
            <w:r w:rsidRPr="006104A6">
              <w:rPr>
                <w:b/>
                <w:szCs w:val="20"/>
              </w:rPr>
              <w:t>(0.32, 0.83)</w:t>
            </w:r>
          </w:p>
        </w:tc>
        <w:tc>
          <w:tcPr>
            <w:tcW w:w="531" w:type="pct"/>
            <w:shd w:val="clear" w:color="auto" w:fill="auto"/>
            <w:vAlign w:val="center"/>
          </w:tcPr>
          <w:p w14:paraId="6562258C" w14:textId="27F32131"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01475477" w14:textId="119F7346"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2311CDF9" w14:textId="77777777" w:rsidTr="000B6AA2">
        <w:trPr>
          <w:cantSplit/>
        </w:trPr>
        <w:tc>
          <w:tcPr>
            <w:tcW w:w="958" w:type="pct"/>
            <w:vMerge/>
            <w:shd w:val="clear" w:color="auto" w:fill="auto"/>
            <w:vAlign w:val="center"/>
          </w:tcPr>
          <w:p w14:paraId="66581235" w14:textId="77777777" w:rsidR="00070462" w:rsidRPr="006104A6" w:rsidRDefault="00070462" w:rsidP="00070462">
            <w:pPr>
              <w:pStyle w:val="TableText0"/>
              <w:keepNext w:val="0"/>
              <w:widowControl w:val="0"/>
              <w:rPr>
                <w:szCs w:val="20"/>
              </w:rPr>
            </w:pPr>
          </w:p>
        </w:tc>
        <w:tc>
          <w:tcPr>
            <w:tcW w:w="690" w:type="pct"/>
            <w:vAlign w:val="center"/>
          </w:tcPr>
          <w:p w14:paraId="6DA72285" w14:textId="77777777" w:rsidR="00070462" w:rsidRPr="006104A6" w:rsidRDefault="00070462" w:rsidP="00070462">
            <w:pPr>
              <w:pStyle w:val="TableText0"/>
              <w:keepNext w:val="0"/>
              <w:widowControl w:val="0"/>
              <w:rPr>
                <w:szCs w:val="20"/>
              </w:rPr>
            </w:pPr>
            <w:r w:rsidRPr="006104A6">
              <w:rPr>
                <w:szCs w:val="20"/>
              </w:rPr>
              <w:t>Death</w:t>
            </w:r>
          </w:p>
          <w:p w14:paraId="5BBF7875" w14:textId="1DEECFD0" w:rsidR="00070462" w:rsidRPr="006104A6" w:rsidRDefault="00070462" w:rsidP="00070462">
            <w:pPr>
              <w:pStyle w:val="TableText0"/>
              <w:keepNext w:val="0"/>
              <w:widowControl w:val="0"/>
              <w:rPr>
                <w:szCs w:val="20"/>
              </w:rPr>
            </w:pPr>
            <w:r w:rsidRPr="006104A6">
              <w:rPr>
                <w:szCs w:val="20"/>
              </w:rPr>
              <w:t>– Day 35</w:t>
            </w:r>
          </w:p>
        </w:tc>
        <w:tc>
          <w:tcPr>
            <w:tcW w:w="507" w:type="pct"/>
            <w:shd w:val="clear" w:color="auto" w:fill="auto"/>
          </w:tcPr>
          <w:p w14:paraId="02DE2B7E" w14:textId="77777777" w:rsidR="00070462" w:rsidRPr="006104A6" w:rsidRDefault="00070462" w:rsidP="00070462">
            <w:pPr>
              <w:pStyle w:val="TableText0"/>
              <w:keepNext w:val="0"/>
              <w:widowControl w:val="0"/>
              <w:jc w:val="center"/>
              <w:rPr>
                <w:szCs w:val="20"/>
              </w:rPr>
            </w:pPr>
            <w:r w:rsidRPr="006104A6">
              <w:rPr>
                <w:szCs w:val="20"/>
              </w:rPr>
              <w:t>4/845</w:t>
            </w:r>
          </w:p>
          <w:p w14:paraId="5B7D0E59" w14:textId="40FE9D1D" w:rsidR="00070462" w:rsidRPr="006104A6" w:rsidRDefault="00070462" w:rsidP="00070462">
            <w:pPr>
              <w:pStyle w:val="TableText0"/>
              <w:keepNext w:val="0"/>
              <w:widowControl w:val="0"/>
              <w:jc w:val="center"/>
              <w:rPr>
                <w:szCs w:val="20"/>
              </w:rPr>
            </w:pPr>
            <w:r w:rsidRPr="006104A6">
              <w:rPr>
                <w:szCs w:val="20"/>
              </w:rPr>
              <w:t>(0.47%)</w:t>
            </w:r>
          </w:p>
        </w:tc>
        <w:tc>
          <w:tcPr>
            <w:tcW w:w="594" w:type="pct"/>
          </w:tcPr>
          <w:p w14:paraId="679C511C" w14:textId="7EBD35B9" w:rsidR="00070462" w:rsidRPr="006104A6" w:rsidRDefault="00070462" w:rsidP="00070462">
            <w:pPr>
              <w:pStyle w:val="TableText0"/>
              <w:keepNext w:val="0"/>
              <w:widowControl w:val="0"/>
              <w:jc w:val="center"/>
              <w:rPr>
                <w:szCs w:val="20"/>
              </w:rPr>
            </w:pPr>
            <w:r w:rsidRPr="006104A6">
              <w:rPr>
                <w:szCs w:val="20"/>
              </w:rPr>
              <w:t>137/12724 (1.08%)</w:t>
            </w:r>
          </w:p>
        </w:tc>
        <w:tc>
          <w:tcPr>
            <w:tcW w:w="558" w:type="pct"/>
            <w:shd w:val="clear" w:color="auto" w:fill="auto"/>
            <w:vAlign w:val="center"/>
          </w:tcPr>
          <w:p w14:paraId="72E084C6" w14:textId="36E46399"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tcPr>
          <w:p w14:paraId="069EFAB7" w14:textId="77777777" w:rsidR="00070462" w:rsidRPr="006104A6" w:rsidRDefault="00070462" w:rsidP="00070462">
            <w:pPr>
              <w:pStyle w:val="TableText0"/>
              <w:keepNext w:val="0"/>
              <w:widowControl w:val="0"/>
              <w:jc w:val="center"/>
              <w:rPr>
                <w:szCs w:val="20"/>
              </w:rPr>
            </w:pPr>
            <w:r w:rsidRPr="006104A6">
              <w:rPr>
                <w:szCs w:val="20"/>
              </w:rPr>
              <w:t>0.44</w:t>
            </w:r>
          </w:p>
          <w:p w14:paraId="2A528576" w14:textId="08491125" w:rsidR="00070462" w:rsidRPr="006104A6" w:rsidRDefault="00070462" w:rsidP="00070462">
            <w:pPr>
              <w:pStyle w:val="TableText0"/>
              <w:keepNext w:val="0"/>
              <w:widowControl w:val="0"/>
              <w:jc w:val="center"/>
              <w:rPr>
                <w:szCs w:val="20"/>
              </w:rPr>
            </w:pPr>
            <w:r w:rsidRPr="006104A6">
              <w:rPr>
                <w:szCs w:val="20"/>
              </w:rPr>
              <w:t>(0.16, 1.18)</w:t>
            </w:r>
          </w:p>
        </w:tc>
        <w:tc>
          <w:tcPr>
            <w:tcW w:w="531" w:type="pct"/>
            <w:shd w:val="clear" w:color="auto" w:fill="auto"/>
            <w:vAlign w:val="center"/>
          </w:tcPr>
          <w:p w14:paraId="3AD6B824" w14:textId="354D2247"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5A63005D" w14:textId="2D15FCDA"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45CD48EE" w14:textId="77777777" w:rsidTr="000B6AA2">
        <w:trPr>
          <w:cantSplit/>
        </w:trPr>
        <w:tc>
          <w:tcPr>
            <w:tcW w:w="958" w:type="pct"/>
            <w:shd w:val="clear" w:color="auto" w:fill="auto"/>
            <w:vAlign w:val="center"/>
          </w:tcPr>
          <w:p w14:paraId="33275A31" w14:textId="708C9D0A" w:rsidR="00070462" w:rsidRPr="006104A6" w:rsidRDefault="00070462" w:rsidP="00070462">
            <w:pPr>
              <w:pStyle w:val="TableText0"/>
              <w:keepNext w:val="0"/>
              <w:widowControl w:val="0"/>
              <w:rPr>
                <w:szCs w:val="20"/>
              </w:rPr>
            </w:pPr>
            <w:r w:rsidRPr="006104A6">
              <w:rPr>
                <w:szCs w:val="20"/>
              </w:rPr>
              <w:t>Najjar-Debbiny 2022</w:t>
            </w:r>
          </w:p>
        </w:tc>
        <w:tc>
          <w:tcPr>
            <w:tcW w:w="690" w:type="pct"/>
            <w:vAlign w:val="center"/>
          </w:tcPr>
          <w:p w14:paraId="07BBD3FC" w14:textId="48651B38" w:rsidR="00070462" w:rsidRPr="006104A6" w:rsidRDefault="00070462" w:rsidP="00070462">
            <w:pPr>
              <w:pStyle w:val="TableText0"/>
              <w:keepNext w:val="0"/>
              <w:widowControl w:val="0"/>
              <w:rPr>
                <w:szCs w:val="20"/>
              </w:rPr>
            </w:pPr>
            <w:r w:rsidRPr="006104A6">
              <w:rPr>
                <w:szCs w:val="20"/>
              </w:rPr>
              <w:t>Death or severe COVID-19</w:t>
            </w:r>
          </w:p>
        </w:tc>
        <w:tc>
          <w:tcPr>
            <w:tcW w:w="507" w:type="pct"/>
            <w:shd w:val="clear" w:color="auto" w:fill="auto"/>
            <w:vAlign w:val="center"/>
          </w:tcPr>
          <w:p w14:paraId="4BC01747" w14:textId="32661F62" w:rsidR="00070462" w:rsidRPr="006104A6" w:rsidRDefault="00070462" w:rsidP="00070462">
            <w:pPr>
              <w:pStyle w:val="TableText0"/>
              <w:keepNext w:val="0"/>
              <w:widowControl w:val="0"/>
              <w:jc w:val="center"/>
              <w:rPr>
                <w:szCs w:val="20"/>
              </w:rPr>
            </w:pPr>
            <w:r w:rsidRPr="006104A6">
              <w:rPr>
                <w:szCs w:val="20"/>
              </w:rPr>
              <w:t>50/2661 (1.88%)</w:t>
            </w:r>
          </w:p>
        </w:tc>
        <w:tc>
          <w:tcPr>
            <w:tcW w:w="594" w:type="pct"/>
            <w:vAlign w:val="center"/>
          </w:tcPr>
          <w:p w14:paraId="2349E97E" w14:textId="12CEB956" w:rsidR="00070462" w:rsidRPr="006104A6" w:rsidRDefault="00070462" w:rsidP="00070462">
            <w:pPr>
              <w:pStyle w:val="TableText0"/>
              <w:keepNext w:val="0"/>
              <w:widowControl w:val="0"/>
              <w:jc w:val="center"/>
              <w:rPr>
                <w:szCs w:val="20"/>
              </w:rPr>
            </w:pPr>
            <w:r w:rsidRPr="006104A6">
              <w:rPr>
                <w:szCs w:val="20"/>
              </w:rPr>
              <w:t>60/2661 (2.25%)</w:t>
            </w:r>
          </w:p>
        </w:tc>
        <w:tc>
          <w:tcPr>
            <w:tcW w:w="558" w:type="pct"/>
            <w:shd w:val="clear" w:color="auto" w:fill="auto"/>
            <w:vAlign w:val="center"/>
          </w:tcPr>
          <w:p w14:paraId="658F536C" w14:textId="72CDAD56"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306AC2C2" w14:textId="77777777" w:rsidR="00070462" w:rsidRPr="006104A6" w:rsidRDefault="00070462" w:rsidP="00070462">
            <w:pPr>
              <w:pStyle w:val="TableText0"/>
              <w:keepNext w:val="0"/>
              <w:widowControl w:val="0"/>
              <w:jc w:val="center"/>
              <w:rPr>
                <w:szCs w:val="20"/>
              </w:rPr>
            </w:pPr>
            <w:r w:rsidRPr="006104A6">
              <w:rPr>
                <w:szCs w:val="20"/>
              </w:rPr>
              <w:t>0.83</w:t>
            </w:r>
          </w:p>
          <w:p w14:paraId="46804F78" w14:textId="4459CF41" w:rsidR="00070462" w:rsidRPr="006104A6" w:rsidRDefault="00070462" w:rsidP="00070462">
            <w:pPr>
              <w:pStyle w:val="TableText0"/>
              <w:keepNext w:val="0"/>
              <w:widowControl w:val="0"/>
              <w:jc w:val="center"/>
              <w:rPr>
                <w:szCs w:val="20"/>
              </w:rPr>
            </w:pPr>
            <w:r w:rsidRPr="006104A6">
              <w:rPr>
                <w:szCs w:val="20"/>
              </w:rPr>
              <w:t>(0.57, 1.21)</w:t>
            </w:r>
          </w:p>
        </w:tc>
        <w:tc>
          <w:tcPr>
            <w:tcW w:w="531" w:type="pct"/>
            <w:shd w:val="clear" w:color="auto" w:fill="auto"/>
            <w:vAlign w:val="center"/>
          </w:tcPr>
          <w:p w14:paraId="43758463" w14:textId="6B28D096"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0E64A2FC" w14:textId="3F92086B"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4923AECE" w14:textId="77777777" w:rsidTr="000B6AA2">
        <w:trPr>
          <w:cantSplit/>
        </w:trPr>
        <w:tc>
          <w:tcPr>
            <w:tcW w:w="958" w:type="pct"/>
            <w:shd w:val="clear" w:color="auto" w:fill="auto"/>
            <w:vAlign w:val="center"/>
          </w:tcPr>
          <w:p w14:paraId="6B1F306B" w14:textId="78F5F5F1" w:rsidR="00070462" w:rsidRPr="006104A6" w:rsidRDefault="00070462" w:rsidP="00070462">
            <w:pPr>
              <w:pStyle w:val="TableText0"/>
              <w:keepNext w:val="0"/>
              <w:widowControl w:val="0"/>
              <w:rPr>
                <w:szCs w:val="20"/>
              </w:rPr>
            </w:pPr>
            <w:r w:rsidRPr="006104A6">
              <w:rPr>
                <w:szCs w:val="20"/>
              </w:rPr>
              <w:t>Bajema 2022</w:t>
            </w:r>
          </w:p>
        </w:tc>
        <w:tc>
          <w:tcPr>
            <w:tcW w:w="690" w:type="pct"/>
            <w:vAlign w:val="center"/>
          </w:tcPr>
          <w:p w14:paraId="67D974A9" w14:textId="4460ECB1" w:rsidR="00070462" w:rsidRPr="006104A6" w:rsidRDefault="00070462" w:rsidP="00070462">
            <w:pPr>
              <w:pStyle w:val="TableText0"/>
              <w:keepNext w:val="0"/>
              <w:widowControl w:val="0"/>
              <w:rPr>
                <w:szCs w:val="20"/>
              </w:rPr>
            </w:pPr>
            <w:r w:rsidRPr="006104A6">
              <w:rPr>
                <w:szCs w:val="20"/>
              </w:rPr>
              <w:t>Hospitalisation or death –</w:t>
            </w:r>
          </w:p>
          <w:p w14:paraId="26916704" w14:textId="7921C3F1" w:rsidR="00070462" w:rsidRPr="006104A6" w:rsidRDefault="00070462" w:rsidP="00070462">
            <w:pPr>
              <w:pStyle w:val="TableText0"/>
              <w:keepNext w:val="0"/>
              <w:widowControl w:val="0"/>
              <w:rPr>
                <w:szCs w:val="20"/>
              </w:rPr>
            </w:pPr>
            <w:r w:rsidRPr="006104A6">
              <w:rPr>
                <w:szCs w:val="20"/>
              </w:rPr>
              <w:t>Day 30</w:t>
            </w:r>
          </w:p>
        </w:tc>
        <w:tc>
          <w:tcPr>
            <w:tcW w:w="507" w:type="pct"/>
            <w:shd w:val="clear" w:color="auto" w:fill="auto"/>
            <w:vAlign w:val="center"/>
          </w:tcPr>
          <w:p w14:paraId="3329DEE5" w14:textId="1438989A" w:rsidR="00070462" w:rsidRPr="006104A6" w:rsidRDefault="00070462" w:rsidP="00070462">
            <w:pPr>
              <w:pStyle w:val="TableText0"/>
              <w:keepNext w:val="0"/>
              <w:widowControl w:val="0"/>
              <w:jc w:val="center"/>
              <w:rPr>
                <w:szCs w:val="20"/>
              </w:rPr>
            </w:pPr>
            <w:r w:rsidRPr="006104A6">
              <w:rPr>
                <w:szCs w:val="20"/>
              </w:rPr>
              <w:t>40/897 (4.46%)</w:t>
            </w:r>
          </w:p>
        </w:tc>
        <w:tc>
          <w:tcPr>
            <w:tcW w:w="594" w:type="pct"/>
            <w:vAlign w:val="center"/>
          </w:tcPr>
          <w:p w14:paraId="6858B3E2" w14:textId="5A42F5E7" w:rsidR="00070462" w:rsidRPr="006104A6" w:rsidRDefault="00070462" w:rsidP="00070462">
            <w:pPr>
              <w:pStyle w:val="TableText0"/>
              <w:keepNext w:val="0"/>
              <w:widowControl w:val="0"/>
              <w:jc w:val="center"/>
              <w:rPr>
                <w:szCs w:val="20"/>
              </w:rPr>
            </w:pPr>
            <w:r w:rsidRPr="006104A6">
              <w:rPr>
                <w:szCs w:val="20"/>
              </w:rPr>
              <w:t>51.9/897 (5.79%)</w:t>
            </w:r>
          </w:p>
        </w:tc>
        <w:tc>
          <w:tcPr>
            <w:tcW w:w="558" w:type="pct"/>
            <w:shd w:val="clear" w:color="auto" w:fill="auto"/>
            <w:vAlign w:val="center"/>
          </w:tcPr>
          <w:p w14:paraId="2DF9C3E3" w14:textId="577FA464"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76D287A2" w14:textId="77777777" w:rsidR="00070462" w:rsidRPr="006104A6" w:rsidRDefault="00070462" w:rsidP="00070462">
            <w:pPr>
              <w:pStyle w:val="TableText0"/>
              <w:keepNext w:val="0"/>
              <w:widowControl w:val="0"/>
              <w:jc w:val="center"/>
              <w:rPr>
                <w:iCs/>
                <w:szCs w:val="20"/>
              </w:rPr>
            </w:pPr>
            <w:r w:rsidRPr="006104A6">
              <w:rPr>
                <w:iCs/>
                <w:szCs w:val="20"/>
              </w:rPr>
              <w:t>0.75</w:t>
            </w:r>
          </w:p>
          <w:p w14:paraId="61DCACAF" w14:textId="1BAEE2FE" w:rsidR="00070462" w:rsidRPr="006104A6" w:rsidRDefault="00070462" w:rsidP="00070462">
            <w:pPr>
              <w:pStyle w:val="TableText0"/>
              <w:keepNext w:val="0"/>
              <w:widowControl w:val="0"/>
              <w:jc w:val="center"/>
              <w:rPr>
                <w:szCs w:val="20"/>
              </w:rPr>
            </w:pPr>
            <w:r w:rsidRPr="006104A6">
              <w:rPr>
                <w:szCs w:val="20"/>
              </w:rPr>
              <w:t>(0.50, 1.16)</w:t>
            </w:r>
          </w:p>
        </w:tc>
        <w:tc>
          <w:tcPr>
            <w:tcW w:w="531" w:type="pct"/>
            <w:shd w:val="clear" w:color="auto" w:fill="auto"/>
            <w:vAlign w:val="center"/>
          </w:tcPr>
          <w:p w14:paraId="69D9B1E1" w14:textId="17D6FFAF"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5F89EBB0" w14:textId="6059C6D0"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5783AAE4" w14:textId="77777777" w:rsidTr="000B6AA2">
        <w:trPr>
          <w:cantSplit/>
        </w:trPr>
        <w:tc>
          <w:tcPr>
            <w:tcW w:w="958" w:type="pct"/>
            <w:shd w:val="clear" w:color="auto" w:fill="auto"/>
            <w:vAlign w:val="center"/>
          </w:tcPr>
          <w:p w14:paraId="525386C7" w14:textId="48753BDC" w:rsidR="00070462" w:rsidRPr="006104A6" w:rsidRDefault="00070462" w:rsidP="00070462">
            <w:pPr>
              <w:pStyle w:val="TableText0"/>
              <w:keepNext w:val="0"/>
              <w:widowControl w:val="0"/>
              <w:rPr>
                <w:szCs w:val="20"/>
              </w:rPr>
            </w:pPr>
            <w:r w:rsidRPr="006104A6">
              <w:rPr>
                <w:szCs w:val="20"/>
              </w:rPr>
              <w:t>Bajema 2022 vs nirmatrelvir and ritonavir</w:t>
            </w:r>
          </w:p>
        </w:tc>
        <w:tc>
          <w:tcPr>
            <w:tcW w:w="690" w:type="pct"/>
            <w:vAlign w:val="center"/>
          </w:tcPr>
          <w:p w14:paraId="3333468E" w14:textId="77777777" w:rsidR="00070462" w:rsidRPr="006104A6" w:rsidRDefault="00070462" w:rsidP="00070462">
            <w:pPr>
              <w:pStyle w:val="TableText0"/>
              <w:keepNext w:val="0"/>
              <w:widowControl w:val="0"/>
              <w:rPr>
                <w:szCs w:val="20"/>
              </w:rPr>
            </w:pPr>
            <w:r w:rsidRPr="006104A6">
              <w:rPr>
                <w:szCs w:val="20"/>
              </w:rPr>
              <w:t>Hospitalisation or death –</w:t>
            </w:r>
          </w:p>
          <w:p w14:paraId="69665290" w14:textId="51267C64" w:rsidR="00070462" w:rsidRPr="006104A6" w:rsidRDefault="00070462" w:rsidP="00070462">
            <w:pPr>
              <w:pStyle w:val="TableText0"/>
              <w:keepNext w:val="0"/>
              <w:widowControl w:val="0"/>
              <w:rPr>
                <w:szCs w:val="20"/>
              </w:rPr>
            </w:pPr>
            <w:r w:rsidRPr="006104A6">
              <w:rPr>
                <w:szCs w:val="20"/>
              </w:rPr>
              <w:t>Day 30</w:t>
            </w:r>
          </w:p>
        </w:tc>
        <w:tc>
          <w:tcPr>
            <w:tcW w:w="507" w:type="pct"/>
            <w:shd w:val="clear" w:color="auto" w:fill="auto"/>
            <w:vAlign w:val="center"/>
          </w:tcPr>
          <w:p w14:paraId="157A4917" w14:textId="52C71122" w:rsidR="00070462" w:rsidRPr="006104A6" w:rsidRDefault="00070462" w:rsidP="00070462">
            <w:pPr>
              <w:pStyle w:val="TableText0"/>
              <w:keepNext w:val="0"/>
              <w:widowControl w:val="0"/>
              <w:jc w:val="center"/>
              <w:rPr>
                <w:szCs w:val="20"/>
              </w:rPr>
            </w:pPr>
            <w:r w:rsidRPr="006104A6">
              <w:rPr>
                <w:szCs w:val="20"/>
              </w:rPr>
              <w:t>30/769 (3.90%)</w:t>
            </w:r>
          </w:p>
        </w:tc>
        <w:tc>
          <w:tcPr>
            <w:tcW w:w="594" w:type="pct"/>
            <w:vAlign w:val="center"/>
          </w:tcPr>
          <w:p w14:paraId="0F52A49E" w14:textId="37E03098" w:rsidR="00070462" w:rsidRPr="006104A6" w:rsidRDefault="00070462" w:rsidP="00070462">
            <w:pPr>
              <w:pStyle w:val="TableText0"/>
              <w:keepNext w:val="0"/>
              <w:widowControl w:val="0"/>
              <w:jc w:val="center"/>
              <w:rPr>
                <w:szCs w:val="20"/>
              </w:rPr>
            </w:pPr>
            <w:r w:rsidRPr="006104A6">
              <w:rPr>
                <w:szCs w:val="20"/>
              </w:rPr>
              <w:t>n/a</w:t>
            </w:r>
          </w:p>
        </w:tc>
        <w:tc>
          <w:tcPr>
            <w:tcW w:w="558" w:type="pct"/>
            <w:shd w:val="clear" w:color="auto" w:fill="auto"/>
            <w:vAlign w:val="center"/>
          </w:tcPr>
          <w:p w14:paraId="7081E9C8" w14:textId="637D7824" w:rsidR="00070462" w:rsidRPr="006104A6" w:rsidRDefault="00070462" w:rsidP="00070462">
            <w:pPr>
              <w:pStyle w:val="TableText0"/>
              <w:keepNext w:val="0"/>
              <w:widowControl w:val="0"/>
              <w:jc w:val="center"/>
              <w:rPr>
                <w:szCs w:val="20"/>
              </w:rPr>
            </w:pPr>
            <w:r w:rsidRPr="006104A6">
              <w:rPr>
                <w:szCs w:val="20"/>
              </w:rPr>
              <w:t>19/769 (2.47%)</w:t>
            </w:r>
          </w:p>
        </w:tc>
        <w:tc>
          <w:tcPr>
            <w:tcW w:w="581" w:type="pct"/>
            <w:shd w:val="clear" w:color="auto" w:fill="auto"/>
            <w:vAlign w:val="center"/>
          </w:tcPr>
          <w:p w14:paraId="42F29A30" w14:textId="56544CCE" w:rsidR="00070462" w:rsidRPr="006104A6" w:rsidRDefault="00070462" w:rsidP="00070462">
            <w:pPr>
              <w:pStyle w:val="TableText0"/>
              <w:keepNext w:val="0"/>
              <w:widowControl w:val="0"/>
              <w:jc w:val="center"/>
              <w:rPr>
                <w:szCs w:val="20"/>
              </w:rPr>
            </w:pPr>
            <w:r w:rsidRPr="006104A6">
              <w:rPr>
                <w:szCs w:val="20"/>
              </w:rPr>
              <w:t>n/a</w:t>
            </w:r>
          </w:p>
        </w:tc>
        <w:tc>
          <w:tcPr>
            <w:tcW w:w="531" w:type="pct"/>
            <w:shd w:val="clear" w:color="auto" w:fill="auto"/>
            <w:vAlign w:val="center"/>
          </w:tcPr>
          <w:p w14:paraId="7011F914" w14:textId="29CE3F7D"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69C624FA" w14:textId="77777777" w:rsidR="00070462" w:rsidRPr="006104A6" w:rsidRDefault="00070462" w:rsidP="00070462">
            <w:pPr>
              <w:pStyle w:val="TableText0"/>
              <w:keepNext w:val="0"/>
              <w:widowControl w:val="0"/>
              <w:jc w:val="center"/>
              <w:rPr>
                <w:szCs w:val="20"/>
              </w:rPr>
            </w:pPr>
            <w:r w:rsidRPr="006104A6">
              <w:rPr>
                <w:szCs w:val="20"/>
              </w:rPr>
              <w:t>1.60</w:t>
            </w:r>
          </w:p>
          <w:p w14:paraId="7C8D65B4" w14:textId="593DABEC" w:rsidR="00070462" w:rsidRPr="006104A6" w:rsidRDefault="00070462" w:rsidP="00070462">
            <w:pPr>
              <w:pStyle w:val="TableText0"/>
              <w:keepNext w:val="0"/>
              <w:widowControl w:val="0"/>
              <w:jc w:val="center"/>
              <w:rPr>
                <w:szCs w:val="20"/>
              </w:rPr>
            </w:pPr>
            <w:r w:rsidRPr="006104A6">
              <w:rPr>
                <w:szCs w:val="20"/>
              </w:rPr>
              <w:t>(0.89, 2.87)</w:t>
            </w:r>
          </w:p>
        </w:tc>
      </w:tr>
      <w:tr w:rsidR="00070462" w:rsidRPr="006104A6" w14:paraId="79A6A645" w14:textId="77777777" w:rsidTr="000B6AA2">
        <w:trPr>
          <w:cantSplit/>
        </w:trPr>
        <w:tc>
          <w:tcPr>
            <w:tcW w:w="958" w:type="pct"/>
            <w:shd w:val="clear" w:color="auto" w:fill="auto"/>
            <w:vAlign w:val="center"/>
          </w:tcPr>
          <w:p w14:paraId="55B752CC" w14:textId="77777777" w:rsidR="00070462" w:rsidRPr="006104A6" w:rsidRDefault="00070462" w:rsidP="00070462">
            <w:pPr>
              <w:pStyle w:val="TableText0"/>
              <w:keepNext w:val="0"/>
              <w:widowControl w:val="0"/>
              <w:rPr>
                <w:szCs w:val="20"/>
              </w:rPr>
            </w:pPr>
            <w:r w:rsidRPr="006104A6">
              <w:rPr>
                <w:szCs w:val="20"/>
              </w:rPr>
              <w:t>Bajema 2022</w:t>
            </w:r>
          </w:p>
          <w:p w14:paraId="3D6B6D28" w14:textId="483495AD" w:rsidR="00070462" w:rsidRPr="006104A6" w:rsidRDefault="00070462" w:rsidP="00070462">
            <w:pPr>
              <w:pStyle w:val="TableText0"/>
              <w:keepNext w:val="0"/>
              <w:widowControl w:val="0"/>
              <w:rPr>
                <w:szCs w:val="20"/>
              </w:rPr>
            </w:pPr>
            <w:r w:rsidRPr="006104A6">
              <w:rPr>
                <w:szCs w:val="20"/>
              </w:rPr>
              <w:t>&gt;65 years</w:t>
            </w:r>
          </w:p>
        </w:tc>
        <w:tc>
          <w:tcPr>
            <w:tcW w:w="690" w:type="pct"/>
            <w:vAlign w:val="center"/>
          </w:tcPr>
          <w:p w14:paraId="2AC649D8" w14:textId="77777777" w:rsidR="00070462" w:rsidRPr="006104A6" w:rsidRDefault="00070462" w:rsidP="00070462">
            <w:pPr>
              <w:pStyle w:val="TableText0"/>
              <w:keepNext w:val="0"/>
              <w:widowControl w:val="0"/>
              <w:rPr>
                <w:szCs w:val="20"/>
              </w:rPr>
            </w:pPr>
            <w:r w:rsidRPr="006104A6">
              <w:rPr>
                <w:szCs w:val="20"/>
              </w:rPr>
              <w:t>Hospitalisation or death –</w:t>
            </w:r>
          </w:p>
          <w:p w14:paraId="5D476A7A" w14:textId="140BAB2E" w:rsidR="00070462" w:rsidRPr="006104A6" w:rsidRDefault="00070462" w:rsidP="00070462">
            <w:pPr>
              <w:pStyle w:val="TableText0"/>
              <w:keepNext w:val="0"/>
              <w:widowControl w:val="0"/>
              <w:rPr>
                <w:szCs w:val="20"/>
              </w:rPr>
            </w:pPr>
            <w:r w:rsidRPr="006104A6">
              <w:rPr>
                <w:szCs w:val="20"/>
              </w:rPr>
              <w:t>Day 30</w:t>
            </w:r>
          </w:p>
        </w:tc>
        <w:tc>
          <w:tcPr>
            <w:tcW w:w="507" w:type="pct"/>
            <w:shd w:val="clear" w:color="auto" w:fill="auto"/>
            <w:vAlign w:val="center"/>
          </w:tcPr>
          <w:p w14:paraId="17CCA716" w14:textId="23BB7013" w:rsidR="00070462" w:rsidRPr="006104A6" w:rsidRDefault="00070462" w:rsidP="00070462">
            <w:pPr>
              <w:pStyle w:val="TableText0"/>
              <w:keepNext w:val="0"/>
              <w:widowControl w:val="0"/>
              <w:jc w:val="center"/>
              <w:rPr>
                <w:szCs w:val="20"/>
              </w:rPr>
            </w:pPr>
            <w:r w:rsidRPr="006104A6">
              <w:rPr>
                <w:szCs w:val="20"/>
              </w:rPr>
              <w:t>30/543 (5.52%)</w:t>
            </w:r>
          </w:p>
        </w:tc>
        <w:tc>
          <w:tcPr>
            <w:tcW w:w="594" w:type="pct"/>
            <w:vAlign w:val="center"/>
          </w:tcPr>
          <w:p w14:paraId="2132A586" w14:textId="68C75B2C" w:rsidR="00070462" w:rsidRPr="006104A6" w:rsidRDefault="00070462" w:rsidP="00070462">
            <w:pPr>
              <w:pStyle w:val="TableText0"/>
              <w:keepNext w:val="0"/>
              <w:widowControl w:val="0"/>
              <w:jc w:val="center"/>
              <w:rPr>
                <w:szCs w:val="20"/>
              </w:rPr>
            </w:pPr>
            <w:r w:rsidRPr="006104A6">
              <w:rPr>
                <w:szCs w:val="20"/>
              </w:rPr>
              <w:t>44.3/538 (8.23%)</w:t>
            </w:r>
          </w:p>
        </w:tc>
        <w:tc>
          <w:tcPr>
            <w:tcW w:w="558" w:type="pct"/>
            <w:shd w:val="clear" w:color="auto" w:fill="auto"/>
            <w:vAlign w:val="center"/>
          </w:tcPr>
          <w:p w14:paraId="2F04D7CD" w14:textId="04BAEDDB"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2E175D98" w14:textId="77777777" w:rsidR="00070462" w:rsidRPr="006104A6" w:rsidRDefault="00070462" w:rsidP="00070462">
            <w:pPr>
              <w:pStyle w:val="TableText0"/>
              <w:keepNext w:val="0"/>
              <w:widowControl w:val="0"/>
              <w:jc w:val="center"/>
              <w:rPr>
                <w:iCs/>
                <w:szCs w:val="20"/>
              </w:rPr>
            </w:pPr>
            <w:r w:rsidRPr="006104A6">
              <w:rPr>
                <w:iCs/>
                <w:szCs w:val="20"/>
              </w:rPr>
              <w:t>0.66</w:t>
            </w:r>
          </w:p>
          <w:p w14:paraId="67D7B04F" w14:textId="314B5656" w:rsidR="00070462" w:rsidRPr="006104A6" w:rsidRDefault="00070462" w:rsidP="00070462">
            <w:pPr>
              <w:pStyle w:val="TableText0"/>
              <w:keepNext w:val="0"/>
              <w:widowControl w:val="0"/>
              <w:jc w:val="center"/>
              <w:rPr>
                <w:i/>
                <w:iCs/>
                <w:szCs w:val="20"/>
              </w:rPr>
            </w:pPr>
            <w:r w:rsidRPr="006104A6">
              <w:rPr>
                <w:iCs/>
                <w:szCs w:val="20"/>
              </w:rPr>
              <w:t>(0.41, 1.06)</w:t>
            </w:r>
          </w:p>
        </w:tc>
        <w:tc>
          <w:tcPr>
            <w:tcW w:w="531" w:type="pct"/>
            <w:shd w:val="clear" w:color="auto" w:fill="auto"/>
            <w:vAlign w:val="center"/>
          </w:tcPr>
          <w:p w14:paraId="5893A28F" w14:textId="7AEA4B91"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32D03C50" w14:textId="0AAD0D9C" w:rsidR="00070462" w:rsidRPr="006104A6" w:rsidRDefault="00070462" w:rsidP="00070462">
            <w:pPr>
              <w:pStyle w:val="TableText0"/>
              <w:keepNext w:val="0"/>
              <w:widowControl w:val="0"/>
              <w:jc w:val="center"/>
              <w:rPr>
                <w:szCs w:val="20"/>
              </w:rPr>
            </w:pPr>
            <w:r w:rsidRPr="006104A6">
              <w:rPr>
                <w:szCs w:val="20"/>
              </w:rPr>
              <w:t>n/a</w:t>
            </w:r>
          </w:p>
        </w:tc>
      </w:tr>
      <w:tr w:rsidR="00070462" w:rsidRPr="006104A6" w14:paraId="62D219AA" w14:textId="77777777" w:rsidTr="000B6AA2">
        <w:trPr>
          <w:cantSplit/>
        </w:trPr>
        <w:tc>
          <w:tcPr>
            <w:tcW w:w="958" w:type="pct"/>
            <w:shd w:val="clear" w:color="auto" w:fill="auto"/>
            <w:vAlign w:val="center"/>
          </w:tcPr>
          <w:p w14:paraId="4255A3B7" w14:textId="77777777" w:rsidR="00070462" w:rsidRPr="006104A6" w:rsidRDefault="00070462" w:rsidP="00070462">
            <w:pPr>
              <w:pStyle w:val="TableText0"/>
              <w:keepNext w:val="0"/>
              <w:widowControl w:val="0"/>
              <w:rPr>
                <w:szCs w:val="20"/>
              </w:rPr>
            </w:pPr>
            <w:r w:rsidRPr="006104A6">
              <w:rPr>
                <w:szCs w:val="20"/>
              </w:rPr>
              <w:t>Bajema 2022 vs nirmatrelvir and ritonavir</w:t>
            </w:r>
          </w:p>
          <w:p w14:paraId="104A41D9" w14:textId="0E0D2993" w:rsidR="00070462" w:rsidRPr="006104A6" w:rsidRDefault="00070462" w:rsidP="00070462">
            <w:pPr>
              <w:pStyle w:val="TableText0"/>
              <w:keepNext w:val="0"/>
              <w:widowControl w:val="0"/>
              <w:rPr>
                <w:szCs w:val="20"/>
              </w:rPr>
            </w:pPr>
            <w:r w:rsidRPr="006104A6">
              <w:rPr>
                <w:szCs w:val="20"/>
              </w:rPr>
              <w:t>&gt;65 years</w:t>
            </w:r>
          </w:p>
        </w:tc>
        <w:tc>
          <w:tcPr>
            <w:tcW w:w="690" w:type="pct"/>
            <w:vAlign w:val="center"/>
          </w:tcPr>
          <w:p w14:paraId="4830695C" w14:textId="77777777" w:rsidR="00070462" w:rsidRPr="006104A6" w:rsidRDefault="00070462" w:rsidP="00070462">
            <w:pPr>
              <w:pStyle w:val="TableText0"/>
              <w:keepNext w:val="0"/>
              <w:widowControl w:val="0"/>
              <w:rPr>
                <w:szCs w:val="20"/>
              </w:rPr>
            </w:pPr>
            <w:r w:rsidRPr="006104A6">
              <w:rPr>
                <w:szCs w:val="20"/>
              </w:rPr>
              <w:t>Hospitalisation or death –</w:t>
            </w:r>
          </w:p>
          <w:p w14:paraId="0BCCD456" w14:textId="0446D514" w:rsidR="00070462" w:rsidRPr="006104A6" w:rsidRDefault="00070462" w:rsidP="00070462">
            <w:pPr>
              <w:pStyle w:val="TableText0"/>
              <w:keepNext w:val="0"/>
              <w:widowControl w:val="0"/>
              <w:rPr>
                <w:szCs w:val="20"/>
              </w:rPr>
            </w:pPr>
            <w:r w:rsidRPr="006104A6">
              <w:rPr>
                <w:szCs w:val="20"/>
              </w:rPr>
              <w:t>Day 30</w:t>
            </w:r>
          </w:p>
        </w:tc>
        <w:tc>
          <w:tcPr>
            <w:tcW w:w="507" w:type="pct"/>
            <w:shd w:val="clear" w:color="auto" w:fill="auto"/>
            <w:vAlign w:val="center"/>
          </w:tcPr>
          <w:p w14:paraId="4803D71A" w14:textId="77777777" w:rsidR="00070462" w:rsidRPr="006104A6" w:rsidRDefault="00070462" w:rsidP="00070462">
            <w:pPr>
              <w:pStyle w:val="TableText0"/>
              <w:keepNext w:val="0"/>
              <w:widowControl w:val="0"/>
              <w:jc w:val="center"/>
              <w:rPr>
                <w:szCs w:val="20"/>
              </w:rPr>
            </w:pPr>
            <w:r w:rsidRPr="006104A6">
              <w:rPr>
                <w:szCs w:val="20"/>
              </w:rPr>
              <w:t>22/453</w:t>
            </w:r>
          </w:p>
          <w:p w14:paraId="4BFAAB0D" w14:textId="1F22A479" w:rsidR="00070462" w:rsidRPr="006104A6" w:rsidRDefault="00070462" w:rsidP="00070462">
            <w:pPr>
              <w:pStyle w:val="TableText0"/>
              <w:keepNext w:val="0"/>
              <w:widowControl w:val="0"/>
              <w:jc w:val="center"/>
              <w:rPr>
                <w:szCs w:val="20"/>
              </w:rPr>
            </w:pPr>
            <w:r w:rsidRPr="006104A6">
              <w:rPr>
                <w:szCs w:val="20"/>
              </w:rPr>
              <w:t>(4.9%)</w:t>
            </w:r>
          </w:p>
        </w:tc>
        <w:tc>
          <w:tcPr>
            <w:tcW w:w="594" w:type="pct"/>
            <w:vAlign w:val="center"/>
          </w:tcPr>
          <w:p w14:paraId="6A80FA52" w14:textId="2BEFD731" w:rsidR="00070462" w:rsidRPr="006104A6" w:rsidRDefault="00070462" w:rsidP="00070462">
            <w:pPr>
              <w:pStyle w:val="TableText0"/>
              <w:keepNext w:val="0"/>
              <w:widowControl w:val="0"/>
              <w:jc w:val="center"/>
              <w:rPr>
                <w:szCs w:val="20"/>
              </w:rPr>
            </w:pPr>
            <w:r w:rsidRPr="006104A6">
              <w:rPr>
                <w:szCs w:val="20"/>
              </w:rPr>
              <w:t>n/a</w:t>
            </w:r>
          </w:p>
        </w:tc>
        <w:tc>
          <w:tcPr>
            <w:tcW w:w="558" w:type="pct"/>
            <w:shd w:val="clear" w:color="auto" w:fill="auto"/>
            <w:vAlign w:val="center"/>
          </w:tcPr>
          <w:p w14:paraId="1A6855DF" w14:textId="77777777" w:rsidR="00070462" w:rsidRPr="006104A6" w:rsidRDefault="00070462" w:rsidP="00070462">
            <w:pPr>
              <w:pStyle w:val="TableText0"/>
              <w:keepNext w:val="0"/>
              <w:widowControl w:val="0"/>
              <w:jc w:val="center"/>
              <w:rPr>
                <w:szCs w:val="20"/>
              </w:rPr>
            </w:pPr>
            <w:r w:rsidRPr="006104A6">
              <w:rPr>
                <w:szCs w:val="20"/>
              </w:rPr>
              <w:t>14/447</w:t>
            </w:r>
          </w:p>
          <w:p w14:paraId="71100B81" w14:textId="1C9AC987" w:rsidR="00070462" w:rsidRPr="006104A6" w:rsidRDefault="00070462" w:rsidP="00070462">
            <w:pPr>
              <w:pStyle w:val="TableText0"/>
              <w:keepNext w:val="0"/>
              <w:widowControl w:val="0"/>
              <w:jc w:val="center"/>
              <w:rPr>
                <w:szCs w:val="20"/>
              </w:rPr>
            </w:pPr>
            <w:r w:rsidRPr="006104A6">
              <w:rPr>
                <w:szCs w:val="20"/>
              </w:rPr>
              <w:t>(3.1%)</w:t>
            </w:r>
          </w:p>
        </w:tc>
        <w:tc>
          <w:tcPr>
            <w:tcW w:w="581" w:type="pct"/>
            <w:shd w:val="clear" w:color="auto" w:fill="auto"/>
            <w:vAlign w:val="center"/>
          </w:tcPr>
          <w:p w14:paraId="0F964D66" w14:textId="56B3BB66" w:rsidR="00070462" w:rsidRPr="006104A6" w:rsidRDefault="00070462" w:rsidP="00070462">
            <w:pPr>
              <w:pStyle w:val="TableText0"/>
              <w:keepNext w:val="0"/>
              <w:widowControl w:val="0"/>
              <w:jc w:val="center"/>
              <w:rPr>
                <w:i/>
                <w:iCs/>
                <w:szCs w:val="20"/>
              </w:rPr>
            </w:pPr>
            <w:r w:rsidRPr="006104A6">
              <w:rPr>
                <w:szCs w:val="20"/>
              </w:rPr>
              <w:t>n/a</w:t>
            </w:r>
          </w:p>
        </w:tc>
        <w:tc>
          <w:tcPr>
            <w:tcW w:w="531" w:type="pct"/>
            <w:shd w:val="clear" w:color="auto" w:fill="auto"/>
            <w:vAlign w:val="center"/>
          </w:tcPr>
          <w:p w14:paraId="14240D83" w14:textId="568900AF"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vAlign w:val="center"/>
          </w:tcPr>
          <w:p w14:paraId="5B7FE344" w14:textId="77777777" w:rsidR="00070462" w:rsidRPr="006104A6" w:rsidRDefault="00070462" w:rsidP="00070462">
            <w:pPr>
              <w:pStyle w:val="TableText0"/>
              <w:keepNext w:val="0"/>
              <w:widowControl w:val="0"/>
              <w:jc w:val="center"/>
              <w:rPr>
                <w:szCs w:val="20"/>
              </w:rPr>
            </w:pPr>
            <w:r w:rsidRPr="006104A6">
              <w:rPr>
                <w:szCs w:val="20"/>
              </w:rPr>
              <w:t>1.58</w:t>
            </w:r>
          </w:p>
          <w:p w14:paraId="46270AB2" w14:textId="6445BC1F" w:rsidR="00070462" w:rsidRPr="006104A6" w:rsidRDefault="00070462" w:rsidP="00070462">
            <w:pPr>
              <w:pStyle w:val="TableText0"/>
              <w:keepNext w:val="0"/>
              <w:widowControl w:val="0"/>
              <w:jc w:val="center"/>
              <w:rPr>
                <w:szCs w:val="20"/>
              </w:rPr>
            </w:pPr>
            <w:r w:rsidRPr="006104A6">
              <w:rPr>
                <w:szCs w:val="20"/>
              </w:rPr>
              <w:t>(0.80, 3.13)</w:t>
            </w:r>
          </w:p>
        </w:tc>
      </w:tr>
      <w:tr w:rsidR="00070462" w:rsidRPr="006104A6" w14:paraId="0CFBD558" w14:textId="77777777" w:rsidTr="000B6AA2">
        <w:trPr>
          <w:cantSplit/>
        </w:trPr>
        <w:tc>
          <w:tcPr>
            <w:tcW w:w="958" w:type="pct"/>
            <w:vMerge w:val="restart"/>
            <w:shd w:val="clear" w:color="auto" w:fill="auto"/>
            <w:vAlign w:val="center"/>
          </w:tcPr>
          <w:p w14:paraId="0B996102" w14:textId="77777777" w:rsidR="00070462" w:rsidRPr="006104A6" w:rsidRDefault="00070462" w:rsidP="00070462">
            <w:pPr>
              <w:pStyle w:val="TableText0"/>
              <w:keepNext w:val="0"/>
              <w:widowControl w:val="0"/>
              <w:rPr>
                <w:szCs w:val="20"/>
              </w:rPr>
            </w:pPr>
            <w:r w:rsidRPr="006104A6">
              <w:rPr>
                <w:szCs w:val="20"/>
              </w:rPr>
              <w:t>Evans 2023</w:t>
            </w:r>
          </w:p>
          <w:p w14:paraId="6D71BE42" w14:textId="46405B5B" w:rsidR="00070462" w:rsidRPr="006104A6" w:rsidRDefault="00070462" w:rsidP="00070462">
            <w:pPr>
              <w:pStyle w:val="TableText0"/>
              <w:keepNext w:val="0"/>
              <w:widowControl w:val="0"/>
              <w:rPr>
                <w:szCs w:val="20"/>
              </w:rPr>
            </w:pPr>
            <w:r w:rsidRPr="006104A6">
              <w:rPr>
                <w:szCs w:val="20"/>
              </w:rPr>
              <w:t>(immunocompromised)</w:t>
            </w:r>
          </w:p>
        </w:tc>
        <w:tc>
          <w:tcPr>
            <w:tcW w:w="690" w:type="pct"/>
            <w:vMerge w:val="restart"/>
            <w:vAlign w:val="center"/>
          </w:tcPr>
          <w:p w14:paraId="3F9CE60F" w14:textId="284CAFB9" w:rsidR="00070462" w:rsidRPr="006104A6" w:rsidRDefault="00070462" w:rsidP="00070462">
            <w:pPr>
              <w:pStyle w:val="TableText0"/>
              <w:keepNext w:val="0"/>
              <w:widowControl w:val="0"/>
              <w:rPr>
                <w:szCs w:val="20"/>
              </w:rPr>
            </w:pPr>
            <w:r w:rsidRPr="006104A6">
              <w:rPr>
                <w:szCs w:val="20"/>
              </w:rPr>
              <w:t>Hospitalisation or death</w:t>
            </w:r>
          </w:p>
        </w:tc>
        <w:tc>
          <w:tcPr>
            <w:tcW w:w="507" w:type="pct"/>
            <w:vMerge w:val="restart"/>
            <w:shd w:val="clear" w:color="auto" w:fill="auto"/>
            <w:vAlign w:val="center"/>
          </w:tcPr>
          <w:p w14:paraId="01329F80" w14:textId="498A8BB1" w:rsidR="00070462" w:rsidRPr="006104A6" w:rsidRDefault="00070462" w:rsidP="00070462">
            <w:pPr>
              <w:pStyle w:val="TableText0"/>
              <w:keepNext w:val="0"/>
              <w:widowControl w:val="0"/>
              <w:jc w:val="center"/>
              <w:rPr>
                <w:szCs w:val="20"/>
              </w:rPr>
            </w:pPr>
            <w:r w:rsidRPr="006104A6">
              <w:rPr>
                <w:szCs w:val="20"/>
              </w:rPr>
              <w:t>14/359 (3.90%)</w:t>
            </w:r>
          </w:p>
        </w:tc>
        <w:tc>
          <w:tcPr>
            <w:tcW w:w="594" w:type="pct"/>
            <w:vMerge w:val="restart"/>
            <w:vAlign w:val="center"/>
          </w:tcPr>
          <w:p w14:paraId="0E1DA102" w14:textId="631DD001" w:rsidR="00070462" w:rsidRPr="006104A6" w:rsidRDefault="00070462" w:rsidP="00070462">
            <w:pPr>
              <w:pStyle w:val="TableText0"/>
              <w:keepNext w:val="0"/>
              <w:widowControl w:val="0"/>
              <w:jc w:val="center"/>
              <w:rPr>
                <w:szCs w:val="20"/>
              </w:rPr>
            </w:pPr>
            <w:r w:rsidRPr="006104A6">
              <w:rPr>
                <w:szCs w:val="20"/>
              </w:rPr>
              <w:t>544/4973 (10.94%)</w:t>
            </w:r>
          </w:p>
        </w:tc>
        <w:tc>
          <w:tcPr>
            <w:tcW w:w="558" w:type="pct"/>
            <w:vMerge w:val="restart"/>
            <w:shd w:val="clear" w:color="auto" w:fill="auto"/>
            <w:vAlign w:val="center"/>
          </w:tcPr>
          <w:p w14:paraId="63EADF3E" w14:textId="0526686D" w:rsidR="00070462" w:rsidRPr="006104A6" w:rsidRDefault="00070462" w:rsidP="00070462">
            <w:pPr>
              <w:pStyle w:val="TableText0"/>
              <w:keepNext w:val="0"/>
              <w:widowControl w:val="0"/>
              <w:jc w:val="center"/>
              <w:rPr>
                <w:szCs w:val="20"/>
              </w:rPr>
            </w:pPr>
            <w:r w:rsidRPr="006104A6">
              <w:rPr>
                <w:szCs w:val="20"/>
              </w:rPr>
              <w:t>17/602</w:t>
            </w:r>
          </w:p>
          <w:p w14:paraId="21B6835A" w14:textId="7FA67B64" w:rsidR="00070462" w:rsidRPr="006104A6" w:rsidRDefault="00070462" w:rsidP="00070462">
            <w:pPr>
              <w:pStyle w:val="TableText0"/>
              <w:keepNext w:val="0"/>
              <w:widowControl w:val="0"/>
              <w:jc w:val="center"/>
              <w:rPr>
                <w:szCs w:val="20"/>
              </w:rPr>
            </w:pPr>
            <w:r w:rsidRPr="006104A6">
              <w:rPr>
                <w:szCs w:val="20"/>
              </w:rPr>
              <w:t>(2.82%)</w:t>
            </w:r>
          </w:p>
        </w:tc>
        <w:tc>
          <w:tcPr>
            <w:tcW w:w="581" w:type="pct"/>
            <w:shd w:val="clear" w:color="auto" w:fill="auto"/>
            <w:vAlign w:val="center"/>
          </w:tcPr>
          <w:p w14:paraId="0423FDCB" w14:textId="77777777" w:rsidR="00070462" w:rsidRPr="006104A6" w:rsidRDefault="00070462" w:rsidP="00070462">
            <w:pPr>
              <w:pStyle w:val="TableText0"/>
              <w:keepNext w:val="0"/>
              <w:widowControl w:val="0"/>
              <w:jc w:val="center"/>
              <w:rPr>
                <w:b/>
                <w:szCs w:val="20"/>
              </w:rPr>
            </w:pPr>
            <w:r w:rsidRPr="006104A6">
              <w:rPr>
                <w:b/>
                <w:szCs w:val="20"/>
              </w:rPr>
              <w:t>0.33</w:t>
            </w:r>
          </w:p>
          <w:p w14:paraId="71D9C675" w14:textId="05D95EA6" w:rsidR="00070462" w:rsidRPr="006104A6" w:rsidRDefault="00070462" w:rsidP="00070462">
            <w:pPr>
              <w:pStyle w:val="TableText0"/>
              <w:keepNext w:val="0"/>
              <w:widowControl w:val="0"/>
              <w:jc w:val="center"/>
              <w:rPr>
                <w:b/>
                <w:i/>
                <w:szCs w:val="20"/>
              </w:rPr>
            </w:pPr>
            <w:r w:rsidRPr="006104A6">
              <w:rPr>
                <w:b/>
                <w:szCs w:val="20"/>
              </w:rPr>
              <w:t>(0.19, 0.56)</w:t>
            </w:r>
          </w:p>
        </w:tc>
        <w:tc>
          <w:tcPr>
            <w:tcW w:w="531" w:type="pct"/>
            <w:shd w:val="clear" w:color="auto" w:fill="auto"/>
            <w:vAlign w:val="center"/>
          </w:tcPr>
          <w:p w14:paraId="69587FA5" w14:textId="77777777" w:rsidR="00070462" w:rsidRPr="006104A6" w:rsidRDefault="00070462" w:rsidP="00070462">
            <w:pPr>
              <w:pStyle w:val="TableText0"/>
              <w:keepNext w:val="0"/>
              <w:widowControl w:val="0"/>
              <w:jc w:val="center"/>
              <w:rPr>
                <w:b/>
                <w:szCs w:val="20"/>
              </w:rPr>
            </w:pPr>
            <w:r w:rsidRPr="006104A6">
              <w:rPr>
                <w:b/>
                <w:szCs w:val="20"/>
              </w:rPr>
              <w:t>0.26</w:t>
            </w:r>
          </w:p>
          <w:p w14:paraId="4A9F65E2" w14:textId="54EBF0C2" w:rsidR="00070462" w:rsidRPr="006104A6" w:rsidRDefault="00070462" w:rsidP="00070462">
            <w:pPr>
              <w:pStyle w:val="TableText0"/>
              <w:keepNext w:val="0"/>
              <w:widowControl w:val="0"/>
              <w:jc w:val="center"/>
              <w:rPr>
                <w:b/>
                <w:i/>
                <w:szCs w:val="20"/>
              </w:rPr>
            </w:pPr>
            <w:r w:rsidRPr="006104A6">
              <w:rPr>
                <w:b/>
                <w:szCs w:val="20"/>
              </w:rPr>
              <w:t>(0.16, 0.42)</w:t>
            </w:r>
          </w:p>
        </w:tc>
        <w:tc>
          <w:tcPr>
            <w:tcW w:w="581" w:type="pct"/>
            <w:shd w:val="clear" w:color="auto" w:fill="auto"/>
            <w:vAlign w:val="center"/>
          </w:tcPr>
          <w:p w14:paraId="2B2BE626" w14:textId="77777777" w:rsidR="00070462" w:rsidRPr="006104A6" w:rsidRDefault="00070462" w:rsidP="00070462">
            <w:pPr>
              <w:pStyle w:val="TableText0"/>
              <w:keepNext w:val="0"/>
              <w:widowControl w:val="0"/>
              <w:jc w:val="center"/>
              <w:rPr>
                <w:szCs w:val="20"/>
              </w:rPr>
            </w:pPr>
            <w:r w:rsidRPr="006104A6">
              <w:rPr>
                <w:szCs w:val="20"/>
              </w:rPr>
              <w:t>1.40</w:t>
            </w:r>
          </w:p>
          <w:p w14:paraId="60147C92" w14:textId="7ED87DE0" w:rsidR="00070462" w:rsidRPr="006104A6" w:rsidRDefault="00070462" w:rsidP="00070462">
            <w:pPr>
              <w:pStyle w:val="TableText0"/>
              <w:keepNext w:val="0"/>
              <w:widowControl w:val="0"/>
              <w:jc w:val="center"/>
              <w:rPr>
                <w:i/>
                <w:szCs w:val="20"/>
              </w:rPr>
            </w:pPr>
            <w:r w:rsidRPr="006104A6">
              <w:rPr>
                <w:szCs w:val="20"/>
              </w:rPr>
              <w:t xml:space="preserve">(0.69, </w:t>
            </w:r>
            <w:r w:rsidRPr="006104A6">
              <w:rPr>
                <w:iCs/>
                <w:szCs w:val="20"/>
              </w:rPr>
              <w:t>2.83)</w:t>
            </w:r>
          </w:p>
        </w:tc>
      </w:tr>
      <w:tr w:rsidR="00070462" w:rsidRPr="006104A6" w14:paraId="3ED99CA2" w14:textId="77777777" w:rsidTr="000B6AA2">
        <w:trPr>
          <w:cantSplit/>
        </w:trPr>
        <w:tc>
          <w:tcPr>
            <w:tcW w:w="958" w:type="pct"/>
            <w:vMerge/>
            <w:shd w:val="clear" w:color="auto" w:fill="auto"/>
            <w:vAlign w:val="center"/>
          </w:tcPr>
          <w:p w14:paraId="0D542505" w14:textId="77777777" w:rsidR="00070462" w:rsidRPr="006104A6" w:rsidRDefault="00070462" w:rsidP="00070462">
            <w:pPr>
              <w:pStyle w:val="TableText0"/>
              <w:keepNext w:val="0"/>
              <w:widowControl w:val="0"/>
              <w:rPr>
                <w:szCs w:val="20"/>
              </w:rPr>
            </w:pPr>
          </w:p>
        </w:tc>
        <w:tc>
          <w:tcPr>
            <w:tcW w:w="690" w:type="pct"/>
            <w:vMerge/>
            <w:vAlign w:val="center"/>
          </w:tcPr>
          <w:p w14:paraId="701CE63D" w14:textId="77777777" w:rsidR="00070462" w:rsidRPr="006104A6" w:rsidRDefault="00070462" w:rsidP="00070462">
            <w:pPr>
              <w:pStyle w:val="TableText0"/>
              <w:keepNext w:val="0"/>
              <w:widowControl w:val="0"/>
              <w:rPr>
                <w:szCs w:val="20"/>
              </w:rPr>
            </w:pPr>
          </w:p>
        </w:tc>
        <w:tc>
          <w:tcPr>
            <w:tcW w:w="507" w:type="pct"/>
            <w:vMerge/>
            <w:shd w:val="clear" w:color="auto" w:fill="auto"/>
          </w:tcPr>
          <w:p w14:paraId="1FB99F8F" w14:textId="77777777" w:rsidR="00070462" w:rsidRPr="006104A6" w:rsidRDefault="00070462" w:rsidP="00070462">
            <w:pPr>
              <w:pStyle w:val="TableText0"/>
              <w:keepNext w:val="0"/>
              <w:widowControl w:val="0"/>
              <w:jc w:val="center"/>
              <w:rPr>
                <w:szCs w:val="20"/>
              </w:rPr>
            </w:pPr>
          </w:p>
        </w:tc>
        <w:tc>
          <w:tcPr>
            <w:tcW w:w="594" w:type="pct"/>
            <w:vMerge/>
          </w:tcPr>
          <w:p w14:paraId="2F2AEBEB" w14:textId="77777777" w:rsidR="00070462" w:rsidRPr="006104A6" w:rsidRDefault="00070462" w:rsidP="00070462">
            <w:pPr>
              <w:pStyle w:val="TableText0"/>
              <w:keepNext w:val="0"/>
              <w:widowControl w:val="0"/>
              <w:jc w:val="center"/>
              <w:rPr>
                <w:szCs w:val="20"/>
              </w:rPr>
            </w:pPr>
          </w:p>
        </w:tc>
        <w:tc>
          <w:tcPr>
            <w:tcW w:w="558" w:type="pct"/>
            <w:vMerge/>
            <w:shd w:val="clear" w:color="auto" w:fill="auto"/>
            <w:vAlign w:val="center"/>
          </w:tcPr>
          <w:p w14:paraId="1CA96E57"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3652296F" w14:textId="50F92E46" w:rsidR="00070462" w:rsidRPr="006104A6" w:rsidRDefault="00070462" w:rsidP="00070462">
            <w:pPr>
              <w:pStyle w:val="TableText0"/>
              <w:keepNext w:val="0"/>
              <w:widowControl w:val="0"/>
              <w:jc w:val="center"/>
              <w:rPr>
                <w:b/>
                <w:szCs w:val="20"/>
              </w:rPr>
            </w:pPr>
            <w:r w:rsidRPr="006104A6">
              <w:rPr>
                <w:b/>
                <w:szCs w:val="20"/>
              </w:rPr>
              <w:t>0.49^*</w:t>
            </w:r>
          </w:p>
          <w:p w14:paraId="2AFABC86" w14:textId="0DDF5C1D" w:rsidR="00070462" w:rsidRPr="006104A6" w:rsidRDefault="00070462" w:rsidP="00070462">
            <w:pPr>
              <w:pStyle w:val="TableText0"/>
              <w:keepNext w:val="0"/>
              <w:widowControl w:val="0"/>
              <w:jc w:val="center"/>
              <w:rPr>
                <w:b/>
                <w:szCs w:val="20"/>
              </w:rPr>
            </w:pPr>
            <w:r w:rsidRPr="006104A6">
              <w:rPr>
                <w:b/>
                <w:szCs w:val="20"/>
              </w:rPr>
              <w:t>(0.29, 0.83)</w:t>
            </w:r>
          </w:p>
        </w:tc>
        <w:tc>
          <w:tcPr>
            <w:tcW w:w="531" w:type="pct"/>
            <w:shd w:val="clear" w:color="auto" w:fill="auto"/>
            <w:vAlign w:val="center"/>
          </w:tcPr>
          <w:p w14:paraId="0DC708F4" w14:textId="02711BF5" w:rsidR="00070462" w:rsidRPr="006104A6" w:rsidRDefault="00070462" w:rsidP="00070462">
            <w:pPr>
              <w:pStyle w:val="TableText0"/>
              <w:keepNext w:val="0"/>
              <w:widowControl w:val="0"/>
              <w:jc w:val="center"/>
              <w:rPr>
                <w:b/>
                <w:szCs w:val="20"/>
              </w:rPr>
            </w:pPr>
            <w:r w:rsidRPr="006104A6">
              <w:rPr>
                <w:b/>
                <w:szCs w:val="20"/>
              </w:rPr>
              <w:t>0.59^*</w:t>
            </w:r>
          </w:p>
          <w:p w14:paraId="701F2E01" w14:textId="6C8BCC89" w:rsidR="00070462" w:rsidRPr="006104A6" w:rsidRDefault="00070462" w:rsidP="00070462">
            <w:pPr>
              <w:pStyle w:val="TableText0"/>
              <w:keepNext w:val="0"/>
              <w:widowControl w:val="0"/>
              <w:jc w:val="center"/>
              <w:rPr>
                <w:b/>
                <w:szCs w:val="20"/>
              </w:rPr>
            </w:pPr>
            <w:r w:rsidRPr="006104A6">
              <w:rPr>
                <w:b/>
                <w:szCs w:val="20"/>
              </w:rPr>
              <w:t>(0.36, 0.97)</w:t>
            </w:r>
          </w:p>
        </w:tc>
        <w:tc>
          <w:tcPr>
            <w:tcW w:w="581" w:type="pct"/>
            <w:shd w:val="clear" w:color="auto" w:fill="auto"/>
            <w:vAlign w:val="center"/>
          </w:tcPr>
          <w:p w14:paraId="65C1F6B7" w14:textId="74AE43A6" w:rsidR="00070462" w:rsidRPr="006104A6" w:rsidRDefault="00070462" w:rsidP="00070462">
            <w:pPr>
              <w:pStyle w:val="TableText0"/>
              <w:keepNext w:val="0"/>
              <w:widowControl w:val="0"/>
              <w:jc w:val="center"/>
              <w:rPr>
                <w:iCs/>
                <w:szCs w:val="20"/>
              </w:rPr>
            </w:pPr>
            <w:r w:rsidRPr="006104A6">
              <w:rPr>
                <w:iCs/>
                <w:szCs w:val="20"/>
              </w:rPr>
              <w:t>0.83^*</w:t>
            </w:r>
          </w:p>
          <w:p w14:paraId="7734C795" w14:textId="6EFF1DF5" w:rsidR="00070462" w:rsidRPr="006104A6" w:rsidRDefault="00070462" w:rsidP="00070462">
            <w:pPr>
              <w:pStyle w:val="TableText0"/>
              <w:keepNext w:val="0"/>
              <w:widowControl w:val="0"/>
              <w:jc w:val="center"/>
              <w:rPr>
                <w:i/>
                <w:iCs/>
                <w:szCs w:val="20"/>
              </w:rPr>
            </w:pPr>
            <w:r w:rsidRPr="006104A6">
              <w:rPr>
                <w:iCs/>
                <w:szCs w:val="20"/>
              </w:rPr>
              <w:t>(0.13, 5.45)</w:t>
            </w:r>
          </w:p>
        </w:tc>
      </w:tr>
      <w:tr w:rsidR="00070462" w:rsidRPr="006104A6" w14:paraId="16C12791" w14:textId="77777777" w:rsidTr="000B6AA2">
        <w:trPr>
          <w:cantSplit/>
        </w:trPr>
        <w:tc>
          <w:tcPr>
            <w:tcW w:w="958" w:type="pct"/>
            <w:shd w:val="clear" w:color="auto" w:fill="auto"/>
            <w:vAlign w:val="center"/>
          </w:tcPr>
          <w:p w14:paraId="42AF554A" w14:textId="77777777" w:rsidR="00070462" w:rsidRPr="006104A6" w:rsidRDefault="00070462" w:rsidP="00070462">
            <w:pPr>
              <w:pStyle w:val="TableText0"/>
              <w:keepNext w:val="0"/>
              <w:widowControl w:val="0"/>
              <w:rPr>
                <w:szCs w:val="20"/>
              </w:rPr>
            </w:pPr>
            <w:r w:rsidRPr="006104A6">
              <w:rPr>
                <w:szCs w:val="20"/>
              </w:rPr>
              <w:t>Gentry 2023</w:t>
            </w:r>
          </w:p>
          <w:p w14:paraId="0B2B3576" w14:textId="4DAAD997" w:rsidR="00070462" w:rsidRPr="006104A6" w:rsidRDefault="00070462" w:rsidP="00070462">
            <w:pPr>
              <w:pStyle w:val="TableText0"/>
              <w:keepNext w:val="0"/>
              <w:widowControl w:val="0"/>
              <w:rPr>
                <w:szCs w:val="20"/>
              </w:rPr>
            </w:pPr>
            <w:r w:rsidRPr="006104A6">
              <w:rPr>
                <w:szCs w:val="20"/>
              </w:rPr>
              <w:t>(≥ 65 years)</w:t>
            </w:r>
          </w:p>
        </w:tc>
        <w:tc>
          <w:tcPr>
            <w:tcW w:w="690" w:type="pct"/>
            <w:vAlign w:val="center"/>
          </w:tcPr>
          <w:p w14:paraId="5054E00E" w14:textId="77777777" w:rsidR="00070462" w:rsidRPr="006104A6" w:rsidRDefault="00070462" w:rsidP="00070462">
            <w:pPr>
              <w:pStyle w:val="TableText0"/>
              <w:keepNext w:val="0"/>
              <w:widowControl w:val="0"/>
              <w:rPr>
                <w:szCs w:val="20"/>
              </w:rPr>
            </w:pPr>
            <w:r w:rsidRPr="006104A6">
              <w:rPr>
                <w:szCs w:val="20"/>
              </w:rPr>
              <w:t>Hospitalisation or death –</w:t>
            </w:r>
          </w:p>
          <w:p w14:paraId="13AEA66B" w14:textId="6324474F" w:rsidR="00070462" w:rsidRPr="006104A6" w:rsidRDefault="00070462" w:rsidP="00070462">
            <w:pPr>
              <w:pStyle w:val="TableText0"/>
              <w:keepNext w:val="0"/>
              <w:widowControl w:val="0"/>
              <w:rPr>
                <w:szCs w:val="20"/>
              </w:rPr>
            </w:pPr>
            <w:r w:rsidRPr="006104A6">
              <w:rPr>
                <w:szCs w:val="20"/>
              </w:rPr>
              <w:t>Day 30</w:t>
            </w:r>
          </w:p>
        </w:tc>
        <w:tc>
          <w:tcPr>
            <w:tcW w:w="507" w:type="pct"/>
            <w:shd w:val="clear" w:color="auto" w:fill="auto"/>
            <w:vAlign w:val="center"/>
          </w:tcPr>
          <w:p w14:paraId="4C904CF3" w14:textId="77777777" w:rsidR="00070462" w:rsidRPr="006104A6" w:rsidRDefault="00070462" w:rsidP="00070462">
            <w:pPr>
              <w:pStyle w:val="TableText0"/>
              <w:keepNext w:val="0"/>
              <w:widowControl w:val="0"/>
              <w:jc w:val="center"/>
              <w:rPr>
                <w:szCs w:val="20"/>
              </w:rPr>
            </w:pPr>
            <w:r w:rsidRPr="006104A6">
              <w:rPr>
                <w:szCs w:val="20"/>
              </w:rPr>
              <w:t>31/557</w:t>
            </w:r>
          </w:p>
          <w:p w14:paraId="2E331357" w14:textId="3AD93A38" w:rsidR="00070462" w:rsidRPr="006104A6" w:rsidRDefault="00070462" w:rsidP="00070462">
            <w:pPr>
              <w:pStyle w:val="TableText0"/>
              <w:keepNext w:val="0"/>
              <w:widowControl w:val="0"/>
              <w:jc w:val="center"/>
              <w:rPr>
                <w:szCs w:val="20"/>
              </w:rPr>
            </w:pPr>
            <w:r w:rsidRPr="006104A6">
              <w:rPr>
                <w:szCs w:val="20"/>
              </w:rPr>
              <w:t>(5.57%)</w:t>
            </w:r>
          </w:p>
        </w:tc>
        <w:tc>
          <w:tcPr>
            <w:tcW w:w="594" w:type="pct"/>
            <w:vAlign w:val="center"/>
          </w:tcPr>
          <w:p w14:paraId="2AA5B263" w14:textId="77777777" w:rsidR="00070462" w:rsidRPr="006104A6" w:rsidRDefault="00070462" w:rsidP="00070462">
            <w:pPr>
              <w:pStyle w:val="TableText0"/>
              <w:keepNext w:val="0"/>
              <w:widowControl w:val="0"/>
              <w:jc w:val="center"/>
              <w:rPr>
                <w:szCs w:val="20"/>
              </w:rPr>
            </w:pPr>
            <w:r w:rsidRPr="006104A6">
              <w:rPr>
                <w:szCs w:val="20"/>
              </w:rPr>
              <w:t>139/1370</w:t>
            </w:r>
          </w:p>
          <w:p w14:paraId="7879BA7B" w14:textId="7AAB670D" w:rsidR="00070462" w:rsidRPr="006104A6" w:rsidRDefault="00070462" w:rsidP="00070462">
            <w:pPr>
              <w:pStyle w:val="TableText0"/>
              <w:keepNext w:val="0"/>
              <w:widowControl w:val="0"/>
              <w:jc w:val="center"/>
              <w:rPr>
                <w:szCs w:val="20"/>
              </w:rPr>
            </w:pPr>
            <w:r w:rsidRPr="006104A6">
              <w:rPr>
                <w:szCs w:val="20"/>
              </w:rPr>
              <w:t>(10.15%)</w:t>
            </w:r>
          </w:p>
        </w:tc>
        <w:tc>
          <w:tcPr>
            <w:tcW w:w="558" w:type="pct"/>
            <w:shd w:val="clear" w:color="auto" w:fill="auto"/>
            <w:vAlign w:val="center"/>
          </w:tcPr>
          <w:p w14:paraId="417E8CC0" w14:textId="57FA97D8" w:rsidR="00070462" w:rsidRPr="006104A6" w:rsidRDefault="00070462" w:rsidP="00070462">
            <w:pPr>
              <w:pStyle w:val="TableText0"/>
              <w:keepNext w:val="0"/>
              <w:widowControl w:val="0"/>
              <w:jc w:val="center"/>
              <w:rPr>
                <w:szCs w:val="20"/>
              </w:rPr>
            </w:pPr>
            <w:r w:rsidRPr="006104A6">
              <w:rPr>
                <w:iCs/>
                <w:szCs w:val="20"/>
              </w:rPr>
              <w:t>34</w:t>
            </w:r>
            <w:r w:rsidRPr="006104A6">
              <w:rPr>
                <w:szCs w:val="20"/>
              </w:rPr>
              <w:t>/813</w:t>
            </w:r>
          </w:p>
          <w:p w14:paraId="70F404A1" w14:textId="0CFECD4C" w:rsidR="00070462" w:rsidRPr="006104A6" w:rsidRDefault="00070462" w:rsidP="00070462">
            <w:pPr>
              <w:pStyle w:val="TableText0"/>
              <w:keepNext w:val="0"/>
              <w:widowControl w:val="0"/>
              <w:jc w:val="center"/>
              <w:rPr>
                <w:szCs w:val="20"/>
              </w:rPr>
            </w:pPr>
            <w:r w:rsidRPr="006104A6">
              <w:rPr>
                <w:szCs w:val="20"/>
              </w:rPr>
              <w:t>(4.19%)</w:t>
            </w:r>
          </w:p>
        </w:tc>
        <w:tc>
          <w:tcPr>
            <w:tcW w:w="581" w:type="pct"/>
            <w:shd w:val="clear" w:color="auto" w:fill="auto"/>
            <w:vAlign w:val="center"/>
          </w:tcPr>
          <w:p w14:paraId="7373C8B0" w14:textId="77777777" w:rsidR="00070462" w:rsidRPr="006104A6" w:rsidRDefault="00070462" w:rsidP="00070462">
            <w:pPr>
              <w:pStyle w:val="TableText0"/>
              <w:keepNext w:val="0"/>
              <w:widowControl w:val="0"/>
              <w:jc w:val="center"/>
              <w:rPr>
                <w:b/>
                <w:szCs w:val="20"/>
              </w:rPr>
            </w:pPr>
            <w:r w:rsidRPr="006104A6">
              <w:rPr>
                <w:b/>
                <w:szCs w:val="20"/>
              </w:rPr>
              <w:t>0.52</w:t>
            </w:r>
          </w:p>
          <w:p w14:paraId="5C628FBE" w14:textId="2C66C5A5" w:rsidR="00070462" w:rsidRPr="006104A6" w:rsidRDefault="00070462" w:rsidP="00070462">
            <w:pPr>
              <w:pStyle w:val="TableText0"/>
              <w:keepNext w:val="0"/>
              <w:widowControl w:val="0"/>
              <w:jc w:val="center"/>
              <w:rPr>
                <w:szCs w:val="20"/>
              </w:rPr>
            </w:pPr>
            <w:r w:rsidRPr="006104A6">
              <w:rPr>
                <w:b/>
                <w:szCs w:val="20"/>
              </w:rPr>
              <w:t>(0.35, 0.78)</w:t>
            </w:r>
          </w:p>
        </w:tc>
        <w:tc>
          <w:tcPr>
            <w:tcW w:w="531" w:type="pct"/>
            <w:shd w:val="clear" w:color="auto" w:fill="auto"/>
            <w:vAlign w:val="center"/>
          </w:tcPr>
          <w:p w14:paraId="32C73068" w14:textId="77777777" w:rsidR="00070462" w:rsidRPr="006104A6" w:rsidRDefault="00070462" w:rsidP="00070462">
            <w:pPr>
              <w:pStyle w:val="TableText0"/>
              <w:keepNext w:val="0"/>
              <w:widowControl w:val="0"/>
              <w:jc w:val="center"/>
              <w:rPr>
                <w:b/>
                <w:szCs w:val="20"/>
              </w:rPr>
            </w:pPr>
            <w:r w:rsidRPr="006104A6">
              <w:rPr>
                <w:b/>
                <w:szCs w:val="20"/>
              </w:rPr>
              <w:t>0.39</w:t>
            </w:r>
          </w:p>
          <w:p w14:paraId="4C316495" w14:textId="1A47F8B3" w:rsidR="00070462" w:rsidRPr="006104A6" w:rsidRDefault="00070462" w:rsidP="00070462">
            <w:pPr>
              <w:pStyle w:val="TableText0"/>
              <w:keepNext w:val="0"/>
              <w:widowControl w:val="0"/>
              <w:jc w:val="center"/>
              <w:rPr>
                <w:szCs w:val="20"/>
              </w:rPr>
            </w:pPr>
            <w:r w:rsidRPr="006104A6">
              <w:rPr>
                <w:b/>
                <w:szCs w:val="20"/>
              </w:rPr>
              <w:t>(0.26, 0.57)</w:t>
            </w:r>
          </w:p>
        </w:tc>
        <w:tc>
          <w:tcPr>
            <w:tcW w:w="581" w:type="pct"/>
            <w:shd w:val="clear" w:color="auto" w:fill="auto"/>
            <w:vAlign w:val="center"/>
          </w:tcPr>
          <w:p w14:paraId="17587CA7" w14:textId="77777777" w:rsidR="00070462" w:rsidRPr="006104A6" w:rsidRDefault="00070462" w:rsidP="00070462">
            <w:pPr>
              <w:pStyle w:val="TableText0"/>
              <w:keepNext w:val="0"/>
              <w:widowControl w:val="0"/>
              <w:jc w:val="center"/>
              <w:rPr>
                <w:iCs/>
                <w:szCs w:val="20"/>
              </w:rPr>
            </w:pPr>
            <w:r w:rsidRPr="006104A6">
              <w:rPr>
                <w:iCs/>
                <w:szCs w:val="20"/>
              </w:rPr>
              <w:t>1.35</w:t>
            </w:r>
          </w:p>
          <w:p w14:paraId="1DEC8BF0" w14:textId="41CCC761" w:rsidR="00070462" w:rsidRPr="006104A6" w:rsidRDefault="00070462" w:rsidP="00070462">
            <w:pPr>
              <w:pStyle w:val="TableText0"/>
              <w:keepNext w:val="0"/>
              <w:widowControl w:val="0"/>
              <w:jc w:val="center"/>
              <w:rPr>
                <w:szCs w:val="20"/>
              </w:rPr>
            </w:pPr>
            <w:r w:rsidRPr="006104A6">
              <w:rPr>
                <w:iCs/>
                <w:szCs w:val="20"/>
              </w:rPr>
              <w:t>(0.82, 2.21)</w:t>
            </w:r>
          </w:p>
        </w:tc>
      </w:tr>
      <w:tr w:rsidR="00070462" w:rsidRPr="006104A6" w14:paraId="45A07BEF" w14:textId="77777777" w:rsidTr="000B6AA2">
        <w:trPr>
          <w:cantSplit/>
        </w:trPr>
        <w:tc>
          <w:tcPr>
            <w:tcW w:w="958" w:type="pct"/>
            <w:vMerge w:val="restart"/>
            <w:shd w:val="clear" w:color="auto" w:fill="auto"/>
            <w:vAlign w:val="center"/>
          </w:tcPr>
          <w:p w14:paraId="05BC0365" w14:textId="38BF52FF" w:rsidR="00070462" w:rsidRPr="006104A6" w:rsidRDefault="00070462" w:rsidP="00070462">
            <w:pPr>
              <w:pStyle w:val="TableText0"/>
              <w:keepNext w:val="0"/>
              <w:widowControl w:val="0"/>
              <w:rPr>
                <w:szCs w:val="20"/>
              </w:rPr>
            </w:pPr>
            <w:r w:rsidRPr="006104A6">
              <w:rPr>
                <w:szCs w:val="20"/>
              </w:rPr>
              <w:t>Wong 2022</w:t>
            </w:r>
          </w:p>
        </w:tc>
        <w:tc>
          <w:tcPr>
            <w:tcW w:w="690" w:type="pct"/>
            <w:vAlign w:val="center"/>
          </w:tcPr>
          <w:p w14:paraId="18DAF21D" w14:textId="066AF670" w:rsidR="00070462" w:rsidRPr="006104A6" w:rsidRDefault="00070462" w:rsidP="00070462">
            <w:pPr>
              <w:pStyle w:val="TableText0"/>
              <w:keepNext w:val="0"/>
              <w:widowControl w:val="0"/>
              <w:rPr>
                <w:szCs w:val="20"/>
              </w:rPr>
            </w:pPr>
            <w:r w:rsidRPr="006104A6">
              <w:rPr>
                <w:szCs w:val="20"/>
              </w:rPr>
              <w:t>Hospitalisation</w:t>
            </w:r>
          </w:p>
        </w:tc>
        <w:tc>
          <w:tcPr>
            <w:tcW w:w="507" w:type="pct"/>
            <w:shd w:val="clear" w:color="auto" w:fill="auto"/>
          </w:tcPr>
          <w:p w14:paraId="228713C2" w14:textId="6C3A7DE2" w:rsidR="00070462" w:rsidRPr="006104A6" w:rsidRDefault="00070462" w:rsidP="00070462">
            <w:pPr>
              <w:pStyle w:val="TableText0"/>
              <w:keepNext w:val="0"/>
              <w:widowControl w:val="0"/>
              <w:jc w:val="center"/>
              <w:rPr>
                <w:szCs w:val="20"/>
              </w:rPr>
            </w:pPr>
            <w:r w:rsidRPr="006104A6">
              <w:rPr>
                <w:szCs w:val="20"/>
              </w:rPr>
              <w:t>476/4983 (9.56%)</w:t>
            </w:r>
          </w:p>
        </w:tc>
        <w:tc>
          <w:tcPr>
            <w:tcW w:w="594" w:type="pct"/>
          </w:tcPr>
          <w:p w14:paraId="330DCF6C" w14:textId="1AFC3480" w:rsidR="00070462" w:rsidRPr="006104A6" w:rsidRDefault="00070462" w:rsidP="00070462">
            <w:pPr>
              <w:pStyle w:val="TableText0"/>
              <w:keepNext w:val="0"/>
              <w:widowControl w:val="0"/>
              <w:jc w:val="center"/>
              <w:rPr>
                <w:szCs w:val="20"/>
              </w:rPr>
            </w:pPr>
            <w:r w:rsidRPr="006104A6">
              <w:rPr>
                <w:szCs w:val="20"/>
              </w:rPr>
              <w:t>4800/49234 (9.75%)</w:t>
            </w:r>
          </w:p>
        </w:tc>
        <w:tc>
          <w:tcPr>
            <w:tcW w:w="558" w:type="pct"/>
            <w:shd w:val="clear" w:color="auto" w:fill="auto"/>
            <w:vAlign w:val="center"/>
          </w:tcPr>
          <w:p w14:paraId="33DB22D3" w14:textId="4646CD52"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tcPr>
          <w:p w14:paraId="09D861A2" w14:textId="77777777" w:rsidR="00070462" w:rsidRPr="006104A6" w:rsidRDefault="00070462" w:rsidP="00070462">
            <w:pPr>
              <w:pStyle w:val="TableText0"/>
              <w:keepNext w:val="0"/>
              <w:widowControl w:val="0"/>
              <w:jc w:val="center"/>
              <w:rPr>
                <w:szCs w:val="20"/>
              </w:rPr>
            </w:pPr>
            <w:r w:rsidRPr="006104A6">
              <w:rPr>
                <w:szCs w:val="20"/>
              </w:rPr>
              <w:t>0.98</w:t>
            </w:r>
          </w:p>
          <w:p w14:paraId="78D3C227" w14:textId="6F1FCAC3" w:rsidR="00070462" w:rsidRPr="006104A6" w:rsidRDefault="00070462" w:rsidP="00070462">
            <w:pPr>
              <w:pStyle w:val="TableText0"/>
              <w:keepNext w:val="0"/>
              <w:widowControl w:val="0"/>
              <w:jc w:val="center"/>
              <w:rPr>
                <w:szCs w:val="20"/>
              </w:rPr>
            </w:pPr>
            <w:r w:rsidRPr="006104A6">
              <w:rPr>
                <w:szCs w:val="20"/>
              </w:rPr>
              <w:t>(0.89, 1.0)</w:t>
            </w:r>
          </w:p>
        </w:tc>
        <w:tc>
          <w:tcPr>
            <w:tcW w:w="531" w:type="pct"/>
            <w:shd w:val="clear" w:color="auto" w:fill="auto"/>
            <w:vAlign w:val="center"/>
          </w:tcPr>
          <w:p w14:paraId="6ECC59A3"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3097ABA4" w14:textId="77777777" w:rsidR="00070462" w:rsidRPr="006104A6" w:rsidRDefault="00070462" w:rsidP="00070462">
            <w:pPr>
              <w:pStyle w:val="TableText0"/>
              <w:keepNext w:val="0"/>
              <w:widowControl w:val="0"/>
              <w:jc w:val="center"/>
              <w:rPr>
                <w:szCs w:val="20"/>
              </w:rPr>
            </w:pPr>
          </w:p>
        </w:tc>
      </w:tr>
      <w:tr w:rsidR="00070462" w:rsidRPr="006104A6" w14:paraId="7F007A8E" w14:textId="77777777" w:rsidTr="000B6AA2">
        <w:trPr>
          <w:cantSplit/>
        </w:trPr>
        <w:tc>
          <w:tcPr>
            <w:tcW w:w="958" w:type="pct"/>
            <w:vMerge/>
            <w:shd w:val="clear" w:color="auto" w:fill="auto"/>
            <w:vAlign w:val="center"/>
          </w:tcPr>
          <w:p w14:paraId="27A3CF95" w14:textId="506A9657" w:rsidR="00070462" w:rsidRPr="006104A6" w:rsidRDefault="00070462" w:rsidP="00070462">
            <w:pPr>
              <w:pStyle w:val="TableText0"/>
              <w:keepNext w:val="0"/>
              <w:widowControl w:val="0"/>
              <w:rPr>
                <w:szCs w:val="20"/>
              </w:rPr>
            </w:pPr>
          </w:p>
        </w:tc>
        <w:tc>
          <w:tcPr>
            <w:tcW w:w="690" w:type="pct"/>
            <w:vAlign w:val="center"/>
          </w:tcPr>
          <w:p w14:paraId="525F4611" w14:textId="3E16B6EF" w:rsidR="00070462" w:rsidRPr="006104A6" w:rsidRDefault="00070462" w:rsidP="00070462">
            <w:pPr>
              <w:pStyle w:val="TableText0"/>
              <w:keepNext w:val="0"/>
              <w:widowControl w:val="0"/>
              <w:rPr>
                <w:szCs w:val="20"/>
              </w:rPr>
            </w:pPr>
            <w:r w:rsidRPr="006104A6">
              <w:rPr>
                <w:szCs w:val="20"/>
              </w:rPr>
              <w:t>Death</w:t>
            </w:r>
          </w:p>
        </w:tc>
        <w:tc>
          <w:tcPr>
            <w:tcW w:w="507" w:type="pct"/>
            <w:shd w:val="clear" w:color="auto" w:fill="auto"/>
          </w:tcPr>
          <w:p w14:paraId="2C0FEA32" w14:textId="5876CD78" w:rsidR="00070462" w:rsidRPr="006104A6" w:rsidRDefault="00070462" w:rsidP="00070462">
            <w:pPr>
              <w:pStyle w:val="TableText0"/>
              <w:keepNext w:val="0"/>
              <w:widowControl w:val="0"/>
              <w:jc w:val="center"/>
              <w:rPr>
                <w:szCs w:val="20"/>
              </w:rPr>
            </w:pPr>
            <w:r w:rsidRPr="006104A6">
              <w:rPr>
                <w:szCs w:val="20"/>
              </w:rPr>
              <w:t>45/4983 (0.91%)</w:t>
            </w:r>
          </w:p>
        </w:tc>
        <w:tc>
          <w:tcPr>
            <w:tcW w:w="594" w:type="pct"/>
          </w:tcPr>
          <w:p w14:paraId="799848D7" w14:textId="60B54C8F" w:rsidR="00070462" w:rsidRPr="006104A6" w:rsidRDefault="00070462" w:rsidP="00070462">
            <w:pPr>
              <w:pStyle w:val="TableText0"/>
              <w:keepNext w:val="0"/>
              <w:widowControl w:val="0"/>
              <w:jc w:val="center"/>
              <w:rPr>
                <w:szCs w:val="20"/>
              </w:rPr>
            </w:pPr>
            <w:r w:rsidRPr="006104A6">
              <w:rPr>
                <w:szCs w:val="20"/>
              </w:rPr>
              <w:t>734/49234 (1.49%)</w:t>
            </w:r>
          </w:p>
        </w:tc>
        <w:tc>
          <w:tcPr>
            <w:tcW w:w="558" w:type="pct"/>
            <w:shd w:val="clear" w:color="auto" w:fill="auto"/>
            <w:vAlign w:val="center"/>
          </w:tcPr>
          <w:p w14:paraId="622F67A6" w14:textId="362CB11F" w:rsidR="00070462" w:rsidRPr="006104A6" w:rsidRDefault="00070462" w:rsidP="00070462">
            <w:pPr>
              <w:pStyle w:val="TableText0"/>
              <w:keepNext w:val="0"/>
              <w:widowControl w:val="0"/>
              <w:jc w:val="center"/>
              <w:rPr>
                <w:szCs w:val="20"/>
              </w:rPr>
            </w:pPr>
            <w:r w:rsidRPr="006104A6">
              <w:rPr>
                <w:szCs w:val="20"/>
              </w:rPr>
              <w:t>n/a</w:t>
            </w:r>
          </w:p>
        </w:tc>
        <w:tc>
          <w:tcPr>
            <w:tcW w:w="581" w:type="pct"/>
            <w:shd w:val="clear" w:color="auto" w:fill="auto"/>
          </w:tcPr>
          <w:p w14:paraId="5B0F7F5C" w14:textId="77777777" w:rsidR="00070462" w:rsidRPr="006104A6" w:rsidRDefault="00070462" w:rsidP="00070462">
            <w:pPr>
              <w:pStyle w:val="TableText0"/>
              <w:keepNext w:val="0"/>
              <w:widowControl w:val="0"/>
              <w:jc w:val="center"/>
              <w:rPr>
                <w:b/>
                <w:szCs w:val="20"/>
              </w:rPr>
            </w:pPr>
            <w:r w:rsidRPr="006104A6">
              <w:rPr>
                <w:b/>
                <w:szCs w:val="20"/>
              </w:rPr>
              <w:t>0.61</w:t>
            </w:r>
          </w:p>
          <w:p w14:paraId="4FA83BC5" w14:textId="3F84BEBA" w:rsidR="00070462" w:rsidRPr="006104A6" w:rsidRDefault="00070462" w:rsidP="00070462">
            <w:pPr>
              <w:pStyle w:val="TableText0"/>
              <w:keepNext w:val="0"/>
              <w:widowControl w:val="0"/>
              <w:jc w:val="center"/>
              <w:rPr>
                <w:b/>
                <w:szCs w:val="20"/>
              </w:rPr>
            </w:pPr>
            <w:r w:rsidRPr="006104A6">
              <w:rPr>
                <w:b/>
                <w:szCs w:val="20"/>
              </w:rPr>
              <w:t>(0.45, 0.82)</w:t>
            </w:r>
          </w:p>
        </w:tc>
        <w:tc>
          <w:tcPr>
            <w:tcW w:w="531" w:type="pct"/>
            <w:shd w:val="clear" w:color="auto" w:fill="auto"/>
            <w:vAlign w:val="center"/>
          </w:tcPr>
          <w:p w14:paraId="0409E710"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0AF1F2E9" w14:textId="77777777" w:rsidR="00070462" w:rsidRPr="006104A6" w:rsidRDefault="00070462" w:rsidP="00070462">
            <w:pPr>
              <w:pStyle w:val="TableText0"/>
              <w:keepNext w:val="0"/>
              <w:widowControl w:val="0"/>
              <w:jc w:val="center"/>
              <w:rPr>
                <w:szCs w:val="20"/>
              </w:rPr>
            </w:pPr>
          </w:p>
        </w:tc>
      </w:tr>
      <w:tr w:rsidR="00070462" w:rsidRPr="006104A6" w14:paraId="12C8F116" w14:textId="77777777" w:rsidTr="000B6AA2">
        <w:trPr>
          <w:cantSplit/>
        </w:trPr>
        <w:tc>
          <w:tcPr>
            <w:tcW w:w="958" w:type="pct"/>
            <w:vMerge w:val="restart"/>
            <w:shd w:val="clear" w:color="auto" w:fill="auto"/>
            <w:vAlign w:val="center"/>
          </w:tcPr>
          <w:p w14:paraId="7E498995" w14:textId="6C64250A" w:rsidR="00070462" w:rsidRPr="006104A6" w:rsidRDefault="00070462" w:rsidP="00070462">
            <w:pPr>
              <w:pStyle w:val="TableText0"/>
              <w:keepNext w:val="0"/>
              <w:widowControl w:val="0"/>
              <w:rPr>
                <w:szCs w:val="20"/>
              </w:rPr>
            </w:pPr>
            <w:r w:rsidRPr="006104A6">
              <w:rPr>
                <w:szCs w:val="20"/>
              </w:rPr>
              <w:t>Wong 2022 nirmatrelvir and ritonavir</w:t>
            </w:r>
          </w:p>
        </w:tc>
        <w:tc>
          <w:tcPr>
            <w:tcW w:w="690" w:type="pct"/>
            <w:vAlign w:val="center"/>
          </w:tcPr>
          <w:p w14:paraId="66300FAA" w14:textId="1C8BD1E0" w:rsidR="00070462" w:rsidRPr="006104A6" w:rsidRDefault="00070462" w:rsidP="00070462">
            <w:pPr>
              <w:pStyle w:val="TableText0"/>
              <w:keepNext w:val="0"/>
              <w:widowControl w:val="0"/>
              <w:rPr>
                <w:szCs w:val="20"/>
              </w:rPr>
            </w:pPr>
            <w:r w:rsidRPr="006104A6">
              <w:rPr>
                <w:szCs w:val="20"/>
              </w:rPr>
              <w:t>Hospitalisation</w:t>
            </w:r>
          </w:p>
        </w:tc>
        <w:tc>
          <w:tcPr>
            <w:tcW w:w="507" w:type="pct"/>
            <w:shd w:val="clear" w:color="auto" w:fill="auto"/>
            <w:vAlign w:val="center"/>
          </w:tcPr>
          <w:p w14:paraId="5CD5DFC5" w14:textId="592FF28A" w:rsidR="00070462" w:rsidRPr="006104A6" w:rsidRDefault="00070462" w:rsidP="00070462">
            <w:pPr>
              <w:pStyle w:val="TableText0"/>
              <w:keepNext w:val="0"/>
              <w:widowControl w:val="0"/>
              <w:jc w:val="center"/>
              <w:rPr>
                <w:szCs w:val="20"/>
              </w:rPr>
            </w:pPr>
            <w:r w:rsidRPr="006104A6">
              <w:rPr>
                <w:szCs w:val="20"/>
              </w:rPr>
              <w:t>n/a</w:t>
            </w:r>
          </w:p>
        </w:tc>
        <w:tc>
          <w:tcPr>
            <w:tcW w:w="594" w:type="pct"/>
            <w:vAlign w:val="center"/>
          </w:tcPr>
          <w:p w14:paraId="13F681CE" w14:textId="0B7E9C85" w:rsidR="00070462" w:rsidRPr="006104A6" w:rsidRDefault="00070462" w:rsidP="00070462">
            <w:pPr>
              <w:pStyle w:val="TableText0"/>
              <w:keepNext w:val="0"/>
              <w:widowControl w:val="0"/>
              <w:jc w:val="center"/>
              <w:rPr>
                <w:iCs/>
                <w:szCs w:val="20"/>
              </w:rPr>
            </w:pPr>
            <w:r w:rsidRPr="006104A6">
              <w:rPr>
                <w:iCs/>
                <w:szCs w:val="20"/>
              </w:rPr>
              <w:t>3107/54672 (5.68%)</w:t>
            </w:r>
          </w:p>
        </w:tc>
        <w:tc>
          <w:tcPr>
            <w:tcW w:w="558" w:type="pct"/>
            <w:shd w:val="clear" w:color="auto" w:fill="auto"/>
            <w:vAlign w:val="center"/>
          </w:tcPr>
          <w:p w14:paraId="72DE6B43" w14:textId="4D1CAB86" w:rsidR="00070462" w:rsidRPr="006104A6" w:rsidRDefault="00070462" w:rsidP="00070462">
            <w:pPr>
              <w:pStyle w:val="TableText0"/>
              <w:keepNext w:val="0"/>
              <w:widowControl w:val="0"/>
              <w:jc w:val="center"/>
              <w:rPr>
                <w:iCs/>
                <w:szCs w:val="20"/>
              </w:rPr>
            </w:pPr>
            <w:r w:rsidRPr="006104A6">
              <w:rPr>
                <w:iCs/>
                <w:szCs w:val="20"/>
              </w:rPr>
              <w:t>239/5542 (4.31%)</w:t>
            </w:r>
          </w:p>
        </w:tc>
        <w:tc>
          <w:tcPr>
            <w:tcW w:w="581" w:type="pct"/>
            <w:shd w:val="clear" w:color="auto" w:fill="auto"/>
            <w:vAlign w:val="center"/>
          </w:tcPr>
          <w:p w14:paraId="59C5E8B7" w14:textId="742B8A3D" w:rsidR="00070462" w:rsidRPr="006104A6" w:rsidRDefault="00070462" w:rsidP="00070462">
            <w:pPr>
              <w:pStyle w:val="TableText0"/>
              <w:keepNext w:val="0"/>
              <w:widowControl w:val="0"/>
              <w:jc w:val="center"/>
              <w:rPr>
                <w:bCs w:val="0"/>
                <w:iCs/>
                <w:szCs w:val="20"/>
              </w:rPr>
            </w:pPr>
          </w:p>
        </w:tc>
        <w:tc>
          <w:tcPr>
            <w:tcW w:w="531" w:type="pct"/>
            <w:shd w:val="clear" w:color="auto" w:fill="auto"/>
          </w:tcPr>
          <w:p w14:paraId="3C5C2C27" w14:textId="77777777" w:rsidR="00070462" w:rsidRPr="006104A6" w:rsidRDefault="00070462" w:rsidP="00070462">
            <w:pPr>
              <w:pStyle w:val="TableText0"/>
              <w:keepNext w:val="0"/>
              <w:widowControl w:val="0"/>
              <w:jc w:val="center"/>
              <w:rPr>
                <w:b/>
                <w:iCs/>
                <w:szCs w:val="20"/>
              </w:rPr>
            </w:pPr>
            <w:r w:rsidRPr="006104A6">
              <w:rPr>
                <w:b/>
                <w:iCs/>
                <w:szCs w:val="20"/>
              </w:rPr>
              <w:t>0.75</w:t>
            </w:r>
          </w:p>
          <w:p w14:paraId="187DAC98" w14:textId="3716A89D" w:rsidR="00070462" w:rsidRPr="006104A6" w:rsidRDefault="00070462" w:rsidP="00070462">
            <w:pPr>
              <w:pStyle w:val="TableText0"/>
              <w:keepNext w:val="0"/>
              <w:widowControl w:val="0"/>
              <w:jc w:val="center"/>
              <w:rPr>
                <w:iCs/>
                <w:szCs w:val="20"/>
              </w:rPr>
            </w:pPr>
            <w:r w:rsidRPr="006104A6">
              <w:rPr>
                <w:b/>
                <w:iCs/>
                <w:szCs w:val="20"/>
              </w:rPr>
              <w:t>(0.65, 0.86)</w:t>
            </w:r>
          </w:p>
        </w:tc>
        <w:tc>
          <w:tcPr>
            <w:tcW w:w="581" w:type="pct"/>
            <w:shd w:val="clear" w:color="auto" w:fill="auto"/>
          </w:tcPr>
          <w:p w14:paraId="2852FD37" w14:textId="291ED29A" w:rsidR="00070462" w:rsidRPr="006104A6" w:rsidRDefault="00070462" w:rsidP="00070462">
            <w:pPr>
              <w:pStyle w:val="TableText0"/>
              <w:keepNext w:val="0"/>
              <w:widowControl w:val="0"/>
              <w:jc w:val="center"/>
              <w:rPr>
                <w:szCs w:val="20"/>
              </w:rPr>
            </w:pPr>
          </w:p>
        </w:tc>
      </w:tr>
      <w:tr w:rsidR="00070462" w:rsidRPr="006104A6" w14:paraId="59DAEB82" w14:textId="77777777" w:rsidTr="000B6AA2">
        <w:trPr>
          <w:cantSplit/>
        </w:trPr>
        <w:tc>
          <w:tcPr>
            <w:tcW w:w="958" w:type="pct"/>
            <w:vMerge/>
            <w:shd w:val="clear" w:color="auto" w:fill="auto"/>
            <w:vAlign w:val="center"/>
          </w:tcPr>
          <w:p w14:paraId="30F8AF61" w14:textId="77777777" w:rsidR="00070462" w:rsidRPr="006104A6" w:rsidRDefault="00070462" w:rsidP="00070462">
            <w:pPr>
              <w:pStyle w:val="TableText0"/>
              <w:keepNext w:val="0"/>
              <w:widowControl w:val="0"/>
              <w:rPr>
                <w:szCs w:val="20"/>
              </w:rPr>
            </w:pPr>
          </w:p>
        </w:tc>
        <w:tc>
          <w:tcPr>
            <w:tcW w:w="690" w:type="pct"/>
            <w:vAlign w:val="center"/>
          </w:tcPr>
          <w:p w14:paraId="4F6CF3AE" w14:textId="3AFF4063" w:rsidR="00070462" w:rsidRPr="006104A6" w:rsidRDefault="00070462" w:rsidP="00070462">
            <w:pPr>
              <w:pStyle w:val="TableText0"/>
              <w:keepNext w:val="0"/>
              <w:widowControl w:val="0"/>
              <w:rPr>
                <w:szCs w:val="20"/>
              </w:rPr>
            </w:pPr>
            <w:r w:rsidRPr="006104A6">
              <w:rPr>
                <w:szCs w:val="20"/>
              </w:rPr>
              <w:t>Death</w:t>
            </w:r>
          </w:p>
        </w:tc>
        <w:tc>
          <w:tcPr>
            <w:tcW w:w="507" w:type="pct"/>
            <w:shd w:val="clear" w:color="auto" w:fill="auto"/>
            <w:vAlign w:val="center"/>
          </w:tcPr>
          <w:p w14:paraId="21CD3314" w14:textId="55973104" w:rsidR="00070462" w:rsidRPr="006104A6" w:rsidRDefault="00070462" w:rsidP="00070462">
            <w:pPr>
              <w:pStyle w:val="TableText0"/>
              <w:keepNext w:val="0"/>
              <w:widowControl w:val="0"/>
              <w:jc w:val="center"/>
              <w:rPr>
                <w:szCs w:val="20"/>
              </w:rPr>
            </w:pPr>
            <w:r w:rsidRPr="006104A6">
              <w:rPr>
                <w:szCs w:val="20"/>
              </w:rPr>
              <w:t>n/a</w:t>
            </w:r>
          </w:p>
        </w:tc>
        <w:tc>
          <w:tcPr>
            <w:tcW w:w="594" w:type="pct"/>
            <w:vAlign w:val="center"/>
          </w:tcPr>
          <w:p w14:paraId="582D4A13" w14:textId="60EE558D" w:rsidR="00070462" w:rsidRPr="006104A6" w:rsidRDefault="00070462" w:rsidP="00070462">
            <w:pPr>
              <w:pStyle w:val="TableText0"/>
              <w:keepNext w:val="0"/>
              <w:widowControl w:val="0"/>
              <w:jc w:val="center"/>
              <w:rPr>
                <w:iCs/>
                <w:szCs w:val="20"/>
              </w:rPr>
            </w:pPr>
            <w:r w:rsidRPr="006104A6">
              <w:rPr>
                <w:iCs/>
                <w:szCs w:val="20"/>
              </w:rPr>
              <w:t>383/54672 (0.70%)</w:t>
            </w:r>
          </w:p>
        </w:tc>
        <w:tc>
          <w:tcPr>
            <w:tcW w:w="558" w:type="pct"/>
            <w:shd w:val="clear" w:color="auto" w:fill="auto"/>
            <w:vAlign w:val="center"/>
          </w:tcPr>
          <w:p w14:paraId="5C7FA380" w14:textId="599FF0DB" w:rsidR="00070462" w:rsidRPr="006104A6" w:rsidRDefault="00070462" w:rsidP="00070462">
            <w:pPr>
              <w:pStyle w:val="TableText0"/>
              <w:keepNext w:val="0"/>
              <w:widowControl w:val="0"/>
              <w:jc w:val="center"/>
              <w:rPr>
                <w:iCs/>
                <w:szCs w:val="20"/>
              </w:rPr>
            </w:pPr>
            <w:r w:rsidRPr="006104A6">
              <w:rPr>
                <w:iCs/>
                <w:szCs w:val="20"/>
              </w:rPr>
              <w:t>9/5542 (0.17%)</w:t>
            </w:r>
          </w:p>
        </w:tc>
        <w:tc>
          <w:tcPr>
            <w:tcW w:w="581" w:type="pct"/>
            <w:shd w:val="clear" w:color="auto" w:fill="auto"/>
            <w:vAlign w:val="center"/>
          </w:tcPr>
          <w:p w14:paraId="27B05538" w14:textId="627AE377" w:rsidR="00070462" w:rsidRPr="006104A6" w:rsidRDefault="00070462" w:rsidP="00070462">
            <w:pPr>
              <w:pStyle w:val="TableText0"/>
              <w:keepNext w:val="0"/>
              <w:widowControl w:val="0"/>
              <w:jc w:val="center"/>
              <w:rPr>
                <w:bCs w:val="0"/>
                <w:iCs/>
                <w:szCs w:val="20"/>
              </w:rPr>
            </w:pPr>
          </w:p>
        </w:tc>
        <w:tc>
          <w:tcPr>
            <w:tcW w:w="531" w:type="pct"/>
            <w:shd w:val="clear" w:color="auto" w:fill="auto"/>
          </w:tcPr>
          <w:p w14:paraId="7B4F5DB5" w14:textId="77777777" w:rsidR="00070462" w:rsidRPr="006104A6" w:rsidRDefault="00070462" w:rsidP="00070462">
            <w:pPr>
              <w:pStyle w:val="TableText0"/>
              <w:keepNext w:val="0"/>
              <w:widowControl w:val="0"/>
              <w:jc w:val="center"/>
              <w:rPr>
                <w:b/>
                <w:iCs/>
                <w:szCs w:val="20"/>
              </w:rPr>
            </w:pPr>
            <w:r w:rsidRPr="006104A6">
              <w:rPr>
                <w:b/>
                <w:iCs/>
                <w:szCs w:val="20"/>
              </w:rPr>
              <w:t>0.23</w:t>
            </w:r>
          </w:p>
          <w:p w14:paraId="32C21884" w14:textId="2ECADE51" w:rsidR="00070462" w:rsidRPr="006104A6" w:rsidRDefault="00070462" w:rsidP="00070462">
            <w:pPr>
              <w:pStyle w:val="TableText0"/>
              <w:keepNext w:val="0"/>
              <w:widowControl w:val="0"/>
              <w:jc w:val="center"/>
              <w:rPr>
                <w:iCs/>
                <w:szCs w:val="20"/>
              </w:rPr>
            </w:pPr>
            <w:r w:rsidRPr="006104A6">
              <w:rPr>
                <w:b/>
                <w:iCs/>
                <w:szCs w:val="20"/>
              </w:rPr>
              <w:t>(0.12, 0.44)</w:t>
            </w:r>
          </w:p>
        </w:tc>
        <w:tc>
          <w:tcPr>
            <w:tcW w:w="581" w:type="pct"/>
            <w:shd w:val="clear" w:color="auto" w:fill="auto"/>
          </w:tcPr>
          <w:p w14:paraId="5B334B41" w14:textId="5937C5B3" w:rsidR="00070462" w:rsidRPr="006104A6" w:rsidRDefault="00070462" w:rsidP="00070462">
            <w:pPr>
              <w:pStyle w:val="TableText0"/>
              <w:keepNext w:val="0"/>
              <w:widowControl w:val="0"/>
              <w:jc w:val="center"/>
              <w:rPr>
                <w:szCs w:val="20"/>
              </w:rPr>
            </w:pPr>
          </w:p>
        </w:tc>
      </w:tr>
      <w:tr w:rsidR="00070462" w:rsidRPr="006104A6" w14:paraId="03AFCDEE" w14:textId="77777777" w:rsidTr="000B6AA2">
        <w:trPr>
          <w:cantSplit/>
        </w:trPr>
        <w:tc>
          <w:tcPr>
            <w:tcW w:w="958" w:type="pct"/>
            <w:vMerge w:val="restart"/>
            <w:shd w:val="clear" w:color="auto" w:fill="auto"/>
            <w:vAlign w:val="center"/>
          </w:tcPr>
          <w:p w14:paraId="3356D674" w14:textId="56C896D1" w:rsidR="00070462" w:rsidRPr="006104A6" w:rsidRDefault="00070462" w:rsidP="00070462">
            <w:pPr>
              <w:pStyle w:val="TableText0"/>
              <w:keepNext w:val="0"/>
              <w:widowControl w:val="0"/>
              <w:rPr>
                <w:szCs w:val="20"/>
              </w:rPr>
            </w:pPr>
            <w:r w:rsidRPr="006104A6">
              <w:rPr>
                <w:szCs w:val="20"/>
              </w:rPr>
              <w:t>Indirect comparison based on Wong 2022</w:t>
            </w:r>
          </w:p>
        </w:tc>
        <w:tc>
          <w:tcPr>
            <w:tcW w:w="690" w:type="pct"/>
            <w:vAlign w:val="center"/>
          </w:tcPr>
          <w:p w14:paraId="256DDC16" w14:textId="4567E89B" w:rsidR="00070462" w:rsidRPr="006104A6" w:rsidRDefault="00070462" w:rsidP="00070462">
            <w:pPr>
              <w:pStyle w:val="TableText0"/>
              <w:keepNext w:val="0"/>
              <w:widowControl w:val="0"/>
              <w:rPr>
                <w:szCs w:val="20"/>
              </w:rPr>
            </w:pPr>
            <w:r w:rsidRPr="006104A6">
              <w:rPr>
                <w:szCs w:val="20"/>
              </w:rPr>
              <w:t>Hospitalisation</w:t>
            </w:r>
          </w:p>
        </w:tc>
        <w:tc>
          <w:tcPr>
            <w:tcW w:w="507" w:type="pct"/>
            <w:shd w:val="clear" w:color="auto" w:fill="auto"/>
            <w:vAlign w:val="center"/>
          </w:tcPr>
          <w:p w14:paraId="02A0F776" w14:textId="77777777" w:rsidR="00070462" w:rsidRPr="006104A6" w:rsidRDefault="00070462" w:rsidP="00070462">
            <w:pPr>
              <w:pStyle w:val="TableText0"/>
              <w:keepNext w:val="0"/>
              <w:widowControl w:val="0"/>
              <w:jc w:val="center"/>
              <w:rPr>
                <w:szCs w:val="20"/>
              </w:rPr>
            </w:pPr>
          </w:p>
        </w:tc>
        <w:tc>
          <w:tcPr>
            <w:tcW w:w="594" w:type="pct"/>
            <w:vAlign w:val="center"/>
          </w:tcPr>
          <w:p w14:paraId="74421792" w14:textId="77777777" w:rsidR="00070462" w:rsidRPr="006104A6" w:rsidRDefault="00070462" w:rsidP="00070462">
            <w:pPr>
              <w:pStyle w:val="TableText0"/>
              <w:keepNext w:val="0"/>
              <w:widowControl w:val="0"/>
              <w:jc w:val="center"/>
              <w:rPr>
                <w:szCs w:val="20"/>
              </w:rPr>
            </w:pPr>
          </w:p>
        </w:tc>
        <w:tc>
          <w:tcPr>
            <w:tcW w:w="558" w:type="pct"/>
            <w:shd w:val="clear" w:color="auto" w:fill="auto"/>
            <w:vAlign w:val="center"/>
          </w:tcPr>
          <w:p w14:paraId="268F349A"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5EE1CC63" w14:textId="77777777" w:rsidR="00070462" w:rsidRPr="006104A6" w:rsidRDefault="00070462" w:rsidP="00070462">
            <w:pPr>
              <w:pStyle w:val="TableText0"/>
              <w:keepNext w:val="0"/>
              <w:widowControl w:val="0"/>
              <w:jc w:val="center"/>
              <w:rPr>
                <w:bCs w:val="0"/>
                <w:szCs w:val="20"/>
              </w:rPr>
            </w:pPr>
          </w:p>
        </w:tc>
        <w:tc>
          <w:tcPr>
            <w:tcW w:w="531" w:type="pct"/>
            <w:shd w:val="clear" w:color="auto" w:fill="auto"/>
          </w:tcPr>
          <w:p w14:paraId="176AE701" w14:textId="77777777" w:rsidR="00070462" w:rsidRPr="006104A6" w:rsidRDefault="00070462" w:rsidP="00070462">
            <w:pPr>
              <w:pStyle w:val="TableText0"/>
              <w:keepNext w:val="0"/>
              <w:widowControl w:val="0"/>
              <w:jc w:val="center"/>
              <w:rPr>
                <w:b/>
                <w:szCs w:val="20"/>
              </w:rPr>
            </w:pPr>
          </w:p>
        </w:tc>
        <w:tc>
          <w:tcPr>
            <w:tcW w:w="581" w:type="pct"/>
            <w:shd w:val="clear" w:color="auto" w:fill="auto"/>
          </w:tcPr>
          <w:p w14:paraId="3216BE79" w14:textId="77777777" w:rsidR="00070462" w:rsidRPr="006104A6" w:rsidRDefault="00070462" w:rsidP="00070462">
            <w:pPr>
              <w:pStyle w:val="TableText0"/>
              <w:keepNext w:val="0"/>
              <w:widowControl w:val="0"/>
              <w:jc w:val="center"/>
              <w:rPr>
                <w:b/>
                <w:bCs w:val="0"/>
                <w:iCs/>
                <w:szCs w:val="20"/>
              </w:rPr>
            </w:pPr>
            <w:r w:rsidRPr="006104A6">
              <w:rPr>
                <w:b/>
                <w:bCs w:val="0"/>
                <w:iCs/>
                <w:szCs w:val="20"/>
              </w:rPr>
              <w:t>1.31</w:t>
            </w:r>
          </w:p>
          <w:p w14:paraId="7B2CE08F" w14:textId="22664620" w:rsidR="00070462" w:rsidRPr="006104A6" w:rsidRDefault="00070462" w:rsidP="00070462">
            <w:pPr>
              <w:pStyle w:val="TableText0"/>
              <w:keepNext w:val="0"/>
              <w:widowControl w:val="0"/>
              <w:jc w:val="center"/>
              <w:rPr>
                <w:szCs w:val="20"/>
              </w:rPr>
            </w:pPr>
            <w:r w:rsidRPr="006104A6">
              <w:rPr>
                <w:b/>
                <w:bCs w:val="0"/>
                <w:iCs/>
                <w:szCs w:val="20"/>
              </w:rPr>
              <w:t>(1.12, 1.52)</w:t>
            </w:r>
          </w:p>
        </w:tc>
      </w:tr>
      <w:tr w:rsidR="00070462" w:rsidRPr="006104A6" w14:paraId="4DB1C2ED" w14:textId="77777777" w:rsidTr="000B6AA2">
        <w:trPr>
          <w:cantSplit/>
        </w:trPr>
        <w:tc>
          <w:tcPr>
            <w:tcW w:w="958" w:type="pct"/>
            <w:vMerge/>
            <w:shd w:val="clear" w:color="auto" w:fill="auto"/>
            <w:vAlign w:val="center"/>
          </w:tcPr>
          <w:p w14:paraId="16F5BC4A" w14:textId="77777777" w:rsidR="00070462" w:rsidRPr="006104A6" w:rsidRDefault="00070462" w:rsidP="00070462">
            <w:pPr>
              <w:pStyle w:val="TableText0"/>
              <w:keepNext w:val="0"/>
              <w:widowControl w:val="0"/>
              <w:rPr>
                <w:szCs w:val="20"/>
              </w:rPr>
            </w:pPr>
          </w:p>
        </w:tc>
        <w:tc>
          <w:tcPr>
            <w:tcW w:w="690" w:type="pct"/>
            <w:vAlign w:val="center"/>
          </w:tcPr>
          <w:p w14:paraId="6C452BA3" w14:textId="3E535601" w:rsidR="00070462" w:rsidRPr="006104A6" w:rsidRDefault="00070462" w:rsidP="00070462">
            <w:pPr>
              <w:pStyle w:val="TableText0"/>
              <w:keepNext w:val="0"/>
              <w:widowControl w:val="0"/>
              <w:rPr>
                <w:szCs w:val="20"/>
              </w:rPr>
            </w:pPr>
            <w:r w:rsidRPr="006104A6">
              <w:rPr>
                <w:szCs w:val="20"/>
              </w:rPr>
              <w:t>Death</w:t>
            </w:r>
          </w:p>
        </w:tc>
        <w:tc>
          <w:tcPr>
            <w:tcW w:w="507" w:type="pct"/>
            <w:shd w:val="clear" w:color="auto" w:fill="auto"/>
            <w:vAlign w:val="center"/>
          </w:tcPr>
          <w:p w14:paraId="34A7F45E" w14:textId="77777777" w:rsidR="00070462" w:rsidRPr="006104A6" w:rsidRDefault="00070462" w:rsidP="00070462">
            <w:pPr>
              <w:pStyle w:val="TableText0"/>
              <w:keepNext w:val="0"/>
              <w:widowControl w:val="0"/>
              <w:jc w:val="center"/>
              <w:rPr>
                <w:szCs w:val="20"/>
              </w:rPr>
            </w:pPr>
          </w:p>
        </w:tc>
        <w:tc>
          <w:tcPr>
            <w:tcW w:w="594" w:type="pct"/>
            <w:vAlign w:val="center"/>
          </w:tcPr>
          <w:p w14:paraId="2A568035" w14:textId="77777777" w:rsidR="00070462" w:rsidRPr="006104A6" w:rsidRDefault="00070462" w:rsidP="00070462">
            <w:pPr>
              <w:pStyle w:val="TableText0"/>
              <w:keepNext w:val="0"/>
              <w:widowControl w:val="0"/>
              <w:jc w:val="center"/>
              <w:rPr>
                <w:szCs w:val="20"/>
              </w:rPr>
            </w:pPr>
          </w:p>
        </w:tc>
        <w:tc>
          <w:tcPr>
            <w:tcW w:w="558" w:type="pct"/>
            <w:shd w:val="clear" w:color="auto" w:fill="auto"/>
            <w:vAlign w:val="center"/>
          </w:tcPr>
          <w:p w14:paraId="538144B9"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21365463" w14:textId="77777777" w:rsidR="00070462" w:rsidRPr="006104A6" w:rsidRDefault="00070462" w:rsidP="00070462">
            <w:pPr>
              <w:pStyle w:val="TableText0"/>
              <w:keepNext w:val="0"/>
              <w:widowControl w:val="0"/>
              <w:jc w:val="center"/>
              <w:rPr>
                <w:bCs w:val="0"/>
                <w:szCs w:val="20"/>
              </w:rPr>
            </w:pPr>
          </w:p>
        </w:tc>
        <w:tc>
          <w:tcPr>
            <w:tcW w:w="531" w:type="pct"/>
            <w:shd w:val="clear" w:color="auto" w:fill="auto"/>
          </w:tcPr>
          <w:p w14:paraId="3C501203" w14:textId="77777777" w:rsidR="00070462" w:rsidRPr="006104A6" w:rsidRDefault="00070462" w:rsidP="00070462">
            <w:pPr>
              <w:pStyle w:val="TableText0"/>
              <w:keepNext w:val="0"/>
              <w:widowControl w:val="0"/>
              <w:jc w:val="center"/>
              <w:rPr>
                <w:b/>
                <w:szCs w:val="20"/>
              </w:rPr>
            </w:pPr>
          </w:p>
        </w:tc>
        <w:tc>
          <w:tcPr>
            <w:tcW w:w="581" w:type="pct"/>
            <w:shd w:val="clear" w:color="auto" w:fill="auto"/>
          </w:tcPr>
          <w:p w14:paraId="6515B8FB" w14:textId="77777777" w:rsidR="00070462" w:rsidRPr="006104A6" w:rsidRDefault="00070462" w:rsidP="00070462">
            <w:pPr>
              <w:pStyle w:val="TableText0"/>
              <w:keepNext w:val="0"/>
              <w:widowControl w:val="0"/>
              <w:jc w:val="center"/>
              <w:rPr>
                <w:b/>
                <w:bCs w:val="0"/>
                <w:iCs/>
                <w:szCs w:val="20"/>
              </w:rPr>
            </w:pPr>
            <w:r w:rsidRPr="006104A6">
              <w:rPr>
                <w:b/>
                <w:bCs w:val="0"/>
                <w:iCs/>
                <w:szCs w:val="20"/>
              </w:rPr>
              <w:t>2.66</w:t>
            </w:r>
          </w:p>
          <w:p w14:paraId="66CFD1D5" w14:textId="1302C77B" w:rsidR="00070462" w:rsidRPr="006104A6" w:rsidRDefault="00070462" w:rsidP="00070462">
            <w:pPr>
              <w:pStyle w:val="TableText0"/>
              <w:keepNext w:val="0"/>
              <w:widowControl w:val="0"/>
              <w:jc w:val="center"/>
              <w:rPr>
                <w:b/>
                <w:bCs w:val="0"/>
                <w:i/>
                <w:iCs/>
                <w:szCs w:val="20"/>
              </w:rPr>
            </w:pPr>
            <w:r w:rsidRPr="006104A6">
              <w:rPr>
                <w:b/>
                <w:bCs w:val="0"/>
                <w:iCs/>
                <w:szCs w:val="20"/>
              </w:rPr>
              <w:t>(1.30, 5.43)</w:t>
            </w:r>
          </w:p>
        </w:tc>
      </w:tr>
      <w:tr w:rsidR="00070462" w:rsidRPr="006104A6" w14:paraId="62AA2849" w14:textId="77777777" w:rsidTr="000B6AA2">
        <w:trPr>
          <w:cantSplit/>
        </w:trPr>
        <w:tc>
          <w:tcPr>
            <w:tcW w:w="958" w:type="pct"/>
            <w:vMerge w:val="restart"/>
            <w:shd w:val="clear" w:color="auto" w:fill="auto"/>
            <w:vAlign w:val="center"/>
          </w:tcPr>
          <w:p w14:paraId="14CF035B" w14:textId="77777777" w:rsidR="00070462" w:rsidRPr="006104A6" w:rsidRDefault="00070462" w:rsidP="00070462">
            <w:pPr>
              <w:pStyle w:val="TableText0"/>
              <w:keepNext w:val="0"/>
              <w:widowControl w:val="0"/>
              <w:rPr>
                <w:szCs w:val="20"/>
              </w:rPr>
            </w:pPr>
            <w:r w:rsidRPr="006104A6">
              <w:rPr>
                <w:szCs w:val="20"/>
              </w:rPr>
              <w:t>Wong 2022</w:t>
            </w:r>
          </w:p>
          <w:p w14:paraId="2BFE87E3" w14:textId="25A8BDC2" w:rsidR="00070462" w:rsidRPr="006104A6" w:rsidRDefault="00070462" w:rsidP="00070462">
            <w:pPr>
              <w:pStyle w:val="TableText0"/>
              <w:keepNext w:val="0"/>
              <w:widowControl w:val="0"/>
              <w:rPr>
                <w:szCs w:val="20"/>
              </w:rPr>
            </w:pPr>
            <w:r w:rsidRPr="006104A6">
              <w:rPr>
                <w:szCs w:val="20"/>
              </w:rPr>
              <w:t>(&gt; 60 years)</w:t>
            </w:r>
          </w:p>
        </w:tc>
        <w:tc>
          <w:tcPr>
            <w:tcW w:w="690" w:type="pct"/>
            <w:vAlign w:val="center"/>
          </w:tcPr>
          <w:p w14:paraId="5EAFE6D4" w14:textId="53F7F134" w:rsidR="00070462" w:rsidRPr="006104A6" w:rsidRDefault="00070462" w:rsidP="00070462">
            <w:pPr>
              <w:pStyle w:val="TableText0"/>
              <w:keepNext w:val="0"/>
              <w:widowControl w:val="0"/>
              <w:rPr>
                <w:szCs w:val="20"/>
              </w:rPr>
            </w:pPr>
            <w:r w:rsidRPr="006104A6">
              <w:rPr>
                <w:szCs w:val="20"/>
              </w:rPr>
              <w:t>Hospitalisation</w:t>
            </w:r>
          </w:p>
        </w:tc>
        <w:tc>
          <w:tcPr>
            <w:tcW w:w="507" w:type="pct"/>
            <w:shd w:val="clear" w:color="auto" w:fill="auto"/>
            <w:vAlign w:val="center"/>
          </w:tcPr>
          <w:p w14:paraId="1D374B47" w14:textId="095E9748" w:rsidR="00070462" w:rsidRPr="006104A6" w:rsidRDefault="00070462" w:rsidP="00070462">
            <w:pPr>
              <w:pStyle w:val="TableText0"/>
              <w:keepNext w:val="0"/>
              <w:widowControl w:val="0"/>
              <w:jc w:val="center"/>
              <w:rPr>
                <w:szCs w:val="20"/>
              </w:rPr>
            </w:pPr>
            <w:r w:rsidRPr="006104A6">
              <w:rPr>
                <w:szCs w:val="20"/>
              </w:rPr>
              <w:t>NR/4418</w:t>
            </w:r>
          </w:p>
        </w:tc>
        <w:tc>
          <w:tcPr>
            <w:tcW w:w="594" w:type="pct"/>
            <w:vAlign w:val="center"/>
          </w:tcPr>
          <w:p w14:paraId="6D4FAAB9" w14:textId="0CDE6154" w:rsidR="00070462" w:rsidRPr="006104A6" w:rsidRDefault="00070462" w:rsidP="00070462">
            <w:pPr>
              <w:pStyle w:val="TableText0"/>
              <w:keepNext w:val="0"/>
              <w:widowControl w:val="0"/>
              <w:jc w:val="center"/>
              <w:rPr>
                <w:szCs w:val="20"/>
              </w:rPr>
            </w:pPr>
            <w:r w:rsidRPr="006104A6">
              <w:rPr>
                <w:szCs w:val="20"/>
              </w:rPr>
              <w:t>NR/45415</w:t>
            </w:r>
          </w:p>
        </w:tc>
        <w:tc>
          <w:tcPr>
            <w:tcW w:w="558" w:type="pct"/>
            <w:shd w:val="clear" w:color="auto" w:fill="auto"/>
            <w:vAlign w:val="center"/>
          </w:tcPr>
          <w:p w14:paraId="2455636F"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2479802F" w14:textId="3784A227" w:rsidR="00070462" w:rsidRPr="006104A6" w:rsidRDefault="00070462" w:rsidP="00070462">
            <w:pPr>
              <w:pStyle w:val="TableText0"/>
              <w:keepNext w:val="0"/>
              <w:widowControl w:val="0"/>
              <w:jc w:val="center"/>
              <w:rPr>
                <w:b/>
                <w:szCs w:val="20"/>
              </w:rPr>
            </w:pPr>
            <w:r w:rsidRPr="006104A6">
              <w:rPr>
                <w:b/>
                <w:szCs w:val="20"/>
              </w:rPr>
              <w:t>0.89^</w:t>
            </w:r>
          </w:p>
          <w:p w14:paraId="7AD46646" w14:textId="37223CD6" w:rsidR="00070462" w:rsidRPr="006104A6" w:rsidRDefault="00070462" w:rsidP="00070462">
            <w:pPr>
              <w:pStyle w:val="TableText0"/>
              <w:keepNext w:val="0"/>
              <w:widowControl w:val="0"/>
              <w:jc w:val="center"/>
              <w:rPr>
                <w:b/>
                <w:szCs w:val="20"/>
              </w:rPr>
            </w:pPr>
            <w:r w:rsidRPr="006104A6">
              <w:rPr>
                <w:b/>
                <w:szCs w:val="20"/>
              </w:rPr>
              <w:t>(0.81, 0.97)</w:t>
            </w:r>
          </w:p>
        </w:tc>
        <w:tc>
          <w:tcPr>
            <w:tcW w:w="531" w:type="pct"/>
            <w:shd w:val="clear" w:color="auto" w:fill="auto"/>
            <w:vAlign w:val="center"/>
          </w:tcPr>
          <w:p w14:paraId="41647A2D"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46AFD5CE" w14:textId="77777777" w:rsidR="00070462" w:rsidRPr="006104A6" w:rsidRDefault="00070462" w:rsidP="00070462">
            <w:pPr>
              <w:pStyle w:val="TableText0"/>
              <w:keepNext w:val="0"/>
              <w:widowControl w:val="0"/>
              <w:jc w:val="center"/>
              <w:rPr>
                <w:szCs w:val="20"/>
              </w:rPr>
            </w:pPr>
          </w:p>
        </w:tc>
      </w:tr>
      <w:tr w:rsidR="00070462" w:rsidRPr="006104A6" w14:paraId="58178C65" w14:textId="77777777" w:rsidTr="000B6AA2">
        <w:trPr>
          <w:cantSplit/>
        </w:trPr>
        <w:tc>
          <w:tcPr>
            <w:tcW w:w="958" w:type="pct"/>
            <w:vMerge/>
            <w:shd w:val="clear" w:color="auto" w:fill="auto"/>
            <w:vAlign w:val="center"/>
          </w:tcPr>
          <w:p w14:paraId="001E9E40" w14:textId="1A71EB57" w:rsidR="00070462" w:rsidRPr="006104A6" w:rsidRDefault="00070462" w:rsidP="00070462">
            <w:pPr>
              <w:pStyle w:val="TableText0"/>
              <w:keepNext w:val="0"/>
              <w:widowControl w:val="0"/>
              <w:rPr>
                <w:szCs w:val="20"/>
              </w:rPr>
            </w:pPr>
          </w:p>
        </w:tc>
        <w:tc>
          <w:tcPr>
            <w:tcW w:w="690" w:type="pct"/>
            <w:vAlign w:val="center"/>
          </w:tcPr>
          <w:p w14:paraId="31A9BBBE" w14:textId="69ED4D27" w:rsidR="00070462" w:rsidRPr="006104A6" w:rsidRDefault="00070462" w:rsidP="00070462">
            <w:pPr>
              <w:pStyle w:val="TableText0"/>
              <w:keepNext w:val="0"/>
              <w:widowControl w:val="0"/>
              <w:rPr>
                <w:szCs w:val="20"/>
              </w:rPr>
            </w:pPr>
            <w:r w:rsidRPr="006104A6">
              <w:rPr>
                <w:szCs w:val="20"/>
              </w:rPr>
              <w:t>Death</w:t>
            </w:r>
          </w:p>
        </w:tc>
        <w:tc>
          <w:tcPr>
            <w:tcW w:w="507" w:type="pct"/>
            <w:shd w:val="clear" w:color="auto" w:fill="auto"/>
            <w:vAlign w:val="center"/>
          </w:tcPr>
          <w:p w14:paraId="57942E3B" w14:textId="4A488185" w:rsidR="00070462" w:rsidRPr="006104A6" w:rsidRDefault="00070462" w:rsidP="00070462">
            <w:pPr>
              <w:pStyle w:val="TableText0"/>
              <w:keepNext w:val="0"/>
              <w:widowControl w:val="0"/>
              <w:jc w:val="center"/>
              <w:rPr>
                <w:szCs w:val="20"/>
              </w:rPr>
            </w:pPr>
            <w:r w:rsidRPr="006104A6">
              <w:rPr>
                <w:szCs w:val="20"/>
              </w:rPr>
              <w:t>NR/4418</w:t>
            </w:r>
          </w:p>
        </w:tc>
        <w:tc>
          <w:tcPr>
            <w:tcW w:w="594" w:type="pct"/>
            <w:vAlign w:val="center"/>
          </w:tcPr>
          <w:p w14:paraId="6ABE7D39" w14:textId="5A9DB963" w:rsidR="00070462" w:rsidRPr="006104A6" w:rsidRDefault="00070462" w:rsidP="00070462">
            <w:pPr>
              <w:pStyle w:val="TableText0"/>
              <w:keepNext w:val="0"/>
              <w:widowControl w:val="0"/>
              <w:jc w:val="center"/>
              <w:rPr>
                <w:szCs w:val="20"/>
              </w:rPr>
            </w:pPr>
            <w:r w:rsidRPr="006104A6">
              <w:rPr>
                <w:szCs w:val="20"/>
              </w:rPr>
              <w:t>NR/45415</w:t>
            </w:r>
          </w:p>
        </w:tc>
        <w:tc>
          <w:tcPr>
            <w:tcW w:w="558" w:type="pct"/>
            <w:shd w:val="clear" w:color="auto" w:fill="auto"/>
            <w:vAlign w:val="center"/>
          </w:tcPr>
          <w:p w14:paraId="28D6F436"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63B36E23" w14:textId="6BE2C94C" w:rsidR="00070462" w:rsidRPr="006104A6" w:rsidRDefault="00070462" w:rsidP="00070462">
            <w:pPr>
              <w:pStyle w:val="TableText0"/>
              <w:keepNext w:val="0"/>
              <w:widowControl w:val="0"/>
              <w:jc w:val="center"/>
              <w:rPr>
                <w:b/>
                <w:szCs w:val="20"/>
              </w:rPr>
            </w:pPr>
            <w:r w:rsidRPr="006104A6">
              <w:rPr>
                <w:b/>
                <w:szCs w:val="20"/>
              </w:rPr>
              <w:t>0.75^</w:t>
            </w:r>
          </w:p>
          <w:p w14:paraId="596382CC" w14:textId="235E189B" w:rsidR="00070462" w:rsidRPr="006104A6" w:rsidRDefault="00070462" w:rsidP="00070462">
            <w:pPr>
              <w:pStyle w:val="TableText0"/>
              <w:keepNext w:val="0"/>
              <w:widowControl w:val="0"/>
              <w:jc w:val="center"/>
              <w:rPr>
                <w:b/>
                <w:szCs w:val="20"/>
              </w:rPr>
            </w:pPr>
            <w:r w:rsidRPr="006104A6">
              <w:rPr>
                <w:b/>
                <w:szCs w:val="20"/>
              </w:rPr>
              <w:t>(0.60, 0.9)]</w:t>
            </w:r>
          </w:p>
        </w:tc>
        <w:tc>
          <w:tcPr>
            <w:tcW w:w="531" w:type="pct"/>
            <w:shd w:val="clear" w:color="auto" w:fill="auto"/>
            <w:vAlign w:val="center"/>
          </w:tcPr>
          <w:p w14:paraId="599DBB60"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132A47F7" w14:textId="77777777" w:rsidR="00070462" w:rsidRPr="006104A6" w:rsidRDefault="00070462" w:rsidP="00070462">
            <w:pPr>
              <w:pStyle w:val="TableText0"/>
              <w:keepNext w:val="0"/>
              <w:widowControl w:val="0"/>
              <w:jc w:val="center"/>
              <w:rPr>
                <w:szCs w:val="20"/>
              </w:rPr>
            </w:pPr>
          </w:p>
        </w:tc>
      </w:tr>
      <w:tr w:rsidR="00070462" w:rsidRPr="006104A6" w14:paraId="5BEA0247" w14:textId="77777777" w:rsidTr="000B6AA2">
        <w:trPr>
          <w:cantSplit/>
        </w:trPr>
        <w:tc>
          <w:tcPr>
            <w:tcW w:w="958" w:type="pct"/>
            <w:vMerge w:val="restart"/>
            <w:shd w:val="clear" w:color="auto" w:fill="auto"/>
            <w:vAlign w:val="center"/>
          </w:tcPr>
          <w:p w14:paraId="7D30D63D" w14:textId="3B665349" w:rsidR="00070462" w:rsidRPr="006104A6" w:rsidRDefault="00070462" w:rsidP="006104A6">
            <w:pPr>
              <w:pStyle w:val="TableText0"/>
              <w:widowControl w:val="0"/>
              <w:rPr>
                <w:szCs w:val="20"/>
              </w:rPr>
            </w:pPr>
            <w:r w:rsidRPr="006104A6">
              <w:rPr>
                <w:szCs w:val="20"/>
              </w:rPr>
              <w:lastRenderedPageBreak/>
              <w:t>Yip 2022</w:t>
            </w:r>
          </w:p>
        </w:tc>
        <w:tc>
          <w:tcPr>
            <w:tcW w:w="690" w:type="pct"/>
            <w:vMerge w:val="restart"/>
            <w:vAlign w:val="center"/>
          </w:tcPr>
          <w:p w14:paraId="5597E7E8" w14:textId="7146F03F" w:rsidR="00070462" w:rsidRPr="006104A6" w:rsidRDefault="00070462" w:rsidP="00070462">
            <w:pPr>
              <w:pStyle w:val="TableText0"/>
              <w:keepNext w:val="0"/>
              <w:widowControl w:val="0"/>
              <w:rPr>
                <w:szCs w:val="20"/>
              </w:rPr>
            </w:pPr>
            <w:r w:rsidRPr="006104A6">
              <w:rPr>
                <w:szCs w:val="20"/>
              </w:rPr>
              <w:t xml:space="preserve">Hospitalisation </w:t>
            </w:r>
          </w:p>
        </w:tc>
        <w:tc>
          <w:tcPr>
            <w:tcW w:w="507" w:type="pct"/>
            <w:vMerge w:val="restart"/>
            <w:shd w:val="clear" w:color="auto" w:fill="auto"/>
            <w:vAlign w:val="center"/>
          </w:tcPr>
          <w:p w14:paraId="3FA891F6" w14:textId="4173C835" w:rsidR="00070462" w:rsidRPr="006104A6" w:rsidRDefault="00070462" w:rsidP="00070462">
            <w:pPr>
              <w:pStyle w:val="TableText0"/>
              <w:keepNext w:val="0"/>
              <w:widowControl w:val="0"/>
              <w:jc w:val="center"/>
              <w:rPr>
                <w:szCs w:val="20"/>
              </w:rPr>
            </w:pPr>
            <w:r w:rsidRPr="006104A6">
              <w:rPr>
                <w:szCs w:val="20"/>
              </w:rPr>
              <w:t>249/4798 (5.2%)</w:t>
            </w:r>
          </w:p>
        </w:tc>
        <w:tc>
          <w:tcPr>
            <w:tcW w:w="594" w:type="pct"/>
            <w:vMerge w:val="restart"/>
            <w:vAlign w:val="center"/>
          </w:tcPr>
          <w:p w14:paraId="40F46CAC" w14:textId="11D4781E" w:rsidR="00070462" w:rsidRPr="006104A6" w:rsidRDefault="00070462" w:rsidP="00070462">
            <w:pPr>
              <w:pStyle w:val="TableText0"/>
              <w:keepNext w:val="0"/>
              <w:widowControl w:val="0"/>
              <w:jc w:val="center"/>
              <w:rPr>
                <w:szCs w:val="20"/>
              </w:rPr>
            </w:pPr>
            <w:r w:rsidRPr="006104A6">
              <w:rPr>
                <w:szCs w:val="20"/>
              </w:rPr>
              <w:t>214/4758 (4.5%)</w:t>
            </w:r>
          </w:p>
        </w:tc>
        <w:tc>
          <w:tcPr>
            <w:tcW w:w="558" w:type="pct"/>
            <w:vMerge w:val="restart"/>
            <w:shd w:val="clear" w:color="auto" w:fill="auto"/>
            <w:vAlign w:val="center"/>
          </w:tcPr>
          <w:p w14:paraId="7BF9E84F" w14:textId="3671BA8B" w:rsidR="00070462" w:rsidRPr="006104A6" w:rsidRDefault="00070462" w:rsidP="00070462">
            <w:pPr>
              <w:pStyle w:val="TableText0"/>
              <w:keepNext w:val="0"/>
              <w:widowControl w:val="0"/>
              <w:jc w:val="center"/>
              <w:rPr>
                <w:szCs w:val="20"/>
              </w:rPr>
            </w:pPr>
            <w:r w:rsidRPr="006104A6">
              <w:rPr>
                <w:szCs w:val="20"/>
              </w:rPr>
              <w:t>177/4921 (3.60%)</w:t>
            </w:r>
          </w:p>
        </w:tc>
        <w:tc>
          <w:tcPr>
            <w:tcW w:w="581" w:type="pct"/>
            <w:shd w:val="clear" w:color="auto" w:fill="auto"/>
            <w:vAlign w:val="center"/>
          </w:tcPr>
          <w:p w14:paraId="0FAF6CFD" w14:textId="77777777" w:rsidR="00070462" w:rsidRPr="006104A6" w:rsidRDefault="00070462" w:rsidP="00070462">
            <w:pPr>
              <w:pStyle w:val="TableText0"/>
              <w:keepNext w:val="0"/>
              <w:widowControl w:val="0"/>
              <w:jc w:val="center"/>
              <w:rPr>
                <w:szCs w:val="20"/>
              </w:rPr>
            </w:pPr>
            <w:r w:rsidRPr="006104A6">
              <w:rPr>
                <w:szCs w:val="20"/>
              </w:rPr>
              <w:t>1.16</w:t>
            </w:r>
          </w:p>
          <w:p w14:paraId="3D521922" w14:textId="282044AA" w:rsidR="00070462" w:rsidRPr="006104A6" w:rsidRDefault="00070462" w:rsidP="00070462">
            <w:pPr>
              <w:pStyle w:val="TableText0"/>
              <w:keepNext w:val="0"/>
              <w:widowControl w:val="0"/>
              <w:jc w:val="center"/>
              <w:rPr>
                <w:szCs w:val="20"/>
              </w:rPr>
            </w:pPr>
            <w:r w:rsidRPr="006104A6">
              <w:rPr>
                <w:szCs w:val="20"/>
              </w:rPr>
              <w:t>(0.97, 1.40)</w:t>
            </w:r>
          </w:p>
        </w:tc>
        <w:tc>
          <w:tcPr>
            <w:tcW w:w="531" w:type="pct"/>
            <w:shd w:val="clear" w:color="auto" w:fill="auto"/>
            <w:vAlign w:val="center"/>
          </w:tcPr>
          <w:p w14:paraId="4D7D46AB" w14:textId="77777777" w:rsidR="00070462" w:rsidRPr="006104A6" w:rsidRDefault="00070462" w:rsidP="00070462">
            <w:pPr>
              <w:pStyle w:val="TableText0"/>
              <w:keepNext w:val="0"/>
              <w:widowControl w:val="0"/>
              <w:jc w:val="center"/>
              <w:rPr>
                <w:b/>
                <w:bCs w:val="0"/>
                <w:iCs/>
                <w:szCs w:val="20"/>
              </w:rPr>
            </w:pPr>
            <w:r w:rsidRPr="006104A6">
              <w:rPr>
                <w:b/>
                <w:bCs w:val="0"/>
                <w:iCs/>
                <w:szCs w:val="20"/>
              </w:rPr>
              <w:t>0.68</w:t>
            </w:r>
          </w:p>
          <w:p w14:paraId="119AFFB3" w14:textId="718095F1" w:rsidR="00070462" w:rsidRPr="006104A6" w:rsidRDefault="00070462" w:rsidP="00070462">
            <w:pPr>
              <w:pStyle w:val="TableText0"/>
              <w:keepNext w:val="0"/>
              <w:widowControl w:val="0"/>
              <w:jc w:val="center"/>
              <w:rPr>
                <w:b/>
                <w:bCs w:val="0"/>
                <w:i/>
                <w:iCs/>
                <w:szCs w:val="20"/>
              </w:rPr>
            </w:pPr>
            <w:r w:rsidRPr="006104A6">
              <w:rPr>
                <w:b/>
                <w:bCs w:val="0"/>
                <w:iCs/>
                <w:szCs w:val="20"/>
              </w:rPr>
              <w:t>(0.56, 0.83)</w:t>
            </w:r>
          </w:p>
        </w:tc>
        <w:tc>
          <w:tcPr>
            <w:tcW w:w="581" w:type="pct"/>
            <w:shd w:val="clear" w:color="auto" w:fill="auto"/>
            <w:vAlign w:val="center"/>
          </w:tcPr>
          <w:p w14:paraId="5095DF7D" w14:textId="77777777" w:rsidR="00070462" w:rsidRPr="006104A6" w:rsidRDefault="00070462" w:rsidP="00070462">
            <w:pPr>
              <w:pStyle w:val="TableText0"/>
              <w:keepNext w:val="0"/>
              <w:widowControl w:val="0"/>
              <w:jc w:val="center"/>
              <w:rPr>
                <w:b/>
                <w:bCs w:val="0"/>
                <w:szCs w:val="20"/>
              </w:rPr>
            </w:pPr>
            <w:r w:rsidRPr="006104A6">
              <w:rPr>
                <w:b/>
                <w:bCs w:val="0"/>
                <w:szCs w:val="20"/>
              </w:rPr>
              <w:t>1.47</w:t>
            </w:r>
          </w:p>
          <w:p w14:paraId="02504169" w14:textId="5124F44B" w:rsidR="00070462" w:rsidRPr="006104A6" w:rsidRDefault="00070462" w:rsidP="00070462">
            <w:pPr>
              <w:pStyle w:val="TableText0"/>
              <w:keepNext w:val="0"/>
              <w:widowControl w:val="0"/>
              <w:jc w:val="center"/>
              <w:rPr>
                <w:szCs w:val="20"/>
              </w:rPr>
            </w:pPr>
            <w:r w:rsidRPr="006104A6">
              <w:rPr>
                <w:b/>
                <w:bCs w:val="0"/>
                <w:szCs w:val="20"/>
              </w:rPr>
              <w:t>(1.21, 1.79)</w:t>
            </w:r>
          </w:p>
        </w:tc>
      </w:tr>
      <w:tr w:rsidR="00070462" w:rsidRPr="006104A6" w14:paraId="0A6151AF" w14:textId="77777777" w:rsidTr="000B6AA2">
        <w:trPr>
          <w:cantSplit/>
        </w:trPr>
        <w:tc>
          <w:tcPr>
            <w:tcW w:w="958" w:type="pct"/>
            <w:vMerge/>
            <w:shd w:val="clear" w:color="auto" w:fill="auto"/>
            <w:vAlign w:val="center"/>
          </w:tcPr>
          <w:p w14:paraId="5899ED6D" w14:textId="77777777" w:rsidR="00070462" w:rsidRPr="006104A6" w:rsidRDefault="00070462" w:rsidP="00070462">
            <w:pPr>
              <w:pStyle w:val="TableText0"/>
              <w:keepNext w:val="0"/>
              <w:widowControl w:val="0"/>
              <w:rPr>
                <w:szCs w:val="20"/>
              </w:rPr>
            </w:pPr>
          </w:p>
        </w:tc>
        <w:tc>
          <w:tcPr>
            <w:tcW w:w="690" w:type="pct"/>
            <w:vMerge/>
            <w:vAlign w:val="center"/>
          </w:tcPr>
          <w:p w14:paraId="243661B1" w14:textId="77777777" w:rsidR="00070462" w:rsidRPr="006104A6" w:rsidRDefault="00070462" w:rsidP="00070462">
            <w:pPr>
              <w:pStyle w:val="TableText0"/>
              <w:keepNext w:val="0"/>
              <w:widowControl w:val="0"/>
              <w:rPr>
                <w:szCs w:val="20"/>
              </w:rPr>
            </w:pPr>
          </w:p>
        </w:tc>
        <w:tc>
          <w:tcPr>
            <w:tcW w:w="507" w:type="pct"/>
            <w:vMerge/>
            <w:shd w:val="clear" w:color="auto" w:fill="auto"/>
            <w:vAlign w:val="center"/>
          </w:tcPr>
          <w:p w14:paraId="554E76C7" w14:textId="77777777" w:rsidR="00070462" w:rsidRPr="006104A6" w:rsidRDefault="00070462" w:rsidP="00070462">
            <w:pPr>
              <w:pStyle w:val="TableText0"/>
              <w:keepNext w:val="0"/>
              <w:widowControl w:val="0"/>
              <w:jc w:val="center"/>
              <w:rPr>
                <w:szCs w:val="20"/>
              </w:rPr>
            </w:pPr>
          </w:p>
        </w:tc>
        <w:tc>
          <w:tcPr>
            <w:tcW w:w="594" w:type="pct"/>
            <w:vMerge/>
            <w:vAlign w:val="center"/>
          </w:tcPr>
          <w:p w14:paraId="3E2F81F7" w14:textId="77777777" w:rsidR="00070462" w:rsidRPr="006104A6" w:rsidRDefault="00070462" w:rsidP="00070462">
            <w:pPr>
              <w:pStyle w:val="TableText0"/>
              <w:keepNext w:val="0"/>
              <w:widowControl w:val="0"/>
              <w:jc w:val="center"/>
              <w:rPr>
                <w:szCs w:val="20"/>
              </w:rPr>
            </w:pPr>
          </w:p>
        </w:tc>
        <w:tc>
          <w:tcPr>
            <w:tcW w:w="558" w:type="pct"/>
            <w:vMerge/>
            <w:shd w:val="clear" w:color="auto" w:fill="auto"/>
            <w:vAlign w:val="center"/>
          </w:tcPr>
          <w:p w14:paraId="3F99BA1F" w14:textId="7777777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7DC1B9D4" w14:textId="7ACFE204" w:rsidR="00070462" w:rsidRPr="006104A6" w:rsidRDefault="00070462" w:rsidP="00070462">
            <w:pPr>
              <w:pStyle w:val="TableText0"/>
              <w:keepNext w:val="0"/>
              <w:widowControl w:val="0"/>
              <w:jc w:val="center"/>
              <w:rPr>
                <w:szCs w:val="20"/>
              </w:rPr>
            </w:pPr>
            <w:r w:rsidRPr="006104A6">
              <w:rPr>
                <w:szCs w:val="20"/>
              </w:rPr>
              <w:t>1.17^</w:t>
            </w:r>
          </w:p>
          <w:p w14:paraId="0786057E" w14:textId="0C02FA72" w:rsidR="00070462" w:rsidRPr="006104A6" w:rsidRDefault="00070462" w:rsidP="00070462">
            <w:pPr>
              <w:pStyle w:val="TableText0"/>
              <w:keepNext w:val="0"/>
              <w:widowControl w:val="0"/>
              <w:jc w:val="center"/>
              <w:rPr>
                <w:szCs w:val="20"/>
              </w:rPr>
            </w:pPr>
            <w:r w:rsidRPr="006104A6">
              <w:rPr>
                <w:szCs w:val="20"/>
              </w:rPr>
              <w:t>(0.99, 1.39)</w:t>
            </w:r>
          </w:p>
        </w:tc>
        <w:tc>
          <w:tcPr>
            <w:tcW w:w="531" w:type="pct"/>
            <w:shd w:val="clear" w:color="auto" w:fill="auto"/>
            <w:vAlign w:val="center"/>
          </w:tcPr>
          <w:p w14:paraId="3B8D582A" w14:textId="7B6A6376" w:rsidR="00070462" w:rsidRPr="006104A6" w:rsidRDefault="00070462" w:rsidP="00070462">
            <w:pPr>
              <w:pStyle w:val="TableText0"/>
              <w:keepNext w:val="0"/>
              <w:widowControl w:val="0"/>
              <w:jc w:val="center"/>
              <w:rPr>
                <w:szCs w:val="20"/>
              </w:rPr>
            </w:pPr>
            <w:r w:rsidRPr="006104A6">
              <w:rPr>
                <w:szCs w:val="20"/>
              </w:rPr>
              <w:t>NR</w:t>
            </w:r>
          </w:p>
        </w:tc>
        <w:tc>
          <w:tcPr>
            <w:tcW w:w="581" w:type="pct"/>
            <w:shd w:val="clear" w:color="auto" w:fill="auto"/>
            <w:vAlign w:val="center"/>
          </w:tcPr>
          <w:p w14:paraId="49A1B6FD" w14:textId="77777777" w:rsidR="00070462" w:rsidRPr="006104A6" w:rsidRDefault="00070462" w:rsidP="00070462">
            <w:pPr>
              <w:pStyle w:val="TableText0"/>
              <w:keepNext w:val="0"/>
              <w:widowControl w:val="0"/>
              <w:jc w:val="center"/>
              <w:rPr>
                <w:b/>
                <w:bCs w:val="0"/>
                <w:szCs w:val="20"/>
              </w:rPr>
            </w:pPr>
            <w:r w:rsidRPr="006104A6">
              <w:rPr>
                <w:b/>
                <w:bCs w:val="0"/>
                <w:szCs w:val="20"/>
              </w:rPr>
              <w:t>0.67^</w:t>
            </w:r>
          </w:p>
          <w:p w14:paraId="387C0F3C" w14:textId="2F489D42" w:rsidR="00070462" w:rsidRPr="006104A6" w:rsidRDefault="00070462" w:rsidP="00070462">
            <w:pPr>
              <w:pStyle w:val="TableText0"/>
              <w:keepNext w:val="0"/>
              <w:widowControl w:val="0"/>
              <w:jc w:val="center"/>
              <w:rPr>
                <w:b/>
                <w:bCs w:val="0"/>
                <w:szCs w:val="20"/>
              </w:rPr>
            </w:pPr>
            <w:r w:rsidRPr="006104A6">
              <w:rPr>
                <w:b/>
                <w:bCs w:val="0"/>
                <w:szCs w:val="20"/>
              </w:rPr>
              <w:t>(0.55, 0.81)</w:t>
            </w:r>
          </w:p>
        </w:tc>
      </w:tr>
      <w:tr w:rsidR="00070462" w:rsidRPr="006104A6" w14:paraId="21E7056D" w14:textId="77777777" w:rsidTr="000B6AA2">
        <w:trPr>
          <w:cantSplit/>
        </w:trPr>
        <w:tc>
          <w:tcPr>
            <w:tcW w:w="958" w:type="pct"/>
            <w:vMerge/>
            <w:shd w:val="clear" w:color="auto" w:fill="auto"/>
            <w:vAlign w:val="center"/>
          </w:tcPr>
          <w:p w14:paraId="28E6A2F5" w14:textId="77777777" w:rsidR="00070462" w:rsidRPr="006104A6" w:rsidRDefault="00070462" w:rsidP="00070462">
            <w:pPr>
              <w:pStyle w:val="TableText0"/>
              <w:keepNext w:val="0"/>
              <w:widowControl w:val="0"/>
              <w:rPr>
                <w:szCs w:val="20"/>
              </w:rPr>
            </w:pPr>
          </w:p>
        </w:tc>
        <w:tc>
          <w:tcPr>
            <w:tcW w:w="690" w:type="pct"/>
            <w:vMerge w:val="restart"/>
          </w:tcPr>
          <w:p w14:paraId="33064F45" w14:textId="095010B7" w:rsidR="00070462" w:rsidRPr="006104A6" w:rsidRDefault="00070462" w:rsidP="00070462">
            <w:pPr>
              <w:pStyle w:val="TableText0"/>
              <w:widowControl w:val="0"/>
              <w:rPr>
                <w:szCs w:val="20"/>
              </w:rPr>
            </w:pPr>
            <w:r w:rsidRPr="006104A6">
              <w:rPr>
                <w:szCs w:val="20"/>
              </w:rPr>
              <w:t>ICU admission, IMV use and/or death</w:t>
            </w:r>
          </w:p>
        </w:tc>
        <w:tc>
          <w:tcPr>
            <w:tcW w:w="507" w:type="pct"/>
            <w:vMerge w:val="restart"/>
            <w:shd w:val="clear" w:color="auto" w:fill="auto"/>
            <w:vAlign w:val="center"/>
          </w:tcPr>
          <w:p w14:paraId="141BE1BC" w14:textId="30A57B13" w:rsidR="00070462" w:rsidRPr="006104A6" w:rsidRDefault="00070462" w:rsidP="00070462">
            <w:pPr>
              <w:pStyle w:val="TableText0"/>
              <w:widowControl w:val="0"/>
              <w:jc w:val="center"/>
              <w:rPr>
                <w:szCs w:val="20"/>
              </w:rPr>
            </w:pPr>
            <w:r w:rsidRPr="006104A6">
              <w:rPr>
                <w:szCs w:val="20"/>
              </w:rPr>
              <w:t>29/4798 (0.6%)</w:t>
            </w:r>
          </w:p>
        </w:tc>
        <w:tc>
          <w:tcPr>
            <w:tcW w:w="594" w:type="pct"/>
            <w:vMerge w:val="restart"/>
            <w:vAlign w:val="center"/>
          </w:tcPr>
          <w:p w14:paraId="0CAFB0B5" w14:textId="12454FD7" w:rsidR="00070462" w:rsidRPr="006104A6" w:rsidRDefault="00070462" w:rsidP="00070462">
            <w:pPr>
              <w:pStyle w:val="TableText0"/>
              <w:widowControl w:val="0"/>
              <w:jc w:val="center"/>
              <w:rPr>
                <w:szCs w:val="20"/>
              </w:rPr>
            </w:pPr>
            <w:r w:rsidRPr="006104A6">
              <w:rPr>
                <w:szCs w:val="20"/>
              </w:rPr>
              <w:t>24/4758 (0.5%)</w:t>
            </w:r>
          </w:p>
        </w:tc>
        <w:tc>
          <w:tcPr>
            <w:tcW w:w="558" w:type="pct"/>
            <w:vMerge w:val="restart"/>
            <w:shd w:val="clear" w:color="auto" w:fill="auto"/>
            <w:vAlign w:val="center"/>
          </w:tcPr>
          <w:p w14:paraId="4B1AC733" w14:textId="380B1E11" w:rsidR="00070462" w:rsidRPr="006104A6" w:rsidRDefault="00070462" w:rsidP="00070462">
            <w:pPr>
              <w:pStyle w:val="TableText0"/>
              <w:widowControl w:val="0"/>
              <w:jc w:val="center"/>
              <w:rPr>
                <w:szCs w:val="20"/>
              </w:rPr>
            </w:pPr>
            <w:r w:rsidRPr="006104A6">
              <w:rPr>
                <w:szCs w:val="20"/>
              </w:rPr>
              <w:t>20/4921 (0.4%)</w:t>
            </w:r>
          </w:p>
        </w:tc>
        <w:tc>
          <w:tcPr>
            <w:tcW w:w="581" w:type="pct"/>
            <w:shd w:val="clear" w:color="auto" w:fill="auto"/>
            <w:vAlign w:val="center"/>
          </w:tcPr>
          <w:p w14:paraId="383415B2" w14:textId="77777777" w:rsidR="00070462" w:rsidRPr="006104A6" w:rsidRDefault="00070462" w:rsidP="00070462">
            <w:pPr>
              <w:pStyle w:val="TableText0"/>
              <w:keepNext w:val="0"/>
              <w:widowControl w:val="0"/>
              <w:jc w:val="center"/>
              <w:rPr>
                <w:szCs w:val="20"/>
              </w:rPr>
            </w:pPr>
            <w:r w:rsidRPr="006104A6">
              <w:rPr>
                <w:szCs w:val="20"/>
              </w:rPr>
              <w:t>1.20</w:t>
            </w:r>
          </w:p>
          <w:p w14:paraId="5D58D940" w14:textId="4131275A" w:rsidR="00070462" w:rsidRPr="006104A6" w:rsidRDefault="00070462" w:rsidP="00070462">
            <w:pPr>
              <w:pStyle w:val="TableText0"/>
              <w:keepNext w:val="0"/>
              <w:widowControl w:val="0"/>
              <w:jc w:val="center"/>
              <w:rPr>
                <w:szCs w:val="20"/>
              </w:rPr>
            </w:pPr>
            <w:r w:rsidRPr="006104A6">
              <w:rPr>
                <w:szCs w:val="20"/>
              </w:rPr>
              <w:t>(0.70, 2.07)</w:t>
            </w:r>
          </w:p>
        </w:tc>
        <w:tc>
          <w:tcPr>
            <w:tcW w:w="531" w:type="pct"/>
            <w:shd w:val="clear" w:color="auto" w:fill="auto"/>
            <w:vAlign w:val="center"/>
          </w:tcPr>
          <w:p w14:paraId="15BF91CC" w14:textId="77777777" w:rsidR="00070462" w:rsidRPr="006104A6" w:rsidRDefault="00070462" w:rsidP="00070462">
            <w:pPr>
              <w:pStyle w:val="TableText0"/>
              <w:keepNext w:val="0"/>
              <w:widowControl w:val="0"/>
              <w:jc w:val="center"/>
              <w:rPr>
                <w:iCs/>
                <w:szCs w:val="20"/>
              </w:rPr>
            </w:pPr>
            <w:r w:rsidRPr="006104A6">
              <w:rPr>
                <w:iCs/>
                <w:szCs w:val="20"/>
              </w:rPr>
              <w:t>0.67</w:t>
            </w:r>
          </w:p>
          <w:p w14:paraId="34935167" w14:textId="7148FA60" w:rsidR="00070462" w:rsidRPr="006104A6" w:rsidRDefault="00070462" w:rsidP="00070462">
            <w:pPr>
              <w:pStyle w:val="TableText0"/>
              <w:keepNext w:val="0"/>
              <w:widowControl w:val="0"/>
              <w:jc w:val="center"/>
              <w:rPr>
                <w:i/>
                <w:iCs/>
                <w:szCs w:val="20"/>
              </w:rPr>
            </w:pPr>
            <w:r w:rsidRPr="006104A6">
              <w:rPr>
                <w:iCs/>
                <w:szCs w:val="20"/>
              </w:rPr>
              <w:t>(0.38, 1.18)</w:t>
            </w:r>
          </w:p>
        </w:tc>
        <w:tc>
          <w:tcPr>
            <w:tcW w:w="581" w:type="pct"/>
            <w:shd w:val="clear" w:color="auto" w:fill="auto"/>
            <w:vAlign w:val="center"/>
          </w:tcPr>
          <w:p w14:paraId="17BA28B8" w14:textId="77777777" w:rsidR="00070462" w:rsidRPr="006104A6" w:rsidRDefault="00070462" w:rsidP="00070462">
            <w:pPr>
              <w:pStyle w:val="TableText0"/>
              <w:keepNext w:val="0"/>
              <w:widowControl w:val="0"/>
              <w:jc w:val="center"/>
              <w:rPr>
                <w:szCs w:val="20"/>
              </w:rPr>
            </w:pPr>
            <w:r w:rsidRPr="006104A6">
              <w:rPr>
                <w:szCs w:val="20"/>
              </w:rPr>
              <w:t>1.50</w:t>
            </w:r>
          </w:p>
          <w:p w14:paraId="12A6BE81" w14:textId="5BB8C76D" w:rsidR="00070462" w:rsidRPr="006104A6" w:rsidRDefault="00070462" w:rsidP="00070462">
            <w:pPr>
              <w:pStyle w:val="TableText0"/>
              <w:keepNext w:val="0"/>
              <w:widowControl w:val="0"/>
              <w:jc w:val="center"/>
              <w:rPr>
                <w:szCs w:val="20"/>
              </w:rPr>
            </w:pPr>
            <w:r w:rsidRPr="006104A6">
              <w:rPr>
                <w:szCs w:val="20"/>
              </w:rPr>
              <w:t>(0.85, 2.67)</w:t>
            </w:r>
          </w:p>
        </w:tc>
      </w:tr>
      <w:tr w:rsidR="00070462" w:rsidRPr="006104A6" w14:paraId="67A511B7" w14:textId="77777777" w:rsidTr="000B6AA2">
        <w:trPr>
          <w:cantSplit/>
        </w:trPr>
        <w:tc>
          <w:tcPr>
            <w:tcW w:w="958" w:type="pct"/>
            <w:vMerge/>
            <w:shd w:val="clear" w:color="auto" w:fill="auto"/>
            <w:vAlign w:val="center"/>
          </w:tcPr>
          <w:p w14:paraId="3AA5BCE3" w14:textId="77777777" w:rsidR="00070462" w:rsidRPr="006104A6" w:rsidRDefault="00070462" w:rsidP="00070462">
            <w:pPr>
              <w:pStyle w:val="TableText0"/>
              <w:keepNext w:val="0"/>
              <w:widowControl w:val="0"/>
              <w:rPr>
                <w:szCs w:val="20"/>
              </w:rPr>
            </w:pPr>
          </w:p>
        </w:tc>
        <w:tc>
          <w:tcPr>
            <w:tcW w:w="690" w:type="pct"/>
            <w:vMerge/>
          </w:tcPr>
          <w:p w14:paraId="034C1B06" w14:textId="1CBA92FC" w:rsidR="00070462" w:rsidRPr="006104A6" w:rsidRDefault="00070462" w:rsidP="00070462">
            <w:pPr>
              <w:pStyle w:val="TableText0"/>
              <w:keepNext w:val="0"/>
              <w:widowControl w:val="0"/>
              <w:rPr>
                <w:szCs w:val="20"/>
              </w:rPr>
            </w:pPr>
          </w:p>
        </w:tc>
        <w:tc>
          <w:tcPr>
            <w:tcW w:w="507" w:type="pct"/>
            <w:vMerge/>
            <w:shd w:val="clear" w:color="auto" w:fill="auto"/>
            <w:vAlign w:val="center"/>
          </w:tcPr>
          <w:p w14:paraId="19B55E65" w14:textId="5AACD3F3" w:rsidR="00070462" w:rsidRPr="006104A6" w:rsidRDefault="00070462" w:rsidP="00070462">
            <w:pPr>
              <w:pStyle w:val="TableText0"/>
              <w:keepNext w:val="0"/>
              <w:widowControl w:val="0"/>
              <w:jc w:val="center"/>
              <w:rPr>
                <w:szCs w:val="20"/>
              </w:rPr>
            </w:pPr>
          </w:p>
        </w:tc>
        <w:tc>
          <w:tcPr>
            <w:tcW w:w="594" w:type="pct"/>
            <w:vMerge/>
            <w:vAlign w:val="center"/>
          </w:tcPr>
          <w:p w14:paraId="5DF2F86C" w14:textId="3288EEBB" w:rsidR="00070462" w:rsidRPr="006104A6" w:rsidRDefault="00070462" w:rsidP="00070462">
            <w:pPr>
              <w:pStyle w:val="TableText0"/>
              <w:keepNext w:val="0"/>
              <w:widowControl w:val="0"/>
              <w:jc w:val="center"/>
              <w:rPr>
                <w:szCs w:val="20"/>
              </w:rPr>
            </w:pPr>
          </w:p>
        </w:tc>
        <w:tc>
          <w:tcPr>
            <w:tcW w:w="558" w:type="pct"/>
            <w:vMerge/>
            <w:shd w:val="clear" w:color="auto" w:fill="auto"/>
            <w:vAlign w:val="center"/>
          </w:tcPr>
          <w:p w14:paraId="4D312CC3" w14:textId="36631157" w:rsidR="00070462" w:rsidRPr="006104A6" w:rsidRDefault="00070462" w:rsidP="00070462">
            <w:pPr>
              <w:pStyle w:val="TableText0"/>
              <w:keepNext w:val="0"/>
              <w:widowControl w:val="0"/>
              <w:jc w:val="center"/>
              <w:rPr>
                <w:szCs w:val="20"/>
              </w:rPr>
            </w:pPr>
          </w:p>
        </w:tc>
        <w:tc>
          <w:tcPr>
            <w:tcW w:w="581" w:type="pct"/>
            <w:shd w:val="clear" w:color="auto" w:fill="auto"/>
            <w:vAlign w:val="center"/>
          </w:tcPr>
          <w:p w14:paraId="2566BB3D" w14:textId="6BB43130" w:rsidR="00070462" w:rsidRPr="006104A6" w:rsidRDefault="00070462" w:rsidP="00070462">
            <w:pPr>
              <w:pStyle w:val="TableText0"/>
              <w:keepNext w:val="0"/>
              <w:widowControl w:val="0"/>
              <w:jc w:val="center"/>
              <w:rPr>
                <w:szCs w:val="20"/>
              </w:rPr>
            </w:pPr>
            <w:r w:rsidRPr="006104A6">
              <w:rPr>
                <w:szCs w:val="20"/>
              </w:rPr>
              <w:t>1.12^</w:t>
            </w:r>
          </w:p>
          <w:p w14:paraId="728F1366" w14:textId="1AEF5C4A" w:rsidR="00070462" w:rsidRPr="006104A6" w:rsidRDefault="00070462" w:rsidP="00070462">
            <w:pPr>
              <w:pStyle w:val="TableText0"/>
              <w:keepNext w:val="0"/>
              <w:widowControl w:val="0"/>
              <w:jc w:val="center"/>
              <w:rPr>
                <w:szCs w:val="20"/>
              </w:rPr>
            </w:pPr>
            <w:r w:rsidRPr="006104A6">
              <w:rPr>
                <w:szCs w:val="20"/>
              </w:rPr>
              <w:t>(0.68, 1.82)</w:t>
            </w:r>
          </w:p>
        </w:tc>
        <w:tc>
          <w:tcPr>
            <w:tcW w:w="531" w:type="pct"/>
            <w:shd w:val="clear" w:color="auto" w:fill="auto"/>
            <w:vAlign w:val="center"/>
          </w:tcPr>
          <w:p w14:paraId="75E812BB" w14:textId="3A0F408D" w:rsidR="00070462" w:rsidRPr="006104A6" w:rsidRDefault="00070462" w:rsidP="00070462">
            <w:pPr>
              <w:pStyle w:val="TableText0"/>
              <w:keepNext w:val="0"/>
              <w:widowControl w:val="0"/>
              <w:jc w:val="center"/>
              <w:rPr>
                <w:szCs w:val="20"/>
              </w:rPr>
            </w:pPr>
            <w:r w:rsidRPr="006104A6">
              <w:rPr>
                <w:szCs w:val="20"/>
              </w:rPr>
              <w:t>NR</w:t>
            </w:r>
          </w:p>
        </w:tc>
        <w:tc>
          <w:tcPr>
            <w:tcW w:w="581" w:type="pct"/>
            <w:shd w:val="clear" w:color="auto" w:fill="auto"/>
            <w:vAlign w:val="center"/>
          </w:tcPr>
          <w:p w14:paraId="17CB0413" w14:textId="1D3D6DF4" w:rsidR="00070462" w:rsidRPr="006104A6" w:rsidRDefault="00070462" w:rsidP="00070462">
            <w:pPr>
              <w:pStyle w:val="TableText0"/>
              <w:keepNext w:val="0"/>
              <w:widowControl w:val="0"/>
              <w:jc w:val="center"/>
              <w:rPr>
                <w:szCs w:val="20"/>
              </w:rPr>
            </w:pPr>
            <w:r w:rsidRPr="006104A6">
              <w:rPr>
                <w:szCs w:val="20"/>
              </w:rPr>
              <w:t>0.73^</w:t>
            </w:r>
          </w:p>
          <w:p w14:paraId="632398AD" w14:textId="7099DE1D" w:rsidR="00070462" w:rsidRPr="006104A6" w:rsidRDefault="00070462" w:rsidP="00070462">
            <w:pPr>
              <w:pStyle w:val="TableText0"/>
              <w:keepNext w:val="0"/>
              <w:widowControl w:val="0"/>
              <w:jc w:val="center"/>
              <w:rPr>
                <w:szCs w:val="20"/>
              </w:rPr>
            </w:pPr>
            <w:r w:rsidRPr="006104A6">
              <w:rPr>
                <w:szCs w:val="20"/>
              </w:rPr>
              <w:t>(0.45, 1.49)</w:t>
            </w:r>
          </w:p>
        </w:tc>
      </w:tr>
      <w:tr w:rsidR="00070462" w:rsidRPr="006104A6" w14:paraId="1CB1ABBC" w14:textId="77777777" w:rsidTr="000B6AA2">
        <w:trPr>
          <w:cantSplit/>
          <w:trHeight w:val="698"/>
        </w:trPr>
        <w:tc>
          <w:tcPr>
            <w:tcW w:w="958" w:type="pct"/>
            <w:vMerge w:val="restart"/>
            <w:shd w:val="clear" w:color="auto" w:fill="auto"/>
            <w:vAlign w:val="center"/>
          </w:tcPr>
          <w:p w14:paraId="7B32C7A4" w14:textId="77777777" w:rsidR="00070462" w:rsidRPr="006104A6" w:rsidRDefault="00070462" w:rsidP="00070462">
            <w:pPr>
              <w:pStyle w:val="TableText0"/>
              <w:keepNext w:val="0"/>
              <w:widowControl w:val="0"/>
              <w:rPr>
                <w:szCs w:val="20"/>
              </w:rPr>
            </w:pPr>
            <w:r w:rsidRPr="006104A6">
              <w:rPr>
                <w:szCs w:val="20"/>
              </w:rPr>
              <w:t>Yip 2022</w:t>
            </w:r>
          </w:p>
          <w:p w14:paraId="5C34E810" w14:textId="648560A0" w:rsidR="00070462" w:rsidRPr="006104A6" w:rsidRDefault="00070462" w:rsidP="00070462">
            <w:pPr>
              <w:pStyle w:val="TableText0"/>
              <w:keepNext w:val="0"/>
              <w:widowControl w:val="0"/>
              <w:rPr>
                <w:szCs w:val="20"/>
              </w:rPr>
            </w:pPr>
            <w:r w:rsidRPr="006104A6">
              <w:rPr>
                <w:szCs w:val="20"/>
              </w:rPr>
              <w:t>(≥ 70 years)</w:t>
            </w:r>
          </w:p>
        </w:tc>
        <w:tc>
          <w:tcPr>
            <w:tcW w:w="690" w:type="pct"/>
            <w:vAlign w:val="center"/>
          </w:tcPr>
          <w:p w14:paraId="74B786C0" w14:textId="6209DAA8" w:rsidR="00070462" w:rsidRPr="006104A6" w:rsidRDefault="00070462" w:rsidP="00070462">
            <w:pPr>
              <w:pStyle w:val="TableText0"/>
              <w:keepNext w:val="0"/>
              <w:widowControl w:val="0"/>
              <w:rPr>
                <w:szCs w:val="20"/>
              </w:rPr>
            </w:pPr>
            <w:r w:rsidRPr="006104A6">
              <w:rPr>
                <w:szCs w:val="20"/>
              </w:rPr>
              <w:t xml:space="preserve">Hospitalisation </w:t>
            </w:r>
          </w:p>
        </w:tc>
        <w:tc>
          <w:tcPr>
            <w:tcW w:w="507" w:type="pct"/>
            <w:shd w:val="clear" w:color="auto" w:fill="auto"/>
            <w:vAlign w:val="center"/>
          </w:tcPr>
          <w:p w14:paraId="3FB964E4" w14:textId="6E037ED5" w:rsidR="00070462" w:rsidRPr="006104A6" w:rsidRDefault="00070462" w:rsidP="00070462">
            <w:pPr>
              <w:pStyle w:val="TableText0"/>
              <w:keepNext w:val="0"/>
              <w:widowControl w:val="0"/>
              <w:jc w:val="center"/>
              <w:rPr>
                <w:szCs w:val="20"/>
              </w:rPr>
            </w:pPr>
            <w:r w:rsidRPr="006104A6">
              <w:rPr>
                <w:szCs w:val="20"/>
              </w:rPr>
              <w:t>NR/2541</w:t>
            </w:r>
          </w:p>
        </w:tc>
        <w:tc>
          <w:tcPr>
            <w:tcW w:w="594" w:type="pct"/>
            <w:vAlign w:val="center"/>
          </w:tcPr>
          <w:p w14:paraId="46606375" w14:textId="1725B628" w:rsidR="00070462" w:rsidRPr="006104A6" w:rsidRDefault="00070462" w:rsidP="00070462">
            <w:pPr>
              <w:pStyle w:val="TableText0"/>
              <w:keepNext w:val="0"/>
              <w:widowControl w:val="0"/>
              <w:jc w:val="center"/>
              <w:rPr>
                <w:szCs w:val="20"/>
              </w:rPr>
            </w:pPr>
            <w:r w:rsidRPr="006104A6">
              <w:rPr>
                <w:szCs w:val="20"/>
              </w:rPr>
              <w:t>NR/2584</w:t>
            </w:r>
          </w:p>
        </w:tc>
        <w:tc>
          <w:tcPr>
            <w:tcW w:w="558" w:type="pct"/>
            <w:shd w:val="clear" w:color="auto" w:fill="auto"/>
            <w:vAlign w:val="center"/>
          </w:tcPr>
          <w:p w14:paraId="7AD4572B" w14:textId="3ECFF815" w:rsidR="00070462" w:rsidRPr="006104A6" w:rsidRDefault="00070462" w:rsidP="00070462">
            <w:pPr>
              <w:pStyle w:val="TableText0"/>
              <w:keepNext w:val="0"/>
              <w:widowControl w:val="0"/>
              <w:jc w:val="center"/>
              <w:rPr>
                <w:szCs w:val="20"/>
              </w:rPr>
            </w:pPr>
            <w:r w:rsidRPr="006104A6">
              <w:rPr>
                <w:szCs w:val="20"/>
              </w:rPr>
              <w:t>NR/2693</w:t>
            </w:r>
          </w:p>
        </w:tc>
        <w:tc>
          <w:tcPr>
            <w:tcW w:w="581" w:type="pct"/>
            <w:shd w:val="clear" w:color="auto" w:fill="auto"/>
            <w:vAlign w:val="center"/>
          </w:tcPr>
          <w:p w14:paraId="14F738F3" w14:textId="77777777" w:rsidR="00070462" w:rsidRPr="006104A6" w:rsidRDefault="00070462" w:rsidP="00070462">
            <w:pPr>
              <w:pStyle w:val="TableText0"/>
              <w:keepNext w:val="0"/>
              <w:widowControl w:val="0"/>
              <w:jc w:val="center"/>
              <w:rPr>
                <w:szCs w:val="20"/>
              </w:rPr>
            </w:pPr>
            <w:r w:rsidRPr="006104A6">
              <w:rPr>
                <w:szCs w:val="20"/>
              </w:rPr>
              <w:t>1.15^</w:t>
            </w:r>
          </w:p>
          <w:p w14:paraId="3F20FA64" w14:textId="6B508E54" w:rsidR="00070462" w:rsidRPr="006104A6" w:rsidRDefault="00070462" w:rsidP="00070462">
            <w:pPr>
              <w:pStyle w:val="TableText0"/>
              <w:widowControl w:val="0"/>
              <w:jc w:val="center"/>
              <w:rPr>
                <w:szCs w:val="20"/>
              </w:rPr>
            </w:pPr>
            <w:r w:rsidRPr="006104A6">
              <w:rPr>
                <w:szCs w:val="20"/>
              </w:rPr>
              <w:t>(0.95, 1.39)^</w:t>
            </w:r>
          </w:p>
        </w:tc>
        <w:tc>
          <w:tcPr>
            <w:tcW w:w="531" w:type="pct"/>
            <w:shd w:val="clear" w:color="auto" w:fill="auto"/>
            <w:vAlign w:val="center"/>
          </w:tcPr>
          <w:p w14:paraId="6F32AC36" w14:textId="2EDAA448" w:rsidR="00070462" w:rsidRPr="006104A6" w:rsidRDefault="00070462" w:rsidP="00070462">
            <w:pPr>
              <w:pStyle w:val="TableText0"/>
              <w:widowControl w:val="0"/>
              <w:jc w:val="center"/>
              <w:rPr>
                <w:szCs w:val="20"/>
              </w:rPr>
            </w:pPr>
            <w:r w:rsidRPr="006104A6">
              <w:rPr>
                <w:szCs w:val="20"/>
              </w:rPr>
              <w:t>NR</w:t>
            </w:r>
          </w:p>
        </w:tc>
        <w:tc>
          <w:tcPr>
            <w:tcW w:w="581" w:type="pct"/>
            <w:shd w:val="clear" w:color="auto" w:fill="auto"/>
            <w:vAlign w:val="center"/>
          </w:tcPr>
          <w:p w14:paraId="7CB07F84" w14:textId="77777777" w:rsidR="00070462" w:rsidRPr="006104A6" w:rsidRDefault="00070462" w:rsidP="00070462">
            <w:pPr>
              <w:pStyle w:val="TableText0"/>
              <w:keepNext w:val="0"/>
              <w:widowControl w:val="0"/>
              <w:jc w:val="center"/>
              <w:rPr>
                <w:b/>
                <w:bCs w:val="0"/>
                <w:szCs w:val="20"/>
              </w:rPr>
            </w:pPr>
            <w:r w:rsidRPr="006104A6">
              <w:rPr>
                <w:b/>
                <w:bCs w:val="0"/>
                <w:szCs w:val="20"/>
              </w:rPr>
              <w:t>0.68^</w:t>
            </w:r>
          </w:p>
          <w:p w14:paraId="06058450" w14:textId="1A18E144" w:rsidR="00070462" w:rsidRPr="006104A6" w:rsidRDefault="00070462" w:rsidP="00070462">
            <w:pPr>
              <w:pStyle w:val="TableText0"/>
              <w:widowControl w:val="0"/>
              <w:jc w:val="center"/>
              <w:rPr>
                <w:b/>
                <w:bCs w:val="0"/>
                <w:szCs w:val="20"/>
              </w:rPr>
            </w:pPr>
            <w:r w:rsidRPr="006104A6">
              <w:rPr>
                <w:b/>
                <w:bCs w:val="0"/>
                <w:szCs w:val="20"/>
              </w:rPr>
              <w:t>(0.54, 0.84)</w:t>
            </w:r>
          </w:p>
        </w:tc>
      </w:tr>
      <w:tr w:rsidR="00070462" w:rsidRPr="006104A6" w14:paraId="59AA3AAE" w14:textId="77777777" w:rsidTr="000B6AA2">
        <w:trPr>
          <w:cantSplit/>
          <w:trHeight w:val="918"/>
        </w:trPr>
        <w:tc>
          <w:tcPr>
            <w:tcW w:w="958" w:type="pct"/>
            <w:vMerge/>
            <w:shd w:val="clear" w:color="auto" w:fill="auto"/>
            <w:vAlign w:val="center"/>
          </w:tcPr>
          <w:p w14:paraId="0DEE3779" w14:textId="77777777" w:rsidR="00070462" w:rsidRPr="006104A6" w:rsidRDefault="00070462" w:rsidP="00070462">
            <w:pPr>
              <w:pStyle w:val="TableText0"/>
              <w:keepNext w:val="0"/>
              <w:widowControl w:val="0"/>
              <w:rPr>
                <w:szCs w:val="20"/>
              </w:rPr>
            </w:pPr>
          </w:p>
        </w:tc>
        <w:tc>
          <w:tcPr>
            <w:tcW w:w="690" w:type="pct"/>
          </w:tcPr>
          <w:p w14:paraId="06D2D7DB" w14:textId="2F165160" w:rsidR="00070462" w:rsidRPr="006104A6" w:rsidRDefault="00070462" w:rsidP="00070462">
            <w:pPr>
              <w:pStyle w:val="TableText0"/>
              <w:keepNext w:val="0"/>
              <w:widowControl w:val="0"/>
              <w:rPr>
                <w:szCs w:val="20"/>
              </w:rPr>
            </w:pPr>
            <w:r w:rsidRPr="006104A6">
              <w:rPr>
                <w:szCs w:val="20"/>
              </w:rPr>
              <w:t>ICU admission, IMV use and/or death</w:t>
            </w:r>
          </w:p>
        </w:tc>
        <w:tc>
          <w:tcPr>
            <w:tcW w:w="507" w:type="pct"/>
            <w:shd w:val="clear" w:color="auto" w:fill="auto"/>
            <w:vAlign w:val="center"/>
          </w:tcPr>
          <w:p w14:paraId="61AF9731" w14:textId="1CC9CAEA" w:rsidR="00070462" w:rsidRPr="006104A6" w:rsidRDefault="00070462" w:rsidP="00070462">
            <w:pPr>
              <w:pStyle w:val="TableText0"/>
              <w:keepNext w:val="0"/>
              <w:widowControl w:val="0"/>
              <w:jc w:val="center"/>
              <w:rPr>
                <w:szCs w:val="20"/>
              </w:rPr>
            </w:pPr>
            <w:r w:rsidRPr="006104A6">
              <w:rPr>
                <w:szCs w:val="20"/>
              </w:rPr>
              <w:t>NR/2541</w:t>
            </w:r>
          </w:p>
        </w:tc>
        <w:tc>
          <w:tcPr>
            <w:tcW w:w="594" w:type="pct"/>
            <w:vAlign w:val="center"/>
          </w:tcPr>
          <w:p w14:paraId="28481A34" w14:textId="047A3732" w:rsidR="00070462" w:rsidRPr="006104A6" w:rsidRDefault="00070462" w:rsidP="00070462">
            <w:pPr>
              <w:pStyle w:val="TableText0"/>
              <w:keepNext w:val="0"/>
              <w:widowControl w:val="0"/>
              <w:jc w:val="center"/>
              <w:rPr>
                <w:szCs w:val="20"/>
              </w:rPr>
            </w:pPr>
            <w:r w:rsidRPr="006104A6">
              <w:rPr>
                <w:szCs w:val="20"/>
              </w:rPr>
              <w:t>NR/2584</w:t>
            </w:r>
          </w:p>
        </w:tc>
        <w:tc>
          <w:tcPr>
            <w:tcW w:w="558" w:type="pct"/>
            <w:shd w:val="clear" w:color="auto" w:fill="auto"/>
            <w:vAlign w:val="center"/>
          </w:tcPr>
          <w:p w14:paraId="712209D7" w14:textId="459E4237" w:rsidR="00070462" w:rsidRPr="006104A6" w:rsidRDefault="00070462" w:rsidP="00070462">
            <w:pPr>
              <w:pStyle w:val="TableText0"/>
              <w:keepNext w:val="0"/>
              <w:widowControl w:val="0"/>
              <w:jc w:val="center"/>
              <w:rPr>
                <w:szCs w:val="20"/>
              </w:rPr>
            </w:pPr>
            <w:r w:rsidRPr="006104A6">
              <w:rPr>
                <w:szCs w:val="20"/>
              </w:rPr>
              <w:t>NR/2693</w:t>
            </w:r>
          </w:p>
        </w:tc>
        <w:tc>
          <w:tcPr>
            <w:tcW w:w="581" w:type="pct"/>
            <w:shd w:val="clear" w:color="auto" w:fill="auto"/>
            <w:vAlign w:val="center"/>
          </w:tcPr>
          <w:p w14:paraId="56FA45BD" w14:textId="34C9B735" w:rsidR="00070462" w:rsidRPr="006104A6" w:rsidRDefault="00070462" w:rsidP="00070462">
            <w:pPr>
              <w:pStyle w:val="TableText0"/>
              <w:keepNext w:val="0"/>
              <w:widowControl w:val="0"/>
              <w:jc w:val="center"/>
              <w:rPr>
                <w:szCs w:val="20"/>
              </w:rPr>
            </w:pPr>
            <w:r w:rsidRPr="006104A6">
              <w:rPr>
                <w:szCs w:val="20"/>
              </w:rPr>
              <w:t>1.08^</w:t>
            </w:r>
          </w:p>
          <w:p w14:paraId="41E06BDA" w14:textId="5A523D6C" w:rsidR="00070462" w:rsidRPr="006104A6" w:rsidRDefault="00070462" w:rsidP="00070462">
            <w:pPr>
              <w:pStyle w:val="TableText0"/>
              <w:widowControl w:val="0"/>
              <w:jc w:val="center"/>
              <w:rPr>
                <w:szCs w:val="20"/>
              </w:rPr>
            </w:pPr>
            <w:r w:rsidRPr="006104A6">
              <w:rPr>
                <w:szCs w:val="20"/>
              </w:rPr>
              <w:t>(0.65, 1.82)</w:t>
            </w:r>
          </w:p>
        </w:tc>
        <w:tc>
          <w:tcPr>
            <w:tcW w:w="531" w:type="pct"/>
            <w:shd w:val="clear" w:color="auto" w:fill="auto"/>
            <w:vAlign w:val="center"/>
          </w:tcPr>
          <w:p w14:paraId="59964FA7" w14:textId="65D726D7" w:rsidR="00070462" w:rsidRPr="006104A6" w:rsidRDefault="00070462" w:rsidP="00070462">
            <w:pPr>
              <w:pStyle w:val="TableText0"/>
              <w:widowControl w:val="0"/>
              <w:jc w:val="center"/>
              <w:rPr>
                <w:szCs w:val="20"/>
              </w:rPr>
            </w:pPr>
            <w:r w:rsidRPr="006104A6">
              <w:rPr>
                <w:szCs w:val="20"/>
              </w:rPr>
              <w:t>NR</w:t>
            </w:r>
          </w:p>
        </w:tc>
        <w:tc>
          <w:tcPr>
            <w:tcW w:w="581" w:type="pct"/>
            <w:shd w:val="clear" w:color="auto" w:fill="auto"/>
            <w:vAlign w:val="center"/>
          </w:tcPr>
          <w:p w14:paraId="64288A9F" w14:textId="77777777" w:rsidR="00070462" w:rsidRPr="006104A6" w:rsidRDefault="00070462" w:rsidP="00070462">
            <w:pPr>
              <w:pStyle w:val="TableText0"/>
              <w:keepNext w:val="0"/>
              <w:widowControl w:val="0"/>
              <w:jc w:val="center"/>
              <w:rPr>
                <w:szCs w:val="20"/>
              </w:rPr>
            </w:pPr>
            <w:r w:rsidRPr="006104A6">
              <w:rPr>
                <w:szCs w:val="20"/>
              </w:rPr>
              <w:t>0.82^</w:t>
            </w:r>
          </w:p>
          <w:p w14:paraId="767AA21D" w14:textId="025ADF57" w:rsidR="00070462" w:rsidRPr="006104A6" w:rsidRDefault="00070462" w:rsidP="00070462">
            <w:pPr>
              <w:pStyle w:val="TableText0"/>
              <w:widowControl w:val="0"/>
              <w:jc w:val="center"/>
              <w:rPr>
                <w:szCs w:val="20"/>
              </w:rPr>
            </w:pPr>
            <w:r w:rsidRPr="006104A6">
              <w:rPr>
                <w:szCs w:val="20"/>
              </w:rPr>
              <w:t>(0.45, 1.49)</w:t>
            </w:r>
          </w:p>
        </w:tc>
      </w:tr>
      <w:tr w:rsidR="00070462" w:rsidRPr="006104A6" w14:paraId="248D1623" w14:textId="77777777" w:rsidTr="000B6AA2">
        <w:trPr>
          <w:cantSplit/>
        </w:trPr>
        <w:tc>
          <w:tcPr>
            <w:tcW w:w="958" w:type="pct"/>
            <w:shd w:val="clear" w:color="auto" w:fill="auto"/>
            <w:vAlign w:val="center"/>
          </w:tcPr>
          <w:p w14:paraId="3F3E66EE" w14:textId="77777777" w:rsidR="00070462" w:rsidRPr="006104A6" w:rsidRDefault="00070462" w:rsidP="00070462">
            <w:pPr>
              <w:pStyle w:val="TableText0"/>
              <w:keepNext w:val="0"/>
              <w:widowControl w:val="0"/>
              <w:rPr>
                <w:szCs w:val="20"/>
              </w:rPr>
            </w:pPr>
            <w:r w:rsidRPr="006104A6">
              <w:rPr>
                <w:szCs w:val="20"/>
              </w:rPr>
              <w:t>Wai 2023</w:t>
            </w:r>
          </w:p>
          <w:p w14:paraId="76BEFE22" w14:textId="44E879A3" w:rsidR="00070462" w:rsidRPr="006104A6" w:rsidRDefault="00070462" w:rsidP="00070462">
            <w:pPr>
              <w:pStyle w:val="TableText0"/>
              <w:keepNext w:val="0"/>
              <w:widowControl w:val="0"/>
              <w:rPr>
                <w:szCs w:val="20"/>
              </w:rPr>
            </w:pPr>
            <w:r w:rsidRPr="006104A6">
              <w:rPr>
                <w:szCs w:val="20"/>
              </w:rPr>
              <w:t>(outpatients)</w:t>
            </w:r>
          </w:p>
        </w:tc>
        <w:tc>
          <w:tcPr>
            <w:tcW w:w="690" w:type="pct"/>
            <w:vAlign w:val="center"/>
          </w:tcPr>
          <w:p w14:paraId="18286380" w14:textId="37DFC160" w:rsidR="00070462" w:rsidRPr="006104A6" w:rsidRDefault="00070462" w:rsidP="00070462">
            <w:pPr>
              <w:pStyle w:val="TableText0"/>
              <w:keepNext w:val="0"/>
              <w:widowControl w:val="0"/>
              <w:rPr>
                <w:szCs w:val="20"/>
              </w:rPr>
            </w:pPr>
            <w:r w:rsidRPr="006104A6">
              <w:rPr>
                <w:szCs w:val="20"/>
              </w:rPr>
              <w:t>Death</w:t>
            </w:r>
          </w:p>
        </w:tc>
        <w:tc>
          <w:tcPr>
            <w:tcW w:w="507" w:type="pct"/>
            <w:shd w:val="clear" w:color="auto" w:fill="auto"/>
            <w:vAlign w:val="center"/>
          </w:tcPr>
          <w:p w14:paraId="71431688" w14:textId="68B1FC22" w:rsidR="00070462" w:rsidRPr="006104A6" w:rsidRDefault="00070462" w:rsidP="00070462">
            <w:pPr>
              <w:pStyle w:val="TableText0"/>
              <w:keepNext w:val="0"/>
              <w:widowControl w:val="0"/>
              <w:jc w:val="center"/>
              <w:rPr>
                <w:szCs w:val="20"/>
              </w:rPr>
            </w:pPr>
            <w:r w:rsidRPr="006104A6">
              <w:rPr>
                <w:szCs w:val="20"/>
              </w:rPr>
              <w:t>8/5345</w:t>
            </w:r>
          </w:p>
          <w:p w14:paraId="607DF6CC" w14:textId="7AF85362" w:rsidR="00070462" w:rsidRPr="006104A6" w:rsidRDefault="00070462" w:rsidP="00070462">
            <w:pPr>
              <w:pStyle w:val="TableText0"/>
              <w:keepNext w:val="0"/>
              <w:widowControl w:val="0"/>
              <w:jc w:val="center"/>
              <w:rPr>
                <w:szCs w:val="20"/>
              </w:rPr>
            </w:pPr>
            <w:r w:rsidRPr="006104A6">
              <w:rPr>
                <w:szCs w:val="20"/>
              </w:rPr>
              <w:t>(0.1%)</w:t>
            </w:r>
          </w:p>
        </w:tc>
        <w:tc>
          <w:tcPr>
            <w:tcW w:w="594" w:type="pct"/>
            <w:vAlign w:val="center"/>
          </w:tcPr>
          <w:p w14:paraId="53FF77DE" w14:textId="77777777" w:rsidR="00070462" w:rsidRPr="006104A6" w:rsidRDefault="00070462" w:rsidP="00070462">
            <w:pPr>
              <w:pStyle w:val="TableText0"/>
              <w:keepNext w:val="0"/>
              <w:widowControl w:val="0"/>
              <w:jc w:val="center"/>
              <w:rPr>
                <w:szCs w:val="20"/>
              </w:rPr>
            </w:pPr>
            <w:r w:rsidRPr="006104A6">
              <w:rPr>
                <w:szCs w:val="20"/>
              </w:rPr>
              <w:t>65/23430</w:t>
            </w:r>
          </w:p>
          <w:p w14:paraId="5B71CD05" w14:textId="0AA653DF" w:rsidR="00070462" w:rsidRPr="006104A6" w:rsidRDefault="00070462" w:rsidP="00070462">
            <w:pPr>
              <w:pStyle w:val="TableText0"/>
              <w:keepNext w:val="0"/>
              <w:widowControl w:val="0"/>
              <w:jc w:val="center"/>
              <w:rPr>
                <w:szCs w:val="20"/>
              </w:rPr>
            </w:pPr>
            <w:r w:rsidRPr="006104A6">
              <w:rPr>
                <w:szCs w:val="20"/>
              </w:rPr>
              <w:t>(0.2%)</w:t>
            </w:r>
          </w:p>
        </w:tc>
        <w:tc>
          <w:tcPr>
            <w:tcW w:w="558" w:type="pct"/>
            <w:shd w:val="clear" w:color="auto" w:fill="auto"/>
            <w:vAlign w:val="center"/>
          </w:tcPr>
          <w:p w14:paraId="35FCA546" w14:textId="77777777" w:rsidR="00070462" w:rsidRPr="006104A6" w:rsidRDefault="00070462" w:rsidP="00070462">
            <w:pPr>
              <w:pStyle w:val="TableText0"/>
              <w:keepNext w:val="0"/>
              <w:widowControl w:val="0"/>
              <w:jc w:val="center"/>
              <w:rPr>
                <w:szCs w:val="20"/>
              </w:rPr>
            </w:pPr>
            <w:r w:rsidRPr="006104A6">
              <w:rPr>
                <w:szCs w:val="20"/>
              </w:rPr>
              <w:t>0/4442</w:t>
            </w:r>
          </w:p>
          <w:p w14:paraId="37D31BA6" w14:textId="2E7255F2" w:rsidR="00070462" w:rsidRPr="006104A6" w:rsidRDefault="00070462" w:rsidP="00070462">
            <w:pPr>
              <w:pStyle w:val="TableText0"/>
              <w:keepNext w:val="0"/>
              <w:widowControl w:val="0"/>
              <w:jc w:val="center"/>
              <w:rPr>
                <w:szCs w:val="20"/>
              </w:rPr>
            </w:pPr>
            <w:r w:rsidRPr="006104A6">
              <w:rPr>
                <w:szCs w:val="20"/>
              </w:rPr>
              <w:t>(0%)</w:t>
            </w:r>
          </w:p>
        </w:tc>
        <w:tc>
          <w:tcPr>
            <w:tcW w:w="581" w:type="pct"/>
            <w:shd w:val="clear" w:color="auto" w:fill="auto"/>
            <w:vAlign w:val="center"/>
          </w:tcPr>
          <w:p w14:paraId="00006FE9" w14:textId="691E93AB" w:rsidR="00070462" w:rsidRPr="006104A6" w:rsidRDefault="00070462" w:rsidP="00070462">
            <w:pPr>
              <w:pStyle w:val="TableText0"/>
              <w:keepNext w:val="0"/>
              <w:widowControl w:val="0"/>
              <w:jc w:val="center"/>
              <w:rPr>
                <w:iCs/>
                <w:szCs w:val="20"/>
              </w:rPr>
            </w:pPr>
            <w:r w:rsidRPr="006104A6">
              <w:rPr>
                <w:iCs/>
                <w:szCs w:val="20"/>
              </w:rPr>
              <w:t>0.54</w:t>
            </w:r>
          </w:p>
          <w:p w14:paraId="38D8792F" w14:textId="73A02E22" w:rsidR="00070462" w:rsidRPr="006104A6" w:rsidRDefault="00070462" w:rsidP="00070462">
            <w:pPr>
              <w:pStyle w:val="TableText0"/>
              <w:keepNext w:val="0"/>
              <w:widowControl w:val="0"/>
              <w:jc w:val="center"/>
              <w:rPr>
                <w:i/>
                <w:iCs/>
                <w:szCs w:val="20"/>
              </w:rPr>
            </w:pPr>
            <w:r w:rsidRPr="006104A6">
              <w:rPr>
                <w:iCs/>
                <w:szCs w:val="20"/>
              </w:rPr>
              <w:t>(0.26. 1.11</w:t>
            </w:r>
            <w:r w:rsidRPr="006104A6">
              <w:rPr>
                <w:b/>
                <w:bCs w:val="0"/>
                <w:iCs/>
                <w:szCs w:val="20"/>
              </w:rPr>
              <w:t>)</w:t>
            </w:r>
          </w:p>
        </w:tc>
        <w:tc>
          <w:tcPr>
            <w:tcW w:w="531" w:type="pct"/>
            <w:shd w:val="clear" w:color="auto" w:fill="auto"/>
            <w:vAlign w:val="center"/>
          </w:tcPr>
          <w:p w14:paraId="63CC3F9D" w14:textId="77777777" w:rsidR="00070462" w:rsidRPr="006104A6" w:rsidRDefault="00070462" w:rsidP="00070462">
            <w:pPr>
              <w:pStyle w:val="TableText0"/>
              <w:keepNext w:val="0"/>
              <w:widowControl w:val="0"/>
              <w:jc w:val="center"/>
              <w:rPr>
                <w:b/>
                <w:bCs w:val="0"/>
                <w:iCs/>
                <w:szCs w:val="20"/>
              </w:rPr>
            </w:pPr>
            <w:r w:rsidRPr="006104A6">
              <w:rPr>
                <w:b/>
                <w:bCs w:val="0"/>
                <w:iCs/>
                <w:szCs w:val="20"/>
              </w:rPr>
              <w:t>0</w:t>
            </w:r>
          </w:p>
          <w:p w14:paraId="63ADDDA8" w14:textId="55DB0453" w:rsidR="00070462" w:rsidRPr="006104A6" w:rsidRDefault="00070462" w:rsidP="00070462">
            <w:pPr>
              <w:pStyle w:val="TableText0"/>
              <w:keepNext w:val="0"/>
              <w:widowControl w:val="0"/>
              <w:jc w:val="center"/>
              <w:rPr>
                <w:i/>
                <w:iCs/>
                <w:szCs w:val="20"/>
              </w:rPr>
            </w:pPr>
            <w:r w:rsidRPr="006104A6">
              <w:rPr>
                <w:b/>
                <w:bCs w:val="0"/>
                <w:iCs/>
                <w:szCs w:val="20"/>
              </w:rPr>
              <w:t>(0, 0.31)</w:t>
            </w:r>
          </w:p>
        </w:tc>
        <w:tc>
          <w:tcPr>
            <w:tcW w:w="581" w:type="pct"/>
            <w:shd w:val="clear" w:color="auto" w:fill="auto"/>
            <w:vAlign w:val="center"/>
          </w:tcPr>
          <w:p w14:paraId="089FE88F" w14:textId="77777777" w:rsidR="00070462" w:rsidRPr="006104A6" w:rsidRDefault="00070462" w:rsidP="00070462">
            <w:pPr>
              <w:pStyle w:val="TableText0"/>
              <w:keepNext w:val="0"/>
              <w:widowControl w:val="0"/>
              <w:jc w:val="center"/>
              <w:rPr>
                <w:b/>
                <w:bCs w:val="0"/>
                <w:iCs/>
                <w:szCs w:val="20"/>
              </w:rPr>
            </w:pPr>
            <w:r w:rsidRPr="006104A6">
              <w:rPr>
                <w:b/>
                <w:bCs w:val="0"/>
                <w:iCs/>
                <w:szCs w:val="20"/>
              </w:rPr>
              <w:t>NC</w:t>
            </w:r>
          </w:p>
          <w:p w14:paraId="201D7137" w14:textId="4E27A9B5" w:rsidR="00070462" w:rsidRPr="006104A6" w:rsidRDefault="00070462" w:rsidP="00070462">
            <w:pPr>
              <w:pStyle w:val="TableText0"/>
              <w:keepNext w:val="0"/>
              <w:widowControl w:val="0"/>
              <w:jc w:val="center"/>
              <w:rPr>
                <w:i/>
                <w:iCs/>
                <w:szCs w:val="20"/>
              </w:rPr>
            </w:pPr>
            <w:r w:rsidRPr="006104A6">
              <w:rPr>
                <w:b/>
                <w:bCs w:val="0"/>
                <w:iCs/>
                <w:szCs w:val="20"/>
              </w:rPr>
              <w:t xml:space="preserve">(1.73, </w:t>
            </w:r>
            <m:oMath>
              <m:r>
                <m:rPr>
                  <m:sty m:val="b"/>
                </m:rPr>
                <w:rPr>
                  <w:rFonts w:ascii="Cambria Math" w:hAnsi="Cambria Math"/>
                  <w:szCs w:val="20"/>
                </w:rPr>
                <m:t>∞</m:t>
              </m:r>
            </m:oMath>
            <w:r w:rsidRPr="006104A6">
              <w:rPr>
                <w:b/>
                <w:bCs w:val="0"/>
                <w:iCs/>
                <w:szCs w:val="20"/>
              </w:rPr>
              <w:t>)</w:t>
            </w:r>
          </w:p>
        </w:tc>
      </w:tr>
    </w:tbl>
    <w:p w14:paraId="70D9D8C4" w14:textId="66526828" w:rsidR="007F06CA" w:rsidRPr="006104A6" w:rsidRDefault="001010BD" w:rsidP="005C508C">
      <w:pPr>
        <w:pStyle w:val="Tabletext"/>
        <w:jc w:val="both"/>
        <w:rPr>
          <w:sz w:val="18"/>
          <w:szCs w:val="22"/>
        </w:rPr>
      </w:pPr>
      <w:r w:rsidRPr="006104A6">
        <w:rPr>
          <w:sz w:val="18"/>
          <w:szCs w:val="22"/>
        </w:rPr>
        <w:t xml:space="preserve">Sources: </w:t>
      </w:r>
      <w:r w:rsidR="00582993" w:rsidRPr="006104A6">
        <w:rPr>
          <w:sz w:val="18"/>
          <w:szCs w:val="22"/>
        </w:rPr>
        <w:t>Table 2.5-2 (MOVe-OUT results) on p</w:t>
      </w:r>
      <w:r w:rsidR="0098327C" w:rsidRPr="006104A6">
        <w:rPr>
          <w:sz w:val="18"/>
          <w:szCs w:val="22"/>
        </w:rPr>
        <w:t xml:space="preserve">79 of the submission; </w:t>
      </w:r>
      <w:r w:rsidR="00B8316A" w:rsidRPr="006104A6">
        <w:rPr>
          <w:sz w:val="18"/>
          <w:szCs w:val="22"/>
        </w:rPr>
        <w:t>Table 2.</w:t>
      </w:r>
      <w:r w:rsidR="00CE7E85" w:rsidRPr="006104A6">
        <w:rPr>
          <w:sz w:val="18"/>
          <w:szCs w:val="22"/>
        </w:rPr>
        <w:t xml:space="preserve">5-23 </w:t>
      </w:r>
      <w:r w:rsidR="00E12780" w:rsidRPr="006104A6">
        <w:rPr>
          <w:sz w:val="18"/>
          <w:szCs w:val="22"/>
        </w:rPr>
        <w:t xml:space="preserve">of the submission </w:t>
      </w:r>
      <w:r w:rsidR="00CE7E85" w:rsidRPr="006104A6">
        <w:rPr>
          <w:sz w:val="18"/>
          <w:szCs w:val="22"/>
        </w:rPr>
        <w:t>(EPIC-HR results)</w:t>
      </w:r>
      <w:r w:rsidR="007F06CA" w:rsidRPr="006104A6">
        <w:rPr>
          <w:sz w:val="18"/>
          <w:szCs w:val="22"/>
        </w:rPr>
        <w:t xml:space="preserve">, </w:t>
      </w:r>
      <w:r w:rsidR="00EC5F93" w:rsidRPr="006104A6">
        <w:rPr>
          <w:sz w:val="18"/>
          <w:szCs w:val="22"/>
        </w:rPr>
        <w:t xml:space="preserve">Table 2 Lai </w:t>
      </w:r>
      <w:r w:rsidR="003A3F41" w:rsidRPr="006104A6">
        <w:rPr>
          <w:sz w:val="18"/>
          <w:szCs w:val="22"/>
        </w:rPr>
        <w:t>2022</w:t>
      </w:r>
      <w:r w:rsidR="00CE7E85" w:rsidRPr="006104A6">
        <w:rPr>
          <w:sz w:val="18"/>
          <w:szCs w:val="22"/>
        </w:rPr>
        <w:t xml:space="preserve"> (results of pairwise indirect comparison</w:t>
      </w:r>
      <w:r w:rsidR="007F06CA" w:rsidRPr="006104A6">
        <w:rPr>
          <w:sz w:val="18"/>
          <w:szCs w:val="22"/>
        </w:rPr>
        <w:t xml:space="preserve"> based on MOVe-OUT and EPIC-HR</w:t>
      </w:r>
      <w:r w:rsidR="00CE7E85" w:rsidRPr="006104A6">
        <w:rPr>
          <w:sz w:val="18"/>
          <w:szCs w:val="22"/>
        </w:rPr>
        <w:t>)</w:t>
      </w:r>
      <w:r w:rsidR="00BC7B95" w:rsidRPr="006104A6">
        <w:rPr>
          <w:sz w:val="18"/>
          <w:szCs w:val="22"/>
        </w:rPr>
        <w:t>;</w:t>
      </w:r>
      <w:r w:rsidR="00CE7E85" w:rsidRPr="006104A6">
        <w:rPr>
          <w:sz w:val="18"/>
          <w:szCs w:val="22"/>
        </w:rPr>
        <w:t xml:space="preserve"> </w:t>
      </w:r>
      <w:r w:rsidR="007F06CA" w:rsidRPr="006104A6">
        <w:rPr>
          <w:sz w:val="18"/>
          <w:szCs w:val="22"/>
        </w:rPr>
        <w:t xml:space="preserve">Table 2.5-4 </w:t>
      </w:r>
      <w:r w:rsidR="00E12780" w:rsidRPr="006104A6">
        <w:rPr>
          <w:sz w:val="18"/>
          <w:szCs w:val="22"/>
        </w:rPr>
        <w:t xml:space="preserve">of the submission </w:t>
      </w:r>
      <w:r w:rsidR="00BC7B95" w:rsidRPr="006104A6">
        <w:rPr>
          <w:sz w:val="18"/>
          <w:szCs w:val="22"/>
        </w:rPr>
        <w:t xml:space="preserve">(PANORAMIC results); </w:t>
      </w:r>
      <w:r w:rsidR="00CC3717" w:rsidRPr="006104A6">
        <w:rPr>
          <w:sz w:val="18"/>
          <w:szCs w:val="22"/>
        </w:rPr>
        <w:t>Van Heer 2023</w:t>
      </w:r>
      <w:r w:rsidR="00063FE4" w:rsidRPr="006104A6">
        <w:rPr>
          <w:sz w:val="18"/>
          <w:szCs w:val="22"/>
        </w:rPr>
        <w:t xml:space="preserve"> pre-print manuscript</w:t>
      </w:r>
      <w:r w:rsidR="00A9121F" w:rsidRPr="006104A6">
        <w:rPr>
          <w:sz w:val="18"/>
          <w:szCs w:val="22"/>
        </w:rPr>
        <w:t xml:space="preserve"> </w:t>
      </w:r>
      <w:r w:rsidR="007F06CA" w:rsidRPr="006104A6">
        <w:rPr>
          <w:sz w:val="18"/>
          <w:szCs w:val="22"/>
        </w:rPr>
        <w:t>(Victorian dataset)</w:t>
      </w:r>
      <w:r w:rsidR="00CF3C17" w:rsidRPr="006104A6">
        <w:rPr>
          <w:sz w:val="18"/>
          <w:szCs w:val="22"/>
        </w:rPr>
        <w:t xml:space="preserve">; Table 2.5-6 </w:t>
      </w:r>
      <w:r w:rsidR="00E12780" w:rsidRPr="006104A6">
        <w:rPr>
          <w:sz w:val="18"/>
          <w:szCs w:val="22"/>
        </w:rPr>
        <w:t xml:space="preserve">of the submission </w:t>
      </w:r>
      <w:r w:rsidR="00CF3C17" w:rsidRPr="006104A6">
        <w:rPr>
          <w:sz w:val="18"/>
          <w:szCs w:val="22"/>
        </w:rPr>
        <w:t>(Arbel 2022 re</w:t>
      </w:r>
      <w:r w:rsidR="00E12780" w:rsidRPr="006104A6">
        <w:rPr>
          <w:sz w:val="18"/>
          <w:szCs w:val="22"/>
        </w:rPr>
        <w:t>sults)</w:t>
      </w:r>
      <w:r w:rsidR="00640F16" w:rsidRPr="006104A6">
        <w:rPr>
          <w:sz w:val="18"/>
          <w:szCs w:val="22"/>
        </w:rPr>
        <w:t xml:space="preserve">; Table 2.5-7 </w:t>
      </w:r>
      <w:r w:rsidR="00DC7B96" w:rsidRPr="006104A6">
        <w:rPr>
          <w:sz w:val="18"/>
          <w:szCs w:val="22"/>
        </w:rPr>
        <w:t xml:space="preserve">of the submission </w:t>
      </w:r>
      <w:r w:rsidR="00575770" w:rsidRPr="006104A6">
        <w:rPr>
          <w:sz w:val="18"/>
          <w:szCs w:val="22"/>
        </w:rPr>
        <w:t xml:space="preserve">(Najjar-Debbiny 2022 results); Tables 2.5-8 </w:t>
      </w:r>
      <w:r w:rsidR="00640F16" w:rsidRPr="006104A6">
        <w:rPr>
          <w:sz w:val="18"/>
          <w:szCs w:val="22"/>
        </w:rPr>
        <w:t xml:space="preserve">and 2.5-17 </w:t>
      </w:r>
      <w:r w:rsidR="008230F5" w:rsidRPr="006104A6">
        <w:rPr>
          <w:sz w:val="18"/>
          <w:szCs w:val="22"/>
        </w:rPr>
        <w:t xml:space="preserve">of the submission </w:t>
      </w:r>
      <w:r w:rsidR="00640F16" w:rsidRPr="006104A6">
        <w:rPr>
          <w:sz w:val="18"/>
          <w:szCs w:val="22"/>
        </w:rPr>
        <w:t>(Bajema</w:t>
      </w:r>
      <w:r w:rsidR="008230F5" w:rsidRPr="006104A6">
        <w:rPr>
          <w:sz w:val="18"/>
          <w:szCs w:val="22"/>
        </w:rPr>
        <w:t xml:space="preserve"> 2022 results)</w:t>
      </w:r>
      <w:r w:rsidR="005B3076" w:rsidRPr="006104A6">
        <w:rPr>
          <w:sz w:val="18"/>
          <w:szCs w:val="22"/>
        </w:rPr>
        <w:t>, Tables 2.5-15</w:t>
      </w:r>
      <w:r w:rsidR="00CC0B83" w:rsidRPr="006104A6">
        <w:rPr>
          <w:sz w:val="18"/>
          <w:szCs w:val="22"/>
        </w:rPr>
        <w:t xml:space="preserve"> and</w:t>
      </w:r>
      <w:r w:rsidR="00AC0AB0" w:rsidRPr="006104A6">
        <w:rPr>
          <w:sz w:val="18"/>
          <w:szCs w:val="22"/>
        </w:rPr>
        <w:t xml:space="preserve"> </w:t>
      </w:r>
      <w:r w:rsidR="00E71DF3" w:rsidRPr="006104A6">
        <w:rPr>
          <w:sz w:val="18"/>
          <w:szCs w:val="22"/>
        </w:rPr>
        <w:t xml:space="preserve">text </w:t>
      </w:r>
      <w:r w:rsidR="000B0B72" w:rsidRPr="006104A6">
        <w:rPr>
          <w:sz w:val="18"/>
          <w:szCs w:val="22"/>
        </w:rPr>
        <w:t xml:space="preserve">relating to secondary analyses </w:t>
      </w:r>
      <w:r w:rsidR="00891E8F" w:rsidRPr="006104A6">
        <w:rPr>
          <w:sz w:val="18"/>
          <w:szCs w:val="22"/>
        </w:rPr>
        <w:t xml:space="preserve">reported by the </w:t>
      </w:r>
      <w:r w:rsidR="004B45EA" w:rsidRPr="006104A6">
        <w:rPr>
          <w:sz w:val="18"/>
          <w:szCs w:val="22"/>
        </w:rPr>
        <w:t>Evans 2023 manuscript</w:t>
      </w:r>
      <w:r w:rsidR="00D97F01" w:rsidRPr="006104A6">
        <w:rPr>
          <w:sz w:val="18"/>
          <w:szCs w:val="22"/>
        </w:rPr>
        <w:t xml:space="preserve"> (</w:t>
      </w:r>
      <w:r w:rsidR="00A77B61" w:rsidRPr="006104A6">
        <w:rPr>
          <w:sz w:val="18"/>
          <w:szCs w:val="22"/>
        </w:rPr>
        <w:t>Evans 2023 results)</w:t>
      </w:r>
      <w:r w:rsidR="00DE78A9" w:rsidRPr="006104A6">
        <w:rPr>
          <w:sz w:val="18"/>
          <w:szCs w:val="22"/>
        </w:rPr>
        <w:t xml:space="preserve">; </w:t>
      </w:r>
      <w:r w:rsidR="00475FF1" w:rsidRPr="006104A6">
        <w:rPr>
          <w:sz w:val="18"/>
          <w:szCs w:val="22"/>
        </w:rPr>
        <w:t xml:space="preserve">Table 2.5-10 and </w:t>
      </w:r>
      <w:r w:rsidR="00723190" w:rsidRPr="006104A6">
        <w:rPr>
          <w:sz w:val="18"/>
          <w:szCs w:val="22"/>
        </w:rPr>
        <w:t xml:space="preserve">deduction from </w:t>
      </w:r>
      <w:r w:rsidR="00224CF1" w:rsidRPr="006104A6">
        <w:rPr>
          <w:sz w:val="18"/>
          <w:szCs w:val="22"/>
        </w:rPr>
        <w:t>information in</w:t>
      </w:r>
      <w:r w:rsidR="00375D76" w:rsidRPr="006104A6">
        <w:rPr>
          <w:sz w:val="18"/>
          <w:szCs w:val="22"/>
        </w:rPr>
        <w:t xml:space="preserve"> </w:t>
      </w:r>
      <w:r w:rsidR="00A10010" w:rsidRPr="006104A6">
        <w:rPr>
          <w:sz w:val="18"/>
          <w:szCs w:val="22"/>
        </w:rPr>
        <w:t>Table 1 and Figure 2</w:t>
      </w:r>
      <w:r w:rsidR="00D50B82" w:rsidRPr="006104A6">
        <w:rPr>
          <w:sz w:val="18"/>
          <w:szCs w:val="22"/>
        </w:rPr>
        <w:t xml:space="preserve"> </w:t>
      </w:r>
      <w:r w:rsidR="00EF260E" w:rsidRPr="006104A6">
        <w:rPr>
          <w:sz w:val="18"/>
          <w:szCs w:val="22"/>
        </w:rPr>
        <w:t xml:space="preserve">in </w:t>
      </w:r>
      <w:r w:rsidR="00A17BE3" w:rsidRPr="006104A6">
        <w:rPr>
          <w:sz w:val="18"/>
          <w:szCs w:val="22"/>
        </w:rPr>
        <w:t>Gentry 2023 (Gentry 2023 resul</w:t>
      </w:r>
      <w:r w:rsidR="00CA4C96" w:rsidRPr="006104A6">
        <w:rPr>
          <w:sz w:val="18"/>
          <w:szCs w:val="22"/>
        </w:rPr>
        <w:t>t</w:t>
      </w:r>
      <w:r w:rsidR="00A17BE3" w:rsidRPr="006104A6">
        <w:rPr>
          <w:sz w:val="18"/>
          <w:szCs w:val="22"/>
        </w:rPr>
        <w:t>s)</w:t>
      </w:r>
      <w:r w:rsidR="00BF57D4" w:rsidRPr="006104A6">
        <w:rPr>
          <w:sz w:val="18"/>
          <w:szCs w:val="22"/>
        </w:rPr>
        <w:t>;</w:t>
      </w:r>
      <w:r w:rsidR="00CA4C96" w:rsidRPr="006104A6">
        <w:rPr>
          <w:sz w:val="18"/>
          <w:szCs w:val="22"/>
        </w:rPr>
        <w:t xml:space="preserve"> Table 2.5-11 and </w:t>
      </w:r>
      <w:r w:rsidR="0084757E" w:rsidRPr="006104A6">
        <w:rPr>
          <w:sz w:val="18"/>
          <w:szCs w:val="22"/>
        </w:rPr>
        <w:t>analysis of information presented in the publication by Wong 2022 (Wong 2022 results)</w:t>
      </w:r>
      <w:r w:rsidR="008E0002" w:rsidRPr="006104A6">
        <w:rPr>
          <w:sz w:val="18"/>
          <w:szCs w:val="22"/>
        </w:rPr>
        <w:t xml:space="preserve">, </w:t>
      </w:r>
      <w:r w:rsidR="000B267A" w:rsidRPr="006104A6">
        <w:rPr>
          <w:sz w:val="18"/>
          <w:szCs w:val="22"/>
        </w:rPr>
        <w:t>Tables 2.5</w:t>
      </w:r>
      <w:r w:rsidR="00B751E3" w:rsidRPr="006104A6">
        <w:rPr>
          <w:sz w:val="18"/>
          <w:szCs w:val="22"/>
        </w:rPr>
        <w:t>-</w:t>
      </w:r>
      <w:r w:rsidR="000B267A" w:rsidRPr="006104A6">
        <w:rPr>
          <w:sz w:val="18"/>
          <w:szCs w:val="22"/>
        </w:rPr>
        <w:t xml:space="preserve">13 and </w:t>
      </w:r>
      <w:r w:rsidR="00B751E3" w:rsidRPr="006104A6">
        <w:rPr>
          <w:sz w:val="18"/>
          <w:szCs w:val="22"/>
        </w:rPr>
        <w:t>2.5-19 (Yip 2022 results)</w:t>
      </w:r>
      <w:r w:rsidR="00F179AD" w:rsidRPr="006104A6">
        <w:rPr>
          <w:sz w:val="18"/>
          <w:szCs w:val="22"/>
        </w:rPr>
        <w:t>; Wai</w:t>
      </w:r>
      <w:r w:rsidR="00665F0F" w:rsidRPr="006104A6">
        <w:rPr>
          <w:sz w:val="18"/>
          <w:szCs w:val="22"/>
        </w:rPr>
        <w:t xml:space="preserve"> 2023 (Wai 2023 results)</w:t>
      </w:r>
    </w:p>
    <w:p w14:paraId="44FDDC7A" w14:textId="5D5FFD47" w:rsidR="0065740C" w:rsidRPr="006104A6" w:rsidRDefault="009559AA" w:rsidP="005C508C">
      <w:pPr>
        <w:pStyle w:val="Tabletext"/>
        <w:jc w:val="both"/>
        <w:rPr>
          <w:sz w:val="18"/>
          <w:szCs w:val="22"/>
        </w:rPr>
      </w:pPr>
      <w:r w:rsidRPr="006104A6">
        <w:rPr>
          <w:sz w:val="18"/>
          <w:szCs w:val="22"/>
        </w:rPr>
        <w:t>Abbreviations</w:t>
      </w:r>
      <w:r w:rsidR="00885CEA" w:rsidRPr="006104A6">
        <w:rPr>
          <w:sz w:val="18"/>
          <w:szCs w:val="22"/>
        </w:rPr>
        <w:t>: CI = confidence interval</w:t>
      </w:r>
      <w:r w:rsidR="0023242E" w:rsidRPr="006104A6">
        <w:rPr>
          <w:sz w:val="18"/>
          <w:szCs w:val="22"/>
        </w:rPr>
        <w:t xml:space="preserve">; </w:t>
      </w:r>
      <w:r w:rsidR="00A91BB9" w:rsidRPr="006104A6">
        <w:rPr>
          <w:sz w:val="18"/>
          <w:szCs w:val="22"/>
        </w:rPr>
        <w:t>IMV = invas</w:t>
      </w:r>
      <w:r w:rsidR="003947A0" w:rsidRPr="006104A6">
        <w:rPr>
          <w:sz w:val="18"/>
          <w:szCs w:val="22"/>
        </w:rPr>
        <w:t xml:space="preserve">ive mechanical ventilation; </w:t>
      </w:r>
      <w:r w:rsidR="0023242E" w:rsidRPr="006104A6">
        <w:rPr>
          <w:sz w:val="18"/>
          <w:szCs w:val="22"/>
        </w:rPr>
        <w:t xml:space="preserve">n/a = not applicable; NR </w:t>
      </w:r>
      <w:r w:rsidR="00F21B7C" w:rsidRPr="006104A6">
        <w:rPr>
          <w:sz w:val="18"/>
          <w:szCs w:val="22"/>
        </w:rPr>
        <w:t>= not reported;</w:t>
      </w:r>
      <w:r w:rsidR="005C508C" w:rsidRPr="006104A6">
        <w:rPr>
          <w:sz w:val="18"/>
          <w:szCs w:val="22"/>
        </w:rPr>
        <w:t xml:space="preserve"> </w:t>
      </w:r>
      <w:r w:rsidR="00885CEA" w:rsidRPr="006104A6">
        <w:rPr>
          <w:sz w:val="18"/>
          <w:szCs w:val="22"/>
        </w:rPr>
        <w:t>RR</w:t>
      </w:r>
      <w:r w:rsidR="005C508C" w:rsidRPr="006104A6">
        <w:rPr>
          <w:sz w:val="18"/>
          <w:szCs w:val="22"/>
        </w:rPr>
        <w:t> </w:t>
      </w:r>
      <w:r w:rsidR="00885CEA" w:rsidRPr="006104A6">
        <w:rPr>
          <w:sz w:val="18"/>
          <w:szCs w:val="22"/>
        </w:rPr>
        <w:t>=</w:t>
      </w:r>
      <w:r w:rsidR="005C508C" w:rsidRPr="006104A6">
        <w:rPr>
          <w:sz w:val="18"/>
          <w:szCs w:val="22"/>
        </w:rPr>
        <w:t> </w:t>
      </w:r>
      <w:r w:rsidR="00885CEA" w:rsidRPr="006104A6">
        <w:rPr>
          <w:sz w:val="18"/>
          <w:szCs w:val="22"/>
        </w:rPr>
        <w:t>relative risk</w:t>
      </w:r>
    </w:p>
    <w:p w14:paraId="1BF3EA0D" w14:textId="513DA183" w:rsidR="00CC3717" w:rsidRPr="006104A6" w:rsidRDefault="00CC3717" w:rsidP="005C508C">
      <w:pPr>
        <w:pStyle w:val="Tabletext"/>
        <w:jc w:val="both"/>
        <w:rPr>
          <w:sz w:val="18"/>
          <w:szCs w:val="22"/>
        </w:rPr>
      </w:pPr>
      <w:r w:rsidRPr="006104A6">
        <w:rPr>
          <w:sz w:val="18"/>
          <w:szCs w:val="22"/>
        </w:rPr>
        <w:t>#</w:t>
      </w:r>
      <w:r w:rsidR="005C508C" w:rsidRPr="006104A6">
        <w:rPr>
          <w:sz w:val="18"/>
          <w:szCs w:val="22"/>
        </w:rPr>
        <w:t xml:space="preserve"> </w:t>
      </w:r>
      <w:r w:rsidRPr="006104A6">
        <w:rPr>
          <w:sz w:val="18"/>
          <w:szCs w:val="22"/>
        </w:rPr>
        <w:t>‘subgroup’ refers to the hospitalisation analysis cohort described in the manuscript and full cohort refers to the mortality analysis cohort described in the manuscript. The hospitalisation cohort is a subset of the mortality cohort and excludes patients in residential aged care facilities and those hospitalised on Day 0 or Day 1 after diagnosis of COVID-19</w:t>
      </w:r>
    </w:p>
    <w:p w14:paraId="78C406B3" w14:textId="52E45093" w:rsidR="00DE710B" w:rsidRPr="006104A6" w:rsidRDefault="00DE710B" w:rsidP="005C508C">
      <w:pPr>
        <w:pStyle w:val="Tabletext"/>
        <w:jc w:val="both"/>
        <w:rPr>
          <w:sz w:val="18"/>
          <w:szCs w:val="22"/>
        </w:rPr>
      </w:pPr>
      <w:r w:rsidRPr="006104A6">
        <w:rPr>
          <w:sz w:val="18"/>
          <w:szCs w:val="22"/>
        </w:rPr>
        <w:t>*</w:t>
      </w:r>
      <w:r w:rsidR="00041386" w:rsidRPr="006104A6">
        <w:rPr>
          <w:sz w:val="18"/>
          <w:szCs w:val="22"/>
        </w:rPr>
        <w:t xml:space="preserve"> Adjusted</w:t>
      </w:r>
      <w:r w:rsidR="00AA23E0" w:rsidRPr="006104A6">
        <w:rPr>
          <w:sz w:val="18"/>
          <w:szCs w:val="22"/>
        </w:rPr>
        <w:t xml:space="preserve"> for nominated confounders</w:t>
      </w:r>
    </w:p>
    <w:p w14:paraId="76E16A61" w14:textId="7F308971" w:rsidR="003D7A25" w:rsidRPr="006104A6" w:rsidRDefault="00A96AA5" w:rsidP="005C508C">
      <w:pPr>
        <w:pStyle w:val="Tabletext"/>
        <w:jc w:val="both"/>
        <w:rPr>
          <w:sz w:val="18"/>
          <w:szCs w:val="22"/>
        </w:rPr>
      </w:pPr>
      <w:r w:rsidRPr="006104A6">
        <w:rPr>
          <w:sz w:val="18"/>
          <w:szCs w:val="22"/>
        </w:rPr>
        <w:t xml:space="preserve">^ </w:t>
      </w:r>
      <w:r w:rsidR="00424E70" w:rsidRPr="006104A6">
        <w:rPr>
          <w:sz w:val="18"/>
          <w:szCs w:val="22"/>
        </w:rPr>
        <w:t>Adjusted hazard ratios</w:t>
      </w:r>
      <w:r w:rsidR="005F05CB" w:rsidRPr="006104A6">
        <w:rPr>
          <w:sz w:val="18"/>
          <w:szCs w:val="22"/>
        </w:rPr>
        <w:t xml:space="preserve">. Note that hazard ratios &lt;1 </w:t>
      </w:r>
      <w:r w:rsidR="003E5965" w:rsidRPr="006104A6">
        <w:rPr>
          <w:sz w:val="18"/>
          <w:szCs w:val="22"/>
        </w:rPr>
        <w:t xml:space="preserve">are favourable for the comparator in the analyses </w:t>
      </w:r>
      <w:r w:rsidR="004E7D0D" w:rsidRPr="006104A6">
        <w:rPr>
          <w:sz w:val="18"/>
          <w:szCs w:val="22"/>
        </w:rPr>
        <w:t>as these reflect time to the event.</w:t>
      </w:r>
    </w:p>
    <w:p w14:paraId="6C388BC4" w14:textId="5D3DA779" w:rsidR="00F22208" w:rsidRPr="00C13E80" w:rsidRDefault="00055738" w:rsidP="00F22208">
      <w:pPr>
        <w:pStyle w:val="5-SubsectionSubheading"/>
      </w:pPr>
      <w:bookmarkStart w:id="48" w:name="_Hlk141348928"/>
      <w:bookmarkStart w:id="49" w:name="_Hlk141348936"/>
      <w:r w:rsidRPr="00C13E80">
        <w:t>Pivotal r</w:t>
      </w:r>
      <w:r w:rsidR="00F22208" w:rsidRPr="00C13E80">
        <w:t>andomised controlled trials – MOVe OUT and EPIC-HR</w:t>
      </w:r>
      <w:bookmarkEnd w:id="48"/>
    </w:p>
    <w:p w14:paraId="5056DA35" w14:textId="441C1BF5" w:rsidR="00F22208" w:rsidRPr="00C13E80" w:rsidRDefault="00F22208" w:rsidP="00B46FE9">
      <w:pPr>
        <w:pStyle w:val="3-BodyText"/>
        <w:rPr>
          <w:iCs/>
          <w:color w:val="000000" w:themeColor="text1"/>
        </w:rPr>
      </w:pPr>
      <w:bookmarkStart w:id="50" w:name="_Ref142395905"/>
      <w:bookmarkEnd w:id="49"/>
      <w:r w:rsidRPr="00C13E80">
        <w:rPr>
          <w:iCs/>
        </w:rPr>
        <w:t xml:space="preserve">The </w:t>
      </w:r>
      <w:r w:rsidR="0015030B">
        <w:rPr>
          <w:iCs/>
        </w:rPr>
        <w:t>PBAC</w:t>
      </w:r>
      <w:r w:rsidR="0015030B" w:rsidRPr="00C13E80">
        <w:rPr>
          <w:iCs/>
        </w:rPr>
        <w:t xml:space="preserve"> </w:t>
      </w:r>
      <w:r w:rsidRPr="00C13E80">
        <w:rPr>
          <w:iCs/>
        </w:rPr>
        <w:t xml:space="preserve">considered that the randomised trials for molnupiravir and nirmatrelvir and ritonavir (MOVe OUT and EPIC-HR, respectively) remained relevant to the assessment of the potential benefits and harms associated with these treatments, while acknowledging the concerns </w:t>
      </w:r>
      <w:r w:rsidR="0015030B">
        <w:rPr>
          <w:iCs/>
        </w:rPr>
        <w:t xml:space="preserve">it had </w:t>
      </w:r>
      <w:r w:rsidRPr="00C13E80">
        <w:rPr>
          <w:iCs/>
        </w:rPr>
        <w:t>raised previously</w:t>
      </w:r>
      <w:r w:rsidRPr="00C13E80">
        <w:rPr>
          <w:rStyle w:val="FootnoteReference"/>
          <w:iCs/>
        </w:rPr>
        <w:footnoteReference w:id="13"/>
      </w:r>
      <w:r w:rsidRPr="00C13E80">
        <w:rPr>
          <w:rStyle w:val="FootnoteReference"/>
          <w:iCs/>
        </w:rPr>
        <w:footnoteReference w:id="14"/>
      </w:r>
      <w:r w:rsidRPr="00C13E80">
        <w:rPr>
          <w:iCs/>
        </w:rPr>
        <w:t xml:space="preserve"> with respect to</w:t>
      </w:r>
      <w:r w:rsidRPr="00C13E80">
        <w:t xml:space="preserve"> </w:t>
      </w:r>
      <w:r w:rsidRPr="00C13E80">
        <w:rPr>
          <w:iCs/>
          <w:color w:val="000000" w:themeColor="text1"/>
        </w:rPr>
        <w:t xml:space="preserve">applicability of evidence from these trials to the PBS population given that vaccinations were not available at the time the trials were conducted so the vast majority of patients in the </w:t>
      </w:r>
      <w:r w:rsidRPr="00C13E80">
        <w:rPr>
          <w:iCs/>
          <w:color w:val="000000" w:themeColor="text1"/>
        </w:rPr>
        <w:lastRenderedPageBreak/>
        <w:t>trials were unvaccinated and the uncertain impact of changes in circulating variants of the virus.</w:t>
      </w:r>
      <w:bookmarkEnd w:id="50"/>
    </w:p>
    <w:p w14:paraId="20758C81" w14:textId="1AD5B1DA" w:rsidR="00BC31A7" w:rsidRPr="00C13E80" w:rsidRDefault="002832C9" w:rsidP="00B46FE9">
      <w:pPr>
        <w:pStyle w:val="3-BodyText"/>
        <w:spacing w:after="160"/>
      </w:pPr>
      <w:r w:rsidRPr="00C13E80">
        <w:t>T</w:t>
      </w:r>
      <w:r w:rsidR="00F22208" w:rsidRPr="00C13E80">
        <w:t xml:space="preserve">he PBAC </w:t>
      </w:r>
      <w:r w:rsidRPr="00C13E80">
        <w:t>recalled that it had previously considered the MOVe-OUT trial in February 2022</w:t>
      </w:r>
      <w:r w:rsidR="0016453B" w:rsidRPr="00C13E80">
        <w:t xml:space="preserve"> (se</w:t>
      </w:r>
      <w:r w:rsidR="0016453B" w:rsidRPr="006104A6">
        <w:t xml:space="preserve">e </w:t>
      </w:r>
      <w:r w:rsidR="0016453B" w:rsidRPr="006104A6">
        <w:fldChar w:fldCharType="begin" w:fldLock="1"/>
      </w:r>
      <w:r w:rsidR="0016453B" w:rsidRPr="006104A6">
        <w:instrText xml:space="preserve"> REF _Ref141468451 \h </w:instrText>
      </w:r>
      <w:r w:rsidR="006104A6" w:rsidRPr="006104A6">
        <w:instrText xml:space="preserve"> \* MERGEFORMAT </w:instrText>
      </w:r>
      <w:r w:rsidR="0016453B" w:rsidRPr="006104A6">
        <w:fldChar w:fldCharType="separate"/>
      </w:r>
      <w:r w:rsidR="00701DEF" w:rsidRPr="006104A6">
        <w:t>Table 8</w:t>
      </w:r>
      <w:r w:rsidR="0016453B" w:rsidRPr="006104A6">
        <w:fldChar w:fldCharType="end"/>
      </w:r>
      <w:r w:rsidR="0016453B" w:rsidRPr="00C13E80">
        <w:t>)</w:t>
      </w:r>
      <w:r w:rsidR="00F870EA" w:rsidRPr="00C13E80">
        <w:t xml:space="preserve">. </w:t>
      </w:r>
      <w:r w:rsidR="0016453B" w:rsidRPr="00C13E80">
        <w:t>Data</w:t>
      </w:r>
      <w:r w:rsidR="0016453B" w:rsidRPr="00C13E80">
        <w:rPr>
          <w:iCs/>
        </w:rPr>
        <w:t xml:space="preserve"> from the final analysis of the study was less favourable </w:t>
      </w:r>
      <w:r w:rsidR="00C91A2D" w:rsidRPr="00C13E80">
        <w:rPr>
          <w:iCs/>
        </w:rPr>
        <w:t xml:space="preserve">to molnupiravir </w:t>
      </w:r>
      <w:r w:rsidR="0016453B" w:rsidRPr="00C13E80">
        <w:rPr>
          <w:iCs/>
        </w:rPr>
        <w:t xml:space="preserve">than the interim analysis for the primary endpoint </w:t>
      </w:r>
      <w:r w:rsidR="0016453B" w:rsidRPr="00C13E80">
        <w:t>(i.e., proportion of patients hospitalised or dead by Day 29 after randomisation)</w:t>
      </w:r>
      <w:r w:rsidR="00F870EA" w:rsidRPr="00C13E80">
        <w:t xml:space="preserve">. </w:t>
      </w:r>
    </w:p>
    <w:p w14:paraId="6E24A2DE" w14:textId="6AB119C4" w:rsidR="00715C0D" w:rsidRPr="00C13E80" w:rsidRDefault="002832C9" w:rsidP="006104A6">
      <w:pPr>
        <w:pStyle w:val="TableFigureHeading"/>
        <w:jc w:val="both"/>
      </w:pPr>
      <w:bookmarkStart w:id="51" w:name="_Ref141468451"/>
      <w:r w:rsidRPr="00C13E80">
        <w:rPr>
          <w:rStyle w:val="CommentReference"/>
          <w:b/>
          <w:szCs w:val="24"/>
        </w:rPr>
        <w:t xml:space="preserve">Table </w:t>
      </w:r>
      <w:r w:rsidRPr="00C13E80">
        <w:rPr>
          <w:rStyle w:val="CommentReference"/>
          <w:b/>
          <w:szCs w:val="24"/>
        </w:rPr>
        <w:fldChar w:fldCharType="begin" w:fldLock="1"/>
      </w:r>
      <w:r w:rsidRPr="00C13E80">
        <w:rPr>
          <w:rStyle w:val="CommentReference"/>
          <w:b/>
          <w:szCs w:val="24"/>
        </w:rPr>
        <w:instrText xml:space="preserve"> SEQ Table \* ARABIC </w:instrText>
      </w:r>
      <w:r w:rsidRPr="00C13E80">
        <w:rPr>
          <w:rStyle w:val="CommentReference"/>
          <w:b/>
          <w:szCs w:val="24"/>
        </w:rPr>
        <w:fldChar w:fldCharType="separate"/>
      </w:r>
      <w:r w:rsidR="00701DEF">
        <w:rPr>
          <w:rStyle w:val="CommentReference"/>
          <w:b/>
          <w:noProof/>
          <w:szCs w:val="24"/>
        </w:rPr>
        <w:t>8</w:t>
      </w:r>
      <w:r w:rsidRPr="00C13E80">
        <w:rPr>
          <w:rStyle w:val="CommentReference"/>
          <w:b/>
          <w:szCs w:val="24"/>
        </w:rPr>
        <w:fldChar w:fldCharType="end"/>
      </w:r>
      <w:bookmarkEnd w:id="51"/>
      <w:r w:rsidRPr="00C13E80">
        <w:rPr>
          <w:rStyle w:val="CommentReference"/>
          <w:b/>
          <w:szCs w:val="24"/>
        </w:rPr>
        <w:t xml:space="preserve">: </w:t>
      </w:r>
      <w:r w:rsidR="00715C0D" w:rsidRPr="00C13E80">
        <w:t>Hospitalisation or death by Day 29 unadjusted results for: (i) patients captured by the interim analysis, (ii)</w:t>
      </w:r>
      <w:r w:rsidR="002B11A8" w:rsidRPr="00C13E80">
        <w:t> </w:t>
      </w:r>
      <w:r w:rsidR="00715C0D" w:rsidRPr="00C13E80">
        <w:t>additional patients beyond interim analysis, and (iii) the total population recruited to the MOVe-OUT trial</w:t>
      </w:r>
    </w:p>
    <w:tbl>
      <w:tblPr>
        <w:tblW w:w="9072" w:type="dxa"/>
        <w:tblInd w:w="-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8"/>
        <w:gridCol w:w="1417"/>
        <w:gridCol w:w="1418"/>
        <w:gridCol w:w="1701"/>
        <w:gridCol w:w="1559"/>
        <w:gridCol w:w="1559"/>
      </w:tblGrid>
      <w:tr w:rsidR="00715C0D" w:rsidRPr="00C13E80" w14:paraId="43067F36" w14:textId="77777777" w:rsidTr="006104A6">
        <w:trPr>
          <w:trHeight w:val="20"/>
        </w:trPr>
        <w:tc>
          <w:tcPr>
            <w:tcW w:w="1418" w:type="dxa"/>
            <w:shd w:val="clear" w:color="auto" w:fill="auto"/>
            <w:vAlign w:val="center"/>
          </w:tcPr>
          <w:p w14:paraId="0E8912CA" w14:textId="77777777" w:rsidR="00715C0D" w:rsidRPr="00C13E80" w:rsidRDefault="00715C0D" w:rsidP="005C508C">
            <w:pPr>
              <w:keepNext/>
              <w:kinsoku w:val="0"/>
              <w:overflowPunct w:val="0"/>
              <w:autoSpaceDE w:val="0"/>
              <w:autoSpaceDN w:val="0"/>
              <w:adjustRightInd w:val="0"/>
              <w:ind w:left="107"/>
              <w:rPr>
                <w:rFonts w:ascii="Arial Narrow" w:hAnsi="Arial Narrow"/>
                <w:b/>
                <w:bCs/>
                <w:sz w:val="20"/>
                <w:szCs w:val="20"/>
              </w:rPr>
            </w:pPr>
            <w:r w:rsidRPr="00C13E80">
              <w:rPr>
                <w:rFonts w:ascii="Arial Narrow" w:hAnsi="Arial Narrow"/>
                <w:b/>
                <w:bCs/>
                <w:sz w:val="20"/>
                <w:szCs w:val="20"/>
              </w:rPr>
              <w:t>Population</w:t>
            </w:r>
          </w:p>
        </w:tc>
        <w:tc>
          <w:tcPr>
            <w:tcW w:w="1417" w:type="dxa"/>
            <w:shd w:val="clear" w:color="auto" w:fill="auto"/>
          </w:tcPr>
          <w:p w14:paraId="3BA297D7"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Molnupiravir</w:t>
            </w:r>
          </w:p>
          <w:p w14:paraId="67A7DF61"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800 mg</w:t>
            </w:r>
          </w:p>
        </w:tc>
        <w:tc>
          <w:tcPr>
            <w:tcW w:w="1418" w:type="dxa"/>
            <w:shd w:val="clear" w:color="auto" w:fill="auto"/>
          </w:tcPr>
          <w:p w14:paraId="2E3188FF"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Placebo</w:t>
            </w:r>
          </w:p>
        </w:tc>
        <w:tc>
          <w:tcPr>
            <w:tcW w:w="1701" w:type="dxa"/>
            <w:shd w:val="clear" w:color="auto" w:fill="auto"/>
          </w:tcPr>
          <w:p w14:paraId="3D6162AC"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Risk difference</w:t>
            </w:r>
          </w:p>
          <w:p w14:paraId="5C1337A0"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(95% CI)</w:t>
            </w:r>
          </w:p>
        </w:tc>
        <w:tc>
          <w:tcPr>
            <w:tcW w:w="1559" w:type="dxa"/>
            <w:shd w:val="clear" w:color="auto" w:fill="auto"/>
          </w:tcPr>
          <w:p w14:paraId="6849D87A"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Relative risk</w:t>
            </w:r>
          </w:p>
          <w:p w14:paraId="7402BAFA"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(95% CI)</w:t>
            </w:r>
          </w:p>
        </w:tc>
        <w:tc>
          <w:tcPr>
            <w:tcW w:w="1559" w:type="dxa"/>
            <w:shd w:val="clear" w:color="auto" w:fill="auto"/>
          </w:tcPr>
          <w:p w14:paraId="27CBEFEC"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Odds ratio</w:t>
            </w:r>
          </w:p>
          <w:p w14:paraId="55C0082D" w14:textId="77777777" w:rsidR="00715C0D" w:rsidRPr="00C13E80" w:rsidRDefault="00715C0D" w:rsidP="005C508C">
            <w:pPr>
              <w:keepNext/>
              <w:kinsoku w:val="0"/>
              <w:overflowPunct w:val="0"/>
              <w:autoSpaceDE w:val="0"/>
              <w:autoSpaceDN w:val="0"/>
              <w:adjustRightInd w:val="0"/>
              <w:ind w:left="107"/>
              <w:jc w:val="center"/>
              <w:rPr>
                <w:rFonts w:ascii="Arial Narrow" w:hAnsi="Arial Narrow"/>
                <w:b/>
                <w:bCs/>
                <w:sz w:val="20"/>
                <w:szCs w:val="20"/>
              </w:rPr>
            </w:pPr>
            <w:r w:rsidRPr="00C13E80">
              <w:rPr>
                <w:rFonts w:ascii="Arial Narrow" w:hAnsi="Arial Narrow"/>
                <w:b/>
                <w:bCs/>
                <w:sz w:val="20"/>
                <w:szCs w:val="20"/>
              </w:rPr>
              <w:t>(95% CI)</w:t>
            </w:r>
          </w:p>
        </w:tc>
      </w:tr>
      <w:tr w:rsidR="00715C0D" w:rsidRPr="00C13E80" w14:paraId="2FC88D20" w14:textId="77777777" w:rsidTr="006104A6">
        <w:trPr>
          <w:trHeight w:val="20"/>
        </w:trPr>
        <w:tc>
          <w:tcPr>
            <w:tcW w:w="1418" w:type="dxa"/>
            <w:vAlign w:val="center"/>
          </w:tcPr>
          <w:p w14:paraId="6B4B24CA" w14:textId="77777777" w:rsidR="00715C0D" w:rsidRPr="00C13E80" w:rsidRDefault="00715C0D" w:rsidP="005C508C">
            <w:pPr>
              <w:keepNext/>
              <w:kinsoku w:val="0"/>
              <w:overflowPunct w:val="0"/>
              <w:autoSpaceDE w:val="0"/>
              <w:autoSpaceDN w:val="0"/>
              <w:adjustRightInd w:val="0"/>
              <w:ind w:left="107"/>
              <w:rPr>
                <w:rFonts w:ascii="Arial Narrow" w:hAnsi="Arial Narrow"/>
                <w:sz w:val="20"/>
                <w:szCs w:val="20"/>
              </w:rPr>
            </w:pPr>
            <w:r w:rsidRPr="00C13E80">
              <w:rPr>
                <w:rFonts w:ascii="Arial Narrow" w:hAnsi="Arial Narrow"/>
                <w:sz w:val="20"/>
                <w:szCs w:val="20"/>
              </w:rPr>
              <w:t>Interim analysis</w:t>
            </w:r>
          </w:p>
        </w:tc>
        <w:tc>
          <w:tcPr>
            <w:tcW w:w="1417" w:type="dxa"/>
            <w:vAlign w:val="center"/>
          </w:tcPr>
          <w:p w14:paraId="3CCF41FC"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28/385</w:t>
            </w:r>
            <w:r w:rsidRPr="00C13E80">
              <w:rPr>
                <w:rFonts w:ascii="Arial Narrow" w:hAnsi="Arial Narrow"/>
                <w:sz w:val="20"/>
                <w:szCs w:val="20"/>
              </w:rPr>
              <w:br/>
              <w:t>(7.3%)</w:t>
            </w:r>
          </w:p>
        </w:tc>
        <w:tc>
          <w:tcPr>
            <w:tcW w:w="1418" w:type="dxa"/>
            <w:vAlign w:val="center"/>
          </w:tcPr>
          <w:p w14:paraId="762329E6"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53/377</w:t>
            </w:r>
            <w:r w:rsidRPr="00C13E80">
              <w:rPr>
                <w:rFonts w:ascii="Arial Narrow" w:hAnsi="Arial Narrow"/>
                <w:sz w:val="20"/>
                <w:szCs w:val="20"/>
              </w:rPr>
              <w:br/>
              <w:t>(14.1%)</w:t>
            </w:r>
          </w:p>
        </w:tc>
        <w:tc>
          <w:tcPr>
            <w:tcW w:w="1701" w:type="dxa"/>
          </w:tcPr>
          <w:p w14:paraId="3E0B5617"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m:oMath>
              <m:r>
                <m:rPr>
                  <m:sty m:val="bi"/>
                </m:rPr>
                <w:rPr>
                  <w:rFonts w:ascii="Cambria Math" w:hAnsi="Cambria Math"/>
                  <w:sz w:val="20"/>
                  <w:szCs w:val="20"/>
                </w:rPr>
                <m:t>-</m:t>
              </m:r>
            </m:oMath>
            <w:r w:rsidRPr="00C13E80">
              <w:rPr>
                <w:rFonts w:ascii="Arial Narrow" w:eastAsiaTheme="minorEastAsia" w:hAnsi="Arial Narrow"/>
                <w:b/>
                <w:bCs/>
                <w:sz w:val="20"/>
                <w:szCs w:val="20"/>
              </w:rPr>
              <w:t>6.8%</w:t>
            </w:r>
            <w:r w:rsidRPr="00C13E80">
              <w:rPr>
                <w:rFonts w:ascii="Arial Narrow" w:eastAsiaTheme="minorEastAsia" w:hAnsi="Arial Narrow"/>
                <w:b/>
                <w:bCs/>
                <w:sz w:val="20"/>
                <w:szCs w:val="20"/>
              </w:rPr>
              <w:br/>
            </w:r>
            <w:r w:rsidRPr="00C13E80">
              <w:rPr>
                <w:rFonts w:ascii="Arial Narrow" w:hAnsi="Arial Narrow"/>
                <w:b/>
                <w:bCs/>
                <w:sz w:val="20"/>
                <w:szCs w:val="20"/>
              </w:rPr>
              <w:t>(</w:t>
            </w:r>
            <m:oMath>
              <m:r>
                <m:rPr>
                  <m:sty m:val="bi"/>
                </m:rPr>
                <w:rPr>
                  <w:rFonts w:ascii="Cambria Math" w:hAnsi="Cambria Math"/>
                  <w:sz w:val="20"/>
                  <w:szCs w:val="20"/>
                </w:rPr>
                <m:t>-</m:t>
              </m:r>
            </m:oMath>
            <w:r w:rsidRPr="00C13E80">
              <w:rPr>
                <w:rFonts w:ascii="Arial Narrow" w:eastAsiaTheme="minorEastAsia" w:hAnsi="Arial Narrow"/>
                <w:b/>
                <w:bCs/>
                <w:sz w:val="20"/>
                <w:szCs w:val="20"/>
              </w:rPr>
              <w:t xml:space="preserve">11.1%, </w:t>
            </w:r>
            <m:oMath>
              <m:r>
                <m:rPr>
                  <m:sty m:val="bi"/>
                </m:rPr>
                <w:rPr>
                  <w:rFonts w:ascii="Cambria Math" w:eastAsiaTheme="minorEastAsia" w:hAnsi="Cambria Math"/>
                  <w:sz w:val="20"/>
                  <w:szCs w:val="20"/>
                </w:rPr>
                <m:t>-</m:t>
              </m:r>
            </m:oMath>
            <w:r w:rsidRPr="00C13E80">
              <w:rPr>
                <w:rFonts w:ascii="Arial Narrow" w:eastAsiaTheme="minorEastAsia" w:hAnsi="Arial Narrow"/>
                <w:b/>
                <w:bCs/>
                <w:sz w:val="20"/>
                <w:szCs w:val="20"/>
              </w:rPr>
              <w:t>2.4%)</w:t>
            </w:r>
          </w:p>
        </w:tc>
        <w:tc>
          <w:tcPr>
            <w:tcW w:w="1559" w:type="dxa"/>
            <w:shd w:val="clear" w:color="auto" w:fill="auto"/>
          </w:tcPr>
          <w:p w14:paraId="53F27BCF"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0.517</w:t>
            </w:r>
            <w:r w:rsidRPr="00C13E80">
              <w:rPr>
                <w:rFonts w:ascii="Arial Narrow" w:hAnsi="Arial Narrow"/>
                <w:b/>
                <w:bCs/>
                <w:sz w:val="20"/>
                <w:szCs w:val="20"/>
              </w:rPr>
              <w:br/>
              <w:t>(0.335, 0.800)</w:t>
            </w:r>
          </w:p>
        </w:tc>
        <w:tc>
          <w:tcPr>
            <w:tcW w:w="1559" w:type="dxa"/>
            <w:shd w:val="clear" w:color="auto" w:fill="auto"/>
          </w:tcPr>
          <w:p w14:paraId="18848AAB"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0.479</w:t>
            </w:r>
            <w:r w:rsidRPr="00C13E80">
              <w:rPr>
                <w:rFonts w:ascii="Arial Narrow" w:hAnsi="Arial Narrow"/>
                <w:b/>
                <w:bCs/>
                <w:sz w:val="20"/>
                <w:szCs w:val="20"/>
              </w:rPr>
              <w:br/>
              <w:t>(0.297, 0.774)</w:t>
            </w:r>
          </w:p>
        </w:tc>
      </w:tr>
      <w:tr w:rsidR="00715C0D" w:rsidRPr="00C13E80" w14:paraId="6522C241" w14:textId="77777777" w:rsidTr="006104A6">
        <w:trPr>
          <w:trHeight w:val="20"/>
        </w:trPr>
        <w:tc>
          <w:tcPr>
            <w:tcW w:w="1418" w:type="dxa"/>
            <w:vAlign w:val="center"/>
          </w:tcPr>
          <w:p w14:paraId="3BDAD7A5" w14:textId="77777777" w:rsidR="00715C0D" w:rsidRPr="00C13E80" w:rsidRDefault="00715C0D" w:rsidP="005C508C">
            <w:pPr>
              <w:keepNext/>
              <w:kinsoku w:val="0"/>
              <w:overflowPunct w:val="0"/>
              <w:autoSpaceDE w:val="0"/>
              <w:autoSpaceDN w:val="0"/>
              <w:adjustRightInd w:val="0"/>
              <w:ind w:left="107"/>
              <w:rPr>
                <w:rFonts w:ascii="Arial Narrow" w:hAnsi="Arial Narrow"/>
                <w:position w:val="7"/>
                <w:sz w:val="20"/>
                <w:szCs w:val="20"/>
              </w:rPr>
            </w:pPr>
            <w:r w:rsidRPr="00C13E80">
              <w:rPr>
                <w:rFonts w:ascii="Arial Narrow" w:hAnsi="Arial Narrow"/>
                <w:sz w:val="20"/>
                <w:szCs w:val="20"/>
              </w:rPr>
              <w:t>Post-interim cohort</w:t>
            </w:r>
          </w:p>
        </w:tc>
        <w:tc>
          <w:tcPr>
            <w:tcW w:w="1417" w:type="dxa"/>
            <w:vAlign w:val="center"/>
          </w:tcPr>
          <w:p w14:paraId="558FB8AC"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20/324</w:t>
            </w:r>
          </w:p>
          <w:p w14:paraId="05AC6F43"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(6.2%)</w:t>
            </w:r>
          </w:p>
        </w:tc>
        <w:tc>
          <w:tcPr>
            <w:tcW w:w="1418" w:type="dxa"/>
            <w:vAlign w:val="center"/>
          </w:tcPr>
          <w:p w14:paraId="43350979"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15/322</w:t>
            </w:r>
          </w:p>
          <w:p w14:paraId="64B94045"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(4.7%)</w:t>
            </w:r>
          </w:p>
        </w:tc>
        <w:tc>
          <w:tcPr>
            <w:tcW w:w="1701" w:type="dxa"/>
            <w:vAlign w:val="center"/>
          </w:tcPr>
          <w:p w14:paraId="31E384B0"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1.5%</w:t>
            </w:r>
          </w:p>
          <w:p w14:paraId="006623D1"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w:t>
            </w:r>
            <m:oMath>
              <m:r>
                <w:rPr>
                  <w:rFonts w:ascii="Cambria Math" w:hAnsi="Cambria Math"/>
                  <w:sz w:val="20"/>
                  <w:szCs w:val="20"/>
                </w:rPr>
                <m:t>-</m:t>
              </m:r>
            </m:oMath>
            <w:r w:rsidRPr="00C13E80">
              <w:rPr>
                <w:rFonts w:ascii="Arial Narrow" w:hAnsi="Arial Narrow"/>
                <w:sz w:val="20"/>
                <w:szCs w:val="20"/>
              </w:rPr>
              <w:t>2.0%, 5.0%)</w:t>
            </w:r>
          </w:p>
        </w:tc>
        <w:tc>
          <w:tcPr>
            <w:tcW w:w="1559" w:type="dxa"/>
            <w:shd w:val="clear" w:color="auto" w:fill="auto"/>
            <w:vAlign w:val="center"/>
          </w:tcPr>
          <w:p w14:paraId="6978AE2A"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1.32</w:t>
            </w:r>
            <w:r w:rsidRPr="00C13E80">
              <w:rPr>
                <w:rFonts w:ascii="Arial Narrow" w:hAnsi="Arial Narrow"/>
                <w:sz w:val="20"/>
                <w:szCs w:val="20"/>
              </w:rPr>
              <w:br/>
              <w:t>(0.691, 2.542)</w:t>
            </w:r>
          </w:p>
        </w:tc>
        <w:tc>
          <w:tcPr>
            <w:tcW w:w="1559" w:type="dxa"/>
            <w:shd w:val="clear" w:color="auto" w:fill="auto"/>
            <w:vAlign w:val="center"/>
          </w:tcPr>
          <w:p w14:paraId="55BE65AA"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1.34</w:t>
            </w:r>
          </w:p>
          <w:p w14:paraId="044EFBE9"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(0.684, 2.649)</w:t>
            </w:r>
          </w:p>
        </w:tc>
      </w:tr>
      <w:tr w:rsidR="00715C0D" w:rsidRPr="00C13E80" w14:paraId="43C6C90E" w14:textId="77777777" w:rsidTr="006104A6">
        <w:trPr>
          <w:trHeight w:val="20"/>
        </w:trPr>
        <w:tc>
          <w:tcPr>
            <w:tcW w:w="1418" w:type="dxa"/>
            <w:vAlign w:val="center"/>
          </w:tcPr>
          <w:p w14:paraId="018322B1" w14:textId="77777777" w:rsidR="00715C0D" w:rsidRPr="00C13E80" w:rsidRDefault="00715C0D" w:rsidP="005C508C">
            <w:pPr>
              <w:keepNext/>
              <w:kinsoku w:val="0"/>
              <w:overflowPunct w:val="0"/>
              <w:autoSpaceDE w:val="0"/>
              <w:autoSpaceDN w:val="0"/>
              <w:adjustRightInd w:val="0"/>
              <w:ind w:left="107"/>
              <w:rPr>
                <w:rFonts w:ascii="Arial Narrow" w:hAnsi="Arial Narrow"/>
                <w:sz w:val="20"/>
                <w:szCs w:val="20"/>
              </w:rPr>
            </w:pPr>
            <w:r w:rsidRPr="00C13E80">
              <w:rPr>
                <w:rFonts w:ascii="Arial Narrow" w:hAnsi="Arial Narrow"/>
                <w:sz w:val="20"/>
                <w:szCs w:val="20"/>
              </w:rPr>
              <w:t>Total patients</w:t>
            </w:r>
            <w:r w:rsidRPr="00C13E80">
              <w:rPr>
                <w:rFonts w:ascii="Arial Narrow" w:hAnsi="Arial Narrow"/>
                <w:sz w:val="20"/>
                <w:szCs w:val="20"/>
              </w:rPr>
              <w:br/>
              <w:t>(final analysis)</w:t>
            </w:r>
          </w:p>
        </w:tc>
        <w:tc>
          <w:tcPr>
            <w:tcW w:w="1417" w:type="dxa"/>
            <w:vAlign w:val="center"/>
          </w:tcPr>
          <w:p w14:paraId="1ED68312"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48/709</w:t>
            </w:r>
            <w:r w:rsidRPr="00C13E80">
              <w:rPr>
                <w:rFonts w:ascii="Arial Narrow" w:hAnsi="Arial Narrow"/>
                <w:sz w:val="20"/>
                <w:szCs w:val="20"/>
              </w:rPr>
              <w:br/>
              <w:t>(6.8%)</w:t>
            </w:r>
          </w:p>
        </w:tc>
        <w:tc>
          <w:tcPr>
            <w:tcW w:w="1418" w:type="dxa"/>
            <w:vAlign w:val="center"/>
          </w:tcPr>
          <w:p w14:paraId="266F07CF"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68/699</w:t>
            </w:r>
          </w:p>
          <w:p w14:paraId="0C8B4D02"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sz w:val="20"/>
                <w:szCs w:val="20"/>
              </w:rPr>
            </w:pPr>
            <w:r w:rsidRPr="00C13E80">
              <w:rPr>
                <w:rFonts w:ascii="Arial Narrow" w:hAnsi="Arial Narrow"/>
                <w:sz w:val="20"/>
                <w:szCs w:val="20"/>
              </w:rPr>
              <w:t>(9.7%)</w:t>
            </w:r>
          </w:p>
        </w:tc>
        <w:tc>
          <w:tcPr>
            <w:tcW w:w="1701" w:type="dxa"/>
          </w:tcPr>
          <w:p w14:paraId="5715F56B" w14:textId="77777777" w:rsidR="00715C0D" w:rsidRPr="00C13E80" w:rsidRDefault="00715C0D" w:rsidP="005C508C">
            <w:pPr>
              <w:keepNext/>
              <w:kinsoku w:val="0"/>
              <w:overflowPunct w:val="0"/>
              <w:autoSpaceDE w:val="0"/>
              <w:autoSpaceDN w:val="0"/>
              <w:adjustRightInd w:val="0"/>
              <w:ind w:left="9" w:hanging="1"/>
              <w:jc w:val="center"/>
              <w:rPr>
                <w:rFonts w:ascii="Arial Narrow" w:eastAsiaTheme="minorEastAsia" w:hAnsi="Arial Narrow"/>
                <w:b/>
                <w:bCs/>
                <w:sz w:val="20"/>
                <w:szCs w:val="20"/>
              </w:rPr>
            </w:pPr>
            <m:oMath>
              <m:r>
                <m:rPr>
                  <m:sty m:val="bi"/>
                </m:rPr>
                <w:rPr>
                  <w:rFonts w:ascii="Cambria Math" w:hAnsi="Cambria Math"/>
                  <w:sz w:val="20"/>
                  <w:szCs w:val="20"/>
                </w:rPr>
                <m:t>-</m:t>
              </m:r>
            </m:oMath>
            <w:r w:rsidRPr="00C13E80">
              <w:rPr>
                <w:rFonts w:ascii="Arial Narrow" w:eastAsiaTheme="minorEastAsia" w:hAnsi="Arial Narrow"/>
                <w:b/>
                <w:bCs/>
                <w:sz w:val="20"/>
                <w:szCs w:val="20"/>
              </w:rPr>
              <w:t>3.0%</w:t>
            </w:r>
          </w:p>
          <w:p w14:paraId="0074E819"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w:t>
            </w:r>
            <m:oMath>
              <m:r>
                <m:rPr>
                  <m:sty m:val="bi"/>
                </m:rPr>
                <w:rPr>
                  <w:rFonts w:ascii="Cambria Math" w:hAnsi="Cambria Math"/>
                  <w:sz w:val="20"/>
                  <w:szCs w:val="20"/>
                </w:rPr>
                <m:t>-</m:t>
              </m:r>
            </m:oMath>
            <w:r w:rsidRPr="00C13E80">
              <w:rPr>
                <w:rFonts w:ascii="Arial Narrow" w:eastAsiaTheme="minorEastAsia" w:hAnsi="Arial Narrow"/>
                <w:b/>
                <w:bCs/>
                <w:sz w:val="20"/>
                <w:szCs w:val="20"/>
              </w:rPr>
              <w:t xml:space="preserve">5.8%, </w:t>
            </w:r>
            <m:oMath>
              <m:r>
                <m:rPr>
                  <m:sty m:val="bi"/>
                </m:rPr>
                <w:rPr>
                  <w:rFonts w:ascii="Cambria Math" w:eastAsiaTheme="minorEastAsia" w:hAnsi="Cambria Math"/>
                  <w:sz w:val="20"/>
                  <w:szCs w:val="20"/>
                </w:rPr>
                <m:t>-</m:t>
              </m:r>
            </m:oMath>
            <w:r w:rsidRPr="00C13E80">
              <w:rPr>
                <w:rFonts w:ascii="Arial Narrow" w:eastAsiaTheme="minorEastAsia" w:hAnsi="Arial Narrow"/>
                <w:b/>
                <w:bCs/>
                <w:sz w:val="20"/>
                <w:szCs w:val="20"/>
              </w:rPr>
              <w:t>0.1%)</w:t>
            </w:r>
          </w:p>
        </w:tc>
        <w:tc>
          <w:tcPr>
            <w:tcW w:w="1559" w:type="dxa"/>
            <w:shd w:val="clear" w:color="auto" w:fill="auto"/>
          </w:tcPr>
          <w:p w14:paraId="1FF8B730"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0.696</w:t>
            </w:r>
          </w:p>
          <w:p w14:paraId="23987772"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(0.488, 0.992)</w:t>
            </w:r>
          </w:p>
        </w:tc>
        <w:tc>
          <w:tcPr>
            <w:tcW w:w="1559" w:type="dxa"/>
            <w:shd w:val="clear" w:color="auto" w:fill="auto"/>
          </w:tcPr>
          <w:p w14:paraId="2B2B0893"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0.674</w:t>
            </w:r>
          </w:p>
          <w:p w14:paraId="2CF4BB6B" w14:textId="77777777" w:rsidR="00715C0D" w:rsidRPr="00C13E80" w:rsidRDefault="00715C0D" w:rsidP="005C508C">
            <w:pPr>
              <w:keepNext/>
              <w:kinsoku w:val="0"/>
              <w:overflowPunct w:val="0"/>
              <w:autoSpaceDE w:val="0"/>
              <w:autoSpaceDN w:val="0"/>
              <w:adjustRightInd w:val="0"/>
              <w:ind w:left="9" w:hanging="1"/>
              <w:jc w:val="center"/>
              <w:rPr>
                <w:rFonts w:ascii="Arial Narrow" w:hAnsi="Arial Narrow"/>
                <w:b/>
                <w:bCs/>
                <w:sz w:val="20"/>
                <w:szCs w:val="20"/>
              </w:rPr>
            </w:pPr>
            <w:r w:rsidRPr="00C13E80">
              <w:rPr>
                <w:rFonts w:ascii="Arial Narrow" w:hAnsi="Arial Narrow"/>
                <w:b/>
                <w:bCs/>
                <w:sz w:val="20"/>
                <w:szCs w:val="20"/>
              </w:rPr>
              <w:t>(0.459, 0.989)</w:t>
            </w:r>
          </w:p>
        </w:tc>
      </w:tr>
    </w:tbl>
    <w:p w14:paraId="3C1C03BA" w14:textId="568F9757" w:rsidR="00715C0D" w:rsidRPr="006104A6" w:rsidRDefault="00715C0D" w:rsidP="006104A6">
      <w:pPr>
        <w:pStyle w:val="Tablenotes"/>
        <w:keepNext/>
        <w:jc w:val="both"/>
        <w:rPr>
          <w:sz w:val="18"/>
          <w:szCs w:val="18"/>
        </w:rPr>
      </w:pPr>
      <w:r w:rsidRPr="006104A6">
        <w:rPr>
          <w:sz w:val="18"/>
          <w:szCs w:val="18"/>
        </w:rPr>
        <w:t>Statistically significant differences are shown in bolded typeface</w:t>
      </w:r>
    </w:p>
    <w:p w14:paraId="5DADB5E7" w14:textId="151D2F31" w:rsidR="006A67DE" w:rsidRPr="006104A6" w:rsidRDefault="006A67DE" w:rsidP="006104A6">
      <w:pPr>
        <w:pStyle w:val="Tablenotes"/>
        <w:keepNext/>
        <w:jc w:val="both"/>
        <w:rPr>
          <w:b/>
          <w:bCs/>
          <w:sz w:val="18"/>
          <w:szCs w:val="18"/>
        </w:rPr>
      </w:pPr>
      <w:r w:rsidRPr="006104A6">
        <w:rPr>
          <w:sz w:val="18"/>
          <w:szCs w:val="18"/>
        </w:rPr>
        <w:t>The incremental cohort of patients that had been recruited to the MOVe-OUT trial but were not included in the interim analysis is referred to as the ‘post-interim’ cohort’</w:t>
      </w:r>
      <w:r w:rsidR="00F870EA" w:rsidRPr="006104A6">
        <w:rPr>
          <w:sz w:val="18"/>
          <w:szCs w:val="18"/>
        </w:rPr>
        <w:t xml:space="preserve">. </w:t>
      </w:r>
    </w:p>
    <w:p w14:paraId="19C7CC71" w14:textId="1F2A881C" w:rsidR="00715C0D" w:rsidRPr="006104A6" w:rsidRDefault="00715C0D" w:rsidP="006104A6">
      <w:pPr>
        <w:pStyle w:val="Tablenotes"/>
        <w:spacing w:after="120"/>
        <w:jc w:val="both"/>
        <w:rPr>
          <w:b/>
          <w:bCs/>
          <w:sz w:val="18"/>
          <w:szCs w:val="18"/>
        </w:rPr>
      </w:pPr>
      <w:r w:rsidRPr="006104A6">
        <w:rPr>
          <w:sz w:val="18"/>
          <w:szCs w:val="18"/>
        </w:rPr>
        <w:t xml:space="preserve">Sources: </w:t>
      </w:r>
      <w:r w:rsidRPr="006104A6">
        <w:rPr>
          <w:sz w:val="18"/>
          <w:szCs w:val="18"/>
        </w:rPr>
        <w:tab/>
        <w:t xml:space="preserve">Jayk Bernal, </w:t>
      </w:r>
      <w:r w:rsidRPr="006104A6">
        <w:rPr>
          <w:i/>
          <w:iCs/>
          <w:sz w:val="18"/>
          <w:szCs w:val="18"/>
        </w:rPr>
        <w:t>NEJM,</w:t>
      </w:r>
      <w:r w:rsidRPr="006104A6">
        <w:rPr>
          <w:sz w:val="18"/>
          <w:szCs w:val="18"/>
        </w:rPr>
        <w:t xml:space="preserve"> 2021 (including supplement); available at:</w:t>
      </w:r>
      <w:r w:rsidR="005C508C" w:rsidRPr="006104A6">
        <w:rPr>
          <w:sz w:val="18"/>
          <w:szCs w:val="18"/>
        </w:rPr>
        <w:t xml:space="preserve"> </w:t>
      </w:r>
      <w:hyperlink r:id="rId20" w:history="1">
        <w:r w:rsidR="005C508C" w:rsidRPr="006104A6">
          <w:rPr>
            <w:rStyle w:val="Hyperlink"/>
            <w:sz w:val="18"/>
            <w:szCs w:val="18"/>
          </w:rPr>
          <w:t>https://www.nejm.org/doi/full/10.1056/NEJMoa2116044</w:t>
        </w:r>
      </w:hyperlink>
      <w:r w:rsidRPr="006104A6">
        <w:rPr>
          <w:sz w:val="18"/>
          <w:szCs w:val="18"/>
        </w:rPr>
        <w:t>. Outcomes in additional patients calculated by deduction.</w:t>
      </w:r>
    </w:p>
    <w:p w14:paraId="522894B6" w14:textId="7A8A2FAA" w:rsidR="0016453B" w:rsidRPr="00C13E80" w:rsidRDefault="00B72977" w:rsidP="0016453B">
      <w:pPr>
        <w:pStyle w:val="5-SubsectionSubheading"/>
      </w:pPr>
      <w:r w:rsidRPr="00C13E80">
        <w:t>PANORAMIC</w:t>
      </w:r>
    </w:p>
    <w:p w14:paraId="4A74672C" w14:textId="5F483407" w:rsidR="00BF2DAD" w:rsidRPr="00C13E80" w:rsidRDefault="00BF2DAD" w:rsidP="00B46FE9">
      <w:pPr>
        <w:pStyle w:val="3-BodyText"/>
        <w:rPr>
          <w:iCs/>
        </w:rPr>
      </w:pPr>
      <w:r w:rsidRPr="00C13E80">
        <w:t xml:space="preserve">PANORAMIC was an open-label, randomised controlled trial conducted in the UK in a community setting. Eligible participants were at least 50 years of age, </w:t>
      </w:r>
      <w:r w:rsidR="004808F3" w:rsidRPr="00C13E80">
        <w:t xml:space="preserve">or </w:t>
      </w:r>
      <w:r w:rsidRPr="00C13E80">
        <w:t>at least 18</w:t>
      </w:r>
      <w:r w:rsidR="005C508C">
        <w:t> </w:t>
      </w:r>
      <w:r w:rsidRPr="00C13E80">
        <w:t>years of age with relevant comorbidities, and were randomised within 5 days of confirmed COVID-19</w:t>
      </w:r>
      <w:r w:rsidR="00F870EA" w:rsidRPr="00C13E80">
        <w:t xml:space="preserve">. </w:t>
      </w:r>
      <w:r w:rsidR="000A5E65" w:rsidRPr="00C13E80">
        <w:t>The trial did not seek to study patients at highest risk of progression to severe disease</w:t>
      </w:r>
      <w:r w:rsidR="00F870EA" w:rsidRPr="00C13E80">
        <w:t xml:space="preserve">. </w:t>
      </w:r>
      <w:r w:rsidRPr="00C13E80">
        <w:t>Participants were randomly assigned to receive 800</w:t>
      </w:r>
      <w:r w:rsidR="005C508C">
        <w:t> </w:t>
      </w:r>
      <w:r w:rsidRPr="00C13E80">
        <w:t>mg molnupiravir twice daily for 5 days plus usual care (n=12,821) or usual care only (n=12,962)</w:t>
      </w:r>
      <w:r w:rsidR="00F870EA" w:rsidRPr="00C13E80">
        <w:t xml:space="preserve">. </w:t>
      </w:r>
      <w:r w:rsidRPr="00C13E80">
        <w:t>Participants tracked COVID-19 outcomes via a self-completed online diary for 28 days after randomisation</w:t>
      </w:r>
      <w:r w:rsidR="00F870EA" w:rsidRPr="00C13E80">
        <w:t xml:space="preserve">. </w:t>
      </w:r>
    </w:p>
    <w:p w14:paraId="2C479437" w14:textId="765443A3" w:rsidR="00147F94" w:rsidRPr="00C13E80" w:rsidRDefault="00147F94" w:rsidP="00B46FE9">
      <w:pPr>
        <w:pStyle w:val="3-BodyText"/>
        <w:rPr>
          <w:iCs/>
        </w:rPr>
      </w:pPr>
      <w:r w:rsidRPr="00C13E80">
        <w:t>The primary endpoint was the composite of all-cause hospitalisation and death within 28 days of randomisation, and this endpoint was observed in only 0.8% of patients in both arms, indicating that in the studied group, addition of molnupiravir to usual care did not reduce the risk of the composite outcome of hospitalisation or death.</w:t>
      </w:r>
    </w:p>
    <w:p w14:paraId="3D2CFCF3" w14:textId="664609FD" w:rsidR="00811861" w:rsidRPr="00C13E80" w:rsidRDefault="00E81AD7" w:rsidP="00B46FE9">
      <w:pPr>
        <w:pStyle w:val="3-BodyText"/>
        <w:rPr>
          <w:iCs/>
        </w:rPr>
      </w:pPr>
      <w:r w:rsidRPr="00C13E80">
        <w:rPr>
          <w:iCs/>
        </w:rPr>
        <w:t xml:space="preserve">The </w:t>
      </w:r>
      <w:r w:rsidR="0015030B">
        <w:rPr>
          <w:iCs/>
        </w:rPr>
        <w:t>PBAC</w:t>
      </w:r>
      <w:r w:rsidR="0015030B" w:rsidRPr="00C13E80">
        <w:rPr>
          <w:iCs/>
        </w:rPr>
        <w:t xml:space="preserve"> </w:t>
      </w:r>
      <w:r w:rsidRPr="00C13E80">
        <w:rPr>
          <w:iCs/>
        </w:rPr>
        <w:t>noted that the results from the PANORAMIC trial indicated that molnupiravir did not reduce the frequency of COVID 19-associated hospitalisations or death among vaccinated adults in the community</w:t>
      </w:r>
      <w:r w:rsidR="005C16CC" w:rsidRPr="00C13E80">
        <w:rPr>
          <w:iCs/>
        </w:rPr>
        <w:t xml:space="preserve"> at increased risk of adverse outcomes, </w:t>
      </w:r>
      <w:r w:rsidRPr="00C13E80">
        <w:rPr>
          <w:iCs/>
        </w:rPr>
        <w:t>although results for patients aged 65 years or more trended in favour of molnupiravir (</w:t>
      </w:r>
      <w:r w:rsidRPr="00C13E80">
        <w:rPr>
          <w:iCs/>
        </w:rPr>
        <w:fldChar w:fldCharType="begin" w:fldLock="1"/>
      </w:r>
      <w:r w:rsidRPr="00C13E80">
        <w:rPr>
          <w:iCs/>
        </w:rPr>
        <w:instrText xml:space="preserve"> REF _Ref134387665 \h  \* MERGEFORMAT </w:instrText>
      </w:r>
      <w:r w:rsidRPr="00C13E80">
        <w:rPr>
          <w:iCs/>
        </w:rPr>
      </w:r>
      <w:r w:rsidRPr="00C13E80">
        <w:rPr>
          <w:iCs/>
        </w:rPr>
        <w:fldChar w:fldCharType="separate"/>
      </w:r>
      <w:r w:rsidR="00701DEF" w:rsidRPr="00701DEF">
        <w:rPr>
          <w:iCs/>
        </w:rPr>
        <w:t>Table 7</w:t>
      </w:r>
      <w:r w:rsidRPr="00C13E80">
        <w:rPr>
          <w:iCs/>
        </w:rPr>
        <w:fldChar w:fldCharType="end"/>
      </w:r>
      <w:r w:rsidRPr="00C13E80">
        <w:rPr>
          <w:iCs/>
        </w:rPr>
        <w:t>)</w:t>
      </w:r>
      <w:r w:rsidR="00F870EA" w:rsidRPr="00C13E80">
        <w:rPr>
          <w:iCs/>
        </w:rPr>
        <w:t xml:space="preserve">. </w:t>
      </w:r>
      <w:r w:rsidRPr="00C13E80">
        <w:rPr>
          <w:iCs/>
        </w:rPr>
        <w:t xml:space="preserve">The </w:t>
      </w:r>
      <w:r w:rsidR="0015030B">
        <w:rPr>
          <w:iCs/>
        </w:rPr>
        <w:t xml:space="preserve">PBAC </w:t>
      </w:r>
      <w:r w:rsidRPr="00C13E80">
        <w:rPr>
          <w:iCs/>
        </w:rPr>
        <w:t xml:space="preserve">recalled </w:t>
      </w:r>
      <w:r w:rsidR="0015030B">
        <w:rPr>
          <w:iCs/>
        </w:rPr>
        <w:t>it had</w:t>
      </w:r>
      <w:r w:rsidRPr="00C13E80">
        <w:rPr>
          <w:iCs/>
        </w:rPr>
        <w:t xml:space="preserve"> </w:t>
      </w:r>
      <w:r w:rsidRPr="00C13E80">
        <w:rPr>
          <w:iCs/>
        </w:rPr>
        <w:lastRenderedPageBreak/>
        <w:t>considered the results from the PANORAMIC trial in November 2022</w:t>
      </w:r>
      <w:r w:rsidRPr="00C13E80">
        <w:rPr>
          <w:rStyle w:val="FootnoteReference"/>
          <w:iCs/>
        </w:rPr>
        <w:footnoteReference w:id="15"/>
      </w:r>
      <w:r w:rsidRPr="00C13E80">
        <w:rPr>
          <w:iCs/>
        </w:rPr>
        <w:t xml:space="preserve"> and recommended that an Administrative Note be added to the molnupiravir listing stating that molnupiravir should be considered for use only if nirmatrelvir and ritonavir is contraindicated or otherwise unsuitable</w:t>
      </w:r>
      <w:r w:rsidR="00F870EA" w:rsidRPr="00C13E80">
        <w:rPr>
          <w:iCs/>
        </w:rPr>
        <w:t>.</w:t>
      </w:r>
      <w:r w:rsidRPr="00C13E80">
        <w:rPr>
          <w:iCs/>
        </w:rPr>
        <w:t xml:space="preserve"> The </w:t>
      </w:r>
      <w:r w:rsidR="0015030B">
        <w:rPr>
          <w:iCs/>
        </w:rPr>
        <w:t>PBAC</w:t>
      </w:r>
      <w:r w:rsidR="0015030B" w:rsidRPr="00C13E80">
        <w:rPr>
          <w:iCs/>
        </w:rPr>
        <w:t xml:space="preserve"> </w:t>
      </w:r>
      <w:r w:rsidRPr="00C13E80">
        <w:rPr>
          <w:iCs/>
        </w:rPr>
        <w:t xml:space="preserve">recalled </w:t>
      </w:r>
      <w:r w:rsidR="0015030B">
        <w:rPr>
          <w:iCs/>
        </w:rPr>
        <w:t>it had</w:t>
      </w:r>
      <w:r w:rsidRPr="00C13E80">
        <w:rPr>
          <w:iCs/>
        </w:rPr>
        <w:t xml:space="preserve"> previously observed that subjects in PANORAMIC were, as a whole, younger than subjects receiving molnupiravir in Australia. At that time, two-thirds of PBS utilisation of molnupiravir had been in</w:t>
      </w:r>
      <w:r w:rsidR="00DD467C">
        <w:rPr>
          <w:iCs/>
        </w:rPr>
        <w:t xml:space="preserve"> </w:t>
      </w:r>
      <w:r w:rsidRPr="00C13E80">
        <w:rPr>
          <w:iCs/>
        </w:rPr>
        <w:t>patients ≥</w:t>
      </w:r>
      <w:r w:rsidR="00DD467C">
        <w:rPr>
          <w:iCs/>
        </w:rPr>
        <w:t> </w:t>
      </w:r>
      <w:r w:rsidRPr="00C13E80">
        <w:rPr>
          <w:iCs/>
        </w:rPr>
        <w:t>70 years of age, whereas &lt;</w:t>
      </w:r>
      <w:r w:rsidR="006104A6">
        <w:rPr>
          <w:iCs/>
        </w:rPr>
        <w:t> </w:t>
      </w:r>
      <w:r w:rsidRPr="00C13E80">
        <w:rPr>
          <w:iCs/>
        </w:rPr>
        <w:t>15% of PANORAMIC subjects were ≥</w:t>
      </w:r>
      <w:r w:rsidR="00DD467C">
        <w:rPr>
          <w:iCs/>
        </w:rPr>
        <w:t> </w:t>
      </w:r>
      <w:r w:rsidRPr="00C13E80">
        <w:rPr>
          <w:iCs/>
        </w:rPr>
        <w:t>70 years of age. Also,</w:t>
      </w:r>
      <w:r w:rsidR="00DD467C">
        <w:rPr>
          <w:iCs/>
        </w:rPr>
        <w:t xml:space="preserve"> </w:t>
      </w:r>
      <w:r w:rsidRPr="00C13E80">
        <w:rPr>
          <w:iCs/>
        </w:rPr>
        <w:t>it was noted that patients at highest risk of progression to severe disease in the UK were not the target</w:t>
      </w:r>
      <w:r w:rsidR="00DD467C">
        <w:rPr>
          <w:iCs/>
        </w:rPr>
        <w:t xml:space="preserve"> </w:t>
      </w:r>
      <w:r w:rsidRPr="00C13E80">
        <w:rPr>
          <w:iCs/>
        </w:rPr>
        <w:t>population in PANORAMIC</w:t>
      </w:r>
      <w:r w:rsidR="00F870EA" w:rsidRPr="00C13E80">
        <w:rPr>
          <w:iCs/>
        </w:rPr>
        <w:t xml:space="preserve">. </w:t>
      </w:r>
    </w:p>
    <w:p w14:paraId="45E190CF" w14:textId="30FBFBE9" w:rsidR="00147F94" w:rsidRPr="00C13E80" w:rsidRDefault="007B7C59" w:rsidP="00B46FE9">
      <w:pPr>
        <w:pStyle w:val="3-BodyText"/>
        <w:rPr>
          <w:iCs/>
        </w:rPr>
      </w:pPr>
      <w:r w:rsidRPr="00C13E80">
        <w:rPr>
          <w:iCs/>
        </w:rPr>
        <w:t xml:space="preserve">The PBAC noted that </w:t>
      </w:r>
      <w:r w:rsidR="00BF2DAD" w:rsidRPr="00C13E80">
        <w:rPr>
          <w:iCs/>
        </w:rPr>
        <w:t xml:space="preserve">in contrast to the </w:t>
      </w:r>
      <w:r w:rsidR="00BF2DAD" w:rsidRPr="00C13E80">
        <w:t xml:space="preserve">primary outcome, the </w:t>
      </w:r>
      <w:r w:rsidRPr="00C13E80">
        <w:rPr>
          <w:iCs/>
        </w:rPr>
        <w:t xml:space="preserve">results from the viral substudy of PANORAMIC reported significantly improved outcomes for </w:t>
      </w:r>
      <w:r w:rsidRPr="00C13E80">
        <w:t>participants treated with molnupiravir plus usual care compared with the usual care alone as reported by Butler et al (2023)</w:t>
      </w:r>
      <w:r w:rsidR="00F870EA" w:rsidRPr="00C13E80">
        <w:t xml:space="preserve">. </w:t>
      </w:r>
      <w:r w:rsidRPr="00C13E80">
        <w:t>For example, the SARS-CoV-2 viral load was undetectable on day 7 in 21% of participants in the molnupiravir plus usual care group compared with 3% in the usual care group (Adjusted OR (95% CI): 20.72 (1.12-102.23) p=0·039)</w:t>
      </w:r>
      <w:r w:rsidR="00F870EA" w:rsidRPr="00C13E80">
        <w:t xml:space="preserve">. </w:t>
      </w:r>
      <w:r w:rsidR="00147F94" w:rsidRPr="00C13E80">
        <w:t>The study authors noted that participants in the molnupiravir plus usual care group recovered faster than those in the usual care group, had a higher rate of early sustained recovery, and had fewer general practitioner consultations, which was consistent with a reduction in detectable virus and viral load in participants who received molnupiravir compared with those who received usual care only (Butler et al 2023, page 289).</w:t>
      </w:r>
    </w:p>
    <w:p w14:paraId="67EBE040" w14:textId="0AFF04DC" w:rsidR="00545D74" w:rsidRPr="00C13E80" w:rsidRDefault="00147F94" w:rsidP="00B46FE9">
      <w:pPr>
        <w:pStyle w:val="3-BodyText"/>
        <w:rPr>
          <w:iCs/>
        </w:rPr>
      </w:pPr>
      <w:r w:rsidRPr="00C13E80">
        <w:rPr>
          <w:iCs/>
        </w:rPr>
        <w:t>The PBAC recalled</w:t>
      </w:r>
      <w:r w:rsidRPr="00C13E80">
        <w:t xml:space="preserve"> its previous conclusion after consideration of PANORAMIC in November 2022, that while nirmatrelvir and ritonavir may be preferred for many patients with mild to moderate COVID-19 at high risk of progression to severe disease, in many common clinical circumstances nirmatrelvir and ritonavir will be contraindicated or unsuitable for use, and </w:t>
      </w:r>
      <w:r w:rsidR="00410799">
        <w:t>at that time PBAC accepted that</w:t>
      </w:r>
      <w:r w:rsidR="00DD467C">
        <w:t xml:space="preserve"> </w:t>
      </w:r>
      <w:r w:rsidRPr="00C13E80">
        <w:t>molnupiravir remain</w:t>
      </w:r>
      <w:r w:rsidR="00410799">
        <w:t>ed</w:t>
      </w:r>
      <w:r w:rsidRPr="00C13E80">
        <w:t xml:space="preserve"> a suitable option in such patients.</w:t>
      </w:r>
    </w:p>
    <w:p w14:paraId="2A1F3C29" w14:textId="254948FB" w:rsidR="00E81AD7" w:rsidRPr="00C13E80" w:rsidRDefault="00DF48D1" w:rsidP="00B46FE9">
      <w:pPr>
        <w:pStyle w:val="3-BodyText"/>
        <w:rPr>
          <w:iCs/>
        </w:rPr>
      </w:pPr>
      <w:r w:rsidRPr="00C13E80">
        <w:rPr>
          <w:iCs/>
        </w:rPr>
        <w:t xml:space="preserve">The </w:t>
      </w:r>
      <w:r w:rsidR="00811861" w:rsidRPr="00C13E80">
        <w:rPr>
          <w:iCs/>
        </w:rPr>
        <w:t xml:space="preserve">PBAC </w:t>
      </w:r>
      <w:r w:rsidR="00D440C6" w:rsidRPr="00C13E80">
        <w:rPr>
          <w:iCs/>
        </w:rPr>
        <w:t xml:space="preserve">noted that </w:t>
      </w:r>
      <w:r w:rsidR="00A62148" w:rsidRPr="00C13E80">
        <w:rPr>
          <w:iCs/>
        </w:rPr>
        <w:t>nirmatrelvir and ritonavir</w:t>
      </w:r>
      <w:r w:rsidR="00D440C6" w:rsidRPr="00C13E80">
        <w:rPr>
          <w:iCs/>
        </w:rPr>
        <w:t xml:space="preserve"> arm of the PANORAMIC trial is still in</w:t>
      </w:r>
      <w:r w:rsidR="00DD467C">
        <w:rPr>
          <w:iCs/>
        </w:rPr>
        <w:t xml:space="preserve"> </w:t>
      </w:r>
      <w:r w:rsidR="00D440C6" w:rsidRPr="00C13E80">
        <w:rPr>
          <w:iCs/>
        </w:rPr>
        <w:t>progress and not yet reported</w:t>
      </w:r>
      <w:r w:rsidR="00D440C6" w:rsidRPr="00C13E80">
        <w:rPr>
          <w:rStyle w:val="FootnoteReference"/>
          <w:iCs/>
        </w:rPr>
        <w:footnoteReference w:id="16"/>
      </w:r>
      <w:r w:rsidR="00D440C6" w:rsidRPr="00C13E80">
        <w:rPr>
          <w:iCs/>
        </w:rPr>
        <w:t>.</w:t>
      </w:r>
    </w:p>
    <w:p w14:paraId="49B08CD1" w14:textId="7225235B" w:rsidR="00B72977" w:rsidRPr="00C13E80" w:rsidRDefault="00B72977" w:rsidP="00B72977">
      <w:pPr>
        <w:pStyle w:val="5-SubsectionSubheading"/>
      </w:pPr>
      <w:bookmarkStart w:id="52" w:name="_Hlk141348864"/>
      <w:r w:rsidRPr="00C13E80">
        <w:t>Victorian linked analysis</w:t>
      </w:r>
    </w:p>
    <w:p w14:paraId="3C69382B" w14:textId="081788FC" w:rsidR="0016453B" w:rsidRPr="00DD467C" w:rsidRDefault="0016453B" w:rsidP="00DD467C">
      <w:pPr>
        <w:pStyle w:val="3-BodyText"/>
      </w:pPr>
      <w:bookmarkStart w:id="53" w:name="_Ref137662244"/>
      <w:bookmarkEnd w:id="52"/>
      <w:r w:rsidRPr="00DD467C">
        <w:t>The submission considered that, of the studies presented</w:t>
      </w:r>
      <w:r w:rsidR="00DE4F49" w:rsidRPr="00DD467C">
        <w:t>,</w:t>
      </w:r>
      <w:r w:rsidRPr="00DD467C">
        <w:t xml:space="preserve"> the observational study that used a linked dataset of outcomes from patients treated in Victoria, Australia </w:t>
      </w:r>
      <w:r w:rsidR="00F01B31" w:rsidRPr="00DD467C">
        <w:t>was</w:t>
      </w:r>
      <w:r w:rsidRPr="00DD467C">
        <w:t xml:space="preserve"> most relevant, particularly for the 70+ subgroup, at it reflec</w:t>
      </w:r>
      <w:r w:rsidR="009C109D" w:rsidRPr="00DD467C">
        <w:t>t</w:t>
      </w:r>
      <w:r w:rsidR="00F01B31" w:rsidRPr="00DD467C">
        <w:t>ed</w:t>
      </w:r>
      <w:r w:rsidRPr="00DD467C">
        <w:t xml:space="preserve"> outcomes in a population aged ≥</w:t>
      </w:r>
      <w:r w:rsidR="006104A6">
        <w:t> </w:t>
      </w:r>
      <w:r w:rsidRPr="00DD467C">
        <w:t xml:space="preserve">70 years who met the PBS criteria for access to antivirals and were treated in the Australian healthcare system. The analyses were adjusted to address potential confounding due to differences in age, sex, socioeconomic status, history of </w:t>
      </w:r>
      <w:r w:rsidRPr="00DD467C">
        <w:lastRenderedPageBreak/>
        <w:t>hospitalisation, aged care resident status and vaccination status. Although the study did not adjust for comorbidities or concomitant medications (which were unmeasured), the adjustment for history of hospitalisation prior to COVID-19 diagnosis and aged care resident status (which are likely to some extent at least be proxies for the confounder comorbidities) was expected to partially correct for bias due to unmeasured comorbidities.</w:t>
      </w:r>
      <w:bookmarkEnd w:id="53"/>
      <w:r w:rsidRPr="00DD467C">
        <w:t xml:space="preserve"> </w:t>
      </w:r>
    </w:p>
    <w:p w14:paraId="5D4F31E2" w14:textId="3CEC007B" w:rsidR="006C242F" w:rsidRPr="00C13E80" w:rsidRDefault="0015030B" w:rsidP="00B46FE9">
      <w:pPr>
        <w:pStyle w:val="3-BodyText"/>
        <w:rPr>
          <w:iCs/>
          <w:color w:val="000000" w:themeColor="text1"/>
        </w:rPr>
      </w:pPr>
      <w:bookmarkStart w:id="54" w:name="_Ref142397371"/>
      <w:r>
        <w:rPr>
          <w:iCs/>
        </w:rPr>
        <w:t>At the June ESC meeting, t</w:t>
      </w:r>
      <w:r w:rsidR="0000112D" w:rsidRPr="00C13E80">
        <w:rPr>
          <w:iCs/>
        </w:rPr>
        <w:t>he ESC cautioned that the Victorian linked analysis had not yet been published and that limited information was available to assess risk of bias or study quality</w:t>
      </w:r>
      <w:r w:rsidR="00F870EA" w:rsidRPr="00C13E80">
        <w:rPr>
          <w:iCs/>
        </w:rPr>
        <w:t xml:space="preserve">. </w:t>
      </w:r>
      <w:r w:rsidR="005D158B" w:rsidRPr="00C13E80">
        <w:rPr>
          <w:iCs/>
        </w:rPr>
        <w:t>The ESC noted that observational studies are typically open to bias, particularly selection bias, and substantial confounding</w:t>
      </w:r>
      <w:r w:rsidR="00F870EA" w:rsidRPr="00C13E80">
        <w:rPr>
          <w:iCs/>
        </w:rPr>
        <w:t xml:space="preserve">. </w:t>
      </w:r>
      <w:r w:rsidR="006C242F" w:rsidRPr="00C13E80">
        <w:t>The ESC considered that a</w:t>
      </w:r>
      <w:r w:rsidR="006C242F" w:rsidRPr="00C13E80">
        <w:rPr>
          <w:iCs/>
        </w:rPr>
        <w:t xml:space="preserve">lthough observational data can sometimes be used to address some of the applicability issues that may apply to the evidence from randomised controlled trials, </w:t>
      </w:r>
      <w:r w:rsidR="00242ACF" w:rsidRPr="00C13E80">
        <w:rPr>
          <w:iCs/>
        </w:rPr>
        <w:t xml:space="preserve">the </w:t>
      </w:r>
      <w:r w:rsidR="006C242F" w:rsidRPr="00C13E80">
        <w:rPr>
          <w:iCs/>
        </w:rPr>
        <w:t>ESC considered that the observational data presented in the submission also had limitations. The ESC noted that the National Clinical Evidence Taskforce ha</w:t>
      </w:r>
      <w:r w:rsidR="00147F94" w:rsidRPr="00C13E80">
        <w:rPr>
          <w:iCs/>
        </w:rPr>
        <w:t>d</w:t>
      </w:r>
      <w:r w:rsidR="006C242F" w:rsidRPr="00C13E80">
        <w:rPr>
          <w:iCs/>
        </w:rPr>
        <w:t xml:space="preserve"> reviewed the Victorian observational data but did not include analyses of these data in its evidence-to-decision framework due to the substantial risk of bias </w:t>
      </w:r>
      <w:r w:rsidR="005C16CC" w:rsidRPr="00C13E80">
        <w:rPr>
          <w:iCs/>
        </w:rPr>
        <w:t xml:space="preserve">generally present </w:t>
      </w:r>
      <w:r w:rsidR="006C242F" w:rsidRPr="00C13E80">
        <w:rPr>
          <w:iCs/>
        </w:rPr>
        <w:t>in observational studies.</w:t>
      </w:r>
      <w:bookmarkEnd w:id="54"/>
    </w:p>
    <w:p w14:paraId="15F9DB97" w14:textId="2D2B23BB" w:rsidR="00A75129" w:rsidRPr="00C13E80" w:rsidRDefault="00A75129" w:rsidP="00B46FE9">
      <w:pPr>
        <w:pStyle w:val="3-BodyText"/>
      </w:pPr>
      <w:r w:rsidRPr="00C13E80">
        <w:t xml:space="preserve">A pre-print manuscript for the Victorian observational study was provided to the Department after the </w:t>
      </w:r>
      <w:r w:rsidR="00306E1F" w:rsidRPr="00C13E80">
        <w:t xml:space="preserve">ESC </w:t>
      </w:r>
      <w:r w:rsidRPr="00C13E80">
        <w:t>meeting and was also published on the journal’s website</w:t>
      </w:r>
      <w:r w:rsidR="00DE4F49" w:rsidRPr="00C13E80">
        <w:t xml:space="preserve"> (Van Heer 2023)</w:t>
      </w:r>
      <w:r w:rsidR="00F870EA" w:rsidRPr="00C13E80">
        <w:t xml:space="preserve">. </w:t>
      </w:r>
      <w:r w:rsidR="006D5FA9" w:rsidRPr="00C13E80">
        <w:t>The outcomes assessed were COVID-19 associated mortality and hospitalisation due to any cause within 35 days from a COVID-19 diagnosis</w:t>
      </w:r>
      <w:r w:rsidR="00F870EA" w:rsidRPr="00C13E80">
        <w:t xml:space="preserve">. </w:t>
      </w:r>
      <w:r w:rsidR="00F01B31" w:rsidRPr="00C13E80">
        <w:t xml:space="preserve">The analysis populations were defined as outlined below. </w:t>
      </w:r>
    </w:p>
    <w:p w14:paraId="2D69E38F" w14:textId="0F7C4ACC" w:rsidR="00A75129" w:rsidRPr="00C13E80" w:rsidRDefault="00A75129" w:rsidP="00B46FE9">
      <w:pPr>
        <w:pStyle w:val="3-BodyText"/>
      </w:pPr>
      <w:r w:rsidRPr="00C13E80">
        <w:t>The analysis comparing the odds of mortality in untreated, treated with molnupiravir or treated with nirmatrelvir + ritonavir groups was based on the full cohort of patients (excluding only patients who died on Day 0 (i.e., same day) after diagnosis of COVID</w:t>
      </w:r>
      <w:r w:rsidR="00F01B31" w:rsidRPr="00C13E80">
        <w:noBreakHyphen/>
      </w:r>
      <w:r w:rsidRPr="00C13E80">
        <w:t>19 and those who had previously received other antiviral medications).</w:t>
      </w:r>
    </w:p>
    <w:p w14:paraId="299AAB14" w14:textId="4D5E77DB" w:rsidR="001858E6" w:rsidRPr="00C13E80" w:rsidRDefault="00A75129" w:rsidP="00B46FE9">
      <w:pPr>
        <w:pStyle w:val="3-BodyText"/>
      </w:pPr>
      <w:r w:rsidRPr="00C13E80">
        <w:t>The analysis comparing the odds of hospitalisation in untreated, treated with molnupiravir or treated with nirmatrelvir + ritonavir groups was based on a subgroup of the full cohort of patients. In addition to exclusion of patients who died on Day</w:t>
      </w:r>
      <w:r w:rsidR="00DD467C">
        <w:t> </w:t>
      </w:r>
      <w:r w:rsidRPr="00C13E80">
        <w:t xml:space="preserve">0 (i.e., same day) after diagnosis of COVID-19 and those who had previously received other antiviral medications, patients who were hospitalised on Day 0 or Day 1 after diagnosis of COVID-19 or who resided in a Residential Aged Care Facilities (RACF) were also excluded from this analysis (on the grounds that hospital admission directives in this population do not necessarily correlate with severe disease). </w:t>
      </w:r>
      <w:r w:rsidR="001858E6" w:rsidRPr="00C13E80">
        <w:t>The PBAC noted that the risk of hospitalisation in untreated patients in the full cohort that included patients residing in RACFs (11.92%) differed substantially from the subgroup used for the hospitalisation analysis which excluded RACF patients (1.74%)</w:t>
      </w:r>
      <w:r w:rsidR="00F01B31" w:rsidRPr="00C13E80">
        <w:t>.</w:t>
      </w:r>
    </w:p>
    <w:p w14:paraId="118F9815" w14:textId="126A4EA9" w:rsidR="00F01B31" w:rsidRDefault="00394C9E" w:rsidP="00B46FE9">
      <w:pPr>
        <w:pStyle w:val="3-BodyText"/>
      </w:pPr>
      <w:r w:rsidRPr="00C13E80">
        <w:t>The PBAC considered that the study carried a substantial risk of bias due to its observational design</w:t>
      </w:r>
      <w:r w:rsidR="00F870EA" w:rsidRPr="00C13E80">
        <w:t xml:space="preserve">. </w:t>
      </w:r>
      <w:r w:rsidR="00DE4F49" w:rsidRPr="00C13E80">
        <w:t>The PBAC noted concerns regarding incomplete COVID testing and reporting and differences in vaccination status</w:t>
      </w:r>
      <w:r w:rsidR="00F870EA" w:rsidRPr="00C13E80">
        <w:t xml:space="preserve">. </w:t>
      </w:r>
      <w:r w:rsidR="002C2CF8" w:rsidRPr="00C13E80">
        <w:t>The</w:t>
      </w:r>
      <w:r w:rsidR="00DE4F49" w:rsidRPr="00C13E80">
        <w:t xml:space="preserve"> </w:t>
      </w:r>
      <w:r w:rsidRPr="00C13E80">
        <w:t>risk of unobserved confounders may bias estimates of treatment effectiveness</w:t>
      </w:r>
      <w:r w:rsidR="00F870EA" w:rsidRPr="00C13E80">
        <w:t xml:space="preserve">. </w:t>
      </w:r>
    </w:p>
    <w:p w14:paraId="6DB6E7A9" w14:textId="7029456B" w:rsidR="007850FE" w:rsidRPr="00C13E80" w:rsidRDefault="007850FE" w:rsidP="00B46FE9">
      <w:pPr>
        <w:pStyle w:val="3-BodyText"/>
      </w:pPr>
      <w:bookmarkStart w:id="55" w:name="_Ref142402783"/>
      <w:r>
        <w:lastRenderedPageBreak/>
        <w:t xml:space="preserve">The </w:t>
      </w:r>
      <w:r w:rsidRPr="007850FE">
        <w:t xml:space="preserve">PBAC disagreed with the </w:t>
      </w:r>
      <w:r w:rsidR="007B2223">
        <w:t>pre-PBAC response which stated</w:t>
      </w:r>
      <w:r w:rsidRPr="007850FE">
        <w:t xml:space="preserve"> that the Victorian data provided a robust estimate of the effect of molnupiravir for use in the economic model. On the contrary , </w:t>
      </w:r>
      <w:r>
        <w:t xml:space="preserve">the </w:t>
      </w:r>
      <w:r w:rsidRPr="007850FE">
        <w:t xml:space="preserve">PBAC considered that estimates based on the Victorian data are highly uncertain, are likely to be overly optimistic, and thus not suitable for use in the base case estimates. Notwithstanding this, </w:t>
      </w:r>
      <w:r w:rsidR="00923255">
        <w:t xml:space="preserve">the </w:t>
      </w:r>
      <w:r w:rsidRPr="007850FE">
        <w:t xml:space="preserve">PBAC considered the Victorian data suitable to inform sensitivity analyses, and </w:t>
      </w:r>
      <w:r w:rsidR="00923255">
        <w:t>noted it was consistent with</w:t>
      </w:r>
      <w:r w:rsidRPr="007850FE">
        <w:t xml:space="preserve"> other data </w:t>
      </w:r>
      <w:r w:rsidR="00923255">
        <w:t>indicating</w:t>
      </w:r>
      <w:r w:rsidRPr="007850FE">
        <w:t xml:space="preserve"> that </w:t>
      </w:r>
      <w:r w:rsidR="00A77C82" w:rsidRPr="00C13E80">
        <w:rPr>
          <w:color w:val="000000" w:themeColor="text1"/>
        </w:rPr>
        <w:t>nirmatrelvir and ritonavir</w:t>
      </w:r>
      <w:r w:rsidR="00A77C82" w:rsidRPr="007850FE">
        <w:t xml:space="preserve"> </w:t>
      </w:r>
      <w:r w:rsidRPr="007850FE">
        <w:t xml:space="preserve">is </w:t>
      </w:r>
      <w:r w:rsidR="001A4F3C">
        <w:t xml:space="preserve">likely more effective than </w:t>
      </w:r>
      <w:r w:rsidRPr="007850FE">
        <w:t>moln</w:t>
      </w:r>
      <w:r>
        <w:t>u</w:t>
      </w:r>
      <w:r w:rsidRPr="007850FE">
        <w:t>p</w:t>
      </w:r>
      <w:r>
        <w:t>i</w:t>
      </w:r>
      <w:r w:rsidRPr="007850FE">
        <w:t>ravir</w:t>
      </w:r>
      <w:r>
        <w:t>.</w:t>
      </w:r>
      <w:bookmarkEnd w:id="55"/>
    </w:p>
    <w:p w14:paraId="23E22B96" w14:textId="4ECFE2AF" w:rsidR="00B72977" w:rsidRPr="00C13E80" w:rsidRDefault="00F56C12" w:rsidP="00B72977">
      <w:pPr>
        <w:pStyle w:val="5-SubsectionSubheading"/>
        <w:rPr>
          <w:iCs/>
        </w:rPr>
      </w:pPr>
      <w:r w:rsidRPr="00C13E80">
        <w:t>Clinical evidence for patient s</w:t>
      </w:r>
      <w:r w:rsidR="00B72977" w:rsidRPr="00C13E80">
        <w:t>ubgroups</w:t>
      </w:r>
      <w:r w:rsidRPr="00C13E80">
        <w:t xml:space="preserve"> </w:t>
      </w:r>
    </w:p>
    <w:p w14:paraId="3B3C0809" w14:textId="6E998893" w:rsidR="00ED307B" w:rsidRPr="00C13E80" w:rsidRDefault="009F2697" w:rsidP="00B46FE9">
      <w:pPr>
        <w:pStyle w:val="3-BodyText"/>
      </w:pPr>
      <w:r w:rsidRPr="00C13E80">
        <w:t xml:space="preserve">The submission, </w:t>
      </w:r>
      <w:r w:rsidRPr="00C13E80">
        <w:rPr>
          <w:iCs/>
        </w:rPr>
        <w:t>appropriately,</w:t>
      </w:r>
      <w:r w:rsidRPr="00C13E80">
        <w:t xml:space="preserve"> attempted to </w:t>
      </w:r>
      <w:r w:rsidR="00D528F1" w:rsidRPr="00C13E80">
        <w:t>locate evidence for the other populations</w:t>
      </w:r>
      <w:r w:rsidRPr="00C13E80">
        <w:t xml:space="preserve"> </w:t>
      </w:r>
      <w:r w:rsidR="00DB4B1B" w:rsidRPr="00C13E80">
        <w:t>beyond the 70+ subgroup</w:t>
      </w:r>
      <w:r w:rsidR="00202D52" w:rsidRPr="00C13E80">
        <w:t xml:space="preserve"> and, as discuss</w:t>
      </w:r>
      <w:r w:rsidR="00AE6F0C" w:rsidRPr="00C13E80">
        <w:t xml:space="preserve">ed in paragraph </w:t>
      </w:r>
      <w:r w:rsidR="00AE6F0C" w:rsidRPr="00C13E80">
        <w:fldChar w:fldCharType="begin" w:fldLock="1"/>
      </w:r>
      <w:r w:rsidR="00AE6F0C" w:rsidRPr="00C13E80">
        <w:instrText xml:space="preserve"> REF _Ref134534284 \r \h </w:instrText>
      </w:r>
      <w:r w:rsidR="00AE6F0C" w:rsidRPr="00C13E80">
        <w:fldChar w:fldCharType="separate"/>
      </w:r>
      <w:r w:rsidR="00701DEF">
        <w:t>6.54</w:t>
      </w:r>
      <w:r w:rsidR="00AE6F0C" w:rsidRPr="00C13E80">
        <w:fldChar w:fldCharType="end"/>
      </w:r>
      <w:r w:rsidR="00C35BEE" w:rsidRPr="00C13E80">
        <w:t>, attempted to</w:t>
      </w:r>
      <w:r w:rsidR="003C10DC" w:rsidRPr="00C13E80">
        <w:t xml:space="preserve"> consider the populations separately</w:t>
      </w:r>
      <w:r w:rsidR="00C43140" w:rsidRPr="00C13E80">
        <w:t xml:space="preserve"> in the economic evaluation.</w:t>
      </w:r>
    </w:p>
    <w:p w14:paraId="66CA15D6" w14:textId="52838774" w:rsidR="00CF7FC3" w:rsidRPr="00C13E80" w:rsidRDefault="00E3380A" w:rsidP="00B46FE9">
      <w:pPr>
        <w:pStyle w:val="3-BodyText"/>
        <w:rPr>
          <w:iCs/>
        </w:rPr>
      </w:pPr>
      <w:r w:rsidRPr="00C13E80">
        <w:t xml:space="preserve">As noted by the </w:t>
      </w:r>
      <w:r w:rsidR="00A23DEB" w:rsidRPr="00C13E80">
        <w:t>submission</w:t>
      </w:r>
      <w:r w:rsidRPr="00C13E80">
        <w:t xml:space="preserve">, </w:t>
      </w:r>
      <w:r w:rsidR="004A0C56" w:rsidRPr="00C13E80">
        <w:t>no studies</w:t>
      </w:r>
      <w:r w:rsidR="005B1F33" w:rsidRPr="00C13E80">
        <w:t xml:space="preserve"> </w:t>
      </w:r>
      <w:r w:rsidR="00CD488A" w:rsidRPr="00C13E80">
        <w:t xml:space="preserve">specifically </w:t>
      </w:r>
      <w:r w:rsidR="00C43140" w:rsidRPr="00C13E80">
        <w:t>reported outcomes</w:t>
      </w:r>
      <w:r w:rsidR="00DD165C" w:rsidRPr="00C13E80">
        <w:t xml:space="preserve"> </w:t>
      </w:r>
      <w:r w:rsidR="00CD1015" w:rsidRPr="00C13E80">
        <w:t xml:space="preserve">in patients </w:t>
      </w:r>
      <w:r w:rsidR="003051F0" w:rsidRPr="00C13E80">
        <w:t xml:space="preserve">with mild to moderate COVID-19 </w:t>
      </w:r>
      <w:r w:rsidR="00CD1015" w:rsidRPr="00C13E80">
        <w:t>aged 50</w:t>
      </w:r>
      <w:r w:rsidR="008D1339" w:rsidRPr="00C13E80">
        <w:noBreakHyphen/>
      </w:r>
      <w:r w:rsidR="003051F0" w:rsidRPr="00C13E80">
        <w:t xml:space="preserve">69 </w:t>
      </w:r>
      <w:r w:rsidR="0087713E" w:rsidRPr="00C13E80">
        <w:t>with two or more risk factors for</w:t>
      </w:r>
      <w:r w:rsidR="003051F0" w:rsidRPr="00C13E80">
        <w:t xml:space="preserve"> developing </w:t>
      </w:r>
      <w:r w:rsidR="003B1598" w:rsidRPr="00C13E80">
        <w:t>severe disease requiring hospitalisation</w:t>
      </w:r>
      <w:r w:rsidR="0082186B" w:rsidRPr="00C13E80">
        <w:t>.</w:t>
      </w:r>
      <w:r w:rsidR="00890C20" w:rsidRPr="00C13E80">
        <w:t xml:space="preserve"> T</w:t>
      </w:r>
      <w:r w:rsidR="00DA1365" w:rsidRPr="00C13E80">
        <w:t xml:space="preserve">he economic analysis </w:t>
      </w:r>
      <w:r w:rsidR="000133B0" w:rsidRPr="00C13E80">
        <w:t>applie</w:t>
      </w:r>
      <w:r w:rsidR="008259A8" w:rsidRPr="00C13E80">
        <w:t>d</w:t>
      </w:r>
      <w:r w:rsidR="004B199E" w:rsidRPr="00C13E80">
        <w:t xml:space="preserve"> a baseline risk of </w:t>
      </w:r>
      <w:r w:rsidR="00413F0E" w:rsidRPr="00C13E80">
        <w:t xml:space="preserve">hospitalisation in </w:t>
      </w:r>
      <w:r w:rsidR="00280064" w:rsidRPr="00C13E80">
        <w:t>the 50-69 high risk cohort</w:t>
      </w:r>
      <w:r w:rsidR="00E86BA3" w:rsidRPr="00C13E80">
        <w:t xml:space="preserve"> that </w:t>
      </w:r>
      <w:r w:rsidR="008259A8" w:rsidRPr="00C13E80">
        <w:t xml:space="preserve">was </w:t>
      </w:r>
      <w:r w:rsidR="00E86BA3" w:rsidRPr="00C13E80">
        <w:t xml:space="preserve">approximately one quarter </w:t>
      </w:r>
      <w:r w:rsidR="00414F2A" w:rsidRPr="00C13E80">
        <w:t xml:space="preserve">of the baseline risk </w:t>
      </w:r>
      <w:r w:rsidR="00C01588" w:rsidRPr="00C13E80">
        <w:t xml:space="preserve">of hospitalisation </w:t>
      </w:r>
      <w:r w:rsidR="00414F2A" w:rsidRPr="00C13E80">
        <w:t>in the 70+ cohort</w:t>
      </w:r>
      <w:r w:rsidR="004950AB" w:rsidRPr="00C13E80">
        <w:t>. Th</w:t>
      </w:r>
      <w:r w:rsidR="00264BA9" w:rsidRPr="00C13E80">
        <w:t>e</w:t>
      </w:r>
      <w:r w:rsidR="004950AB" w:rsidRPr="00C13E80">
        <w:t xml:space="preserve"> estimate </w:t>
      </w:r>
      <w:r w:rsidR="008259A8" w:rsidRPr="00C13E80">
        <w:t>was</w:t>
      </w:r>
      <w:r w:rsidR="004950AB" w:rsidRPr="00C13E80">
        <w:t xml:space="preserve"> derived by taking</w:t>
      </w:r>
      <w:r w:rsidR="007636AA" w:rsidRPr="00C13E80">
        <w:t xml:space="preserve"> the rates of hospitalisation </w:t>
      </w:r>
      <w:r w:rsidR="004950AB" w:rsidRPr="00C13E80">
        <w:t>by age</w:t>
      </w:r>
      <w:r w:rsidR="007636AA" w:rsidRPr="00C13E80">
        <w:t xml:space="preserve"> according to the NSW</w:t>
      </w:r>
      <w:r w:rsidR="00D974CD" w:rsidRPr="00C13E80">
        <w:t xml:space="preserve"> Respiratory Surveillance Reports</w:t>
      </w:r>
      <w:r w:rsidR="004950AB" w:rsidRPr="00C13E80">
        <w:t xml:space="preserve">, which </w:t>
      </w:r>
      <w:r w:rsidR="00E86074" w:rsidRPr="00C13E80">
        <w:t xml:space="preserve">include </w:t>
      </w:r>
      <w:r w:rsidR="006D7E82" w:rsidRPr="00C13E80">
        <w:t>benefits of treatment a</w:t>
      </w:r>
      <w:r w:rsidR="008B69FC" w:rsidRPr="00C13E80">
        <w:t xml:space="preserve">nd </w:t>
      </w:r>
      <w:r w:rsidR="004950AB" w:rsidRPr="00C13E80">
        <w:t xml:space="preserve">do not </w:t>
      </w:r>
      <w:r w:rsidR="00562771" w:rsidRPr="00C13E80">
        <w:t>capture risk factors</w:t>
      </w:r>
      <w:r w:rsidR="004E7ED5" w:rsidRPr="00C13E80">
        <w:t xml:space="preserve">, </w:t>
      </w:r>
      <w:r w:rsidR="009275C8" w:rsidRPr="00C13E80">
        <w:t xml:space="preserve">and </w:t>
      </w:r>
      <w:r w:rsidR="00B02AEA" w:rsidRPr="00C13E80">
        <w:t xml:space="preserve">adjusting the </w:t>
      </w:r>
      <w:r w:rsidR="003E0738" w:rsidRPr="00C13E80">
        <w:t xml:space="preserve">rates </w:t>
      </w:r>
      <w:r w:rsidR="00806259" w:rsidRPr="00C13E80">
        <w:t xml:space="preserve">by application of </w:t>
      </w:r>
      <w:r w:rsidR="001668B6" w:rsidRPr="00C13E80">
        <w:t xml:space="preserve">a </w:t>
      </w:r>
      <w:r w:rsidR="007F74B2" w:rsidRPr="00C13E80">
        <w:t>relative risk</w:t>
      </w:r>
      <w:r w:rsidR="00EC3D8C" w:rsidRPr="00C13E80">
        <w:t xml:space="preserve"> of 1.91 to adjust for </w:t>
      </w:r>
      <w:r w:rsidR="00470618" w:rsidRPr="00C13E80">
        <w:t>increased risk in patients with risk factor</w:t>
      </w:r>
      <w:r w:rsidR="007F74B2" w:rsidRPr="00C13E80">
        <w:t>s</w:t>
      </w:r>
      <w:r w:rsidR="00FF4864" w:rsidRPr="00C13E80">
        <w:t xml:space="preserve"> (see paragraph </w:t>
      </w:r>
      <w:r w:rsidR="00FF4864" w:rsidRPr="00C13E80">
        <w:fldChar w:fldCharType="begin" w:fldLock="1"/>
      </w:r>
      <w:r w:rsidR="00FF4864" w:rsidRPr="00C13E80">
        <w:instrText xml:space="preserve"> REF _Ref135220074 \r \h </w:instrText>
      </w:r>
      <w:r w:rsidR="00FF4864" w:rsidRPr="00C13E80">
        <w:fldChar w:fldCharType="separate"/>
      </w:r>
      <w:r w:rsidR="00701DEF">
        <w:t>6.61</w:t>
      </w:r>
      <w:r w:rsidR="00FF4864" w:rsidRPr="00C13E80">
        <w:fldChar w:fldCharType="end"/>
      </w:r>
      <w:r w:rsidR="00FF4864" w:rsidRPr="00C13E80">
        <w:t>)</w:t>
      </w:r>
      <w:r w:rsidR="007F74B2" w:rsidRPr="00C13E80">
        <w:t>.</w:t>
      </w:r>
      <w:r w:rsidR="00CE2F48" w:rsidRPr="00C13E80">
        <w:t xml:space="preserve"> </w:t>
      </w:r>
      <w:r w:rsidR="009275C8" w:rsidRPr="00C13E80">
        <w:rPr>
          <w:iCs/>
        </w:rPr>
        <w:t xml:space="preserve">This approach, however, </w:t>
      </w:r>
      <w:r w:rsidR="008259A8" w:rsidRPr="00C13E80">
        <w:rPr>
          <w:iCs/>
        </w:rPr>
        <w:t xml:space="preserve">did </w:t>
      </w:r>
      <w:r w:rsidR="009275C8" w:rsidRPr="00C13E80">
        <w:rPr>
          <w:iCs/>
        </w:rPr>
        <w:t>not adjust for the benefit of treatment</w:t>
      </w:r>
      <w:r w:rsidR="005C0B3B" w:rsidRPr="00C13E80">
        <w:rPr>
          <w:iCs/>
        </w:rPr>
        <w:t xml:space="preserve"> </w:t>
      </w:r>
      <w:r w:rsidR="009275C8" w:rsidRPr="00C13E80">
        <w:rPr>
          <w:iCs/>
        </w:rPr>
        <w:t>in the proportion of patients who were high-risk patients</w:t>
      </w:r>
      <w:r w:rsidR="008D419E" w:rsidRPr="00C13E80">
        <w:rPr>
          <w:iCs/>
        </w:rPr>
        <w:t xml:space="preserve"> (but this does not bias the analysis in favour of </w:t>
      </w:r>
      <w:r w:rsidR="008D419E" w:rsidRPr="00C13E80">
        <w:rPr>
          <w:iCs/>
          <w:color w:val="000000" w:themeColor="text1"/>
        </w:rPr>
        <w:t>molnupiravir</w:t>
      </w:r>
      <w:r w:rsidR="00FD7A4C" w:rsidRPr="00C13E80">
        <w:rPr>
          <w:iCs/>
          <w:color w:val="000000" w:themeColor="text1"/>
        </w:rPr>
        <w:t>)</w:t>
      </w:r>
      <w:r w:rsidR="009275C8" w:rsidRPr="00C13E80">
        <w:rPr>
          <w:iCs/>
        </w:rPr>
        <w:t xml:space="preserve">. </w:t>
      </w:r>
      <w:r w:rsidR="004B7586" w:rsidRPr="00C13E80">
        <w:t xml:space="preserve">The relative risk </w:t>
      </w:r>
      <w:r w:rsidR="00036876" w:rsidRPr="00C13E80">
        <w:t>of hospitalisation and death in the high</w:t>
      </w:r>
      <w:r w:rsidR="00E34780" w:rsidRPr="00C13E80">
        <w:t>-</w:t>
      </w:r>
      <w:r w:rsidR="00036876" w:rsidRPr="00C13E80">
        <w:t xml:space="preserve">risk patients </w:t>
      </w:r>
      <w:r w:rsidR="008259A8" w:rsidRPr="00C13E80">
        <w:t xml:space="preserve">was </w:t>
      </w:r>
      <w:r w:rsidR="004B7586" w:rsidRPr="00C13E80">
        <w:t>derived from a study reported by Chuda</w:t>
      </w:r>
      <w:r w:rsidR="009944A3" w:rsidRPr="00C13E80">
        <w:t xml:space="preserve">sama 2021 that </w:t>
      </w:r>
      <w:r w:rsidR="00592C73" w:rsidRPr="00C13E80">
        <w:t>used data from the UK Bio</w:t>
      </w:r>
      <w:r w:rsidR="008668D5" w:rsidRPr="00C13E80">
        <w:t xml:space="preserve">bank </w:t>
      </w:r>
      <w:r w:rsidR="00827C50" w:rsidRPr="00C13E80">
        <w:t>from March</w:t>
      </w:r>
      <w:r w:rsidR="00DD467C">
        <w:t> </w:t>
      </w:r>
      <w:r w:rsidR="004C4912" w:rsidRPr="00C13E80">
        <w:t xml:space="preserve">2020 to July 2020 </w:t>
      </w:r>
      <w:r w:rsidR="008668D5" w:rsidRPr="00C13E80">
        <w:t xml:space="preserve">to examine </w:t>
      </w:r>
      <w:r w:rsidR="00792117" w:rsidRPr="00C13E80">
        <w:rPr>
          <w:color w:val="000000" w:themeColor="text1"/>
        </w:rPr>
        <w:t>the association</w:t>
      </w:r>
      <w:r w:rsidR="00455D99" w:rsidRPr="00C13E80">
        <w:rPr>
          <w:color w:val="000000" w:themeColor="text1"/>
        </w:rPr>
        <w:t xml:space="preserve"> </w:t>
      </w:r>
      <w:r w:rsidR="00792117" w:rsidRPr="00C13E80">
        <w:rPr>
          <w:color w:val="000000" w:themeColor="text1"/>
        </w:rPr>
        <w:t xml:space="preserve">between multimorbidity and risk of severe </w:t>
      </w:r>
      <w:r w:rsidR="00455D99" w:rsidRPr="00C13E80">
        <w:rPr>
          <w:color w:val="000000" w:themeColor="text1"/>
        </w:rPr>
        <w:t>COVID</w:t>
      </w:r>
      <w:r w:rsidR="00455D99" w:rsidRPr="00C13E80">
        <w:rPr>
          <w:color w:val="000000" w:themeColor="text1"/>
        </w:rPr>
        <w:noBreakHyphen/>
        <w:t>19</w:t>
      </w:r>
      <w:r w:rsidR="00792117" w:rsidRPr="00C13E80">
        <w:rPr>
          <w:color w:val="000000" w:themeColor="text1"/>
        </w:rPr>
        <w:t>.</w:t>
      </w:r>
      <w:r w:rsidR="0025303B" w:rsidRPr="00C13E80">
        <w:rPr>
          <w:color w:val="000000" w:themeColor="text1"/>
        </w:rPr>
        <w:t xml:space="preserve"> </w:t>
      </w:r>
    </w:p>
    <w:p w14:paraId="6E2B67E5" w14:textId="32E7C159" w:rsidR="001F2122" w:rsidRPr="00C13E80" w:rsidRDefault="001F2122" w:rsidP="00B46FE9">
      <w:pPr>
        <w:pStyle w:val="3-BodyText"/>
        <w:rPr>
          <w:color w:val="000000" w:themeColor="text1"/>
        </w:rPr>
      </w:pPr>
      <w:bookmarkStart w:id="56" w:name="_Ref134605626"/>
      <w:r w:rsidRPr="00C13E80">
        <w:rPr>
          <w:color w:val="000000" w:themeColor="text1"/>
        </w:rPr>
        <w:t xml:space="preserve">The submission </w:t>
      </w:r>
      <w:r w:rsidR="008D2A32" w:rsidRPr="00C13E80">
        <w:rPr>
          <w:color w:val="000000" w:themeColor="text1"/>
        </w:rPr>
        <w:t>consider</w:t>
      </w:r>
      <w:r w:rsidR="008259A8" w:rsidRPr="00C13E80">
        <w:rPr>
          <w:color w:val="000000" w:themeColor="text1"/>
        </w:rPr>
        <w:t>ed</w:t>
      </w:r>
      <w:r w:rsidR="008D2A32" w:rsidRPr="00C13E80">
        <w:rPr>
          <w:color w:val="000000" w:themeColor="text1"/>
        </w:rPr>
        <w:t xml:space="preserve"> data from the study reported by Evans 2023</w:t>
      </w:r>
      <w:r w:rsidR="0073679F" w:rsidRPr="00C13E80">
        <w:rPr>
          <w:color w:val="000000" w:themeColor="text1"/>
        </w:rPr>
        <w:t xml:space="preserve"> to be applicable for adults who are</w:t>
      </w:r>
      <w:r w:rsidR="00F72239" w:rsidRPr="00C13E80">
        <w:rPr>
          <w:color w:val="000000" w:themeColor="text1"/>
        </w:rPr>
        <w:t xml:space="preserve"> immunocompromised.</w:t>
      </w:r>
      <w:r w:rsidR="00FD1FFB" w:rsidRPr="00C13E80">
        <w:rPr>
          <w:color w:val="000000" w:themeColor="text1"/>
        </w:rPr>
        <w:t xml:space="preserve"> </w:t>
      </w:r>
      <w:r w:rsidR="00D26403" w:rsidRPr="00C13E80">
        <w:rPr>
          <w:iCs/>
          <w:color w:val="000000" w:themeColor="text1"/>
        </w:rPr>
        <w:t xml:space="preserve">The restriction applying for immunocompromised patients </w:t>
      </w:r>
      <w:r w:rsidR="002B72B1" w:rsidRPr="00C13E80">
        <w:rPr>
          <w:iCs/>
          <w:color w:val="000000" w:themeColor="text1"/>
        </w:rPr>
        <w:t>include</w:t>
      </w:r>
      <w:r w:rsidR="00204B76" w:rsidRPr="00C13E80">
        <w:rPr>
          <w:iCs/>
          <w:color w:val="000000" w:themeColor="text1"/>
        </w:rPr>
        <w:t>s</w:t>
      </w:r>
      <w:r w:rsidR="002B72B1" w:rsidRPr="00C13E80">
        <w:rPr>
          <w:iCs/>
          <w:color w:val="000000" w:themeColor="text1"/>
        </w:rPr>
        <w:t xml:space="preserve"> patients who had </w:t>
      </w:r>
      <w:r w:rsidR="00562BA1" w:rsidRPr="00C13E80">
        <w:rPr>
          <w:iCs/>
          <w:color w:val="000000" w:themeColor="text1"/>
        </w:rPr>
        <w:t>experienced past COVID-19 infection resulting in hospitalisation</w:t>
      </w:r>
      <w:r w:rsidR="00524A52" w:rsidRPr="00C13E80">
        <w:rPr>
          <w:iCs/>
          <w:color w:val="000000" w:themeColor="text1"/>
        </w:rPr>
        <w:t>. However, this change occurred on 1</w:t>
      </w:r>
      <w:r w:rsidR="006104A6">
        <w:rPr>
          <w:iCs/>
          <w:color w:val="000000" w:themeColor="text1"/>
        </w:rPr>
        <w:t> </w:t>
      </w:r>
      <w:r w:rsidR="00524A52" w:rsidRPr="00C13E80">
        <w:rPr>
          <w:iCs/>
          <w:color w:val="000000" w:themeColor="text1"/>
        </w:rPr>
        <w:t>February</w:t>
      </w:r>
      <w:r w:rsidR="00E27974">
        <w:rPr>
          <w:iCs/>
          <w:color w:val="000000" w:themeColor="text1"/>
        </w:rPr>
        <w:t> </w:t>
      </w:r>
      <w:r w:rsidR="00524A52" w:rsidRPr="00C13E80">
        <w:rPr>
          <w:iCs/>
          <w:color w:val="000000" w:themeColor="text1"/>
        </w:rPr>
        <w:t>2023</w:t>
      </w:r>
      <w:r w:rsidR="005455F0" w:rsidRPr="00C13E80">
        <w:rPr>
          <w:iCs/>
          <w:color w:val="000000" w:themeColor="text1"/>
        </w:rPr>
        <w:t xml:space="preserve"> </w:t>
      </w:r>
      <w:r w:rsidR="00185DDC" w:rsidRPr="00C13E80">
        <w:rPr>
          <w:iCs/>
          <w:color w:val="000000" w:themeColor="text1"/>
        </w:rPr>
        <w:t xml:space="preserve">such that the sponsor had limited time to revise the </w:t>
      </w:r>
      <w:r w:rsidR="005D3E6F" w:rsidRPr="00C13E80">
        <w:rPr>
          <w:iCs/>
          <w:color w:val="000000" w:themeColor="text1"/>
        </w:rPr>
        <w:t xml:space="preserve">drafted </w:t>
      </w:r>
      <w:r w:rsidR="00185DDC" w:rsidRPr="00C13E80">
        <w:rPr>
          <w:iCs/>
          <w:color w:val="000000" w:themeColor="text1"/>
        </w:rPr>
        <w:t>submission</w:t>
      </w:r>
      <w:r w:rsidR="005D3E6F" w:rsidRPr="00C13E80">
        <w:rPr>
          <w:iCs/>
          <w:color w:val="000000" w:themeColor="text1"/>
        </w:rPr>
        <w:t xml:space="preserve"> for</w:t>
      </w:r>
      <w:r w:rsidR="00795B6F" w:rsidRPr="00C13E80">
        <w:rPr>
          <w:iCs/>
          <w:color w:val="000000" w:themeColor="text1"/>
        </w:rPr>
        <w:t xml:space="preserve"> the March PBAC cut-off for submissions. </w:t>
      </w:r>
      <w:r w:rsidR="00FD1FFB" w:rsidRPr="00C13E80">
        <w:rPr>
          <w:color w:val="000000" w:themeColor="text1"/>
        </w:rPr>
        <w:t xml:space="preserve">The study </w:t>
      </w:r>
      <w:r w:rsidR="008C3E58" w:rsidRPr="00C13E80">
        <w:rPr>
          <w:color w:val="000000" w:themeColor="text1"/>
        </w:rPr>
        <w:t xml:space="preserve">reported by Evans 2023 was a </w:t>
      </w:r>
      <w:r w:rsidR="008E4434" w:rsidRPr="00C13E80">
        <w:rPr>
          <w:color w:val="000000" w:themeColor="text1"/>
        </w:rPr>
        <w:t>retrospective</w:t>
      </w:r>
      <w:r w:rsidR="008C3E58" w:rsidRPr="00C13E80">
        <w:rPr>
          <w:color w:val="000000" w:themeColor="text1"/>
        </w:rPr>
        <w:t xml:space="preserve"> analysis of </w:t>
      </w:r>
      <w:r w:rsidR="00BC2487" w:rsidRPr="00C13E80">
        <w:rPr>
          <w:color w:val="000000" w:themeColor="text1"/>
        </w:rPr>
        <w:t xml:space="preserve">electronic health records for </w:t>
      </w:r>
      <w:r w:rsidR="008F2999" w:rsidRPr="00C13E80">
        <w:rPr>
          <w:color w:val="000000" w:themeColor="text1"/>
        </w:rPr>
        <w:t xml:space="preserve">patients </w:t>
      </w:r>
      <w:r w:rsidR="00C81EDA" w:rsidRPr="00C13E80">
        <w:rPr>
          <w:color w:val="000000" w:themeColor="text1"/>
        </w:rPr>
        <w:t xml:space="preserve">in Wales </w:t>
      </w:r>
      <w:r w:rsidR="00601C36" w:rsidRPr="00C13E80">
        <w:rPr>
          <w:color w:val="000000" w:themeColor="text1"/>
        </w:rPr>
        <w:t xml:space="preserve">testing positive for SARS-CoV-2 </w:t>
      </w:r>
      <w:r w:rsidR="006D61B8" w:rsidRPr="00C13E80">
        <w:rPr>
          <w:color w:val="000000" w:themeColor="text1"/>
        </w:rPr>
        <w:t>between</w:t>
      </w:r>
      <w:r w:rsidR="00C81EDA" w:rsidRPr="00C13E80">
        <w:rPr>
          <w:color w:val="000000" w:themeColor="text1"/>
        </w:rPr>
        <w:t xml:space="preserve"> December 2021 and April 2022 at high risk of </w:t>
      </w:r>
      <w:r w:rsidR="00A65B04" w:rsidRPr="00C13E80">
        <w:rPr>
          <w:color w:val="000000" w:themeColor="text1"/>
        </w:rPr>
        <w:t>hospitalisation or death</w:t>
      </w:r>
      <w:r w:rsidR="00027C34" w:rsidRPr="00C13E80">
        <w:rPr>
          <w:color w:val="000000" w:themeColor="text1"/>
        </w:rPr>
        <w:t xml:space="preserve"> due to compromised immunity</w:t>
      </w:r>
      <w:r w:rsidR="00A65B04" w:rsidRPr="00C13E80">
        <w:rPr>
          <w:color w:val="000000" w:themeColor="text1"/>
        </w:rPr>
        <w:t xml:space="preserve">. </w:t>
      </w:r>
      <w:bookmarkEnd w:id="56"/>
    </w:p>
    <w:p w14:paraId="7E45476E" w14:textId="712AE30A" w:rsidR="00744B6A" w:rsidRPr="00C13E80" w:rsidRDefault="008259A8" w:rsidP="00B46FE9">
      <w:pPr>
        <w:pStyle w:val="3-BodyText"/>
        <w:rPr>
          <w:color w:val="000000" w:themeColor="text1"/>
        </w:rPr>
      </w:pPr>
      <w:r w:rsidRPr="00C13E80">
        <w:rPr>
          <w:color w:val="000000" w:themeColor="text1"/>
        </w:rPr>
        <w:t xml:space="preserve">The submission did not identify </w:t>
      </w:r>
      <w:r w:rsidR="00744B6A" w:rsidRPr="00C13E80">
        <w:rPr>
          <w:color w:val="000000" w:themeColor="text1"/>
        </w:rPr>
        <w:t>any evidence</w:t>
      </w:r>
      <w:r w:rsidR="0071565C" w:rsidRPr="00C13E80">
        <w:rPr>
          <w:color w:val="000000" w:themeColor="text1"/>
        </w:rPr>
        <w:t xml:space="preserve"> </w:t>
      </w:r>
      <w:r w:rsidR="00F66FEE" w:rsidRPr="00C13E80">
        <w:rPr>
          <w:color w:val="000000" w:themeColor="text1"/>
        </w:rPr>
        <w:t xml:space="preserve">that specifically </w:t>
      </w:r>
      <w:r w:rsidR="0071565C" w:rsidRPr="00C13E80">
        <w:rPr>
          <w:color w:val="000000" w:themeColor="text1"/>
        </w:rPr>
        <w:t>examin</w:t>
      </w:r>
      <w:r w:rsidR="00F66FEE" w:rsidRPr="00C13E80">
        <w:rPr>
          <w:color w:val="000000" w:themeColor="text1"/>
        </w:rPr>
        <w:t xml:space="preserve">es </w:t>
      </w:r>
      <w:r w:rsidR="00E620B6" w:rsidRPr="00C13E80">
        <w:rPr>
          <w:color w:val="000000" w:themeColor="text1"/>
        </w:rPr>
        <w:t>rates of hospitalisation and death due to COVID-19</w:t>
      </w:r>
      <w:r w:rsidR="0075444E" w:rsidRPr="00C13E80">
        <w:rPr>
          <w:color w:val="000000" w:themeColor="text1"/>
        </w:rPr>
        <w:t xml:space="preserve"> or effectiveness of the oral antivirals</w:t>
      </w:r>
      <w:r w:rsidR="0071565C" w:rsidRPr="00C13E80">
        <w:rPr>
          <w:color w:val="000000" w:themeColor="text1"/>
        </w:rPr>
        <w:t xml:space="preserve"> in </w:t>
      </w:r>
      <w:r w:rsidR="002B4163" w:rsidRPr="00C13E80">
        <w:rPr>
          <w:color w:val="000000" w:themeColor="text1"/>
        </w:rPr>
        <w:t>the Aboriginal and Torres Strait Islander populatio</w:t>
      </w:r>
      <w:r w:rsidR="00F66FEE" w:rsidRPr="00C13E80">
        <w:rPr>
          <w:color w:val="000000" w:themeColor="text1"/>
        </w:rPr>
        <w:t>n</w:t>
      </w:r>
      <w:r w:rsidR="002B4163" w:rsidRPr="00C13E80">
        <w:rPr>
          <w:color w:val="000000" w:themeColor="text1"/>
        </w:rPr>
        <w:t>.</w:t>
      </w:r>
    </w:p>
    <w:p w14:paraId="5722C0A1" w14:textId="3B0EE00B" w:rsidR="001D1330" w:rsidRPr="00C13E80" w:rsidRDefault="000A451E" w:rsidP="00B46FE9">
      <w:pPr>
        <w:pStyle w:val="3-BodyText"/>
      </w:pPr>
      <w:bookmarkStart w:id="57" w:name="_Ref141357345"/>
      <w:r w:rsidRPr="00C13E80">
        <w:rPr>
          <w:iCs/>
        </w:rPr>
        <w:lastRenderedPageBreak/>
        <w:t xml:space="preserve">Though not a claim in the submission, </w:t>
      </w:r>
      <w:r w:rsidR="00E61155" w:rsidRPr="00C13E80">
        <w:rPr>
          <w:iCs/>
        </w:rPr>
        <w:t xml:space="preserve">a recent </w:t>
      </w:r>
      <w:r w:rsidR="00DD4319" w:rsidRPr="00C13E80">
        <w:rPr>
          <w:iCs/>
        </w:rPr>
        <w:t>study</w:t>
      </w:r>
      <w:r w:rsidR="00316DFF" w:rsidRPr="00C13E80">
        <w:rPr>
          <w:iCs/>
        </w:rPr>
        <w:t xml:space="preserve"> of</w:t>
      </w:r>
      <w:r w:rsidR="00CC2801" w:rsidRPr="00C13E80">
        <w:rPr>
          <w:iCs/>
        </w:rPr>
        <w:t xml:space="preserve"> outcomes in</w:t>
      </w:r>
      <w:r w:rsidR="000512F8" w:rsidRPr="00C13E80">
        <w:rPr>
          <w:iCs/>
        </w:rPr>
        <w:t xml:space="preserve"> Veterans Affairs</w:t>
      </w:r>
      <w:r w:rsidR="00FC0924" w:rsidRPr="00C13E80">
        <w:rPr>
          <w:iCs/>
        </w:rPr>
        <w:t xml:space="preserve"> </w:t>
      </w:r>
      <w:r w:rsidR="000512F8" w:rsidRPr="00C13E80">
        <w:rPr>
          <w:iCs/>
        </w:rPr>
        <w:t>healthcare facilities across the US</w:t>
      </w:r>
      <w:r w:rsidR="00AB09D1" w:rsidRPr="00C13E80">
        <w:rPr>
          <w:iCs/>
        </w:rPr>
        <w:t>,</w:t>
      </w:r>
      <w:r w:rsidR="00E61155" w:rsidRPr="00C13E80">
        <w:rPr>
          <w:iCs/>
        </w:rPr>
        <w:t xml:space="preserve"> published in the British Medical Journal (Xie </w:t>
      </w:r>
      <w:r w:rsidR="00DD4319" w:rsidRPr="00C13E80">
        <w:rPr>
          <w:iCs/>
        </w:rPr>
        <w:t>2023</w:t>
      </w:r>
      <w:bookmarkStart w:id="58" w:name="_Ref135163477"/>
      <w:r w:rsidR="00E9250E" w:rsidRPr="00C13E80">
        <w:rPr>
          <w:rStyle w:val="FootnoteReference"/>
          <w:iCs/>
        </w:rPr>
        <w:footnoteReference w:id="17"/>
      </w:r>
      <w:bookmarkEnd w:id="58"/>
      <w:r w:rsidR="00DD4319" w:rsidRPr="00C13E80">
        <w:rPr>
          <w:iCs/>
        </w:rPr>
        <w:t>)</w:t>
      </w:r>
      <w:r w:rsidR="00AB09D1" w:rsidRPr="00C13E80">
        <w:rPr>
          <w:iCs/>
        </w:rPr>
        <w:t>,</w:t>
      </w:r>
      <w:r w:rsidR="00DD4319" w:rsidRPr="00C13E80">
        <w:rPr>
          <w:iCs/>
        </w:rPr>
        <w:t xml:space="preserve"> suggests that</w:t>
      </w:r>
      <w:r w:rsidR="00531CD0" w:rsidRPr="00C13E80">
        <w:rPr>
          <w:iCs/>
        </w:rPr>
        <w:t xml:space="preserve"> molnupiravir</w:t>
      </w:r>
      <w:r w:rsidR="00C0539B" w:rsidRPr="00C13E80">
        <w:rPr>
          <w:iCs/>
        </w:rPr>
        <w:t xml:space="preserve"> use within five days of </w:t>
      </w:r>
      <w:r w:rsidR="001F136F" w:rsidRPr="00C13E80">
        <w:rPr>
          <w:iCs/>
        </w:rPr>
        <w:t>testing positive for SARS-CoV-2</w:t>
      </w:r>
      <w:r w:rsidR="00C0539B" w:rsidRPr="00C13E80">
        <w:rPr>
          <w:iCs/>
        </w:rPr>
        <w:t>,</w:t>
      </w:r>
      <w:r w:rsidR="00531CD0" w:rsidRPr="00C13E80">
        <w:rPr>
          <w:iCs/>
        </w:rPr>
        <w:t xml:space="preserve"> </w:t>
      </w:r>
      <w:r w:rsidR="00E95CCB" w:rsidRPr="00C13E80">
        <w:rPr>
          <w:iCs/>
        </w:rPr>
        <w:t>compared with no treatment, was associated with reduced risk</w:t>
      </w:r>
      <w:r w:rsidR="00B43E42" w:rsidRPr="00C13E80">
        <w:rPr>
          <w:iCs/>
        </w:rPr>
        <w:t xml:space="preserve"> </w:t>
      </w:r>
      <w:r w:rsidR="00E95CCB" w:rsidRPr="00C13E80">
        <w:rPr>
          <w:iCs/>
        </w:rPr>
        <w:t xml:space="preserve">of </w:t>
      </w:r>
      <w:r w:rsidR="00B43E42" w:rsidRPr="00C13E80">
        <w:rPr>
          <w:iCs/>
        </w:rPr>
        <w:t>post</w:t>
      </w:r>
      <w:r w:rsidR="00AD1FF8" w:rsidRPr="00C13E80">
        <w:rPr>
          <w:iCs/>
        </w:rPr>
        <w:t>-acute</w:t>
      </w:r>
      <w:r w:rsidR="004F3611" w:rsidRPr="00C13E80">
        <w:rPr>
          <w:iCs/>
        </w:rPr>
        <w:t xml:space="preserve"> se</w:t>
      </w:r>
      <w:r w:rsidR="000608C5" w:rsidRPr="00C13E80">
        <w:rPr>
          <w:iCs/>
        </w:rPr>
        <w:t xml:space="preserve">quelae of </w:t>
      </w:r>
      <w:r w:rsidR="00C813B6" w:rsidRPr="00C13E80">
        <w:rPr>
          <w:iCs/>
        </w:rPr>
        <w:t>SARS-CoV-2 (long COVID)</w:t>
      </w:r>
      <w:r w:rsidR="00B946C0" w:rsidRPr="00C13E80">
        <w:rPr>
          <w:iCs/>
        </w:rPr>
        <w:t xml:space="preserve"> </w:t>
      </w:r>
      <w:r w:rsidR="00ED2DE9" w:rsidRPr="00C13E80">
        <w:rPr>
          <w:iCs/>
        </w:rPr>
        <w:t xml:space="preserve">(RR: 0.86; </w:t>
      </w:r>
      <w:r w:rsidR="00ED367E" w:rsidRPr="00C13E80">
        <w:rPr>
          <w:iCs/>
        </w:rPr>
        <w:t xml:space="preserve">95% CI: </w:t>
      </w:r>
      <w:r w:rsidR="00A93D9E" w:rsidRPr="00C13E80">
        <w:rPr>
          <w:iCs/>
        </w:rPr>
        <w:t xml:space="preserve">0.83, 0.89), </w:t>
      </w:r>
      <w:r w:rsidR="008631A8" w:rsidRPr="00C13E80">
        <w:rPr>
          <w:iCs/>
        </w:rPr>
        <w:t>reduced risk of post</w:t>
      </w:r>
      <w:r w:rsidR="00F574DD" w:rsidRPr="00C13E80">
        <w:rPr>
          <w:iCs/>
        </w:rPr>
        <w:t>-</w:t>
      </w:r>
      <w:r w:rsidR="008631A8" w:rsidRPr="00C13E80">
        <w:rPr>
          <w:iCs/>
        </w:rPr>
        <w:t>acute</w:t>
      </w:r>
      <w:r w:rsidR="002A6622" w:rsidRPr="00C13E80">
        <w:rPr>
          <w:iCs/>
        </w:rPr>
        <w:t xml:space="preserve"> hospitalisation </w:t>
      </w:r>
      <w:r w:rsidR="00A93D9E" w:rsidRPr="00C13E80">
        <w:rPr>
          <w:iCs/>
        </w:rPr>
        <w:t>(</w:t>
      </w:r>
      <w:r w:rsidR="00132E11" w:rsidRPr="00C13E80">
        <w:rPr>
          <w:iCs/>
        </w:rPr>
        <w:t>HR</w:t>
      </w:r>
      <w:r w:rsidR="00A669E8" w:rsidRPr="00C13E80">
        <w:rPr>
          <w:iCs/>
        </w:rPr>
        <w:t>: 0.86</w:t>
      </w:r>
      <w:r w:rsidR="004136C7" w:rsidRPr="00C13E80">
        <w:rPr>
          <w:iCs/>
        </w:rPr>
        <w:t xml:space="preserve">; 95% CI: </w:t>
      </w:r>
      <w:r w:rsidR="00A63283" w:rsidRPr="00C13E80">
        <w:rPr>
          <w:iCs/>
        </w:rPr>
        <w:t xml:space="preserve">0.80, 0.93) </w:t>
      </w:r>
      <w:r w:rsidR="002A6622" w:rsidRPr="00C13E80">
        <w:rPr>
          <w:iCs/>
        </w:rPr>
        <w:t xml:space="preserve">and </w:t>
      </w:r>
      <w:r w:rsidR="00A63283" w:rsidRPr="00C13E80">
        <w:rPr>
          <w:iCs/>
        </w:rPr>
        <w:t xml:space="preserve">reduced risk of post-acute </w:t>
      </w:r>
      <w:r w:rsidR="002A6622" w:rsidRPr="00C13E80">
        <w:rPr>
          <w:iCs/>
        </w:rPr>
        <w:t>de</w:t>
      </w:r>
      <w:r w:rsidR="00D94002" w:rsidRPr="00C13E80">
        <w:rPr>
          <w:iCs/>
        </w:rPr>
        <w:t xml:space="preserve">ath </w:t>
      </w:r>
      <w:r w:rsidR="00A63283" w:rsidRPr="00C13E80">
        <w:rPr>
          <w:iCs/>
        </w:rPr>
        <w:t>(HR</w:t>
      </w:r>
      <w:r w:rsidR="008007F4" w:rsidRPr="00C13E80">
        <w:rPr>
          <w:iCs/>
        </w:rPr>
        <w:t>:</w:t>
      </w:r>
      <w:r w:rsidR="003F5AA4" w:rsidRPr="00C13E80">
        <w:rPr>
          <w:iCs/>
        </w:rPr>
        <w:t> </w:t>
      </w:r>
      <w:r w:rsidR="008007F4" w:rsidRPr="00C13E80">
        <w:rPr>
          <w:iCs/>
        </w:rPr>
        <w:t>0.62</w:t>
      </w:r>
      <w:r w:rsidR="00223BEB" w:rsidRPr="00C13E80">
        <w:rPr>
          <w:iCs/>
        </w:rPr>
        <w:t xml:space="preserve">; 95% CI: 0.52, 0.74) </w:t>
      </w:r>
      <w:r w:rsidR="00B946C0" w:rsidRPr="00C13E80">
        <w:rPr>
          <w:iCs/>
        </w:rPr>
        <w:t xml:space="preserve">in patients with at least one risk factor for progression to severe </w:t>
      </w:r>
      <w:r w:rsidR="00B946C0" w:rsidRPr="00C13E80">
        <w:rPr>
          <w:rStyle w:val="normaltextrun"/>
          <w:iCs/>
        </w:rPr>
        <w:t>COVID</w:t>
      </w:r>
      <w:r w:rsidR="00B946C0" w:rsidRPr="00C13E80">
        <w:rPr>
          <w:rStyle w:val="normaltextrun"/>
          <w:iCs/>
        </w:rPr>
        <w:noBreakHyphen/>
        <w:t>19</w:t>
      </w:r>
      <w:r w:rsidR="008631A8" w:rsidRPr="00C13E80">
        <w:rPr>
          <w:rStyle w:val="normaltextrun"/>
          <w:iCs/>
        </w:rPr>
        <w:t>.</w:t>
      </w:r>
      <w:r w:rsidR="006F489B" w:rsidRPr="00C13E80">
        <w:rPr>
          <w:rStyle w:val="normaltextrun"/>
          <w:iCs/>
        </w:rPr>
        <w:t xml:space="preserve"> </w:t>
      </w:r>
      <w:bookmarkEnd w:id="57"/>
    </w:p>
    <w:p w14:paraId="3144D16B" w14:textId="580CDEDE" w:rsidR="00BD0436" w:rsidRPr="00C13E80" w:rsidRDefault="009C7DD1" w:rsidP="00B46FE9">
      <w:pPr>
        <w:pStyle w:val="3-BodyText"/>
        <w:rPr>
          <w:iCs/>
          <w:color w:val="000000" w:themeColor="text1"/>
        </w:rPr>
      </w:pPr>
      <w:bookmarkStart w:id="59" w:name="_Ref134606550"/>
      <w:r w:rsidRPr="00C13E80">
        <w:rPr>
          <w:color w:val="000000" w:themeColor="text1"/>
        </w:rPr>
        <w:t>The submission claim</w:t>
      </w:r>
      <w:r w:rsidR="008259A8" w:rsidRPr="00C13E80">
        <w:rPr>
          <w:color w:val="000000" w:themeColor="text1"/>
        </w:rPr>
        <w:t>ed</w:t>
      </w:r>
      <w:r w:rsidRPr="00C13E80">
        <w:rPr>
          <w:color w:val="000000" w:themeColor="text1"/>
        </w:rPr>
        <w:t xml:space="preserve"> that, overall, the evidence support</w:t>
      </w:r>
      <w:r w:rsidR="008259A8" w:rsidRPr="00C13E80">
        <w:rPr>
          <w:color w:val="000000" w:themeColor="text1"/>
        </w:rPr>
        <w:t>ed</w:t>
      </w:r>
      <w:r w:rsidRPr="00C13E80">
        <w:rPr>
          <w:color w:val="000000" w:themeColor="text1"/>
        </w:rPr>
        <w:t xml:space="preserve"> uncertain comparative efficacy for molnupiravir </w:t>
      </w:r>
      <w:r w:rsidR="00425A34" w:rsidRPr="00C13E80">
        <w:rPr>
          <w:color w:val="000000" w:themeColor="text1"/>
        </w:rPr>
        <w:t>versus nirmatrelvir and ritonavir.</w:t>
      </w:r>
      <w:r w:rsidR="00012FC3" w:rsidRPr="00C13E80">
        <w:rPr>
          <w:color w:val="000000" w:themeColor="text1"/>
        </w:rPr>
        <w:t xml:space="preserve"> </w:t>
      </w:r>
      <w:r w:rsidR="00012FC3" w:rsidRPr="00C13E80">
        <w:rPr>
          <w:iCs/>
          <w:color w:val="000000" w:themeColor="text1"/>
        </w:rPr>
        <w:t xml:space="preserve">However, the </w:t>
      </w:r>
      <w:r w:rsidR="00B2363F" w:rsidRPr="00C13E80">
        <w:rPr>
          <w:iCs/>
          <w:color w:val="000000" w:themeColor="text1"/>
        </w:rPr>
        <w:t>basis for this claim is, essentially, tha</w:t>
      </w:r>
      <w:r w:rsidR="000D22AF" w:rsidRPr="00C13E80">
        <w:rPr>
          <w:iCs/>
          <w:color w:val="000000" w:themeColor="text1"/>
        </w:rPr>
        <w:t xml:space="preserve">t, although point estimates </w:t>
      </w:r>
      <w:r w:rsidR="00252D7E" w:rsidRPr="00C13E80">
        <w:rPr>
          <w:iCs/>
          <w:color w:val="000000" w:themeColor="text1"/>
        </w:rPr>
        <w:t>generally</w:t>
      </w:r>
      <w:r w:rsidR="000D22AF" w:rsidRPr="00C13E80">
        <w:rPr>
          <w:iCs/>
          <w:color w:val="000000" w:themeColor="text1"/>
        </w:rPr>
        <w:t xml:space="preserve"> favour nirmatrelvir and ritonavir over molnupiravir, </w:t>
      </w:r>
      <w:r w:rsidR="00B2363F" w:rsidRPr="00C13E80">
        <w:rPr>
          <w:iCs/>
          <w:color w:val="000000" w:themeColor="text1"/>
        </w:rPr>
        <w:t>there is</w:t>
      </w:r>
      <w:r w:rsidR="00252D7E" w:rsidRPr="00C13E80">
        <w:rPr>
          <w:iCs/>
          <w:color w:val="000000" w:themeColor="text1"/>
        </w:rPr>
        <w:t xml:space="preserve"> </w:t>
      </w:r>
      <w:r w:rsidR="00B2363F" w:rsidRPr="00C13E80">
        <w:rPr>
          <w:iCs/>
          <w:color w:val="000000" w:themeColor="text1"/>
        </w:rPr>
        <w:t>a</w:t>
      </w:r>
      <w:r w:rsidR="000A303C" w:rsidRPr="00C13E80">
        <w:rPr>
          <w:iCs/>
          <w:color w:val="000000" w:themeColor="text1"/>
        </w:rPr>
        <w:t xml:space="preserve"> lack of statistical differences </w:t>
      </w:r>
      <w:r w:rsidR="00B2363F" w:rsidRPr="00C13E80">
        <w:rPr>
          <w:iCs/>
          <w:color w:val="000000" w:themeColor="text1"/>
        </w:rPr>
        <w:t>when examining results from</w:t>
      </w:r>
      <w:r w:rsidR="00A13580" w:rsidRPr="00C13E80">
        <w:rPr>
          <w:iCs/>
          <w:color w:val="000000" w:themeColor="text1"/>
        </w:rPr>
        <w:t xml:space="preserve"> a selection of the</w:t>
      </w:r>
      <w:r w:rsidR="000A303C" w:rsidRPr="00C13E80">
        <w:rPr>
          <w:iCs/>
          <w:color w:val="000000" w:themeColor="text1"/>
        </w:rPr>
        <w:t xml:space="preserve"> single </w:t>
      </w:r>
      <w:r w:rsidR="00FC42AC" w:rsidRPr="00C13E80">
        <w:rPr>
          <w:iCs/>
          <w:color w:val="000000" w:themeColor="text1"/>
        </w:rPr>
        <w:t xml:space="preserve">retrospective cohort </w:t>
      </w:r>
      <w:r w:rsidR="000A303C" w:rsidRPr="00C13E80">
        <w:rPr>
          <w:iCs/>
          <w:color w:val="000000" w:themeColor="text1"/>
        </w:rPr>
        <w:t>studies</w:t>
      </w:r>
      <w:r w:rsidR="00B2363F" w:rsidRPr="00C13E80">
        <w:rPr>
          <w:iCs/>
          <w:color w:val="000000" w:themeColor="text1"/>
        </w:rPr>
        <w:t xml:space="preserve"> (specifically, Bajema 2022</w:t>
      </w:r>
      <w:r w:rsidR="00FE1DF9" w:rsidRPr="00C13E80">
        <w:rPr>
          <w:iCs/>
          <w:color w:val="000000" w:themeColor="text1"/>
        </w:rPr>
        <w:t xml:space="preserve"> and Yip 2022</w:t>
      </w:r>
      <w:r w:rsidR="00C766D2" w:rsidRPr="00C13E80">
        <w:rPr>
          <w:iCs/>
          <w:color w:val="000000" w:themeColor="text1"/>
        </w:rPr>
        <w:t>)</w:t>
      </w:r>
      <w:r w:rsidR="00C01588" w:rsidRPr="00C13E80">
        <w:rPr>
          <w:iCs/>
          <w:color w:val="000000" w:themeColor="text1"/>
        </w:rPr>
        <w:t>.</w:t>
      </w:r>
      <w:r w:rsidR="00C766D2" w:rsidRPr="00C13E80">
        <w:rPr>
          <w:iCs/>
          <w:color w:val="000000" w:themeColor="text1"/>
        </w:rPr>
        <w:t xml:space="preserve"> </w:t>
      </w:r>
      <w:r w:rsidR="006D5F11" w:rsidRPr="00C13E80">
        <w:rPr>
          <w:iCs/>
          <w:color w:val="000000" w:themeColor="text1"/>
        </w:rPr>
        <w:t xml:space="preserve">Overall, the results presented in </w:t>
      </w:r>
      <w:r w:rsidR="006D5F11" w:rsidRPr="00C13E80">
        <w:rPr>
          <w:iCs/>
        </w:rPr>
        <w:fldChar w:fldCharType="begin" w:fldLock="1"/>
      </w:r>
      <w:r w:rsidR="006D5F11" w:rsidRPr="00C13E80">
        <w:rPr>
          <w:iCs/>
        </w:rPr>
        <w:instrText xml:space="preserve"> REF _Ref134387665 \h  \* MERGEFORMAT </w:instrText>
      </w:r>
      <w:r w:rsidR="006D5F11" w:rsidRPr="00C13E80">
        <w:rPr>
          <w:iCs/>
        </w:rPr>
      </w:r>
      <w:r w:rsidR="006D5F11" w:rsidRPr="00C13E80">
        <w:rPr>
          <w:iCs/>
        </w:rPr>
        <w:fldChar w:fldCharType="separate"/>
      </w:r>
      <w:r w:rsidR="00701DEF" w:rsidRPr="00701DEF">
        <w:rPr>
          <w:iCs/>
        </w:rPr>
        <w:t>Table 7</w:t>
      </w:r>
      <w:r w:rsidR="006D5F11" w:rsidRPr="00C13E80">
        <w:rPr>
          <w:iCs/>
        </w:rPr>
        <w:fldChar w:fldCharType="end"/>
      </w:r>
      <w:r w:rsidR="006D5F11" w:rsidRPr="00C13E80">
        <w:rPr>
          <w:iCs/>
        </w:rPr>
        <w:t xml:space="preserve"> </w:t>
      </w:r>
      <w:r w:rsidR="00360320" w:rsidRPr="00C13E80">
        <w:rPr>
          <w:iCs/>
        </w:rPr>
        <w:t>indicate</w:t>
      </w:r>
      <w:r w:rsidR="006D5F11" w:rsidRPr="00C13E80">
        <w:rPr>
          <w:iCs/>
        </w:rPr>
        <w:t xml:space="preserve"> that b</w:t>
      </w:r>
      <w:r w:rsidR="0011489C" w:rsidRPr="00C13E80">
        <w:rPr>
          <w:iCs/>
          <w:color w:val="000000" w:themeColor="text1"/>
        </w:rPr>
        <w:t>oth molnupiravir and nirmatrelvir and ritonavir lower the risk of hospitalisation and death, particularly in the old</w:t>
      </w:r>
      <w:r w:rsidR="006D5F11" w:rsidRPr="00C13E80">
        <w:rPr>
          <w:iCs/>
          <w:color w:val="000000" w:themeColor="text1"/>
        </w:rPr>
        <w:t xml:space="preserve">er </w:t>
      </w:r>
      <w:r w:rsidR="0011489C" w:rsidRPr="00C13E80">
        <w:rPr>
          <w:iCs/>
          <w:color w:val="000000" w:themeColor="text1"/>
        </w:rPr>
        <w:t>cohorts</w:t>
      </w:r>
      <w:r w:rsidR="009A20ED" w:rsidRPr="00C13E80">
        <w:rPr>
          <w:iCs/>
          <w:color w:val="000000" w:themeColor="text1"/>
        </w:rPr>
        <w:t xml:space="preserve"> (who are, in general, considered to be at higher risk tha</w:t>
      </w:r>
      <w:r w:rsidR="003141FA" w:rsidRPr="00C13E80">
        <w:rPr>
          <w:iCs/>
          <w:color w:val="000000" w:themeColor="text1"/>
        </w:rPr>
        <w:t>n</w:t>
      </w:r>
      <w:r w:rsidR="009A20ED" w:rsidRPr="00C13E80">
        <w:rPr>
          <w:iCs/>
          <w:color w:val="000000" w:themeColor="text1"/>
        </w:rPr>
        <w:t xml:space="preserve"> younger people)</w:t>
      </w:r>
      <w:r w:rsidR="0011489C" w:rsidRPr="00C13E80">
        <w:rPr>
          <w:iCs/>
          <w:color w:val="000000" w:themeColor="text1"/>
        </w:rPr>
        <w:t xml:space="preserve">. </w:t>
      </w:r>
      <w:r w:rsidR="0011489C" w:rsidRPr="00C13E80">
        <w:rPr>
          <w:iCs/>
        </w:rPr>
        <w:fldChar w:fldCharType="begin" w:fldLock="1"/>
      </w:r>
      <w:r w:rsidR="0011489C" w:rsidRPr="00C13E80">
        <w:rPr>
          <w:iCs/>
        </w:rPr>
        <w:instrText xml:space="preserve"> REF _Ref134387665 \h  \* MERGEFORMAT </w:instrText>
      </w:r>
      <w:r w:rsidR="0011489C" w:rsidRPr="00C13E80">
        <w:rPr>
          <w:iCs/>
        </w:rPr>
      </w:r>
      <w:r w:rsidR="0011489C" w:rsidRPr="00C13E80">
        <w:rPr>
          <w:iCs/>
        </w:rPr>
        <w:fldChar w:fldCharType="separate"/>
      </w:r>
      <w:r w:rsidR="00701DEF" w:rsidRPr="00701DEF">
        <w:rPr>
          <w:iCs/>
        </w:rPr>
        <w:t>Table 7</w:t>
      </w:r>
      <w:r w:rsidR="0011489C" w:rsidRPr="00C13E80">
        <w:rPr>
          <w:iCs/>
        </w:rPr>
        <w:fldChar w:fldCharType="end"/>
      </w:r>
      <w:r w:rsidR="0011489C" w:rsidRPr="00C13E80">
        <w:rPr>
          <w:iCs/>
        </w:rPr>
        <w:t xml:space="preserve"> </w:t>
      </w:r>
      <w:r w:rsidR="00CE51A8" w:rsidRPr="00C13E80">
        <w:rPr>
          <w:iCs/>
        </w:rPr>
        <w:t xml:space="preserve">shows </w:t>
      </w:r>
      <w:r w:rsidR="0011489C" w:rsidRPr="00C13E80">
        <w:rPr>
          <w:iCs/>
          <w:color w:val="000000" w:themeColor="text1"/>
        </w:rPr>
        <w:t xml:space="preserve">a consistent trend across studies toward greater reductions in risk of hospitalisation and death with nirmatrelvir and ritonavir compared to molnupiravir. </w:t>
      </w:r>
      <w:r w:rsidR="00976F25" w:rsidRPr="00C13E80">
        <w:rPr>
          <w:iCs/>
          <w:color w:val="000000" w:themeColor="text1"/>
        </w:rPr>
        <w:t>Overall, t</w:t>
      </w:r>
      <w:r w:rsidR="0011489C" w:rsidRPr="00C13E80">
        <w:rPr>
          <w:iCs/>
          <w:color w:val="000000" w:themeColor="text1"/>
        </w:rPr>
        <w:t xml:space="preserve">he findings support the PBAC’s </w:t>
      </w:r>
      <w:r w:rsidR="003E6FD9" w:rsidRPr="00C13E80">
        <w:rPr>
          <w:iCs/>
          <w:color w:val="000000" w:themeColor="text1"/>
        </w:rPr>
        <w:t>advice</w:t>
      </w:r>
      <w:r w:rsidR="0011489C" w:rsidRPr="00C13E80">
        <w:rPr>
          <w:iCs/>
          <w:color w:val="000000" w:themeColor="text1"/>
        </w:rPr>
        <w:t xml:space="preserve"> that nirmatrelvir and ritonavir is preferred in a scenario where both oral antivirals are available and able to be used.</w:t>
      </w:r>
      <w:bookmarkEnd w:id="59"/>
      <w:r w:rsidR="00890EB1" w:rsidRPr="00C13E80">
        <w:rPr>
          <w:iCs/>
          <w:color w:val="000000" w:themeColor="text1"/>
        </w:rPr>
        <w:t xml:space="preserve"> </w:t>
      </w:r>
    </w:p>
    <w:p w14:paraId="1452C351" w14:textId="0D19F1B0" w:rsidR="00B60939" w:rsidRPr="00C13E80" w:rsidRDefault="00B60939" w:rsidP="00D86231">
      <w:pPr>
        <w:pStyle w:val="4-SubsectionHeading"/>
      </w:pPr>
      <w:bookmarkStart w:id="60" w:name="_Toc22897642"/>
      <w:bookmarkStart w:id="61" w:name="_Toc135232222"/>
      <w:r w:rsidRPr="00C13E80">
        <w:t>Comparative harms</w:t>
      </w:r>
      <w:bookmarkEnd w:id="60"/>
      <w:bookmarkEnd w:id="61"/>
    </w:p>
    <w:p w14:paraId="5555965B" w14:textId="4A46AD9E" w:rsidR="00974B4C" w:rsidRPr="00C13E80" w:rsidRDefault="003B7171" w:rsidP="00B46FE9">
      <w:pPr>
        <w:pStyle w:val="3-BodyText"/>
        <w:rPr>
          <w:color w:val="000000" w:themeColor="text1"/>
        </w:rPr>
      </w:pPr>
      <w:r w:rsidRPr="00C13E80">
        <w:rPr>
          <w:color w:val="000000" w:themeColor="text1"/>
        </w:rPr>
        <w:t xml:space="preserve">Of the studies presented in the submission, only the MOVe-OUT </w:t>
      </w:r>
      <w:r w:rsidR="00DF7CDF" w:rsidRPr="00C13E80">
        <w:rPr>
          <w:color w:val="000000" w:themeColor="text1"/>
        </w:rPr>
        <w:t xml:space="preserve">and PANORAMIC </w:t>
      </w:r>
      <w:r w:rsidRPr="00C13E80">
        <w:rPr>
          <w:color w:val="000000" w:themeColor="text1"/>
        </w:rPr>
        <w:t>trial</w:t>
      </w:r>
      <w:r w:rsidR="00DF7CDF" w:rsidRPr="00C13E80">
        <w:rPr>
          <w:color w:val="000000" w:themeColor="text1"/>
        </w:rPr>
        <w:t>s</w:t>
      </w:r>
      <w:r w:rsidRPr="00C13E80">
        <w:rPr>
          <w:color w:val="000000" w:themeColor="text1"/>
        </w:rPr>
        <w:t xml:space="preserve"> </w:t>
      </w:r>
      <w:r w:rsidR="00CC1C80" w:rsidRPr="00C13E80">
        <w:rPr>
          <w:color w:val="000000" w:themeColor="text1"/>
        </w:rPr>
        <w:t>assessed safety of molnupiravir.</w:t>
      </w:r>
    </w:p>
    <w:p w14:paraId="7ABAA2C0" w14:textId="48079659" w:rsidR="00323B63" w:rsidRPr="00C13E80" w:rsidRDefault="004A271C" w:rsidP="00B46FE9">
      <w:pPr>
        <w:pStyle w:val="3-BodyText"/>
        <w:rPr>
          <w:color w:val="000000" w:themeColor="text1"/>
        </w:rPr>
      </w:pPr>
      <w:r w:rsidRPr="00C13E80">
        <w:rPr>
          <w:color w:val="000000" w:themeColor="text1"/>
        </w:rPr>
        <w:t>The analysis</w:t>
      </w:r>
      <w:r w:rsidR="00DD54EE" w:rsidRPr="00C13E80">
        <w:rPr>
          <w:color w:val="000000" w:themeColor="text1"/>
        </w:rPr>
        <w:t xml:space="preserve"> of </w:t>
      </w:r>
      <w:r w:rsidRPr="00C13E80">
        <w:rPr>
          <w:color w:val="000000" w:themeColor="text1"/>
        </w:rPr>
        <w:t xml:space="preserve">adverse events (AEs) in </w:t>
      </w:r>
      <w:r w:rsidR="00DD54EE" w:rsidRPr="00C13E80">
        <w:rPr>
          <w:color w:val="000000" w:themeColor="text1"/>
        </w:rPr>
        <w:t>the MOVe-OUT trial</w:t>
      </w:r>
      <w:r w:rsidRPr="00C13E80">
        <w:rPr>
          <w:color w:val="000000" w:themeColor="text1"/>
        </w:rPr>
        <w:t xml:space="preserve"> indicates that</w:t>
      </w:r>
      <w:r w:rsidR="00323B63" w:rsidRPr="00C13E80">
        <w:rPr>
          <w:color w:val="000000" w:themeColor="text1"/>
        </w:rPr>
        <w:t xml:space="preserve"> molnupiravir </w:t>
      </w:r>
      <w:r w:rsidRPr="00C13E80">
        <w:rPr>
          <w:color w:val="000000" w:themeColor="text1"/>
        </w:rPr>
        <w:t>is</w:t>
      </w:r>
      <w:r w:rsidR="00323B63" w:rsidRPr="00C13E80">
        <w:rPr>
          <w:color w:val="000000" w:themeColor="text1"/>
        </w:rPr>
        <w:t xml:space="preserve"> generally well tolerated, with 3</w:t>
      </w:r>
      <w:r w:rsidR="00826EB9" w:rsidRPr="00C13E80">
        <w:rPr>
          <w:color w:val="000000" w:themeColor="text1"/>
        </w:rPr>
        <w:t>1.3</w:t>
      </w:r>
      <w:r w:rsidR="00323B63" w:rsidRPr="00C13E80">
        <w:rPr>
          <w:color w:val="000000" w:themeColor="text1"/>
        </w:rPr>
        <w:t>% of molnupiravir-treated patients and 33.</w:t>
      </w:r>
      <w:r w:rsidR="00826EB9" w:rsidRPr="00C13E80">
        <w:rPr>
          <w:color w:val="000000" w:themeColor="text1"/>
        </w:rPr>
        <w:t>4</w:t>
      </w:r>
      <w:r w:rsidR="00323B63" w:rsidRPr="00C13E80">
        <w:rPr>
          <w:color w:val="000000" w:themeColor="text1"/>
        </w:rPr>
        <w:t xml:space="preserve">% of placebo-treated patients experiencing adverse events (any grade). Serious adverse events were observed in </w:t>
      </w:r>
      <w:r w:rsidR="00AB1EC9" w:rsidRPr="00C13E80">
        <w:rPr>
          <w:color w:val="000000" w:themeColor="text1"/>
        </w:rPr>
        <w:t>6.8</w:t>
      </w:r>
      <w:r w:rsidR="00323B63" w:rsidRPr="00C13E80">
        <w:rPr>
          <w:color w:val="000000" w:themeColor="text1"/>
        </w:rPr>
        <w:t xml:space="preserve">% of the molnupiravir-treated group and in </w:t>
      </w:r>
      <w:r w:rsidR="00AB1EC9" w:rsidRPr="00C13E80">
        <w:rPr>
          <w:color w:val="000000" w:themeColor="text1"/>
        </w:rPr>
        <w:t>9.1</w:t>
      </w:r>
      <w:r w:rsidR="00323B63" w:rsidRPr="00C13E80">
        <w:rPr>
          <w:color w:val="000000" w:themeColor="text1"/>
        </w:rPr>
        <w:t>% of the placebo-treated group</w:t>
      </w:r>
      <w:r w:rsidR="005B2685" w:rsidRPr="00C13E80">
        <w:rPr>
          <w:color w:val="000000" w:themeColor="text1"/>
        </w:rPr>
        <w:t>.</w:t>
      </w:r>
      <w:r w:rsidR="009D3C32" w:rsidRPr="00C13E80">
        <w:rPr>
          <w:color w:val="000000" w:themeColor="text1"/>
        </w:rPr>
        <w:t xml:space="preserve"> </w:t>
      </w:r>
      <w:r w:rsidR="00323B63" w:rsidRPr="00C13E80">
        <w:rPr>
          <w:color w:val="000000" w:themeColor="text1"/>
        </w:rPr>
        <w:t xml:space="preserve">The most frequently reported </w:t>
      </w:r>
      <w:r w:rsidR="00C171A5" w:rsidRPr="00C13E80">
        <w:rPr>
          <w:color w:val="000000" w:themeColor="text1"/>
        </w:rPr>
        <w:t>AEs</w:t>
      </w:r>
      <w:r w:rsidR="00323B63" w:rsidRPr="00C13E80">
        <w:rPr>
          <w:color w:val="000000" w:themeColor="text1"/>
        </w:rPr>
        <w:t xml:space="preserve"> (occurring in ≥</w:t>
      </w:r>
      <w:r w:rsidR="00C650D0" w:rsidRPr="00C13E80">
        <w:rPr>
          <w:color w:val="000000" w:themeColor="text1"/>
        </w:rPr>
        <w:t> </w:t>
      </w:r>
      <w:r w:rsidR="00323B63" w:rsidRPr="00C13E80">
        <w:rPr>
          <w:color w:val="000000" w:themeColor="text1"/>
        </w:rPr>
        <w:t>1% of participants in either group) that were deemed to be related to the trial regimen were diarrhoea (1.7% vs. 2.1%), nausea (1.4% vs. 0.7%), and dizziness (1.0% vs. 0.7%)</w:t>
      </w:r>
      <w:r w:rsidR="00C01588" w:rsidRPr="00C13E80">
        <w:rPr>
          <w:color w:val="000000" w:themeColor="text1"/>
        </w:rPr>
        <w:t>.</w:t>
      </w:r>
    </w:p>
    <w:p w14:paraId="73AD6C13" w14:textId="6FAFE369" w:rsidR="00583832" w:rsidRPr="00C13E80" w:rsidRDefault="00446989" w:rsidP="00B46FE9">
      <w:pPr>
        <w:pStyle w:val="3-BodyText"/>
        <w:rPr>
          <w:color w:val="000000" w:themeColor="text1"/>
        </w:rPr>
      </w:pPr>
      <w:r w:rsidRPr="00C13E80">
        <w:rPr>
          <w:color w:val="000000" w:themeColor="text1"/>
        </w:rPr>
        <w:t xml:space="preserve">Serious adverse events (SAEs) were reported for 50 (0.4%) of 12774 participants in the </w:t>
      </w:r>
      <w:r w:rsidR="001476E4" w:rsidRPr="00C13E80">
        <w:rPr>
          <w:color w:val="000000" w:themeColor="text1"/>
        </w:rPr>
        <w:t>molnupiravir</w:t>
      </w:r>
      <w:r w:rsidRPr="00C13E80">
        <w:rPr>
          <w:color w:val="000000" w:themeColor="text1"/>
        </w:rPr>
        <w:t xml:space="preserve"> group and for 45 (0.3%) of 12934 in the usual care group</w:t>
      </w:r>
      <w:r w:rsidR="001476E4" w:rsidRPr="00C13E80">
        <w:rPr>
          <w:color w:val="000000" w:themeColor="text1"/>
        </w:rPr>
        <w:t xml:space="preserve"> in the PANORAMIC trial</w:t>
      </w:r>
      <w:r w:rsidRPr="00C13E80">
        <w:rPr>
          <w:color w:val="000000" w:themeColor="text1"/>
        </w:rPr>
        <w:t xml:space="preserve">. </w:t>
      </w:r>
      <w:r w:rsidR="00E901B3" w:rsidRPr="00C13E80">
        <w:rPr>
          <w:color w:val="000000" w:themeColor="text1"/>
        </w:rPr>
        <w:t>None of these events were judged to be related to molnupiravir.</w:t>
      </w:r>
    </w:p>
    <w:p w14:paraId="54D38186" w14:textId="6A868F6E" w:rsidR="00540BFF" w:rsidRPr="00C13E80" w:rsidRDefault="00121A0C" w:rsidP="00B46FE9">
      <w:pPr>
        <w:pStyle w:val="3-BodyText"/>
        <w:rPr>
          <w:color w:val="000000" w:themeColor="text1"/>
        </w:rPr>
      </w:pPr>
      <w:r w:rsidRPr="00C13E80">
        <w:rPr>
          <w:color w:val="000000" w:themeColor="text1"/>
        </w:rPr>
        <w:lastRenderedPageBreak/>
        <w:t xml:space="preserve">The submission also provided a </w:t>
      </w:r>
      <w:r w:rsidR="009E34A3" w:rsidRPr="00C13E80">
        <w:rPr>
          <w:color w:val="000000" w:themeColor="text1"/>
        </w:rPr>
        <w:t>Periodic Safety Update Report (PSUR) with reporting period from 4 May 2022 to 3 Nov 2022.</w:t>
      </w:r>
      <w:r w:rsidR="00CC1C80" w:rsidRPr="00C13E80">
        <w:rPr>
          <w:color w:val="000000" w:themeColor="text1"/>
        </w:rPr>
        <w:t xml:space="preserve"> </w:t>
      </w:r>
      <w:r w:rsidR="00C17A84" w:rsidRPr="00C13E80">
        <w:rPr>
          <w:color w:val="000000" w:themeColor="text1"/>
        </w:rPr>
        <w:t>Evaluation of information during the reporting period did not</w:t>
      </w:r>
      <w:r w:rsidR="00726461" w:rsidRPr="00C13E80">
        <w:rPr>
          <w:color w:val="000000" w:themeColor="text1"/>
        </w:rPr>
        <w:t xml:space="preserve"> identif</w:t>
      </w:r>
      <w:r w:rsidR="00C17A84" w:rsidRPr="00C13E80">
        <w:rPr>
          <w:color w:val="000000" w:themeColor="text1"/>
        </w:rPr>
        <w:t>y</w:t>
      </w:r>
      <w:r w:rsidR="00726461" w:rsidRPr="00C13E80">
        <w:rPr>
          <w:color w:val="000000" w:themeColor="text1"/>
        </w:rPr>
        <w:t xml:space="preserve"> any additional clinically relevant new safety information</w:t>
      </w:r>
      <w:r w:rsidR="00C17A84" w:rsidRPr="00C13E80">
        <w:rPr>
          <w:color w:val="000000" w:themeColor="text1"/>
        </w:rPr>
        <w:t>.</w:t>
      </w:r>
    </w:p>
    <w:p w14:paraId="6C29948E" w14:textId="463754A6" w:rsidR="00C559E3" w:rsidRPr="00C13E80" w:rsidRDefault="0071724A" w:rsidP="00B46FE9">
      <w:pPr>
        <w:pStyle w:val="3-BodyText"/>
        <w:rPr>
          <w:color w:val="000000" w:themeColor="text1"/>
        </w:rPr>
      </w:pPr>
      <w:r w:rsidRPr="00C13E80">
        <w:rPr>
          <w:color w:val="000000" w:themeColor="text1"/>
        </w:rPr>
        <w:t xml:space="preserve">The submission </w:t>
      </w:r>
      <w:r w:rsidR="003B0AF6" w:rsidRPr="00C13E80">
        <w:rPr>
          <w:color w:val="000000" w:themeColor="text1"/>
        </w:rPr>
        <w:t>report</w:t>
      </w:r>
      <w:r w:rsidR="00E83E1B" w:rsidRPr="00C13E80">
        <w:rPr>
          <w:color w:val="000000" w:themeColor="text1"/>
        </w:rPr>
        <w:t>ed</w:t>
      </w:r>
      <w:r w:rsidR="003B0AF6" w:rsidRPr="00C13E80">
        <w:rPr>
          <w:color w:val="000000" w:themeColor="text1"/>
        </w:rPr>
        <w:t xml:space="preserve"> that</w:t>
      </w:r>
      <w:r w:rsidR="00D1193A" w:rsidRPr="00C13E80">
        <w:rPr>
          <w:color w:val="000000" w:themeColor="text1"/>
        </w:rPr>
        <w:t>, although</w:t>
      </w:r>
      <w:r w:rsidR="003B0AF6" w:rsidRPr="00C13E80">
        <w:rPr>
          <w:color w:val="000000" w:themeColor="text1"/>
        </w:rPr>
        <w:t xml:space="preserve"> the safety profiles of molnupiravir and nirmatrelvir and ritonavir are similar</w:t>
      </w:r>
      <w:r w:rsidR="00D1193A" w:rsidRPr="00C13E80">
        <w:rPr>
          <w:color w:val="000000" w:themeColor="text1"/>
        </w:rPr>
        <w:t xml:space="preserve"> </w:t>
      </w:r>
      <w:r w:rsidR="00F974AE" w:rsidRPr="00C13E80">
        <w:rPr>
          <w:color w:val="000000" w:themeColor="text1"/>
        </w:rPr>
        <w:t>when considering evidence</w:t>
      </w:r>
      <w:r w:rsidR="003F4A6D" w:rsidRPr="00C13E80">
        <w:rPr>
          <w:color w:val="000000" w:themeColor="text1"/>
        </w:rPr>
        <w:t xml:space="preserve"> from clinical trials</w:t>
      </w:r>
      <w:r w:rsidR="00F974AE" w:rsidRPr="00C13E80">
        <w:rPr>
          <w:color w:val="000000" w:themeColor="text1"/>
        </w:rPr>
        <w:t xml:space="preserve">, the </w:t>
      </w:r>
      <w:r w:rsidR="00CB1F1E" w:rsidRPr="00C13E80">
        <w:rPr>
          <w:color w:val="000000" w:themeColor="text1"/>
        </w:rPr>
        <w:t xml:space="preserve">rate of serious adverse drug reactions in practice is greater </w:t>
      </w:r>
      <w:r w:rsidR="00C559E3" w:rsidRPr="00C13E80">
        <w:rPr>
          <w:color w:val="000000" w:themeColor="text1"/>
        </w:rPr>
        <w:t>with nirmatrelvir and ritonavir</w:t>
      </w:r>
      <w:r w:rsidR="00FB1148" w:rsidRPr="00C13E80">
        <w:rPr>
          <w:color w:val="000000" w:themeColor="text1"/>
        </w:rPr>
        <w:t xml:space="preserve"> due to </w:t>
      </w:r>
      <w:r w:rsidR="00FE7C67" w:rsidRPr="00C13E80">
        <w:rPr>
          <w:color w:val="000000" w:themeColor="text1"/>
        </w:rPr>
        <w:t>the potential for drug interactions</w:t>
      </w:r>
      <w:r w:rsidR="0030027C" w:rsidRPr="00C13E80">
        <w:rPr>
          <w:color w:val="000000" w:themeColor="text1"/>
        </w:rPr>
        <w:t>.</w:t>
      </w:r>
      <w:r w:rsidR="00E531E6" w:rsidRPr="00C13E80">
        <w:rPr>
          <w:color w:val="000000" w:themeColor="text1"/>
        </w:rPr>
        <w:t xml:space="preserve"> The submission present</w:t>
      </w:r>
      <w:r w:rsidR="00E83E1B" w:rsidRPr="00C13E80">
        <w:rPr>
          <w:color w:val="000000" w:themeColor="text1"/>
        </w:rPr>
        <w:t>ed</w:t>
      </w:r>
      <w:r w:rsidR="00E531E6" w:rsidRPr="00C13E80">
        <w:rPr>
          <w:color w:val="000000" w:themeColor="text1"/>
        </w:rPr>
        <w:t xml:space="preserve"> an analysis of </w:t>
      </w:r>
      <w:r w:rsidR="001E067D" w:rsidRPr="00C13E80">
        <w:rPr>
          <w:color w:val="000000" w:themeColor="text1"/>
        </w:rPr>
        <w:t xml:space="preserve">suspected drug reactions reported to </w:t>
      </w:r>
      <w:r w:rsidR="009C0444" w:rsidRPr="00C13E80">
        <w:rPr>
          <w:color w:val="000000" w:themeColor="text1"/>
        </w:rPr>
        <w:t xml:space="preserve">the UK’s </w:t>
      </w:r>
      <w:r w:rsidR="00FB6072" w:rsidRPr="00C13E80">
        <w:rPr>
          <w:color w:val="000000" w:themeColor="text1"/>
        </w:rPr>
        <w:t>Medicines and Healthcare products Regulatory Agency (</w:t>
      </w:r>
      <w:r w:rsidR="003F4A6D" w:rsidRPr="00C13E80">
        <w:rPr>
          <w:color w:val="000000" w:themeColor="text1"/>
        </w:rPr>
        <w:t>MHRA</w:t>
      </w:r>
      <w:r w:rsidR="00FB6072" w:rsidRPr="00C13E80">
        <w:rPr>
          <w:color w:val="000000" w:themeColor="text1"/>
        </w:rPr>
        <w:t>)</w:t>
      </w:r>
      <w:r w:rsidR="003F4A6D" w:rsidRPr="00C13E80">
        <w:rPr>
          <w:color w:val="000000" w:themeColor="text1"/>
        </w:rPr>
        <w:t xml:space="preserve"> via the Yellow Card scheme that indicates that the rate of AEs and </w:t>
      </w:r>
      <w:r w:rsidR="00C171A5" w:rsidRPr="00C13E80">
        <w:rPr>
          <w:color w:val="000000" w:themeColor="text1"/>
        </w:rPr>
        <w:t>S</w:t>
      </w:r>
      <w:r w:rsidR="003F4A6D" w:rsidRPr="00C13E80">
        <w:rPr>
          <w:color w:val="000000" w:themeColor="text1"/>
        </w:rPr>
        <w:t xml:space="preserve">AEs reported with </w:t>
      </w:r>
      <w:proofErr w:type="gramStart"/>
      <w:r w:rsidR="006E64C8" w:rsidRPr="00C13E80">
        <w:rPr>
          <w:color w:val="000000" w:themeColor="text1"/>
        </w:rPr>
        <w:t>nirmatrelvir</w:t>
      </w:r>
      <w:proofErr w:type="gramEnd"/>
      <w:r w:rsidR="006E64C8" w:rsidRPr="00C13E80">
        <w:rPr>
          <w:color w:val="000000" w:themeColor="text1"/>
        </w:rPr>
        <w:t xml:space="preserve"> and ritonavir</w:t>
      </w:r>
      <w:r w:rsidR="003F4A6D" w:rsidRPr="00C13E80">
        <w:rPr>
          <w:color w:val="000000" w:themeColor="text1"/>
        </w:rPr>
        <w:t xml:space="preserve"> is </w:t>
      </w:r>
      <w:r w:rsidR="00902E07" w:rsidRPr="00C13E80">
        <w:rPr>
          <w:color w:val="000000" w:themeColor="text1"/>
        </w:rPr>
        <w:t xml:space="preserve">higher than with molnupiravir </w:t>
      </w:r>
      <w:r w:rsidR="000E1BDF" w:rsidRPr="00C13E80">
        <w:rPr>
          <w:color w:val="000000" w:themeColor="text1"/>
        </w:rPr>
        <w:t>–</w:t>
      </w:r>
      <w:r w:rsidR="00902E07" w:rsidRPr="00C13E80">
        <w:rPr>
          <w:color w:val="000000" w:themeColor="text1"/>
        </w:rPr>
        <w:t xml:space="preserve"> </w:t>
      </w:r>
      <w:r w:rsidR="000E1BDF" w:rsidRPr="00C13E80">
        <w:rPr>
          <w:color w:val="000000" w:themeColor="text1"/>
        </w:rPr>
        <w:t>SAEs: 0.79% vs 0.49% for nirmatrelvir and ritonavir and for molnupiravir, respectively.</w:t>
      </w:r>
      <w:r w:rsidR="00BD0436" w:rsidRPr="00C13E80">
        <w:rPr>
          <w:color w:val="000000" w:themeColor="text1"/>
        </w:rPr>
        <w:t xml:space="preserve"> </w:t>
      </w:r>
      <w:r w:rsidR="00BD0436" w:rsidRPr="00C13E80">
        <w:rPr>
          <w:iCs/>
          <w:color w:val="000000" w:themeColor="text1"/>
        </w:rPr>
        <w:t>ESC considered that relative safety could not be reliably ascertained based on the available evidence.</w:t>
      </w:r>
    </w:p>
    <w:p w14:paraId="04908C7F" w14:textId="415B9B7D" w:rsidR="007F1017" w:rsidRPr="00C13E80" w:rsidRDefault="007F1017" w:rsidP="00E27974">
      <w:pPr>
        <w:pStyle w:val="4-SubsectionHeading"/>
      </w:pPr>
      <w:bookmarkStart w:id="62" w:name="_Toc22897643"/>
      <w:bookmarkStart w:id="63" w:name="_Toc135232223"/>
      <w:r w:rsidRPr="00C13E80">
        <w:t>Benefits/harms</w:t>
      </w:r>
      <w:bookmarkEnd w:id="62"/>
      <w:bookmarkEnd w:id="63"/>
    </w:p>
    <w:p w14:paraId="66FC57F3" w14:textId="7D8250A0" w:rsidR="00BD0436" w:rsidRPr="00C13E80" w:rsidRDefault="00BD0436" w:rsidP="00DD467C">
      <w:pPr>
        <w:pStyle w:val="3-BodyText"/>
        <w:rPr>
          <w:rFonts w:eastAsia="Calibri"/>
          <w:iCs/>
        </w:rPr>
      </w:pPr>
      <w:r w:rsidRPr="00C13E80">
        <w:rPr>
          <w:rFonts w:eastAsia="Calibri"/>
          <w:iCs/>
        </w:rPr>
        <w:t>On the basis of evidence from the MOVe-OUT trial, for every 100 patients treated with molnupiravir in comparison with placebo:</w:t>
      </w:r>
    </w:p>
    <w:p w14:paraId="79C7022E" w14:textId="0A291BCA" w:rsidR="00BD0436" w:rsidRPr="00C13E80" w:rsidRDefault="00BD0436" w:rsidP="00DD467C">
      <w:pPr>
        <w:pStyle w:val="ListParagraph"/>
        <w:ind w:left="1134" w:hanging="357"/>
        <w:rPr>
          <w:rFonts w:eastAsia="Calibri"/>
          <w:iCs/>
        </w:rPr>
      </w:pPr>
      <w:r w:rsidRPr="00C13E80">
        <w:rPr>
          <w:rFonts w:eastAsia="Calibri"/>
          <w:iCs/>
        </w:rPr>
        <w:t>approximately 3 hospitalisation</w:t>
      </w:r>
      <w:r w:rsidR="006124DB" w:rsidRPr="00C13E80">
        <w:rPr>
          <w:rFonts w:eastAsia="Calibri"/>
          <w:iCs/>
        </w:rPr>
        <w:t>s</w:t>
      </w:r>
      <w:r w:rsidRPr="00C13E80">
        <w:rPr>
          <w:rFonts w:eastAsia="Calibri"/>
          <w:iCs/>
        </w:rPr>
        <w:t xml:space="preserve"> or deaths are averted</w:t>
      </w:r>
      <w:r w:rsidR="00EA0EBB" w:rsidRPr="00C13E80">
        <w:rPr>
          <w:rFonts w:eastAsia="Calibri"/>
          <w:iCs/>
        </w:rPr>
        <w:t xml:space="preserve"> within 4 weeks follow-up</w:t>
      </w:r>
      <w:r w:rsidRPr="00C13E80">
        <w:rPr>
          <w:rFonts w:eastAsia="Calibri"/>
          <w:iCs/>
        </w:rPr>
        <w:t>.</w:t>
      </w:r>
    </w:p>
    <w:p w14:paraId="62AB970B" w14:textId="6965A13B" w:rsidR="00BD0436" w:rsidRPr="00C13E80" w:rsidRDefault="00BD0436" w:rsidP="00DD467C">
      <w:pPr>
        <w:pStyle w:val="3-BodyText"/>
        <w:rPr>
          <w:rFonts w:eastAsia="Calibri"/>
          <w:iCs/>
        </w:rPr>
      </w:pPr>
      <w:r w:rsidRPr="00C13E80">
        <w:rPr>
          <w:rFonts w:eastAsia="Calibri"/>
          <w:iCs/>
        </w:rPr>
        <w:t>On the basis of evidence from the PANORAMIC trial, for every 100 patients treated with molnupiravir in comparison with placebo:</w:t>
      </w:r>
    </w:p>
    <w:p w14:paraId="71D43541" w14:textId="50A61B8B" w:rsidR="00BD0436" w:rsidRPr="00DD467C" w:rsidRDefault="00BD0436" w:rsidP="00DD467C">
      <w:pPr>
        <w:pStyle w:val="ListParagraph"/>
        <w:ind w:left="1134"/>
        <w:rPr>
          <w:rFonts w:eastAsia="Calibri"/>
          <w:iCs/>
        </w:rPr>
      </w:pPr>
      <w:r w:rsidRPr="00C13E80">
        <w:rPr>
          <w:rFonts w:eastAsia="Calibri"/>
          <w:iCs/>
        </w:rPr>
        <w:t>no hospitalisations or deaths are averted</w:t>
      </w:r>
      <w:r w:rsidR="00EA0EBB" w:rsidRPr="00C13E80">
        <w:rPr>
          <w:rFonts w:eastAsia="Calibri"/>
          <w:iCs/>
        </w:rPr>
        <w:t xml:space="preserve"> within 4 weeks follow-up</w:t>
      </w:r>
      <w:r w:rsidRPr="00C13E80">
        <w:rPr>
          <w:rFonts w:eastAsia="Calibri"/>
          <w:iCs/>
        </w:rPr>
        <w:t>.</w:t>
      </w:r>
    </w:p>
    <w:p w14:paraId="7A1772B6" w14:textId="23BB3145" w:rsidR="00B60939" w:rsidRPr="00C13E80" w:rsidRDefault="00B60939" w:rsidP="00E9094A">
      <w:pPr>
        <w:pStyle w:val="4-SubsectionHeading"/>
      </w:pPr>
      <w:bookmarkStart w:id="64" w:name="_Toc22897644"/>
      <w:bookmarkStart w:id="65" w:name="_Toc135232224"/>
      <w:r w:rsidRPr="00C13E80">
        <w:t>Clinical claim</w:t>
      </w:r>
      <w:bookmarkEnd w:id="64"/>
      <w:bookmarkEnd w:id="65"/>
    </w:p>
    <w:p w14:paraId="6D45B7F4" w14:textId="53594B15" w:rsidR="00A21252" w:rsidRPr="00C13E80" w:rsidRDefault="005F7588" w:rsidP="002525F5">
      <w:pPr>
        <w:pStyle w:val="3-BodyText"/>
      </w:pPr>
      <w:r w:rsidRPr="00C13E80">
        <w:rPr>
          <w:rFonts w:eastAsia="Calibri"/>
        </w:rPr>
        <w:t xml:space="preserve">The submission described </w:t>
      </w:r>
      <w:r w:rsidR="0087410F" w:rsidRPr="00C13E80">
        <w:rPr>
          <w:rFonts w:eastAsia="Calibri"/>
          <w:color w:val="000000" w:themeColor="text1"/>
        </w:rPr>
        <w:t>molnupiravir</w:t>
      </w:r>
      <w:r w:rsidRPr="00C13E80">
        <w:rPr>
          <w:rFonts w:eastAsia="Calibri"/>
        </w:rPr>
        <w:t xml:space="preserve"> as superior in terms of effectiveness compared to </w:t>
      </w:r>
      <w:r w:rsidR="0087410F" w:rsidRPr="00C13E80">
        <w:rPr>
          <w:rFonts w:eastAsia="Calibri"/>
        </w:rPr>
        <w:t>usual care</w:t>
      </w:r>
      <w:r w:rsidRPr="00C13E80">
        <w:rPr>
          <w:rFonts w:eastAsia="Calibri"/>
        </w:rPr>
        <w:t>. Th</w:t>
      </w:r>
      <w:r w:rsidR="007C6C9B" w:rsidRPr="00C13E80">
        <w:rPr>
          <w:rFonts w:eastAsia="Calibri"/>
        </w:rPr>
        <w:t>e commentary considered thi</w:t>
      </w:r>
      <w:r w:rsidRPr="00C13E80">
        <w:rPr>
          <w:rFonts w:eastAsia="Calibri"/>
        </w:rPr>
        <w:t xml:space="preserve">s claim was </w:t>
      </w:r>
      <w:r w:rsidR="007C70FF" w:rsidRPr="00C13E80">
        <w:rPr>
          <w:rFonts w:eastAsia="Calibri"/>
        </w:rPr>
        <w:t xml:space="preserve">adequately supported but the magnitude of the effect </w:t>
      </w:r>
      <w:r w:rsidR="00787D57" w:rsidRPr="00C13E80">
        <w:rPr>
          <w:rFonts w:eastAsia="Calibri"/>
        </w:rPr>
        <w:t>was</w:t>
      </w:r>
      <w:r w:rsidR="00F63A37" w:rsidRPr="00C13E80">
        <w:rPr>
          <w:rFonts w:eastAsia="Calibri"/>
        </w:rPr>
        <w:t xml:space="preserve"> uncertain</w:t>
      </w:r>
      <w:r w:rsidRPr="00C13E80">
        <w:rPr>
          <w:rFonts w:eastAsia="Calibri"/>
        </w:rPr>
        <w:t>.</w:t>
      </w:r>
      <w:r w:rsidR="007C70FF" w:rsidRPr="00C13E80">
        <w:rPr>
          <w:rFonts w:eastAsia="Calibri"/>
        </w:rPr>
        <w:t xml:space="preserve"> The key issue </w:t>
      </w:r>
      <w:r w:rsidR="0078292E" w:rsidRPr="00C13E80">
        <w:rPr>
          <w:rFonts w:eastAsia="Calibri"/>
        </w:rPr>
        <w:t xml:space="preserve">with the evidence presented was the applicability of </w:t>
      </w:r>
      <w:r w:rsidR="00F247EC" w:rsidRPr="00C13E80">
        <w:rPr>
          <w:rFonts w:eastAsia="Calibri"/>
        </w:rPr>
        <w:t xml:space="preserve">the </w:t>
      </w:r>
      <w:r w:rsidR="00076C84" w:rsidRPr="00C13E80">
        <w:rPr>
          <w:rFonts w:eastAsia="Calibri"/>
        </w:rPr>
        <w:t xml:space="preserve">evidence </w:t>
      </w:r>
      <w:r w:rsidR="00F247EC" w:rsidRPr="00C13E80">
        <w:rPr>
          <w:rFonts w:eastAsia="Calibri"/>
        </w:rPr>
        <w:t xml:space="preserve">to the Australian </w:t>
      </w:r>
      <w:r w:rsidR="00362B6E" w:rsidRPr="00C13E80">
        <w:rPr>
          <w:rFonts w:eastAsia="Calibri"/>
        </w:rPr>
        <w:t>setting</w:t>
      </w:r>
      <w:r w:rsidR="00D62CB5" w:rsidRPr="00C13E80">
        <w:rPr>
          <w:rFonts w:eastAsia="Calibri"/>
        </w:rPr>
        <w:t>. In addition, the observational studies</w:t>
      </w:r>
      <w:r w:rsidR="007C70FF" w:rsidRPr="00C13E80">
        <w:rPr>
          <w:rFonts w:eastAsia="Calibri"/>
        </w:rPr>
        <w:t xml:space="preserve"> were</w:t>
      </w:r>
      <w:r w:rsidR="00B80533" w:rsidRPr="00C13E80">
        <w:rPr>
          <w:rFonts w:eastAsia="Calibri"/>
        </w:rPr>
        <w:t xml:space="preserve"> </w:t>
      </w:r>
      <w:r w:rsidR="00D62CB5" w:rsidRPr="00C13E80">
        <w:rPr>
          <w:rFonts w:eastAsia="Calibri"/>
        </w:rPr>
        <w:t xml:space="preserve">associated with </w:t>
      </w:r>
      <w:r w:rsidR="00001B88" w:rsidRPr="00C13E80">
        <w:rPr>
          <w:rFonts w:eastAsia="Calibri"/>
        </w:rPr>
        <w:t>a</w:t>
      </w:r>
      <w:r w:rsidR="00C1335E" w:rsidRPr="00C13E80">
        <w:rPr>
          <w:rFonts w:eastAsia="Calibri"/>
        </w:rPr>
        <w:t xml:space="preserve"> high risk of bias</w:t>
      </w:r>
      <w:r w:rsidR="00001B88" w:rsidRPr="00C13E80">
        <w:rPr>
          <w:rFonts w:eastAsia="Calibri"/>
        </w:rPr>
        <w:t xml:space="preserve"> due to potential</w:t>
      </w:r>
      <w:r w:rsidR="00794765" w:rsidRPr="00C13E80">
        <w:rPr>
          <w:rFonts w:eastAsia="Calibri"/>
        </w:rPr>
        <w:t xml:space="preserve"> for differences across treatment groups in unreported or unmeasured patient characteristics.</w:t>
      </w:r>
      <w:r w:rsidR="00BD0436" w:rsidRPr="00C13E80">
        <w:rPr>
          <w:rFonts w:eastAsia="Calibri"/>
        </w:rPr>
        <w:t xml:space="preserve"> </w:t>
      </w:r>
      <w:r w:rsidR="009354C0" w:rsidRPr="00C13E80">
        <w:rPr>
          <w:rFonts w:eastAsia="Calibri"/>
          <w:iCs/>
        </w:rPr>
        <w:t xml:space="preserve">The </w:t>
      </w:r>
      <w:r w:rsidR="0015030B">
        <w:rPr>
          <w:iCs/>
          <w:color w:val="000000" w:themeColor="text1"/>
        </w:rPr>
        <w:t>PBAC</w:t>
      </w:r>
      <w:r w:rsidR="0015030B" w:rsidRPr="00C13E80">
        <w:rPr>
          <w:iCs/>
          <w:color w:val="000000" w:themeColor="text1"/>
        </w:rPr>
        <w:t xml:space="preserve"> </w:t>
      </w:r>
      <w:r w:rsidR="007C6C9B" w:rsidRPr="00C13E80">
        <w:rPr>
          <w:iCs/>
          <w:color w:val="000000" w:themeColor="text1"/>
        </w:rPr>
        <w:t>noted</w:t>
      </w:r>
      <w:r w:rsidR="009354C0" w:rsidRPr="00C13E80">
        <w:rPr>
          <w:iCs/>
          <w:color w:val="000000" w:themeColor="text1"/>
        </w:rPr>
        <w:t xml:space="preserve"> that </w:t>
      </w:r>
      <w:r w:rsidR="007C6C9B" w:rsidRPr="00C13E80">
        <w:rPr>
          <w:rFonts w:eastAsia="Calibri"/>
          <w:iCs/>
        </w:rPr>
        <w:t xml:space="preserve">the randomised MOVe-OUT trial had demonstrated reduced hospitalisation and death with </w:t>
      </w:r>
      <w:r w:rsidR="009354C0" w:rsidRPr="00C13E80">
        <w:rPr>
          <w:rFonts w:eastAsia="Calibri"/>
          <w:iCs/>
          <w:color w:val="000000" w:themeColor="text1"/>
        </w:rPr>
        <w:t>molnupiravir</w:t>
      </w:r>
      <w:r w:rsidR="009354C0" w:rsidRPr="00C13E80">
        <w:rPr>
          <w:rFonts w:eastAsia="Calibri"/>
          <w:iCs/>
        </w:rPr>
        <w:t xml:space="preserve"> </w:t>
      </w:r>
      <w:r w:rsidR="007C6C9B" w:rsidRPr="00C13E80">
        <w:rPr>
          <w:rFonts w:eastAsia="Calibri"/>
          <w:iCs/>
        </w:rPr>
        <w:t>compared with usual care</w:t>
      </w:r>
      <w:r w:rsidR="000D36B2" w:rsidRPr="00C13E80">
        <w:rPr>
          <w:iCs/>
          <w:color w:val="000000" w:themeColor="text1"/>
        </w:rPr>
        <w:t xml:space="preserve"> and provided the </w:t>
      </w:r>
      <w:r w:rsidR="000D36B2" w:rsidRPr="00C13E80">
        <w:rPr>
          <w:rFonts w:eastAsia="Calibri"/>
          <w:iCs/>
        </w:rPr>
        <w:t>evidence for the effectiveness of molnupiravir considered by PBAC at the time of recommending the PBS listing (February 2022)</w:t>
      </w:r>
      <w:r w:rsidR="00F870EA" w:rsidRPr="00C13E80">
        <w:rPr>
          <w:rFonts w:eastAsia="Calibri"/>
          <w:iCs/>
        </w:rPr>
        <w:t xml:space="preserve">. </w:t>
      </w:r>
      <w:r w:rsidR="000D36B2" w:rsidRPr="00C13E80">
        <w:rPr>
          <w:rFonts w:eastAsia="Calibri"/>
          <w:iCs/>
        </w:rPr>
        <w:t xml:space="preserve">However, </w:t>
      </w:r>
      <w:r w:rsidR="000D36B2" w:rsidRPr="00C13E80">
        <w:rPr>
          <w:iCs/>
        </w:rPr>
        <w:t xml:space="preserve">the range of results reported in </w:t>
      </w:r>
      <w:r w:rsidR="000D36B2" w:rsidRPr="00C13E80">
        <w:rPr>
          <w:iCs/>
        </w:rPr>
        <w:fldChar w:fldCharType="begin" w:fldLock="1"/>
      </w:r>
      <w:r w:rsidR="000D36B2" w:rsidRPr="00C13E80">
        <w:rPr>
          <w:iCs/>
        </w:rPr>
        <w:instrText xml:space="preserve"> REF _Ref134387665 \h  \* MERGEFORMAT </w:instrText>
      </w:r>
      <w:r w:rsidR="000D36B2" w:rsidRPr="00C13E80">
        <w:rPr>
          <w:iCs/>
        </w:rPr>
      </w:r>
      <w:r w:rsidR="000D36B2" w:rsidRPr="00C13E80">
        <w:rPr>
          <w:iCs/>
        </w:rPr>
        <w:fldChar w:fldCharType="separate"/>
      </w:r>
      <w:r w:rsidR="00701DEF" w:rsidRPr="00701DEF">
        <w:rPr>
          <w:iCs/>
        </w:rPr>
        <w:t>Table 7</w:t>
      </w:r>
      <w:r w:rsidR="000D36B2" w:rsidRPr="00C13E80">
        <w:rPr>
          <w:iCs/>
        </w:rPr>
        <w:fldChar w:fldCharType="end"/>
      </w:r>
      <w:r w:rsidR="000D36B2" w:rsidRPr="00C13E80">
        <w:rPr>
          <w:iCs/>
        </w:rPr>
        <w:t xml:space="preserve"> suggested that the </w:t>
      </w:r>
      <w:r w:rsidR="007C6C9B" w:rsidRPr="00C13E80">
        <w:rPr>
          <w:iCs/>
        </w:rPr>
        <w:t xml:space="preserve">magnitude of the benefit </w:t>
      </w:r>
      <w:r w:rsidR="003845D9">
        <w:rPr>
          <w:iCs/>
        </w:rPr>
        <w:t>is</w:t>
      </w:r>
      <w:r w:rsidR="003845D9" w:rsidRPr="00C13E80">
        <w:rPr>
          <w:iCs/>
        </w:rPr>
        <w:t xml:space="preserve"> </w:t>
      </w:r>
      <w:r w:rsidR="007C6C9B" w:rsidRPr="00C13E80">
        <w:rPr>
          <w:iCs/>
        </w:rPr>
        <w:t xml:space="preserve">less </w:t>
      </w:r>
      <w:r w:rsidR="00BD0436" w:rsidRPr="00C13E80">
        <w:rPr>
          <w:iCs/>
          <w:color w:val="000000" w:themeColor="text1"/>
        </w:rPr>
        <w:t xml:space="preserve">than </w:t>
      </w:r>
      <w:r w:rsidR="009354C0" w:rsidRPr="00C13E80">
        <w:rPr>
          <w:iCs/>
          <w:color w:val="000000" w:themeColor="text1"/>
        </w:rPr>
        <w:t xml:space="preserve">reported for the MOVe-OUT </w:t>
      </w:r>
      <w:r w:rsidR="000D36B2" w:rsidRPr="00C13E80">
        <w:rPr>
          <w:iCs/>
          <w:color w:val="000000" w:themeColor="text1"/>
        </w:rPr>
        <w:t>trial</w:t>
      </w:r>
      <w:r w:rsidR="00413CFD" w:rsidRPr="00C13E80">
        <w:rPr>
          <w:iCs/>
          <w:color w:val="000000" w:themeColor="text1"/>
        </w:rPr>
        <w:t xml:space="preserve"> at the time of the original PBAC submission</w:t>
      </w:r>
      <w:r w:rsidR="00F870EA" w:rsidRPr="00C13E80">
        <w:rPr>
          <w:iCs/>
          <w:color w:val="000000" w:themeColor="text1"/>
        </w:rPr>
        <w:t xml:space="preserve">. </w:t>
      </w:r>
      <w:r w:rsidR="00787D57" w:rsidRPr="00C13E80">
        <w:rPr>
          <w:iCs/>
          <w:color w:val="000000" w:themeColor="text1"/>
        </w:rPr>
        <w:t xml:space="preserve">The PBAC considered that the </w:t>
      </w:r>
      <w:r w:rsidR="0033251C" w:rsidRPr="00C13E80">
        <w:rPr>
          <w:iCs/>
          <w:color w:val="000000" w:themeColor="text1"/>
        </w:rPr>
        <w:t>claim</w:t>
      </w:r>
      <w:r w:rsidR="00787D57" w:rsidRPr="00C13E80">
        <w:rPr>
          <w:iCs/>
          <w:color w:val="000000" w:themeColor="text1"/>
        </w:rPr>
        <w:t xml:space="preserve"> of superior effectiveness of molnupiravir compared to usual care was not robust, </w:t>
      </w:r>
      <w:r w:rsidR="003845D9">
        <w:rPr>
          <w:iCs/>
          <w:color w:val="000000" w:themeColor="text1"/>
        </w:rPr>
        <w:t xml:space="preserve">particularly </w:t>
      </w:r>
      <w:r w:rsidR="00787D57" w:rsidRPr="00C13E80">
        <w:rPr>
          <w:iCs/>
          <w:color w:val="000000" w:themeColor="text1"/>
        </w:rPr>
        <w:t xml:space="preserve">given </w:t>
      </w:r>
      <w:r w:rsidR="003845D9">
        <w:rPr>
          <w:iCs/>
          <w:color w:val="000000" w:themeColor="text1"/>
        </w:rPr>
        <w:t>more recent</w:t>
      </w:r>
      <w:r w:rsidR="00787D57" w:rsidRPr="00C13E80">
        <w:rPr>
          <w:iCs/>
          <w:color w:val="000000" w:themeColor="text1"/>
        </w:rPr>
        <w:t xml:space="preserve"> PANORAMIC </w:t>
      </w:r>
      <w:r w:rsidR="003845D9">
        <w:rPr>
          <w:iCs/>
          <w:color w:val="000000" w:themeColor="text1"/>
        </w:rPr>
        <w:t xml:space="preserve">trial </w:t>
      </w:r>
      <w:r w:rsidR="00787D57" w:rsidRPr="00C13E80">
        <w:rPr>
          <w:iCs/>
          <w:color w:val="000000" w:themeColor="text1"/>
        </w:rPr>
        <w:t>data.</w:t>
      </w:r>
      <w:r w:rsidR="00DD467C">
        <w:rPr>
          <w:iCs/>
          <w:color w:val="000000" w:themeColor="text1"/>
        </w:rPr>
        <w:t xml:space="preserve"> </w:t>
      </w:r>
    </w:p>
    <w:p w14:paraId="7F613CD1" w14:textId="1D7E8E92" w:rsidR="005F7588" w:rsidRPr="00C13E80" w:rsidRDefault="005F7588" w:rsidP="00B46FE9">
      <w:pPr>
        <w:pStyle w:val="3-BodyText"/>
        <w:rPr>
          <w:rFonts w:eastAsia="Calibri"/>
        </w:rPr>
      </w:pPr>
      <w:r w:rsidRPr="00C13E80">
        <w:rPr>
          <w:rFonts w:eastAsia="Calibri"/>
        </w:rPr>
        <w:t xml:space="preserve">The submission described </w:t>
      </w:r>
      <w:r w:rsidR="000662A8" w:rsidRPr="00C13E80">
        <w:rPr>
          <w:rFonts w:eastAsia="Calibri"/>
        </w:rPr>
        <w:t>molnupiravir</w:t>
      </w:r>
      <w:r w:rsidRPr="00C13E80">
        <w:rPr>
          <w:rFonts w:eastAsia="Calibri"/>
        </w:rPr>
        <w:t xml:space="preserve"> as inferior in term</w:t>
      </w:r>
      <w:r w:rsidR="00156F8F" w:rsidRPr="00C13E80">
        <w:rPr>
          <w:rFonts w:eastAsia="Calibri"/>
        </w:rPr>
        <w:t>s</w:t>
      </w:r>
      <w:r w:rsidRPr="00C13E80">
        <w:rPr>
          <w:rFonts w:eastAsia="Calibri"/>
        </w:rPr>
        <w:t xml:space="preserve"> of safety compared to </w:t>
      </w:r>
      <w:r w:rsidR="000662A8" w:rsidRPr="00C13E80">
        <w:rPr>
          <w:rFonts w:eastAsia="Calibri"/>
        </w:rPr>
        <w:t>usual care but</w:t>
      </w:r>
      <w:r w:rsidR="00E51E07" w:rsidRPr="00C13E80">
        <w:rPr>
          <w:rFonts w:eastAsia="Calibri"/>
        </w:rPr>
        <w:t xml:space="preserve"> with a manageable safety profile</w:t>
      </w:r>
      <w:r w:rsidRPr="00C13E80">
        <w:rPr>
          <w:rFonts w:eastAsia="Calibri"/>
        </w:rPr>
        <w:t>. Th</w:t>
      </w:r>
      <w:r w:rsidR="00787D57" w:rsidRPr="00C13E80">
        <w:rPr>
          <w:rFonts w:eastAsia="Calibri"/>
        </w:rPr>
        <w:t>e PBAC considered th</w:t>
      </w:r>
      <w:r w:rsidRPr="00C13E80">
        <w:rPr>
          <w:rFonts w:eastAsia="Calibri"/>
        </w:rPr>
        <w:t>is claim was adequately supported</w:t>
      </w:r>
      <w:r w:rsidR="007C70FF" w:rsidRPr="00C13E80">
        <w:rPr>
          <w:rFonts w:eastAsia="Calibri"/>
        </w:rPr>
        <w:t>.</w:t>
      </w:r>
    </w:p>
    <w:p w14:paraId="03D1F1FB" w14:textId="54641A2E" w:rsidR="00043E46" w:rsidRPr="00DD467C" w:rsidRDefault="00514F2C" w:rsidP="00DD467C">
      <w:pPr>
        <w:pStyle w:val="3-BodyText"/>
        <w:rPr>
          <w:rFonts w:eastAsia="Calibri"/>
        </w:rPr>
      </w:pPr>
      <w:bookmarkStart w:id="66" w:name="_Ref137672988"/>
      <w:r w:rsidRPr="00C13E80">
        <w:rPr>
          <w:rFonts w:eastAsia="Calibri"/>
        </w:rPr>
        <w:lastRenderedPageBreak/>
        <w:t>The submission claim</w:t>
      </w:r>
      <w:r w:rsidR="00501E39" w:rsidRPr="00C13E80">
        <w:rPr>
          <w:rFonts w:eastAsia="Calibri"/>
        </w:rPr>
        <w:t>ed</w:t>
      </w:r>
      <w:r w:rsidRPr="00C13E80">
        <w:rPr>
          <w:rFonts w:eastAsia="Calibri"/>
        </w:rPr>
        <w:t xml:space="preserve"> that, overall, the evidence support</w:t>
      </w:r>
      <w:r w:rsidR="00787D57" w:rsidRPr="00C13E80">
        <w:rPr>
          <w:rFonts w:eastAsia="Calibri"/>
        </w:rPr>
        <w:t>ed</w:t>
      </w:r>
      <w:r w:rsidRPr="00C13E80">
        <w:rPr>
          <w:rFonts w:eastAsia="Calibri"/>
        </w:rPr>
        <w:t xml:space="preserve"> uncertain comparative efficacy for molnupiravir versus nirmatrelvir and ritonavir. </w:t>
      </w:r>
      <w:r w:rsidR="00BD0436" w:rsidRPr="00C13E80">
        <w:rPr>
          <w:rFonts w:eastAsia="Calibri"/>
        </w:rPr>
        <w:t xml:space="preserve">The </w:t>
      </w:r>
      <w:r w:rsidR="002C2CF8" w:rsidRPr="00C13E80">
        <w:rPr>
          <w:color w:val="000000" w:themeColor="text1"/>
        </w:rPr>
        <w:t>PBAC</w:t>
      </w:r>
      <w:r w:rsidR="00BD0436" w:rsidRPr="00C13E80">
        <w:rPr>
          <w:color w:val="000000" w:themeColor="text1"/>
        </w:rPr>
        <w:t xml:space="preserve"> considered that the </w:t>
      </w:r>
      <w:r w:rsidR="00501E39" w:rsidRPr="00C13E80">
        <w:rPr>
          <w:color w:val="000000" w:themeColor="text1"/>
        </w:rPr>
        <w:t xml:space="preserve">overall body of </w:t>
      </w:r>
      <w:r w:rsidR="00501E39" w:rsidRPr="00C13E80">
        <w:t xml:space="preserve">evidence </w:t>
      </w:r>
      <w:r w:rsidR="009354C0" w:rsidRPr="00C13E80">
        <w:t>sourced from</w:t>
      </w:r>
      <w:r w:rsidR="00501E39" w:rsidRPr="00C13E80">
        <w:t xml:space="preserve"> both randomised and observational trials, suggested </w:t>
      </w:r>
      <w:r w:rsidR="00BD0436" w:rsidRPr="00C13E80">
        <w:t xml:space="preserve">that nirmatrelvir and ritonavir </w:t>
      </w:r>
      <w:r w:rsidR="00501E39" w:rsidRPr="00C13E80">
        <w:t>was</w:t>
      </w:r>
      <w:r w:rsidR="00BD0436" w:rsidRPr="00C13E80">
        <w:t xml:space="preserve"> </w:t>
      </w:r>
      <w:r w:rsidR="000408C9" w:rsidRPr="00C13E80">
        <w:t xml:space="preserve">likely </w:t>
      </w:r>
      <w:r w:rsidR="00BD0436" w:rsidRPr="00C13E80">
        <w:t>more effective than molnupiravir</w:t>
      </w:r>
      <w:r w:rsidR="00501E39" w:rsidRPr="00C13E80">
        <w:t xml:space="preserve"> (</w:t>
      </w:r>
      <w:r w:rsidR="00501E39" w:rsidRPr="00C13E80">
        <w:fldChar w:fldCharType="begin" w:fldLock="1"/>
      </w:r>
      <w:r w:rsidR="00501E39" w:rsidRPr="00C13E80">
        <w:instrText xml:space="preserve"> REF _Ref134387665 \h  \* MERGEFORMAT </w:instrText>
      </w:r>
      <w:r w:rsidR="00501E39" w:rsidRPr="00C13E80">
        <w:fldChar w:fldCharType="separate"/>
      </w:r>
      <w:r w:rsidR="00701DEF" w:rsidRPr="00701DEF">
        <w:t>Table 7</w:t>
      </w:r>
      <w:r w:rsidR="00501E39" w:rsidRPr="00C13E80">
        <w:fldChar w:fldCharType="end"/>
      </w:r>
      <w:r w:rsidR="00501E39" w:rsidRPr="00C13E80">
        <w:t>)</w:t>
      </w:r>
      <w:r w:rsidR="00BD0436" w:rsidRPr="00C13E80">
        <w:t xml:space="preserve">. </w:t>
      </w:r>
      <w:r w:rsidR="0033251C" w:rsidRPr="00C13E80">
        <w:t xml:space="preserve">The PBAC considered that the </w:t>
      </w:r>
      <w:r w:rsidR="005E0006" w:rsidRPr="00C13E80">
        <w:t xml:space="preserve">submission’s </w:t>
      </w:r>
      <w:r w:rsidR="0033251C" w:rsidRPr="00C13E80">
        <w:t>claim of uncertain comparative efficacy was not adequately supported by the data</w:t>
      </w:r>
      <w:r w:rsidR="00CC3717" w:rsidRPr="00C13E80">
        <w:t xml:space="preserve">, and that </w:t>
      </w:r>
      <w:r w:rsidR="00CC3717" w:rsidRPr="00C13E80">
        <w:rPr>
          <w:iCs/>
        </w:rPr>
        <w:fldChar w:fldCharType="begin" w:fldLock="1"/>
      </w:r>
      <w:r w:rsidR="00CC3717" w:rsidRPr="00C13E80">
        <w:rPr>
          <w:iCs/>
        </w:rPr>
        <w:instrText xml:space="preserve"> REF _Ref134387665 \h  \* MERGEFORMAT </w:instrText>
      </w:r>
      <w:r w:rsidR="00CC3717" w:rsidRPr="00C13E80">
        <w:rPr>
          <w:iCs/>
        </w:rPr>
      </w:r>
      <w:r w:rsidR="00CC3717" w:rsidRPr="00C13E80">
        <w:rPr>
          <w:iCs/>
        </w:rPr>
        <w:fldChar w:fldCharType="separate"/>
      </w:r>
      <w:r w:rsidR="00701DEF" w:rsidRPr="00701DEF">
        <w:rPr>
          <w:iCs/>
        </w:rPr>
        <w:t>Table 7</w:t>
      </w:r>
      <w:r w:rsidR="00CC3717" w:rsidRPr="00C13E80">
        <w:rPr>
          <w:iCs/>
        </w:rPr>
        <w:fldChar w:fldCharType="end"/>
      </w:r>
      <w:r w:rsidR="00CC3717" w:rsidRPr="00C13E80">
        <w:rPr>
          <w:iCs/>
        </w:rPr>
        <w:t xml:space="preserve"> showed </w:t>
      </w:r>
      <w:r w:rsidR="00CC3717" w:rsidRPr="00C13E80">
        <w:rPr>
          <w:iCs/>
          <w:color w:val="000000" w:themeColor="text1"/>
        </w:rPr>
        <w:t>a consistent trend across studies toward greater reductions in risk of hospitalisation and death with nirmatrelvir and ritonavir compared to molnupiravir. The PBAC maintained its previous advice that nirmatrelvir and ritonavir is preferred in a scenario where both oral antivirals are able to be used</w:t>
      </w:r>
      <w:r w:rsidR="00F870EA" w:rsidRPr="00C13E80">
        <w:rPr>
          <w:iCs/>
          <w:color w:val="000000" w:themeColor="text1"/>
        </w:rPr>
        <w:t xml:space="preserve">. </w:t>
      </w:r>
      <w:r w:rsidR="00BD0436" w:rsidRPr="00C13E80">
        <w:t>Relative safety could not be reliably ascertained based on the available evidence.</w:t>
      </w:r>
      <w:bookmarkEnd w:id="66"/>
    </w:p>
    <w:p w14:paraId="74A1172E" w14:textId="128C170E" w:rsidR="00B60939" w:rsidRPr="00C13E80" w:rsidRDefault="00B60939" w:rsidP="00E9094A">
      <w:pPr>
        <w:pStyle w:val="4-SubsectionHeading"/>
      </w:pPr>
      <w:bookmarkStart w:id="67" w:name="_Toc22897645"/>
      <w:bookmarkStart w:id="68" w:name="_Toc135232225"/>
      <w:r w:rsidRPr="00C13E80">
        <w:t>Economic analysis</w:t>
      </w:r>
      <w:bookmarkEnd w:id="67"/>
      <w:bookmarkEnd w:id="68"/>
      <w:r w:rsidR="00491B3A" w:rsidRPr="00C13E80">
        <w:t xml:space="preserve"> </w:t>
      </w:r>
    </w:p>
    <w:p w14:paraId="16C8653C" w14:textId="0C02FE8D" w:rsidR="008C5739" w:rsidRPr="00C13E80" w:rsidRDefault="00C42B6E" w:rsidP="00B46FE9">
      <w:pPr>
        <w:pStyle w:val="3-BodyText"/>
        <w:rPr>
          <w:color w:val="000000" w:themeColor="text1"/>
        </w:rPr>
      </w:pPr>
      <w:r w:rsidRPr="00C13E80">
        <w:rPr>
          <w:color w:val="000000" w:themeColor="text1"/>
        </w:rPr>
        <w:t>The submission presented a cost-utility analysis</w:t>
      </w:r>
      <w:r w:rsidR="00551952" w:rsidRPr="00C13E80">
        <w:rPr>
          <w:color w:val="000000" w:themeColor="text1"/>
        </w:rPr>
        <w:t>, consistent with the claim</w:t>
      </w:r>
      <w:r w:rsidRPr="00C13E80">
        <w:rPr>
          <w:color w:val="000000" w:themeColor="text1"/>
        </w:rPr>
        <w:t xml:space="preserve"> of therapeutic superiority over usual care.</w:t>
      </w:r>
      <w:r w:rsidR="00F870EA" w:rsidRPr="00C13E80">
        <w:rPr>
          <w:color w:val="000000" w:themeColor="text1"/>
        </w:rPr>
        <w:t xml:space="preserve"> </w:t>
      </w:r>
      <w:r w:rsidR="002E653A" w:rsidRPr="00C13E80">
        <w:rPr>
          <w:color w:val="000000" w:themeColor="text1"/>
        </w:rPr>
        <w:fldChar w:fldCharType="begin" w:fldLock="1"/>
      </w:r>
      <w:r w:rsidR="002E653A" w:rsidRPr="00C13E80">
        <w:rPr>
          <w:color w:val="000000" w:themeColor="text1"/>
        </w:rPr>
        <w:instrText xml:space="preserve"> REF _Ref134521345 \h </w:instrText>
      </w:r>
      <w:r w:rsidR="002E653A" w:rsidRPr="00C13E80">
        <w:rPr>
          <w:color w:val="000000" w:themeColor="text1"/>
        </w:rPr>
      </w:r>
      <w:r w:rsidR="002E653A" w:rsidRPr="00C13E80">
        <w:rPr>
          <w:color w:val="000000" w:themeColor="text1"/>
        </w:rPr>
        <w:fldChar w:fldCharType="separate"/>
      </w:r>
      <w:r w:rsidR="00701DEF" w:rsidRPr="00C13E80">
        <w:t xml:space="preserve">Table </w:t>
      </w:r>
      <w:r w:rsidR="00701DEF">
        <w:rPr>
          <w:noProof/>
        </w:rPr>
        <w:t>9</w:t>
      </w:r>
      <w:r w:rsidR="002E653A" w:rsidRPr="00C13E80">
        <w:rPr>
          <w:color w:val="000000" w:themeColor="text1"/>
        </w:rPr>
        <w:fldChar w:fldCharType="end"/>
      </w:r>
      <w:r w:rsidR="00DD467C">
        <w:rPr>
          <w:color w:val="000000" w:themeColor="text1"/>
        </w:rPr>
        <w:t xml:space="preserve"> </w:t>
      </w:r>
      <w:r w:rsidR="002E653A" w:rsidRPr="00C13E80">
        <w:rPr>
          <w:color w:val="000000" w:themeColor="text1"/>
        </w:rPr>
        <w:t xml:space="preserve">summarises the key features and key inputs to the modelled economic analysis. </w:t>
      </w:r>
    </w:p>
    <w:p w14:paraId="15A9AFA4" w14:textId="7F999374" w:rsidR="00275C5A" w:rsidRPr="00C13E80" w:rsidRDefault="00E16AD8" w:rsidP="00E16AD8">
      <w:pPr>
        <w:pStyle w:val="Caption"/>
        <w:jc w:val="left"/>
        <w:rPr>
          <w:rStyle w:val="CommentReference"/>
          <w:b/>
          <w:szCs w:val="24"/>
        </w:rPr>
      </w:pPr>
      <w:bookmarkStart w:id="69" w:name="_Ref134521345"/>
      <w:r w:rsidRPr="00C13E80">
        <w:lastRenderedPageBreak/>
        <w:t xml:space="preserve">Table </w:t>
      </w:r>
      <w:r w:rsidR="00567EAC">
        <w:fldChar w:fldCharType="begin" w:fldLock="1"/>
      </w:r>
      <w:r w:rsidR="00567EAC">
        <w:instrText xml:space="preserve"> SEQ Table \* ARABIC </w:instrText>
      </w:r>
      <w:r w:rsidR="00567EAC">
        <w:fldChar w:fldCharType="separate"/>
      </w:r>
      <w:r w:rsidR="00701DEF">
        <w:rPr>
          <w:noProof/>
        </w:rPr>
        <w:t>9</w:t>
      </w:r>
      <w:r w:rsidR="00567EAC">
        <w:rPr>
          <w:noProof/>
        </w:rPr>
        <w:fldChar w:fldCharType="end"/>
      </w:r>
      <w:bookmarkEnd w:id="69"/>
      <w:r w:rsidRPr="00C13E80">
        <w:t>:</w:t>
      </w:r>
      <w:r w:rsidR="00275C5A" w:rsidRPr="00C13E80">
        <w:rPr>
          <w:rStyle w:val="CommentReference"/>
          <w:b/>
          <w:szCs w:val="24"/>
        </w:rPr>
        <w:t xml:space="preserve"> Summary of model structure</w:t>
      </w:r>
      <w:r w:rsidR="00285439" w:rsidRPr="00C13E80">
        <w:rPr>
          <w:rStyle w:val="CommentReference"/>
          <w:b/>
          <w:szCs w:val="24"/>
        </w:rPr>
        <w:t xml:space="preserve"> and </w:t>
      </w:r>
      <w:r w:rsidR="00184B0E" w:rsidRPr="00C13E80">
        <w:rPr>
          <w:rStyle w:val="CommentReference"/>
          <w:b/>
          <w:szCs w:val="24"/>
        </w:rPr>
        <w:t>key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275C5A" w:rsidRPr="00E27974" w14:paraId="48BB958D" w14:textId="77777777" w:rsidTr="00E27974">
        <w:trPr>
          <w:tblHeader/>
        </w:trPr>
        <w:tc>
          <w:tcPr>
            <w:tcW w:w="1396" w:type="pct"/>
            <w:shd w:val="clear" w:color="auto" w:fill="D9D9D9" w:themeFill="background1" w:themeFillShade="D9"/>
            <w:vAlign w:val="center"/>
          </w:tcPr>
          <w:p w14:paraId="29C3D629" w14:textId="77777777" w:rsidR="00275C5A" w:rsidRPr="00E27974" w:rsidRDefault="00275C5A" w:rsidP="00641FB3">
            <w:pPr>
              <w:pStyle w:val="In-tableHeading"/>
              <w:rPr>
                <w:szCs w:val="20"/>
                <w:lang w:val="en-AU"/>
              </w:rPr>
            </w:pPr>
            <w:r w:rsidRPr="00E27974">
              <w:rPr>
                <w:szCs w:val="20"/>
                <w:lang w:val="en-AU"/>
              </w:rPr>
              <w:t>Component</w:t>
            </w:r>
          </w:p>
        </w:tc>
        <w:tc>
          <w:tcPr>
            <w:tcW w:w="3604" w:type="pct"/>
            <w:shd w:val="clear" w:color="auto" w:fill="D9D9D9" w:themeFill="background1" w:themeFillShade="D9"/>
            <w:vAlign w:val="center"/>
          </w:tcPr>
          <w:p w14:paraId="58FBA37B" w14:textId="77777777" w:rsidR="00275C5A" w:rsidRPr="00E27974" w:rsidRDefault="00275C5A" w:rsidP="00641FB3">
            <w:pPr>
              <w:pStyle w:val="In-tableHeading"/>
              <w:rPr>
                <w:szCs w:val="20"/>
                <w:lang w:val="en-AU"/>
              </w:rPr>
            </w:pPr>
            <w:r w:rsidRPr="00E27974">
              <w:rPr>
                <w:szCs w:val="20"/>
                <w:lang w:val="en-AU"/>
              </w:rPr>
              <w:t>Summary</w:t>
            </w:r>
          </w:p>
        </w:tc>
      </w:tr>
      <w:tr w:rsidR="000A6039" w:rsidRPr="00E27974" w14:paraId="7476B2FD" w14:textId="77777777" w:rsidTr="006B35E6">
        <w:tc>
          <w:tcPr>
            <w:tcW w:w="1396" w:type="pct"/>
            <w:shd w:val="clear" w:color="auto" w:fill="auto"/>
            <w:vAlign w:val="center"/>
          </w:tcPr>
          <w:p w14:paraId="5FA8442E" w14:textId="27CD0EEA" w:rsidR="000A6039" w:rsidRPr="00E27974" w:rsidRDefault="000A6039" w:rsidP="00BB00B3">
            <w:pPr>
              <w:pStyle w:val="TableText0"/>
              <w:rPr>
                <w:szCs w:val="20"/>
              </w:rPr>
            </w:pPr>
            <w:r w:rsidRPr="00E27974">
              <w:rPr>
                <w:szCs w:val="20"/>
              </w:rPr>
              <w:t>Treatments</w:t>
            </w:r>
          </w:p>
        </w:tc>
        <w:tc>
          <w:tcPr>
            <w:tcW w:w="3604" w:type="pct"/>
            <w:shd w:val="clear" w:color="auto" w:fill="auto"/>
            <w:vAlign w:val="center"/>
          </w:tcPr>
          <w:p w14:paraId="554C8AD3" w14:textId="7A47224C" w:rsidR="000A6039" w:rsidRPr="00E27974" w:rsidRDefault="00AC41B2" w:rsidP="00BB00B3">
            <w:pPr>
              <w:pStyle w:val="TableText0"/>
              <w:rPr>
                <w:szCs w:val="20"/>
              </w:rPr>
            </w:pPr>
            <w:r w:rsidRPr="00E27974">
              <w:rPr>
                <w:szCs w:val="20"/>
              </w:rPr>
              <w:t>Molnupiravir vs usual care</w:t>
            </w:r>
          </w:p>
        </w:tc>
      </w:tr>
      <w:tr w:rsidR="00275C5A" w:rsidRPr="00E27974" w14:paraId="6A8D84D4" w14:textId="77777777" w:rsidTr="006B35E6">
        <w:tc>
          <w:tcPr>
            <w:tcW w:w="1396" w:type="pct"/>
            <w:shd w:val="clear" w:color="auto" w:fill="auto"/>
            <w:vAlign w:val="center"/>
          </w:tcPr>
          <w:p w14:paraId="5F652354" w14:textId="77777777" w:rsidR="00275C5A" w:rsidRPr="00E27974" w:rsidRDefault="00275C5A" w:rsidP="00BB00B3">
            <w:pPr>
              <w:pStyle w:val="TableText0"/>
              <w:rPr>
                <w:szCs w:val="20"/>
              </w:rPr>
            </w:pPr>
            <w:r w:rsidRPr="00E27974">
              <w:rPr>
                <w:szCs w:val="20"/>
              </w:rPr>
              <w:t>Time horizon</w:t>
            </w:r>
          </w:p>
        </w:tc>
        <w:tc>
          <w:tcPr>
            <w:tcW w:w="3604" w:type="pct"/>
            <w:shd w:val="clear" w:color="auto" w:fill="auto"/>
            <w:vAlign w:val="center"/>
          </w:tcPr>
          <w:p w14:paraId="460936F1" w14:textId="56C7347A" w:rsidR="00275C5A" w:rsidRPr="00E27974" w:rsidRDefault="00AC41B2" w:rsidP="00BB00B3">
            <w:pPr>
              <w:pStyle w:val="TableText0"/>
              <w:rPr>
                <w:szCs w:val="20"/>
              </w:rPr>
            </w:pPr>
            <w:r w:rsidRPr="00E27974">
              <w:rPr>
                <w:szCs w:val="20"/>
              </w:rPr>
              <w:t>Lifetime time horizon</w:t>
            </w:r>
          </w:p>
        </w:tc>
      </w:tr>
      <w:tr w:rsidR="00275C5A" w:rsidRPr="00E27974" w14:paraId="003209BF" w14:textId="77777777" w:rsidTr="006B35E6">
        <w:tc>
          <w:tcPr>
            <w:tcW w:w="1396" w:type="pct"/>
            <w:shd w:val="clear" w:color="auto" w:fill="auto"/>
            <w:vAlign w:val="center"/>
          </w:tcPr>
          <w:p w14:paraId="522DAB95" w14:textId="77777777" w:rsidR="00275C5A" w:rsidRPr="00E27974" w:rsidRDefault="00275C5A" w:rsidP="00BB00B3">
            <w:pPr>
              <w:pStyle w:val="TableText0"/>
              <w:rPr>
                <w:szCs w:val="20"/>
              </w:rPr>
            </w:pPr>
            <w:r w:rsidRPr="00E27974">
              <w:rPr>
                <w:szCs w:val="20"/>
              </w:rPr>
              <w:t>Outcomes</w:t>
            </w:r>
          </w:p>
        </w:tc>
        <w:tc>
          <w:tcPr>
            <w:tcW w:w="3604" w:type="pct"/>
            <w:shd w:val="clear" w:color="auto" w:fill="auto"/>
            <w:vAlign w:val="center"/>
          </w:tcPr>
          <w:p w14:paraId="0C81683C" w14:textId="043E275F" w:rsidR="00275C5A" w:rsidRPr="00E27974" w:rsidRDefault="00AC41B2" w:rsidP="00BB00B3">
            <w:pPr>
              <w:pStyle w:val="TableText0"/>
              <w:rPr>
                <w:szCs w:val="20"/>
              </w:rPr>
            </w:pPr>
            <w:r w:rsidRPr="00E27974">
              <w:rPr>
                <w:szCs w:val="20"/>
              </w:rPr>
              <w:t>QALYs</w:t>
            </w:r>
            <w:r w:rsidR="004E7C0B" w:rsidRPr="00E27974">
              <w:rPr>
                <w:szCs w:val="20"/>
              </w:rPr>
              <w:t xml:space="preserve"> gained</w:t>
            </w:r>
          </w:p>
          <w:p w14:paraId="3D1C428E" w14:textId="08D99EAB" w:rsidR="00AC41B2" w:rsidRPr="00E27974" w:rsidRDefault="00AC41B2" w:rsidP="00BB00B3">
            <w:pPr>
              <w:pStyle w:val="TableText0"/>
              <w:rPr>
                <w:szCs w:val="20"/>
              </w:rPr>
            </w:pPr>
            <w:r w:rsidRPr="00E27974">
              <w:rPr>
                <w:szCs w:val="20"/>
              </w:rPr>
              <w:t>Life years</w:t>
            </w:r>
            <w:r w:rsidR="004E7C0B" w:rsidRPr="00E27974">
              <w:rPr>
                <w:szCs w:val="20"/>
              </w:rPr>
              <w:t xml:space="preserve"> gained</w:t>
            </w:r>
          </w:p>
        </w:tc>
      </w:tr>
      <w:tr w:rsidR="00275C5A" w:rsidRPr="00E27974" w14:paraId="29120B3F" w14:textId="77777777" w:rsidTr="006B35E6">
        <w:tc>
          <w:tcPr>
            <w:tcW w:w="1396" w:type="pct"/>
            <w:shd w:val="clear" w:color="auto" w:fill="auto"/>
            <w:vAlign w:val="center"/>
          </w:tcPr>
          <w:p w14:paraId="1AAC94CB" w14:textId="77777777" w:rsidR="00275C5A" w:rsidRPr="00E27974" w:rsidRDefault="00275C5A" w:rsidP="00BB00B3">
            <w:pPr>
              <w:pStyle w:val="TableText0"/>
              <w:rPr>
                <w:szCs w:val="20"/>
              </w:rPr>
            </w:pPr>
            <w:r w:rsidRPr="00E27974">
              <w:rPr>
                <w:szCs w:val="20"/>
              </w:rPr>
              <w:t>Methods used to generate results</w:t>
            </w:r>
          </w:p>
        </w:tc>
        <w:tc>
          <w:tcPr>
            <w:tcW w:w="3604" w:type="pct"/>
            <w:shd w:val="clear" w:color="auto" w:fill="auto"/>
            <w:vAlign w:val="center"/>
          </w:tcPr>
          <w:p w14:paraId="33505DF5" w14:textId="77777777" w:rsidR="00275C5A" w:rsidRPr="00E27974" w:rsidRDefault="005077BC" w:rsidP="00BB00B3">
            <w:pPr>
              <w:pStyle w:val="TableText0"/>
              <w:rPr>
                <w:szCs w:val="20"/>
              </w:rPr>
            </w:pPr>
            <w:r w:rsidRPr="00E27974">
              <w:rPr>
                <w:szCs w:val="20"/>
              </w:rPr>
              <w:t>Year 1: decision tree analysis</w:t>
            </w:r>
          </w:p>
          <w:p w14:paraId="69D4F042" w14:textId="26DA26E9" w:rsidR="005077BC" w:rsidRPr="00E27974" w:rsidRDefault="005077BC" w:rsidP="00BB00B3">
            <w:pPr>
              <w:pStyle w:val="TableText0"/>
              <w:rPr>
                <w:szCs w:val="20"/>
              </w:rPr>
            </w:pPr>
            <w:r w:rsidRPr="00E27974">
              <w:rPr>
                <w:szCs w:val="20"/>
              </w:rPr>
              <w:t>Beyond year 1: Markov model</w:t>
            </w:r>
          </w:p>
        </w:tc>
      </w:tr>
      <w:tr w:rsidR="00275C5A" w:rsidRPr="00E27974" w14:paraId="7F7ACECA" w14:textId="77777777" w:rsidTr="006B35E6">
        <w:tc>
          <w:tcPr>
            <w:tcW w:w="1396" w:type="pct"/>
            <w:shd w:val="clear" w:color="auto" w:fill="auto"/>
            <w:vAlign w:val="center"/>
          </w:tcPr>
          <w:p w14:paraId="344631D3" w14:textId="77777777" w:rsidR="00275C5A" w:rsidRPr="00E27974" w:rsidRDefault="00275C5A" w:rsidP="00BB00B3">
            <w:pPr>
              <w:pStyle w:val="TableText0"/>
              <w:rPr>
                <w:szCs w:val="20"/>
              </w:rPr>
            </w:pPr>
            <w:r w:rsidRPr="00E27974">
              <w:rPr>
                <w:szCs w:val="20"/>
              </w:rPr>
              <w:t>Health states</w:t>
            </w:r>
          </w:p>
        </w:tc>
        <w:tc>
          <w:tcPr>
            <w:tcW w:w="3604" w:type="pct"/>
            <w:shd w:val="clear" w:color="auto" w:fill="auto"/>
            <w:vAlign w:val="center"/>
          </w:tcPr>
          <w:p w14:paraId="3038372F" w14:textId="56A56693" w:rsidR="00795A76" w:rsidRPr="00E27974" w:rsidRDefault="00795A76" w:rsidP="00BA4A21">
            <w:pPr>
              <w:pStyle w:val="TableText0"/>
              <w:rPr>
                <w:szCs w:val="20"/>
                <w:u w:val="single"/>
              </w:rPr>
            </w:pPr>
            <w:r w:rsidRPr="00E27974">
              <w:rPr>
                <w:szCs w:val="20"/>
                <w:u w:val="single"/>
              </w:rPr>
              <w:t>Decision tree analysis:</w:t>
            </w:r>
          </w:p>
          <w:p w14:paraId="001FCE46" w14:textId="69384EE9" w:rsidR="00BA4A21" w:rsidRPr="00E27974" w:rsidRDefault="00BA4A21" w:rsidP="00BA4A21">
            <w:pPr>
              <w:pStyle w:val="TableText0"/>
              <w:rPr>
                <w:szCs w:val="20"/>
              </w:rPr>
            </w:pPr>
            <w:r w:rsidRPr="00E27974">
              <w:rPr>
                <w:szCs w:val="20"/>
              </w:rPr>
              <w:t>Outpatient</w:t>
            </w:r>
          </w:p>
          <w:p w14:paraId="5F3912BE" w14:textId="77777777" w:rsidR="00BA4A21" w:rsidRPr="00E27974" w:rsidRDefault="00BA4A21" w:rsidP="00BA4A21">
            <w:pPr>
              <w:pStyle w:val="TableText0"/>
              <w:rPr>
                <w:szCs w:val="20"/>
              </w:rPr>
            </w:pPr>
            <w:r w:rsidRPr="00E27974">
              <w:rPr>
                <w:szCs w:val="20"/>
              </w:rPr>
              <w:t>Inpatient, general ward</w:t>
            </w:r>
          </w:p>
          <w:p w14:paraId="2B90EF86" w14:textId="77777777" w:rsidR="00BA4A21" w:rsidRPr="00E27974" w:rsidRDefault="00BA4A21" w:rsidP="00BA4A21">
            <w:pPr>
              <w:pStyle w:val="TableText0"/>
              <w:rPr>
                <w:szCs w:val="20"/>
              </w:rPr>
            </w:pPr>
            <w:r w:rsidRPr="00E27974">
              <w:rPr>
                <w:szCs w:val="20"/>
              </w:rPr>
              <w:t>Inpatient, ICU without mechanical ventilation</w:t>
            </w:r>
          </w:p>
          <w:p w14:paraId="7241AA23" w14:textId="77777777" w:rsidR="00BA4A21" w:rsidRPr="00E27974" w:rsidRDefault="00BA4A21" w:rsidP="00BA4A21">
            <w:pPr>
              <w:pStyle w:val="TableText0"/>
              <w:rPr>
                <w:szCs w:val="20"/>
              </w:rPr>
            </w:pPr>
            <w:r w:rsidRPr="00E27974">
              <w:rPr>
                <w:szCs w:val="20"/>
              </w:rPr>
              <w:t>Inpatient, ICU with mechanical ventilation</w:t>
            </w:r>
          </w:p>
          <w:p w14:paraId="5C290556" w14:textId="77777777" w:rsidR="00BA4A21" w:rsidRPr="00E27974" w:rsidRDefault="00BA4A21" w:rsidP="00BA4A21">
            <w:pPr>
              <w:pStyle w:val="TableText0"/>
              <w:rPr>
                <w:szCs w:val="20"/>
              </w:rPr>
            </w:pPr>
            <w:r w:rsidRPr="00E27974">
              <w:rPr>
                <w:szCs w:val="20"/>
              </w:rPr>
              <w:t>Hospital readmission</w:t>
            </w:r>
          </w:p>
          <w:p w14:paraId="2CBEA190" w14:textId="78521F03" w:rsidR="00BA4A21" w:rsidRPr="00E27974" w:rsidRDefault="00BA4A21" w:rsidP="00BA4A21">
            <w:pPr>
              <w:pStyle w:val="TableText0"/>
              <w:rPr>
                <w:szCs w:val="20"/>
              </w:rPr>
            </w:pPr>
            <w:r w:rsidRPr="00E27974">
              <w:rPr>
                <w:szCs w:val="20"/>
              </w:rPr>
              <w:t>Survive without long COVID</w:t>
            </w:r>
          </w:p>
          <w:p w14:paraId="2848EBAE" w14:textId="77777777" w:rsidR="00BA4A21" w:rsidRPr="00E27974" w:rsidRDefault="00BA4A21" w:rsidP="00BA4A21">
            <w:pPr>
              <w:pStyle w:val="TableText0"/>
              <w:rPr>
                <w:szCs w:val="20"/>
              </w:rPr>
            </w:pPr>
            <w:r w:rsidRPr="00E27974">
              <w:rPr>
                <w:szCs w:val="20"/>
              </w:rPr>
              <w:t>Survive with long COVID</w:t>
            </w:r>
          </w:p>
          <w:p w14:paraId="2498D8F7" w14:textId="5FE932A1" w:rsidR="00795A76" w:rsidRPr="00E27974" w:rsidRDefault="00795A76" w:rsidP="00BA4A21">
            <w:pPr>
              <w:pStyle w:val="TableText0"/>
              <w:rPr>
                <w:szCs w:val="20"/>
                <w:u w:val="single"/>
              </w:rPr>
            </w:pPr>
            <w:r w:rsidRPr="00E27974">
              <w:rPr>
                <w:szCs w:val="20"/>
                <w:u w:val="single"/>
              </w:rPr>
              <w:t>Markov model:</w:t>
            </w:r>
          </w:p>
          <w:p w14:paraId="108627F0" w14:textId="4A20EEC5" w:rsidR="00BA4A21" w:rsidRPr="00E27974" w:rsidRDefault="00BA4A21" w:rsidP="00BA4A21">
            <w:pPr>
              <w:pStyle w:val="TableText0"/>
              <w:rPr>
                <w:szCs w:val="20"/>
              </w:rPr>
            </w:pPr>
            <w:r w:rsidRPr="00E27974">
              <w:rPr>
                <w:szCs w:val="20"/>
              </w:rPr>
              <w:t xml:space="preserve">Alive </w:t>
            </w:r>
            <w:r w:rsidR="00A34CAB" w:rsidRPr="00E27974">
              <w:rPr>
                <w:szCs w:val="20"/>
              </w:rPr>
              <w:t>and fully</w:t>
            </w:r>
            <w:r w:rsidRPr="00E27974">
              <w:rPr>
                <w:szCs w:val="20"/>
              </w:rPr>
              <w:t xml:space="preserve"> recovered</w:t>
            </w:r>
          </w:p>
          <w:p w14:paraId="03F23F80" w14:textId="05B6DEBC" w:rsidR="00275C5A" w:rsidRPr="00E27974" w:rsidRDefault="00BA4A21" w:rsidP="00BA4A21">
            <w:pPr>
              <w:pStyle w:val="TableText0"/>
              <w:rPr>
                <w:szCs w:val="20"/>
              </w:rPr>
            </w:pPr>
            <w:r w:rsidRPr="00E27974">
              <w:rPr>
                <w:szCs w:val="20"/>
              </w:rPr>
              <w:t>Dead</w:t>
            </w:r>
          </w:p>
        </w:tc>
      </w:tr>
      <w:tr w:rsidR="00275C5A" w:rsidRPr="00E27974" w14:paraId="7F944EEA" w14:textId="77777777" w:rsidTr="006B35E6">
        <w:tc>
          <w:tcPr>
            <w:tcW w:w="1396" w:type="pct"/>
            <w:shd w:val="clear" w:color="auto" w:fill="auto"/>
            <w:vAlign w:val="center"/>
          </w:tcPr>
          <w:p w14:paraId="255C0B8D" w14:textId="77777777" w:rsidR="00275C5A" w:rsidRPr="00E27974" w:rsidRDefault="00275C5A" w:rsidP="00BB00B3">
            <w:pPr>
              <w:pStyle w:val="TableText0"/>
              <w:rPr>
                <w:szCs w:val="20"/>
              </w:rPr>
            </w:pPr>
            <w:r w:rsidRPr="00E27974">
              <w:rPr>
                <w:szCs w:val="20"/>
              </w:rPr>
              <w:t>Cycle length</w:t>
            </w:r>
          </w:p>
        </w:tc>
        <w:tc>
          <w:tcPr>
            <w:tcW w:w="3604" w:type="pct"/>
            <w:shd w:val="clear" w:color="auto" w:fill="auto"/>
            <w:vAlign w:val="center"/>
          </w:tcPr>
          <w:p w14:paraId="7C017E5E" w14:textId="77777777" w:rsidR="001E4AC5" w:rsidRPr="00E27974" w:rsidRDefault="001E4AC5" w:rsidP="001E4AC5">
            <w:pPr>
              <w:pStyle w:val="TableText0"/>
              <w:rPr>
                <w:szCs w:val="20"/>
              </w:rPr>
            </w:pPr>
            <w:r w:rsidRPr="00E27974">
              <w:rPr>
                <w:szCs w:val="20"/>
              </w:rPr>
              <w:t>30 days (month 1 of the model)</w:t>
            </w:r>
          </w:p>
          <w:p w14:paraId="6059C499" w14:textId="77777777" w:rsidR="001E4AC5" w:rsidRPr="00E27974" w:rsidRDefault="001E4AC5" w:rsidP="001E4AC5">
            <w:pPr>
              <w:pStyle w:val="TableText0"/>
              <w:rPr>
                <w:szCs w:val="20"/>
              </w:rPr>
            </w:pPr>
            <w:r w:rsidRPr="00E27974">
              <w:rPr>
                <w:szCs w:val="20"/>
              </w:rPr>
              <w:t>One month (months 2-12 of the model)</w:t>
            </w:r>
          </w:p>
          <w:p w14:paraId="5733F6EA" w14:textId="6ED80383" w:rsidR="00275C5A" w:rsidRPr="00E27974" w:rsidRDefault="001E4AC5" w:rsidP="001E4AC5">
            <w:pPr>
              <w:pStyle w:val="TableText0"/>
              <w:rPr>
                <w:szCs w:val="20"/>
              </w:rPr>
            </w:pPr>
            <w:r w:rsidRPr="00E27974">
              <w:rPr>
                <w:szCs w:val="20"/>
              </w:rPr>
              <w:t>One year (beyond year 1 of the model)</w:t>
            </w:r>
          </w:p>
        </w:tc>
      </w:tr>
      <w:tr w:rsidR="0014488F" w:rsidRPr="00E27974" w14:paraId="14860F88" w14:textId="77777777" w:rsidTr="006B35E6">
        <w:tc>
          <w:tcPr>
            <w:tcW w:w="1396" w:type="pct"/>
            <w:shd w:val="clear" w:color="auto" w:fill="auto"/>
            <w:vAlign w:val="center"/>
          </w:tcPr>
          <w:p w14:paraId="392383AF" w14:textId="5C172080" w:rsidR="0014488F" w:rsidRPr="00E27974" w:rsidRDefault="0014488F" w:rsidP="0014488F">
            <w:pPr>
              <w:pStyle w:val="TableText0"/>
              <w:rPr>
                <w:szCs w:val="20"/>
              </w:rPr>
            </w:pPr>
            <w:r w:rsidRPr="00E27974">
              <w:rPr>
                <w:szCs w:val="20"/>
              </w:rPr>
              <w:t>Baseline rates</w:t>
            </w:r>
            <w:r w:rsidR="008A728B" w:rsidRPr="00E27974">
              <w:rPr>
                <w:szCs w:val="20"/>
              </w:rPr>
              <w:t xml:space="preserve"> of hospitalisation and death</w:t>
            </w:r>
          </w:p>
        </w:tc>
        <w:tc>
          <w:tcPr>
            <w:tcW w:w="3604" w:type="pct"/>
            <w:shd w:val="clear" w:color="auto" w:fill="auto"/>
            <w:vAlign w:val="center"/>
          </w:tcPr>
          <w:p w14:paraId="35E9A417" w14:textId="77777777" w:rsidR="0014488F" w:rsidRPr="00E27974" w:rsidRDefault="0014488F" w:rsidP="0014488F">
            <w:pPr>
              <w:pStyle w:val="TableText0"/>
              <w:rPr>
                <w:szCs w:val="20"/>
                <w:u w:val="single"/>
              </w:rPr>
            </w:pPr>
            <w:r w:rsidRPr="00E27974">
              <w:rPr>
                <w:szCs w:val="20"/>
                <w:u w:val="single"/>
              </w:rPr>
              <w:t>70+ subgroup and 50-69 high risk subgroup</w:t>
            </w:r>
          </w:p>
          <w:p w14:paraId="0C539F53" w14:textId="482EA74D" w:rsidR="008C0CCE" w:rsidRPr="00E27974" w:rsidRDefault="0014488F" w:rsidP="0014488F">
            <w:pPr>
              <w:pStyle w:val="TableText0"/>
              <w:rPr>
                <w:szCs w:val="20"/>
              </w:rPr>
            </w:pPr>
            <w:r w:rsidRPr="00E27974">
              <w:rPr>
                <w:szCs w:val="20"/>
              </w:rPr>
              <w:t>Hospitalisation and death: NSW Respiratory Surveillance Reports</w:t>
            </w:r>
          </w:p>
          <w:p w14:paraId="088E9E32" w14:textId="77777777" w:rsidR="0014488F" w:rsidRPr="00E27974" w:rsidRDefault="0014488F" w:rsidP="0014488F">
            <w:pPr>
              <w:pStyle w:val="TableText0"/>
              <w:rPr>
                <w:szCs w:val="20"/>
              </w:rPr>
            </w:pPr>
          </w:p>
          <w:p w14:paraId="62579444" w14:textId="17967E50" w:rsidR="0014488F" w:rsidRPr="00E27974" w:rsidRDefault="0014488F" w:rsidP="0014488F">
            <w:pPr>
              <w:pStyle w:val="TableText0"/>
              <w:rPr>
                <w:szCs w:val="20"/>
                <w:u w:val="single"/>
              </w:rPr>
            </w:pPr>
            <w:r w:rsidRPr="00E27974">
              <w:rPr>
                <w:szCs w:val="20"/>
                <w:u w:val="single"/>
              </w:rPr>
              <w:t xml:space="preserve">IC </w:t>
            </w:r>
            <w:r w:rsidR="00C01588" w:rsidRPr="00E27974">
              <w:rPr>
                <w:szCs w:val="20"/>
                <w:u w:val="single"/>
              </w:rPr>
              <w:t>subgroup</w:t>
            </w:r>
          </w:p>
          <w:p w14:paraId="227F9BBB" w14:textId="4F86ADF6" w:rsidR="0014488F" w:rsidRPr="00E27974" w:rsidRDefault="0014488F" w:rsidP="0014488F">
            <w:pPr>
              <w:pStyle w:val="TableText0"/>
              <w:rPr>
                <w:szCs w:val="20"/>
              </w:rPr>
            </w:pPr>
            <w:r w:rsidRPr="00E27974">
              <w:rPr>
                <w:szCs w:val="20"/>
              </w:rPr>
              <w:t>Hospitalisation and death: Evans 2023</w:t>
            </w:r>
          </w:p>
        </w:tc>
      </w:tr>
      <w:tr w:rsidR="0014488F" w:rsidRPr="00E27974" w14:paraId="6EFF7035" w14:textId="77777777" w:rsidTr="006B35E6">
        <w:tc>
          <w:tcPr>
            <w:tcW w:w="1396" w:type="pct"/>
            <w:shd w:val="clear" w:color="auto" w:fill="auto"/>
            <w:vAlign w:val="center"/>
          </w:tcPr>
          <w:p w14:paraId="77A45407" w14:textId="062D0FCB" w:rsidR="0014488F" w:rsidRPr="00E27974" w:rsidRDefault="008A728B" w:rsidP="0014488F">
            <w:pPr>
              <w:pStyle w:val="TableText0"/>
              <w:rPr>
                <w:szCs w:val="20"/>
              </w:rPr>
            </w:pPr>
            <w:r w:rsidRPr="00E27974">
              <w:rPr>
                <w:szCs w:val="20"/>
              </w:rPr>
              <w:t>Treatment effect inputs</w:t>
            </w:r>
          </w:p>
        </w:tc>
        <w:tc>
          <w:tcPr>
            <w:tcW w:w="3604" w:type="pct"/>
            <w:shd w:val="clear" w:color="auto" w:fill="auto"/>
            <w:vAlign w:val="center"/>
          </w:tcPr>
          <w:p w14:paraId="0861C027" w14:textId="313EC311" w:rsidR="0014488F" w:rsidRPr="00E27974" w:rsidRDefault="0014488F" w:rsidP="0014488F">
            <w:pPr>
              <w:pStyle w:val="TableText0"/>
              <w:rPr>
                <w:szCs w:val="20"/>
                <w:u w:val="single"/>
              </w:rPr>
            </w:pPr>
            <w:r w:rsidRPr="00E27974">
              <w:rPr>
                <w:szCs w:val="20"/>
                <w:u w:val="single"/>
              </w:rPr>
              <w:t>70+ subgroup and 50-69 high risk subgroup</w:t>
            </w:r>
          </w:p>
          <w:p w14:paraId="2F1280FD" w14:textId="2822FAC3" w:rsidR="0014488F" w:rsidRPr="00E27974" w:rsidRDefault="0014488F" w:rsidP="0014488F">
            <w:pPr>
              <w:pStyle w:val="TableText0"/>
              <w:rPr>
                <w:szCs w:val="20"/>
              </w:rPr>
            </w:pPr>
            <w:r w:rsidRPr="00E27974">
              <w:rPr>
                <w:szCs w:val="20"/>
              </w:rPr>
              <w:t>Hospitalisation and death: preliminary Victorian DoH public data</w:t>
            </w:r>
            <w:r w:rsidR="00D057B6" w:rsidRPr="00E27974">
              <w:rPr>
                <w:szCs w:val="20"/>
              </w:rPr>
              <w:t xml:space="preserve"> in a media release </w:t>
            </w:r>
          </w:p>
          <w:p w14:paraId="06570A89" w14:textId="77777777" w:rsidR="0014488F" w:rsidRPr="00E27974" w:rsidRDefault="0014488F" w:rsidP="0014488F">
            <w:pPr>
              <w:pStyle w:val="TableText0"/>
              <w:rPr>
                <w:szCs w:val="20"/>
              </w:rPr>
            </w:pPr>
          </w:p>
          <w:p w14:paraId="543BCD0F" w14:textId="5D097B72" w:rsidR="0014488F" w:rsidRPr="00E27974" w:rsidRDefault="0014488F" w:rsidP="0014488F">
            <w:pPr>
              <w:pStyle w:val="TableText0"/>
              <w:rPr>
                <w:szCs w:val="20"/>
                <w:u w:val="single"/>
              </w:rPr>
            </w:pPr>
            <w:r w:rsidRPr="00E27974">
              <w:rPr>
                <w:szCs w:val="20"/>
                <w:u w:val="single"/>
              </w:rPr>
              <w:t>IC subgroup</w:t>
            </w:r>
          </w:p>
          <w:p w14:paraId="76387578" w14:textId="0EC75E80" w:rsidR="0014488F" w:rsidRPr="00E27974" w:rsidRDefault="0014488F" w:rsidP="0014488F">
            <w:pPr>
              <w:pStyle w:val="TableText0"/>
              <w:rPr>
                <w:szCs w:val="20"/>
              </w:rPr>
            </w:pPr>
            <w:r w:rsidRPr="00E27974">
              <w:rPr>
                <w:szCs w:val="20"/>
              </w:rPr>
              <w:t>Hospitalisation and death: Evans 2023</w:t>
            </w:r>
          </w:p>
        </w:tc>
      </w:tr>
      <w:tr w:rsidR="0014488F" w:rsidRPr="00E27974" w14:paraId="07C0A709" w14:textId="77777777" w:rsidTr="006B35E6">
        <w:tc>
          <w:tcPr>
            <w:tcW w:w="1396" w:type="pct"/>
            <w:shd w:val="clear" w:color="auto" w:fill="auto"/>
            <w:vAlign w:val="center"/>
          </w:tcPr>
          <w:p w14:paraId="33B632EB" w14:textId="4B6D1EE3" w:rsidR="0014488F" w:rsidRPr="00E27974" w:rsidRDefault="0014488F" w:rsidP="0014488F">
            <w:pPr>
              <w:pStyle w:val="TableText0"/>
              <w:rPr>
                <w:szCs w:val="20"/>
              </w:rPr>
            </w:pPr>
            <w:r w:rsidRPr="00E27974">
              <w:rPr>
                <w:szCs w:val="20"/>
              </w:rPr>
              <w:t>Health related quality of life</w:t>
            </w:r>
          </w:p>
        </w:tc>
        <w:tc>
          <w:tcPr>
            <w:tcW w:w="3604" w:type="pct"/>
            <w:shd w:val="clear" w:color="auto" w:fill="auto"/>
            <w:vAlign w:val="center"/>
          </w:tcPr>
          <w:p w14:paraId="6FCC32AA" w14:textId="0BE6589F" w:rsidR="002312E5" w:rsidRPr="00E27974" w:rsidRDefault="0014488F" w:rsidP="002312E5">
            <w:pPr>
              <w:pStyle w:val="TableText0"/>
              <w:rPr>
                <w:szCs w:val="20"/>
              </w:rPr>
            </w:pPr>
            <w:r w:rsidRPr="00E27974">
              <w:rPr>
                <w:szCs w:val="20"/>
              </w:rPr>
              <w:t>Goswami 2022 (</w:t>
            </w:r>
            <w:r w:rsidRPr="00E27974">
              <w:rPr>
                <w:iCs/>
                <w:szCs w:val="20"/>
              </w:rPr>
              <w:t>de novo</w:t>
            </w:r>
            <w:r w:rsidRPr="00E27974">
              <w:rPr>
                <w:szCs w:val="20"/>
              </w:rPr>
              <w:t xml:space="preserve"> utility study)</w:t>
            </w:r>
          </w:p>
        </w:tc>
      </w:tr>
    </w:tbl>
    <w:p w14:paraId="213DED56" w14:textId="12640EA3" w:rsidR="003270E4" w:rsidRPr="00C13E80" w:rsidRDefault="003270E4" w:rsidP="00BB00B3">
      <w:pPr>
        <w:pStyle w:val="FooterTableFigure"/>
      </w:pPr>
      <w:r w:rsidRPr="00C13E80">
        <w:t>Source: Table</w:t>
      </w:r>
      <w:r w:rsidR="003C3498" w:rsidRPr="00C13E80">
        <w:t xml:space="preserve"> </w:t>
      </w:r>
      <w:r w:rsidR="008A71A2" w:rsidRPr="00C13E80">
        <w:t>3.1-1</w:t>
      </w:r>
      <w:r w:rsidRPr="00C13E80">
        <w:t>, p</w:t>
      </w:r>
      <w:r w:rsidR="008A71A2" w:rsidRPr="00C13E80">
        <w:t>130</w:t>
      </w:r>
      <w:r w:rsidRPr="00C13E80">
        <w:t xml:space="preserve"> of the submission.</w:t>
      </w:r>
    </w:p>
    <w:p w14:paraId="2FC3AC2D" w14:textId="5DE6AE86" w:rsidR="00CC2B4F" w:rsidRPr="00C13E80" w:rsidRDefault="00CC2B4F" w:rsidP="00E27974">
      <w:pPr>
        <w:pStyle w:val="FooterTableFigure"/>
        <w:contextualSpacing w:val="0"/>
      </w:pPr>
      <w:r w:rsidRPr="00C13E80">
        <w:t>Abbreviations:</w:t>
      </w:r>
      <w:r w:rsidR="008E0826" w:rsidRPr="00C13E80">
        <w:t xml:space="preserve"> IC = immunocompromised;</w:t>
      </w:r>
      <w:r w:rsidRPr="00C13E80">
        <w:t xml:space="preserve"> ICU = intensive care unit</w:t>
      </w:r>
      <w:r w:rsidR="00486ABA" w:rsidRPr="00C13E80">
        <w:t>; QALY = quality-adjusted life year</w:t>
      </w:r>
    </w:p>
    <w:p w14:paraId="075D21B0" w14:textId="580C05A4" w:rsidR="00A0156C" w:rsidRPr="00C13E80" w:rsidRDefault="007C6B5C" w:rsidP="00B46FE9">
      <w:pPr>
        <w:pStyle w:val="3-BodyText"/>
      </w:pPr>
      <w:r w:rsidRPr="00C13E80">
        <w:t xml:space="preserve">The structure of the economic model </w:t>
      </w:r>
      <w:r w:rsidR="005D1118" w:rsidRPr="00C13E80">
        <w:t xml:space="preserve">is presented in </w:t>
      </w:r>
      <w:r w:rsidR="00FD311B" w:rsidRPr="00C13E80">
        <w:rPr>
          <w:highlight w:val="yellow"/>
        </w:rPr>
        <w:fldChar w:fldCharType="begin" w:fldLock="1"/>
      </w:r>
      <w:r w:rsidR="00FD311B" w:rsidRPr="00C13E80">
        <w:instrText xml:space="preserve"> REF _Ref134605893 \h </w:instrText>
      </w:r>
      <w:r w:rsidR="00FD311B" w:rsidRPr="00C13E80">
        <w:rPr>
          <w:highlight w:val="yellow"/>
        </w:rPr>
      </w:r>
      <w:r w:rsidR="00FD311B" w:rsidRPr="00C13E80">
        <w:rPr>
          <w:highlight w:val="yellow"/>
        </w:rPr>
        <w:fldChar w:fldCharType="separate"/>
      </w:r>
      <w:r w:rsidR="00701DEF" w:rsidRPr="00C13E80">
        <w:t xml:space="preserve">Figure </w:t>
      </w:r>
      <w:r w:rsidR="00701DEF">
        <w:rPr>
          <w:noProof/>
        </w:rPr>
        <w:t>4</w:t>
      </w:r>
      <w:r w:rsidR="00FD311B" w:rsidRPr="00C13E80">
        <w:rPr>
          <w:highlight w:val="yellow"/>
        </w:rPr>
        <w:fldChar w:fldCharType="end"/>
      </w:r>
      <w:r w:rsidR="005D1118" w:rsidRPr="00C13E80">
        <w:t xml:space="preserve"> below. The model is broken into three distinct phases</w:t>
      </w:r>
      <w:r w:rsidR="00A959E8" w:rsidRPr="00C13E80">
        <w:t>: the acute phase (first 30 days</w:t>
      </w:r>
      <w:r w:rsidR="00C065A7" w:rsidRPr="00C13E80">
        <w:t xml:space="preserve"> after initiating treatment</w:t>
      </w:r>
      <w:r w:rsidR="00A959E8" w:rsidRPr="00C13E80">
        <w:t>), the mid-term phase (from months 2 to 12) and the Markov phase (</w:t>
      </w:r>
      <w:r w:rsidR="00A57629" w:rsidRPr="00C13E80">
        <w:t>from 1</w:t>
      </w:r>
      <w:r w:rsidR="00DD467C">
        <w:t> </w:t>
      </w:r>
      <w:r w:rsidR="00A57629" w:rsidRPr="00C13E80">
        <w:t xml:space="preserve">year to </w:t>
      </w:r>
      <w:r w:rsidR="00FE542C" w:rsidRPr="00C13E80">
        <w:t xml:space="preserve">death). </w:t>
      </w:r>
      <w:r w:rsidR="009C6AF6" w:rsidRPr="00C13E80">
        <w:t>Each of the phases in the economic model</w:t>
      </w:r>
      <w:r w:rsidR="00E22C18" w:rsidRPr="00C13E80">
        <w:t xml:space="preserve"> capture different outcomes </w:t>
      </w:r>
      <w:r w:rsidR="00636EA2" w:rsidRPr="00C13E80">
        <w:t xml:space="preserve">resulting from infection with COVID-19. The acute phase considers patient infection, hospitalisations and deaths resulting from COVID-19 and </w:t>
      </w:r>
      <w:r w:rsidR="00E140C8" w:rsidRPr="00C13E80">
        <w:t>avoided</w:t>
      </w:r>
      <w:r w:rsidR="00636EA2" w:rsidRPr="00C13E80">
        <w:t xml:space="preserve"> by treatment with molnupiravir. </w:t>
      </w:r>
      <w:r w:rsidR="008D64D3" w:rsidRPr="00C13E80">
        <w:t xml:space="preserve">The distribution </w:t>
      </w:r>
      <w:r w:rsidR="00D24B07" w:rsidRPr="00C13E80">
        <w:t>of patients after the acute phase of the model has flow-on effects</w:t>
      </w:r>
      <w:r w:rsidR="009902EC" w:rsidRPr="00C13E80">
        <w:t xml:space="preserve"> for the rest of the model. </w:t>
      </w:r>
      <w:r w:rsidR="00636EA2" w:rsidRPr="00C13E80">
        <w:t xml:space="preserve">The mid-term phase considers </w:t>
      </w:r>
      <w:r w:rsidR="00CC5B45" w:rsidRPr="00C13E80">
        <w:t xml:space="preserve">risks of </w:t>
      </w:r>
      <w:r w:rsidR="00636EA2" w:rsidRPr="00C13E80">
        <w:t>hospital readmissions and long COVID</w:t>
      </w:r>
      <w:r w:rsidR="00264DEF" w:rsidRPr="00C13E80">
        <w:t>. There is no diffe</w:t>
      </w:r>
      <w:r w:rsidR="0099652E" w:rsidRPr="00C13E80">
        <w:t>rence due to treatment</w:t>
      </w:r>
      <w:r w:rsidR="00FA3DFC" w:rsidRPr="00C13E80">
        <w:t xml:space="preserve"> in terms of the proportion of patients</w:t>
      </w:r>
      <w:r w:rsidR="00A87869" w:rsidRPr="00C13E80">
        <w:t xml:space="preserve"> experiencing hospital readmission or long COVID</w:t>
      </w:r>
      <w:r w:rsidR="00B41728" w:rsidRPr="00C13E80">
        <w:t xml:space="preserve"> after </w:t>
      </w:r>
      <w:r w:rsidR="00D41EF2" w:rsidRPr="00C13E80">
        <w:t>infection or hospitalisation</w:t>
      </w:r>
      <w:r w:rsidR="002606D3" w:rsidRPr="00C13E80">
        <w:t xml:space="preserve">. </w:t>
      </w:r>
      <w:r w:rsidR="00035F4B" w:rsidRPr="00C13E80">
        <w:t>Lastly, t</w:t>
      </w:r>
      <w:r w:rsidR="002606D3" w:rsidRPr="00C13E80">
        <w:t>he Markov phase assumes all patients surviving beyond one year to be completely recovered and</w:t>
      </w:r>
      <w:r w:rsidR="000F5AD7" w:rsidRPr="00C13E80">
        <w:t xml:space="preserve"> the cohort</w:t>
      </w:r>
      <w:r w:rsidR="002606D3" w:rsidRPr="00C13E80">
        <w:t xml:space="preserve"> follow</w:t>
      </w:r>
      <w:r w:rsidR="000F5AD7" w:rsidRPr="00C13E80">
        <w:t>s</w:t>
      </w:r>
      <w:r w:rsidR="002606D3" w:rsidRPr="00C13E80">
        <w:t xml:space="preserve"> the survival </w:t>
      </w:r>
      <w:r w:rsidR="00953B0C" w:rsidRPr="00C13E80">
        <w:t xml:space="preserve">of the </w:t>
      </w:r>
      <w:r w:rsidR="009C2DE8" w:rsidRPr="00C13E80">
        <w:t xml:space="preserve">age-matched </w:t>
      </w:r>
      <w:r w:rsidR="00953B0C" w:rsidRPr="00C13E80">
        <w:t xml:space="preserve">Australian general population to death. </w:t>
      </w:r>
      <w:r w:rsidR="00545F4C" w:rsidRPr="00C13E80">
        <w:t>Background mortality is included throughout to capture deaths no</w:t>
      </w:r>
      <w:r w:rsidR="00114781" w:rsidRPr="00C13E80">
        <w:t>t</w:t>
      </w:r>
      <w:r w:rsidR="00545F4C" w:rsidRPr="00C13E80">
        <w:t xml:space="preserve"> due to COVID. </w:t>
      </w:r>
      <w:r w:rsidR="00700883" w:rsidRPr="00C13E80">
        <w:rPr>
          <w:iCs/>
        </w:rPr>
        <w:t>The ESC considered that</w:t>
      </w:r>
      <w:r w:rsidR="00700883" w:rsidRPr="00C13E80">
        <w:t xml:space="preserve"> </w:t>
      </w:r>
      <w:r w:rsidR="00700883" w:rsidRPr="00C13E80">
        <w:rPr>
          <w:iCs/>
        </w:rPr>
        <w:t>s</w:t>
      </w:r>
      <w:r w:rsidR="00ED5EAE" w:rsidRPr="00C13E80">
        <w:rPr>
          <w:iCs/>
        </w:rPr>
        <w:t xml:space="preserve">tructurally, the economic model is </w:t>
      </w:r>
      <w:r w:rsidR="005A14A0" w:rsidRPr="00C13E80">
        <w:rPr>
          <w:iCs/>
        </w:rPr>
        <w:t>simple yet sufficient.</w:t>
      </w:r>
    </w:p>
    <w:p w14:paraId="03CAE9AF" w14:textId="6B05F6CF" w:rsidR="00EE089C" w:rsidRPr="00C13E80" w:rsidRDefault="00EE089C" w:rsidP="00EE089C">
      <w:pPr>
        <w:pStyle w:val="Caption"/>
      </w:pPr>
      <w:bookmarkStart w:id="70" w:name="_Ref134605893"/>
      <w:r w:rsidRPr="00C13E80">
        <w:lastRenderedPageBreak/>
        <w:t xml:space="preserve">Figure </w:t>
      </w:r>
      <w:r w:rsidR="00567EAC">
        <w:fldChar w:fldCharType="begin" w:fldLock="1"/>
      </w:r>
      <w:r w:rsidR="00567EAC">
        <w:instrText xml:space="preserve"> SEQ Figure \* ARABIC </w:instrText>
      </w:r>
      <w:r w:rsidR="00567EAC">
        <w:fldChar w:fldCharType="separate"/>
      </w:r>
      <w:r w:rsidR="00701DEF">
        <w:rPr>
          <w:noProof/>
        </w:rPr>
        <w:t>4</w:t>
      </w:r>
      <w:r w:rsidR="00567EAC">
        <w:rPr>
          <w:noProof/>
        </w:rPr>
        <w:fldChar w:fldCharType="end"/>
      </w:r>
      <w:bookmarkEnd w:id="70"/>
      <w:r w:rsidR="00FD311B" w:rsidRPr="00C13E80">
        <w:t>:</w:t>
      </w:r>
      <w:r w:rsidR="00FD311B" w:rsidRPr="00C13E80">
        <w:tab/>
        <w:t>Structure of the economic model presented in the submission</w:t>
      </w:r>
    </w:p>
    <w:p w14:paraId="47CB16C8" w14:textId="26D3243F" w:rsidR="00C16718" w:rsidRPr="00C13E80" w:rsidRDefault="007C6B5C" w:rsidP="00DD467C">
      <w:pPr>
        <w:pStyle w:val="3-BodyText"/>
        <w:numPr>
          <w:ilvl w:val="0"/>
          <w:numId w:val="0"/>
        </w:numPr>
        <w:ind w:left="142"/>
        <w:rPr>
          <w:color w:val="000000" w:themeColor="text1"/>
        </w:rPr>
      </w:pPr>
      <w:r w:rsidRPr="00C13E80">
        <w:rPr>
          <w:noProof/>
        </w:rPr>
        <w:drawing>
          <wp:inline distT="0" distB="0" distL="0" distR="0" wp14:anchorId="404FA7A7" wp14:editId="7FDEF111">
            <wp:extent cx="5656580" cy="1828199"/>
            <wp:effectExtent l="0" t="0" r="1270" b="635"/>
            <wp:docPr id="134635457" name="Picture 1346354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5457" name="Picture 134635457" descr="Diagram&#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a:stretch/>
                  </pic:blipFill>
                  <pic:spPr bwMode="auto">
                    <a:xfrm>
                      <a:off x="0" y="0"/>
                      <a:ext cx="5658818" cy="1828922"/>
                    </a:xfrm>
                    <a:prstGeom prst="rect">
                      <a:avLst/>
                    </a:prstGeom>
                    <a:noFill/>
                    <a:ln>
                      <a:noFill/>
                    </a:ln>
                    <a:extLst>
                      <a:ext uri="{53640926-AAD7-44D8-BBD7-CCE9431645EC}">
                        <a14:shadowObscured xmlns:a14="http://schemas.microsoft.com/office/drawing/2010/main"/>
                      </a:ext>
                    </a:extLst>
                  </pic:spPr>
                </pic:pic>
              </a:graphicData>
            </a:graphic>
          </wp:inline>
        </w:drawing>
      </w:r>
    </w:p>
    <w:p w14:paraId="2B5F3719" w14:textId="246EBB41" w:rsidR="002524D5" w:rsidRPr="00C13E80" w:rsidRDefault="006F4B3C" w:rsidP="00B46FE9">
      <w:pPr>
        <w:pStyle w:val="3-BodyText"/>
        <w:rPr>
          <w:color w:val="000000" w:themeColor="text1"/>
        </w:rPr>
      </w:pPr>
      <w:bookmarkStart w:id="71" w:name="_Ref134534284"/>
      <w:r w:rsidRPr="00C13E80">
        <w:rPr>
          <w:color w:val="000000" w:themeColor="text1"/>
        </w:rPr>
        <w:t>The</w:t>
      </w:r>
      <w:r w:rsidR="008E0702" w:rsidRPr="00C13E80">
        <w:rPr>
          <w:color w:val="000000" w:themeColor="text1"/>
        </w:rPr>
        <w:t xml:space="preserve"> economic model </w:t>
      </w:r>
      <w:r w:rsidR="00DA2BA2" w:rsidRPr="00C13E80">
        <w:rPr>
          <w:color w:val="000000" w:themeColor="text1"/>
        </w:rPr>
        <w:t xml:space="preserve">calculates results by </w:t>
      </w:r>
      <w:r w:rsidR="00924D1E" w:rsidRPr="00C13E80">
        <w:rPr>
          <w:color w:val="000000" w:themeColor="text1"/>
        </w:rPr>
        <w:t>th</w:t>
      </w:r>
      <w:r w:rsidR="00EA4E6B" w:rsidRPr="00C13E80">
        <w:rPr>
          <w:color w:val="000000" w:themeColor="text1"/>
        </w:rPr>
        <w:t>ree</w:t>
      </w:r>
      <w:r w:rsidR="00924D1E" w:rsidRPr="00C13E80">
        <w:rPr>
          <w:color w:val="000000" w:themeColor="text1"/>
        </w:rPr>
        <w:t xml:space="preserve"> different patient populations </w:t>
      </w:r>
      <w:r w:rsidR="00EC62DF" w:rsidRPr="00C13E80">
        <w:rPr>
          <w:color w:val="000000" w:themeColor="text1"/>
        </w:rPr>
        <w:t xml:space="preserve">from </w:t>
      </w:r>
      <w:r w:rsidR="009E7267" w:rsidRPr="00C13E80">
        <w:rPr>
          <w:color w:val="000000" w:themeColor="text1"/>
        </w:rPr>
        <w:t xml:space="preserve">the </w:t>
      </w:r>
      <w:r w:rsidR="009E7267" w:rsidRPr="00C13E80">
        <w:t xml:space="preserve">PBS restriction. </w:t>
      </w:r>
      <w:r w:rsidR="00EC62DF" w:rsidRPr="00C13E80">
        <w:t xml:space="preserve">The populations modelled </w:t>
      </w:r>
      <w:proofErr w:type="gramStart"/>
      <w:r w:rsidR="00EC62DF" w:rsidRPr="00C13E80">
        <w:t>are:</w:t>
      </w:r>
      <w:proofErr w:type="gramEnd"/>
      <w:r w:rsidR="00EC62DF" w:rsidRPr="00C13E80">
        <w:t xml:space="preserve"> the 70+ subgroup, the 50-69 high risk subgroup and the IC subgroup. </w:t>
      </w:r>
      <w:r w:rsidR="00A64B0E" w:rsidRPr="00C13E80">
        <w:t>Following separate calculation, the</w:t>
      </w:r>
      <w:r w:rsidR="00CC4296" w:rsidRPr="00C13E80">
        <w:t xml:space="preserve"> results are weighted based on </w:t>
      </w:r>
      <w:r w:rsidR="008A3F7F" w:rsidRPr="00C13E80">
        <w:t xml:space="preserve">previous </w:t>
      </w:r>
      <w:r w:rsidR="00CC4296" w:rsidRPr="00C13E80">
        <w:t>utilisation data across the populations to return a</w:t>
      </w:r>
      <w:r w:rsidR="00BC6C2A" w:rsidRPr="00C13E80">
        <w:t xml:space="preserve"> value representative of the whole cohort. </w:t>
      </w:r>
      <w:r w:rsidR="00632F88" w:rsidRPr="00C13E80">
        <w:t xml:space="preserve">In doing so, different </w:t>
      </w:r>
      <w:r w:rsidR="009C1F3F" w:rsidRPr="00C13E80">
        <w:t xml:space="preserve">baseline </w:t>
      </w:r>
      <w:r w:rsidR="006E6431" w:rsidRPr="00C13E80">
        <w:t xml:space="preserve">risks of </w:t>
      </w:r>
      <w:r w:rsidR="00BD473C" w:rsidRPr="00C13E80">
        <w:t xml:space="preserve">hospitalisation </w:t>
      </w:r>
      <w:r w:rsidR="00F51E61" w:rsidRPr="00C13E80">
        <w:t xml:space="preserve">and death </w:t>
      </w:r>
      <w:r w:rsidR="009C1F3F" w:rsidRPr="00C13E80">
        <w:t xml:space="preserve">and </w:t>
      </w:r>
      <w:r w:rsidR="001C265A" w:rsidRPr="00C13E80">
        <w:t>variable treatment effect</w:t>
      </w:r>
      <w:r w:rsidR="00BC45B3" w:rsidRPr="00C13E80">
        <w:t xml:space="preserve">s </w:t>
      </w:r>
      <w:r w:rsidR="009C1F3F" w:rsidRPr="00C13E80">
        <w:t xml:space="preserve">are </w:t>
      </w:r>
      <w:r w:rsidR="00BC45B3" w:rsidRPr="00C13E80">
        <w:t>applied</w:t>
      </w:r>
      <w:r w:rsidR="009C1F3F" w:rsidRPr="00C13E80">
        <w:t xml:space="preserve"> </w:t>
      </w:r>
      <w:r w:rsidR="00BC45B3" w:rsidRPr="00C13E80">
        <w:t>in</w:t>
      </w:r>
      <w:r w:rsidR="009C1F3F" w:rsidRPr="00C13E80">
        <w:t xml:space="preserve"> the </w:t>
      </w:r>
      <w:r w:rsidR="00BC45B3" w:rsidRPr="00C13E80">
        <w:t xml:space="preserve">different </w:t>
      </w:r>
      <w:r w:rsidR="009C1F3F" w:rsidRPr="00C13E80">
        <w:t>populations</w:t>
      </w:r>
      <w:r w:rsidR="00BC45B3" w:rsidRPr="00C13E80">
        <w:t xml:space="preserve">. </w:t>
      </w:r>
      <w:r w:rsidR="0061472C" w:rsidRPr="00C13E80">
        <w:t xml:space="preserve">The data supporting the </w:t>
      </w:r>
      <w:r w:rsidR="00FE4954" w:rsidRPr="00C13E80">
        <w:t>baseline risk and treatment effects in the 50-69 high risk and the IC su</w:t>
      </w:r>
      <w:r w:rsidR="00D35259" w:rsidRPr="00C13E80">
        <w:t>bgroups</w:t>
      </w:r>
      <w:r w:rsidR="00DB4CE8" w:rsidRPr="00C13E80">
        <w:t xml:space="preserve"> have serious limitations, which</w:t>
      </w:r>
      <w:r w:rsidR="00B354A4" w:rsidRPr="00C13E80">
        <w:t xml:space="preserve"> lead</w:t>
      </w:r>
      <w:r w:rsidR="00DB4CE8" w:rsidRPr="00C13E80">
        <w:t>s</w:t>
      </w:r>
      <w:r w:rsidR="00B354A4" w:rsidRPr="00C13E80">
        <w:t xml:space="preserve"> to uncertainty </w:t>
      </w:r>
      <w:r w:rsidR="004829EE" w:rsidRPr="00C13E80">
        <w:t>in</w:t>
      </w:r>
      <w:r w:rsidR="00DB4CE8" w:rsidRPr="00C13E80">
        <w:t xml:space="preserve"> the results generated by</w:t>
      </w:r>
      <w:r w:rsidR="004829EE" w:rsidRPr="00C13E80">
        <w:t xml:space="preserve"> the model. </w:t>
      </w:r>
      <w:r w:rsidR="00CE4651" w:rsidRPr="00C13E80">
        <w:t xml:space="preserve">Although the approach of splitting the population into different cohorts is technically appropriate, </w:t>
      </w:r>
      <w:r w:rsidR="003A2661" w:rsidRPr="00C13E80">
        <w:t>the data</w:t>
      </w:r>
      <w:r w:rsidR="00457410" w:rsidRPr="00C13E80">
        <w:t xml:space="preserve"> for the cohorts </w:t>
      </w:r>
      <w:r w:rsidR="00143B5A" w:rsidRPr="00C13E80">
        <w:t>are</w:t>
      </w:r>
      <w:r w:rsidR="00457410" w:rsidRPr="00C13E80">
        <w:t xml:space="preserve"> problematic. </w:t>
      </w:r>
      <w:r w:rsidR="00E40367" w:rsidRPr="00C13E80">
        <w:t>The PBAC</w:t>
      </w:r>
      <w:r w:rsidR="00724FA7" w:rsidRPr="00C13E80">
        <w:t xml:space="preserve"> </w:t>
      </w:r>
      <w:r w:rsidR="00B04542" w:rsidRPr="00C13E80">
        <w:t xml:space="preserve">has previously </w:t>
      </w:r>
      <w:r w:rsidR="00E40367" w:rsidRPr="00C13E80">
        <w:t xml:space="preserve">not </w:t>
      </w:r>
      <w:r w:rsidR="00B04542" w:rsidRPr="00C13E80">
        <w:t xml:space="preserve">considered </w:t>
      </w:r>
      <w:r w:rsidR="003375E1" w:rsidRPr="00C13E80">
        <w:t xml:space="preserve">cost-effectiveness of </w:t>
      </w:r>
      <w:r w:rsidR="00613D69" w:rsidRPr="00C13E80">
        <w:t xml:space="preserve">molnupiravir </w:t>
      </w:r>
      <w:r w:rsidR="003375E1" w:rsidRPr="00C13E80">
        <w:t xml:space="preserve">for subgroups of patients. The model presented in the rHTA </w:t>
      </w:r>
      <w:r w:rsidR="001908E4" w:rsidRPr="00C13E80">
        <w:t>was based on the MOVe-OUT results</w:t>
      </w:r>
      <w:r w:rsidR="00A50522" w:rsidRPr="00C13E80">
        <w:t xml:space="preserve"> such that </w:t>
      </w:r>
      <w:r w:rsidR="00613D69" w:rsidRPr="00C13E80">
        <w:t>a single cohort was modelled</w:t>
      </w:r>
      <w:r w:rsidR="00A50522" w:rsidRPr="00C13E80">
        <w:t xml:space="preserve">. </w:t>
      </w:r>
      <w:bookmarkEnd w:id="71"/>
    </w:p>
    <w:p w14:paraId="3D73E89B" w14:textId="09325AAD" w:rsidR="00CC73AE" w:rsidRPr="00C13E80" w:rsidRDefault="00F82D53" w:rsidP="00B46FE9">
      <w:pPr>
        <w:pStyle w:val="3-BodyText"/>
      </w:pPr>
      <w:r w:rsidRPr="00C13E80">
        <w:t>All deaths due to COVID-19</w:t>
      </w:r>
      <w:r w:rsidR="00823E59" w:rsidRPr="00C13E80">
        <w:t xml:space="preserve"> in the model</w:t>
      </w:r>
      <w:r w:rsidRPr="00C13E80">
        <w:t xml:space="preserve"> are assumed to occur only in patients that have been hospitalised</w:t>
      </w:r>
      <w:r w:rsidR="007712D4" w:rsidRPr="00C13E80">
        <w:t xml:space="preserve">, which is consistent with the approach taken in </w:t>
      </w:r>
      <w:r w:rsidR="00B23C5E" w:rsidRPr="00C13E80">
        <w:t xml:space="preserve">the </w:t>
      </w:r>
      <w:r w:rsidR="00EB32F0" w:rsidRPr="00C13E80">
        <w:t xml:space="preserve">model presented in </w:t>
      </w:r>
      <w:r w:rsidR="007712D4" w:rsidRPr="00C13E80">
        <w:t xml:space="preserve">the </w:t>
      </w:r>
      <w:r w:rsidR="00202C29" w:rsidRPr="00C13E80">
        <w:t>rHTA.</w:t>
      </w:r>
      <w:r w:rsidR="007712D4" w:rsidRPr="00C13E80">
        <w:t xml:space="preserve"> </w:t>
      </w:r>
      <w:r w:rsidR="00B20345" w:rsidRPr="00C13E80">
        <w:t xml:space="preserve">Following hospitalisation, patients are separated based on the </w:t>
      </w:r>
      <w:r w:rsidR="006B20C5" w:rsidRPr="00C13E80">
        <w:t>type</w:t>
      </w:r>
      <w:r w:rsidR="00D5631F" w:rsidRPr="00C13E80">
        <w:t>s</w:t>
      </w:r>
      <w:r w:rsidR="00B20345" w:rsidRPr="00C13E80">
        <w:t xml:space="preserve"> of hospitalisation</w:t>
      </w:r>
      <w:r w:rsidR="00D5631F" w:rsidRPr="00C13E80">
        <w:t xml:space="preserve"> services required</w:t>
      </w:r>
      <w:r w:rsidR="00B20345" w:rsidRPr="00C13E80">
        <w:t xml:space="preserve"> (general ward, ICU without mechanical ventilation and ICU with mechanical ventilation)</w:t>
      </w:r>
      <w:r w:rsidR="00A25850" w:rsidRPr="00C13E80">
        <w:t xml:space="preserve">. A uniform </w:t>
      </w:r>
      <w:r w:rsidR="00377F01" w:rsidRPr="00C13E80">
        <w:t xml:space="preserve">risk of death is </w:t>
      </w:r>
      <w:r w:rsidR="00FF310C" w:rsidRPr="00C13E80">
        <w:t xml:space="preserve">applied </w:t>
      </w:r>
      <w:r w:rsidR="00377F01" w:rsidRPr="00C13E80">
        <w:t xml:space="preserve">regardless of the type of hospitalisation. </w:t>
      </w:r>
      <w:r w:rsidR="004B1BE2" w:rsidRPr="00C13E80">
        <w:t xml:space="preserve">This is </w:t>
      </w:r>
      <w:r w:rsidR="00276AF8" w:rsidRPr="00C13E80">
        <w:t>reasonable given the</w:t>
      </w:r>
      <w:r w:rsidR="004B1BE2" w:rsidRPr="00C13E80">
        <w:t xml:space="preserve"> lack of granularity in the </w:t>
      </w:r>
      <w:r w:rsidR="00276AF8" w:rsidRPr="00C13E80">
        <w:t xml:space="preserve">data source. </w:t>
      </w:r>
      <w:r w:rsidR="008C2375" w:rsidRPr="00C13E80">
        <w:t xml:space="preserve">The separation by type of hospitalisation results </w:t>
      </w:r>
      <w:r w:rsidR="00FF7AEF" w:rsidRPr="00C13E80">
        <w:t xml:space="preserve">only </w:t>
      </w:r>
      <w:r w:rsidR="008C2375" w:rsidRPr="00C13E80">
        <w:t xml:space="preserve">in different costs and QALYs </w:t>
      </w:r>
      <w:r w:rsidR="00DA7748" w:rsidRPr="00C13E80">
        <w:t xml:space="preserve">(due to quality of life) </w:t>
      </w:r>
      <w:r w:rsidR="008C2375" w:rsidRPr="00C13E80">
        <w:t>generated for the time in state</w:t>
      </w:r>
      <w:r w:rsidR="003451C5" w:rsidRPr="00C13E80">
        <w:t xml:space="preserve">. </w:t>
      </w:r>
      <w:r w:rsidR="00360B6F" w:rsidRPr="00C13E80">
        <w:t>Avoiding</w:t>
      </w:r>
      <w:r w:rsidR="00ED60DE" w:rsidRPr="00C13E80">
        <w:t xml:space="preserve"> hospitalisation therefore has a flow-on effect </w:t>
      </w:r>
      <w:r w:rsidR="00B14A67" w:rsidRPr="00C13E80">
        <w:t xml:space="preserve">on </w:t>
      </w:r>
      <w:r w:rsidR="00ED60DE" w:rsidRPr="00C13E80">
        <w:t>deaths.</w:t>
      </w:r>
      <w:r w:rsidR="008457D8" w:rsidRPr="00C13E80">
        <w:t xml:space="preserve"> </w:t>
      </w:r>
      <w:r w:rsidR="00F305B6" w:rsidRPr="00C13E80">
        <w:t>Additionally, t</w:t>
      </w:r>
      <w:r w:rsidR="00ED60DE" w:rsidRPr="00C13E80">
        <w:t>he risk of death in those hospitalised</w:t>
      </w:r>
      <w:r w:rsidR="001407BA" w:rsidRPr="00C13E80">
        <w:t xml:space="preserve"> when</w:t>
      </w:r>
      <w:r w:rsidR="00ED60DE" w:rsidRPr="00C13E80">
        <w:t xml:space="preserve"> treated with molnupiravir is lower than that </w:t>
      </w:r>
      <w:r w:rsidR="0055639F" w:rsidRPr="00C13E80">
        <w:t xml:space="preserve">in those receiving usual care. </w:t>
      </w:r>
      <w:r w:rsidR="009E4461" w:rsidRPr="00C13E80">
        <w:t>Together, th</w:t>
      </w:r>
      <w:r w:rsidR="00D759F5" w:rsidRPr="00C13E80">
        <w:t>ese inputs result in fewer deaths in the molnupiravir arm of the economic model</w:t>
      </w:r>
      <w:r w:rsidR="00E02195" w:rsidRPr="00C13E80">
        <w:t>, which</w:t>
      </w:r>
      <w:r w:rsidR="00D759F5" w:rsidRPr="00C13E80">
        <w:t xml:space="preserve"> ultimately leads to </w:t>
      </w:r>
      <w:proofErr w:type="gramStart"/>
      <w:r w:rsidR="00467929" w:rsidRPr="00C13E80">
        <w:t>QALY</w:t>
      </w:r>
      <w:proofErr w:type="gramEnd"/>
      <w:r w:rsidR="00467929" w:rsidRPr="00C13E80">
        <w:t xml:space="preserve"> and survival gains</w:t>
      </w:r>
      <w:r w:rsidR="003D687D" w:rsidRPr="00C13E80">
        <w:t xml:space="preserve"> compared to usual care.</w:t>
      </w:r>
    </w:p>
    <w:p w14:paraId="6E24AB0C" w14:textId="0DFB513E" w:rsidR="008620CB" w:rsidRPr="00C13E80" w:rsidRDefault="00004AA6" w:rsidP="00B46FE9">
      <w:pPr>
        <w:pStyle w:val="3-BodyText"/>
      </w:pPr>
      <w:r w:rsidRPr="00C13E80">
        <w:t xml:space="preserve">Beyond the first year of the economic model, all surviving patients </w:t>
      </w:r>
      <w:r w:rsidR="00EE72FA" w:rsidRPr="00C13E80">
        <w:t xml:space="preserve">were considered to have </w:t>
      </w:r>
      <w:r w:rsidR="00276DE9" w:rsidRPr="00C13E80">
        <w:t xml:space="preserve">fully recovered from any infection with COVID-19 and </w:t>
      </w:r>
      <w:r w:rsidR="003D75BF" w:rsidRPr="00C13E80">
        <w:t>transition</w:t>
      </w:r>
      <w:r w:rsidR="00904B75" w:rsidRPr="00C13E80">
        <w:t>s are</w:t>
      </w:r>
      <w:r w:rsidR="003D75BF" w:rsidRPr="00C13E80">
        <w:t xml:space="preserve"> based on the </w:t>
      </w:r>
      <w:r w:rsidR="002B3676" w:rsidRPr="00C13E80">
        <w:t>survival of the age-matched Australian general population</w:t>
      </w:r>
      <w:r w:rsidR="009B77B1" w:rsidRPr="00C13E80">
        <w:t xml:space="preserve">. </w:t>
      </w:r>
      <w:r w:rsidR="00904B75" w:rsidRPr="00C13E80">
        <w:t>Although the model use</w:t>
      </w:r>
      <w:r w:rsidR="00054689" w:rsidRPr="00C13E80">
        <w:t>d</w:t>
      </w:r>
      <w:r w:rsidR="00904B75" w:rsidRPr="00C13E80">
        <w:t xml:space="preserve"> a Markov process to estimate survival beyond the first year, </w:t>
      </w:r>
      <w:r w:rsidR="00112239" w:rsidRPr="00C13E80">
        <w:t xml:space="preserve">a </w:t>
      </w:r>
      <w:r w:rsidR="00242017" w:rsidRPr="00C13E80">
        <w:t xml:space="preserve">pay-off </w:t>
      </w:r>
      <w:r w:rsidR="002948CA" w:rsidRPr="00C13E80">
        <w:t xml:space="preserve">of life-years remaining could have been applied in a decision analysis and would have given </w:t>
      </w:r>
      <w:r w:rsidR="002948CA" w:rsidRPr="00C13E80">
        <w:lastRenderedPageBreak/>
        <w:t xml:space="preserve">identical results. </w:t>
      </w:r>
      <w:r w:rsidR="00904B75" w:rsidRPr="00C13E80">
        <w:t>Th</w:t>
      </w:r>
      <w:r w:rsidR="002948CA" w:rsidRPr="00C13E80">
        <w:t>us, the</w:t>
      </w:r>
      <w:r w:rsidR="00904B75" w:rsidRPr="00C13E80">
        <w:t xml:space="preserve"> economic model </w:t>
      </w:r>
      <w:r w:rsidR="00AB43F9" w:rsidRPr="00C13E80">
        <w:t xml:space="preserve">does not </w:t>
      </w:r>
      <w:r w:rsidR="00B83901" w:rsidRPr="00C13E80">
        <w:t xml:space="preserve">capture additional </w:t>
      </w:r>
      <w:r w:rsidR="00397FCD" w:rsidRPr="00C13E80">
        <w:t>benefits for patients beyond the first year of the model</w:t>
      </w:r>
      <w:r w:rsidR="005E2184" w:rsidRPr="00C13E80">
        <w:t xml:space="preserve"> beyond </w:t>
      </w:r>
      <w:r w:rsidR="00D604E9" w:rsidRPr="00C13E80">
        <w:t>life-years associated with deaths averted due to COVID-19</w:t>
      </w:r>
      <w:r w:rsidR="00397FCD" w:rsidRPr="00C13E80">
        <w:t xml:space="preserve">. </w:t>
      </w:r>
      <w:r w:rsidR="00815B46" w:rsidRPr="00C13E80">
        <w:t xml:space="preserve">Across the three modelled populations, </w:t>
      </w:r>
      <w:r w:rsidR="00452382" w:rsidRPr="00C13E80">
        <w:t xml:space="preserve">patients entered the Markov phase </w:t>
      </w:r>
      <w:r w:rsidR="004E6039" w:rsidRPr="00C13E80">
        <w:t>of the model</w:t>
      </w:r>
      <w:r w:rsidR="003B4864" w:rsidRPr="00C13E80">
        <w:t xml:space="preserve"> at the </w:t>
      </w:r>
      <w:r w:rsidR="00FA5B55" w:rsidRPr="00C13E80">
        <w:t xml:space="preserve">average </w:t>
      </w:r>
      <w:r w:rsidR="003B4864" w:rsidRPr="00C13E80">
        <w:t xml:space="preserve">‘age at death’ </w:t>
      </w:r>
      <w:r w:rsidR="00FA5B55" w:rsidRPr="00C13E80">
        <w:t>from COVID-19</w:t>
      </w:r>
      <w:r w:rsidR="00C01588" w:rsidRPr="00C13E80">
        <w:t>, which</w:t>
      </w:r>
      <w:r w:rsidR="00041BF2" w:rsidRPr="00C13E80">
        <w:t xml:space="preserve"> </w:t>
      </w:r>
      <w:r w:rsidR="00763AC5" w:rsidRPr="00C13E80">
        <w:t xml:space="preserve">were </w:t>
      </w:r>
      <w:r w:rsidR="00A47E78" w:rsidRPr="00C13E80">
        <w:t xml:space="preserve">sourced from NSW </w:t>
      </w:r>
      <w:r w:rsidR="0043715A" w:rsidRPr="00C13E80">
        <w:t xml:space="preserve">respiratory surveillance reports. </w:t>
      </w:r>
      <w:r w:rsidR="00007F7B" w:rsidRPr="00C13E80">
        <w:t xml:space="preserve">Patients aged over 70 are assumed to be, on average, 86.7 years old at the time of death. Patients aged 50-69 are assumed to be, on average, </w:t>
      </w:r>
      <w:r w:rsidR="00EA143A" w:rsidRPr="00C13E80">
        <w:t xml:space="preserve">62.1 years. </w:t>
      </w:r>
      <w:r w:rsidR="001C6367" w:rsidRPr="00C13E80">
        <w:t>P</w:t>
      </w:r>
      <w:r w:rsidR="00814231" w:rsidRPr="00C13E80">
        <w:t xml:space="preserve">atients aged </w:t>
      </w:r>
      <w:r w:rsidR="0006723F" w:rsidRPr="00C13E80">
        <w:t>18</w:t>
      </w:r>
      <w:r w:rsidR="00D64753" w:rsidRPr="00C13E80">
        <w:t>-69 who are immunocompromised</w:t>
      </w:r>
      <w:r w:rsidR="001C6367" w:rsidRPr="00C13E80">
        <w:t xml:space="preserve"> are assumed to be, on average, 59.1 years of age. </w:t>
      </w:r>
      <w:r w:rsidR="008A2109" w:rsidRPr="00C13E80">
        <w:t xml:space="preserve">Ideally, </w:t>
      </w:r>
      <w:r w:rsidR="005B6342" w:rsidRPr="00C13E80">
        <w:t xml:space="preserve">to correctly estimate life expectancy, </w:t>
      </w:r>
      <w:r w:rsidR="008A2109" w:rsidRPr="00C13E80">
        <w:t xml:space="preserve">patients who </w:t>
      </w:r>
      <w:r w:rsidR="009C229C" w:rsidRPr="00C13E80">
        <w:t xml:space="preserve">died at age 50-69 </w:t>
      </w:r>
      <w:r w:rsidR="00275BDF" w:rsidRPr="00C13E80">
        <w:t>with COVID</w:t>
      </w:r>
      <w:r w:rsidR="00F34151" w:rsidRPr="00C13E80">
        <w:t xml:space="preserve">-19 in the NSW dataset should have been divided into three categories: (i) those who were </w:t>
      </w:r>
      <w:r w:rsidR="008A2109" w:rsidRPr="00C13E80">
        <w:t>immunocompromised</w:t>
      </w:r>
      <w:r w:rsidR="00F34151" w:rsidRPr="00C13E80">
        <w:t xml:space="preserve">; (ii) those who had comorbidities but were not immunocompromised; and (iii) those who did not have comorbidities and </w:t>
      </w:r>
      <w:r w:rsidR="005B6342" w:rsidRPr="00C13E80">
        <w:t xml:space="preserve">were not immunocompromised. </w:t>
      </w:r>
      <w:r w:rsidR="00745EAB" w:rsidRPr="00C13E80">
        <w:t>Incorrect estimates of life expectancy will have a significant impact on the estimated cost-effectiveness of molnupiravir.</w:t>
      </w:r>
      <w:r w:rsidR="00EE521C" w:rsidRPr="00C13E80">
        <w:t xml:space="preserve"> If life expectancy is overestimated</w:t>
      </w:r>
      <w:r w:rsidR="00E165F2" w:rsidRPr="00C13E80">
        <w:t xml:space="preserve"> (</w:t>
      </w:r>
      <w:r w:rsidR="00143418" w:rsidRPr="00C13E80">
        <w:t xml:space="preserve">e.g., if life expectancy is likely reduced in those with comorbidities </w:t>
      </w:r>
      <w:r w:rsidR="00483152" w:rsidRPr="00C13E80">
        <w:t xml:space="preserve">compared with </w:t>
      </w:r>
      <w:r w:rsidR="00143418" w:rsidRPr="00C13E80">
        <w:t>those without)</w:t>
      </w:r>
      <w:r w:rsidR="00EE521C" w:rsidRPr="00C13E80">
        <w:t xml:space="preserve">, the </w:t>
      </w:r>
      <w:r w:rsidR="003C3500" w:rsidRPr="00C13E80">
        <w:t xml:space="preserve">incremental cost-effectiveness ratio (ICER) </w:t>
      </w:r>
      <w:r w:rsidR="00AB4048" w:rsidRPr="00C13E80">
        <w:t>will be underestimated.</w:t>
      </w:r>
    </w:p>
    <w:p w14:paraId="48371379" w14:textId="5FB7895A" w:rsidR="001C2846" w:rsidRPr="00C13E80" w:rsidRDefault="001C2846" w:rsidP="00B46FE9">
      <w:pPr>
        <w:pStyle w:val="3-BodyText"/>
      </w:pPr>
      <w:r w:rsidRPr="00C13E80">
        <w:t>The base case economic evaluation utilises a de novo utility evaluation study using the EQ-5D-5L published by Goswami 2022</w:t>
      </w:r>
      <w:r w:rsidR="00A30964" w:rsidRPr="00C13E80">
        <w:rPr>
          <w:rStyle w:val="FootnoteReference"/>
        </w:rPr>
        <w:footnoteReference w:id="18"/>
      </w:r>
      <w:r w:rsidRPr="00C13E80">
        <w:t xml:space="preserve">. </w:t>
      </w:r>
      <w:r w:rsidRPr="00C13E80">
        <w:rPr>
          <w:iCs/>
        </w:rPr>
        <w:t>The ESC considered that the utility values were uncertain, noting that published weights from this study appeared to lack face validity</w:t>
      </w:r>
      <w:r w:rsidR="00F870EA" w:rsidRPr="00C13E80">
        <w:rPr>
          <w:iCs/>
        </w:rPr>
        <w:t xml:space="preserve">. </w:t>
      </w:r>
      <w:r w:rsidR="00A30964" w:rsidRPr="00C13E80">
        <w:rPr>
          <w:iCs/>
        </w:rPr>
        <w:t>H</w:t>
      </w:r>
      <w:r w:rsidRPr="00C13E80">
        <w:rPr>
          <w:iCs/>
        </w:rPr>
        <w:t>owever</w:t>
      </w:r>
      <w:r w:rsidR="00A30964" w:rsidRPr="00C13E80">
        <w:rPr>
          <w:iCs/>
        </w:rPr>
        <w:t xml:space="preserve">, </w:t>
      </w:r>
      <w:r w:rsidRPr="00C13E80">
        <w:rPr>
          <w:iCs/>
        </w:rPr>
        <w:t xml:space="preserve">it was noted that the model was not sensitive to the utility values applied in the sensitivity analyses conducted in the commentary (ICERs ranged from </w:t>
      </w:r>
      <w:r w:rsidR="00E27974" w:rsidRPr="00E27974">
        <w:rPr>
          <w:iCs/>
        </w:rPr>
        <w:t>$5,000</w:t>
      </w:r>
      <w:r w:rsidR="00E27974">
        <w:rPr>
          <w:iCs/>
        </w:rPr>
        <w:t> </w:t>
      </w:r>
      <w:r w:rsidR="00E27974" w:rsidRPr="00E27974">
        <w:rPr>
          <w:iCs/>
        </w:rPr>
        <w:t>to</w:t>
      </w:r>
      <w:r w:rsidR="00E27974">
        <w:rPr>
          <w:iCs/>
        </w:rPr>
        <w:t> </w:t>
      </w:r>
      <w:r w:rsidR="00E27974" w:rsidRPr="00E27974">
        <w:rPr>
          <w:iCs/>
        </w:rPr>
        <w:t>&lt; $15,000</w:t>
      </w:r>
      <w:r w:rsidR="00E27974">
        <w:rPr>
          <w:iCs/>
        </w:rPr>
        <w:t xml:space="preserve"> </w:t>
      </w:r>
      <w:r w:rsidRPr="00C13E80">
        <w:rPr>
          <w:iCs/>
        </w:rPr>
        <w:t xml:space="preserve">to </w:t>
      </w:r>
      <w:r w:rsidR="00E27974" w:rsidRPr="00E27974">
        <w:rPr>
          <w:iCs/>
        </w:rPr>
        <w:t>$5,000</w:t>
      </w:r>
      <w:r w:rsidR="00E27974">
        <w:rPr>
          <w:iCs/>
        </w:rPr>
        <w:t> </w:t>
      </w:r>
      <w:r w:rsidR="00E27974" w:rsidRPr="00E27974">
        <w:rPr>
          <w:iCs/>
        </w:rPr>
        <w:t>to</w:t>
      </w:r>
      <w:r w:rsidR="00E27974">
        <w:rPr>
          <w:iCs/>
        </w:rPr>
        <w:t> </w:t>
      </w:r>
      <w:r w:rsidR="00E27974" w:rsidRPr="00E27974">
        <w:rPr>
          <w:iCs/>
        </w:rPr>
        <w:t>&lt; $15,000</w:t>
      </w:r>
      <w:r w:rsidR="00E27974">
        <w:rPr>
          <w:iCs/>
        </w:rPr>
        <w:t xml:space="preserve"> </w:t>
      </w:r>
      <w:r w:rsidRPr="00C13E80">
        <w:rPr>
          <w:iCs/>
        </w:rPr>
        <w:t xml:space="preserve">per QALY gained, compared with </w:t>
      </w:r>
      <w:r w:rsidR="00E27974" w:rsidRPr="00E27974">
        <w:rPr>
          <w:iCs/>
        </w:rPr>
        <w:t>$5,000</w:t>
      </w:r>
      <w:r w:rsidR="00E27974">
        <w:rPr>
          <w:iCs/>
        </w:rPr>
        <w:t> </w:t>
      </w:r>
      <w:r w:rsidR="00E27974" w:rsidRPr="00E27974">
        <w:rPr>
          <w:iCs/>
        </w:rPr>
        <w:t>to</w:t>
      </w:r>
      <w:r w:rsidR="00E27974">
        <w:rPr>
          <w:iCs/>
        </w:rPr>
        <w:t> </w:t>
      </w:r>
      <w:r w:rsidR="00E27974" w:rsidRPr="00E27974">
        <w:rPr>
          <w:iCs/>
        </w:rPr>
        <w:t>&lt; $15,000</w:t>
      </w:r>
      <w:r w:rsidR="00E27974">
        <w:rPr>
          <w:iCs/>
        </w:rPr>
        <w:t xml:space="preserve"> </w:t>
      </w:r>
      <w:r w:rsidRPr="00C13E80">
        <w:rPr>
          <w:iCs/>
        </w:rPr>
        <w:t>in the base case)</w:t>
      </w:r>
      <w:r w:rsidR="00F870EA" w:rsidRPr="00C13E80">
        <w:rPr>
          <w:iCs/>
        </w:rPr>
        <w:t xml:space="preserve">. </w:t>
      </w:r>
      <w:r w:rsidR="00A30964" w:rsidRPr="00C13E80">
        <w:rPr>
          <w:iCs/>
        </w:rPr>
        <w:t>An alternative approach for estimation of utility values could utilise the Australian EQ-5D-5L value set (Norman et al 2023)</w:t>
      </w:r>
      <w:r w:rsidR="00A30964" w:rsidRPr="00C13E80">
        <w:rPr>
          <w:rStyle w:val="FootnoteReference"/>
          <w:iCs/>
        </w:rPr>
        <w:footnoteReference w:id="19"/>
      </w:r>
      <w:r w:rsidR="00A30964" w:rsidRPr="00C13E80">
        <w:rPr>
          <w:iCs/>
        </w:rPr>
        <w:t xml:space="preserve">. </w:t>
      </w:r>
    </w:p>
    <w:p w14:paraId="37B4237B" w14:textId="1079F758" w:rsidR="00275C5A" w:rsidRPr="00C13E80" w:rsidRDefault="005B69F1" w:rsidP="00B46FE9">
      <w:pPr>
        <w:pStyle w:val="3-BodyText"/>
      </w:pPr>
      <w:r w:rsidRPr="00C13E80">
        <w:t xml:space="preserve">The key drivers of the economic model are presented in </w:t>
      </w:r>
      <w:r w:rsidR="00D06C83" w:rsidRPr="00C13E80">
        <w:fldChar w:fldCharType="begin" w:fldLock="1"/>
      </w:r>
      <w:r w:rsidR="00D06C83" w:rsidRPr="00C13E80">
        <w:instrText xml:space="preserve"> REF _Ref104805122 \h </w:instrText>
      </w:r>
      <w:r w:rsidR="00D06C83" w:rsidRPr="00C13E80">
        <w:fldChar w:fldCharType="separate"/>
      </w:r>
      <w:r w:rsidR="00701DEF" w:rsidRPr="00C13E80">
        <w:t xml:space="preserve">Table </w:t>
      </w:r>
      <w:r w:rsidR="00701DEF">
        <w:rPr>
          <w:noProof/>
        </w:rPr>
        <w:t>10</w:t>
      </w:r>
      <w:r w:rsidR="00D06C83" w:rsidRPr="00C13E80">
        <w:fldChar w:fldCharType="end"/>
      </w:r>
      <w:r w:rsidRPr="00C13E80">
        <w:t xml:space="preserve">. The </w:t>
      </w:r>
      <w:r w:rsidR="002E45A0" w:rsidRPr="00C13E80">
        <w:t>costs and outcomes generated across treatment arms are based on time in health states</w:t>
      </w:r>
      <w:r w:rsidR="00D93122" w:rsidRPr="00C13E80">
        <w:t>, with certain costs and</w:t>
      </w:r>
      <w:r w:rsidR="00D951A0" w:rsidRPr="00C13E80">
        <w:t xml:space="preserve"> quality of life </w:t>
      </w:r>
      <w:r w:rsidR="004C4B3F" w:rsidRPr="00C13E80">
        <w:t xml:space="preserve">weights </w:t>
      </w:r>
      <w:r w:rsidR="00D951A0" w:rsidRPr="00C13E80">
        <w:t xml:space="preserve">applied to the different health states. By </w:t>
      </w:r>
      <w:r w:rsidR="00F74E87" w:rsidRPr="00C13E80">
        <w:t xml:space="preserve">resulting in less occupancy of </w:t>
      </w:r>
      <w:r w:rsidR="00067009" w:rsidRPr="00C13E80">
        <w:t xml:space="preserve">the more severe health states, </w:t>
      </w:r>
      <w:r w:rsidR="00500631" w:rsidRPr="00C13E80">
        <w:t xml:space="preserve">molnupiravir </w:t>
      </w:r>
      <w:r w:rsidR="00923EFE" w:rsidRPr="00C13E80">
        <w:t xml:space="preserve">reduces costs </w:t>
      </w:r>
      <w:r w:rsidR="00701631" w:rsidRPr="00C13E80">
        <w:t xml:space="preserve">and increases QALYs </w:t>
      </w:r>
      <w:r w:rsidR="00F071D4" w:rsidRPr="00C13E80">
        <w:t xml:space="preserve">accrued </w:t>
      </w:r>
      <w:r w:rsidR="00701631" w:rsidRPr="00C13E80">
        <w:t>over time</w:t>
      </w:r>
      <w:r w:rsidR="00A51FE9" w:rsidRPr="00C13E80">
        <w:t xml:space="preserve"> compared with usual</w:t>
      </w:r>
      <w:r w:rsidR="00C23CD4" w:rsidRPr="00C13E80">
        <w:t xml:space="preserve"> care</w:t>
      </w:r>
      <w:r w:rsidR="00701631" w:rsidRPr="00C13E80">
        <w:t xml:space="preserve">. </w:t>
      </w:r>
      <w:r w:rsidR="00EF4398" w:rsidRPr="00C13E80">
        <w:t>The avoidance of both hospitalisation</w:t>
      </w:r>
      <w:r w:rsidR="003125B9" w:rsidRPr="00C13E80">
        <w:t>s</w:t>
      </w:r>
      <w:r w:rsidR="00EF4398" w:rsidRPr="00C13E80">
        <w:t xml:space="preserve"> and death</w:t>
      </w:r>
      <w:r w:rsidR="003125B9" w:rsidRPr="00C13E80">
        <w:t>s</w:t>
      </w:r>
      <w:r w:rsidR="00EF4398" w:rsidRPr="00C13E80">
        <w:t xml:space="preserve"> </w:t>
      </w:r>
      <w:r w:rsidR="002D67E5" w:rsidRPr="00C13E80">
        <w:t xml:space="preserve">in the model </w:t>
      </w:r>
      <w:r w:rsidR="00617C58" w:rsidRPr="00C13E80">
        <w:t>due to treatment with molnupiravir</w:t>
      </w:r>
      <w:r w:rsidR="003125B9" w:rsidRPr="00C13E80">
        <w:t xml:space="preserve"> </w:t>
      </w:r>
      <w:r w:rsidR="006C522E" w:rsidRPr="00C13E80">
        <w:t xml:space="preserve">leads to the incremental </w:t>
      </w:r>
      <w:r w:rsidR="001A169F" w:rsidRPr="00C13E80">
        <w:t xml:space="preserve">differences </w:t>
      </w:r>
      <w:r w:rsidR="00E02DF7" w:rsidRPr="00C13E80">
        <w:t xml:space="preserve">calculated </w:t>
      </w:r>
      <w:r w:rsidR="00614437" w:rsidRPr="00C13E80">
        <w:t>by the economic evaluation</w:t>
      </w:r>
      <w:r w:rsidR="00F02046" w:rsidRPr="00C13E80">
        <w:t xml:space="preserve">, therefore, </w:t>
      </w:r>
      <w:r w:rsidR="00BA73BC" w:rsidRPr="00C13E80">
        <w:t xml:space="preserve">changes to these inputs </w:t>
      </w:r>
      <w:r w:rsidR="00410B1A" w:rsidRPr="00C13E80">
        <w:t xml:space="preserve">are </w:t>
      </w:r>
      <w:r w:rsidR="00C00551" w:rsidRPr="00C13E80">
        <w:t xml:space="preserve">the </w:t>
      </w:r>
      <w:r w:rsidR="00410B1A" w:rsidRPr="00C13E80">
        <w:t xml:space="preserve">key drivers in the cost-effectiveness estimates. </w:t>
      </w:r>
      <w:r w:rsidR="00BD0436" w:rsidRPr="00C13E80">
        <w:rPr>
          <w:iCs/>
        </w:rPr>
        <w:t>The</w:t>
      </w:r>
      <w:r w:rsidR="00BD0436" w:rsidRPr="00C13E80">
        <w:t xml:space="preserve"> </w:t>
      </w:r>
      <w:r w:rsidR="00BD0436" w:rsidRPr="00C13E80">
        <w:rPr>
          <w:iCs/>
        </w:rPr>
        <w:t>ESC noted that the inputs for baseline risk of hospitalisation and death and those for reduction in risk of these events were highly uncertain.</w:t>
      </w:r>
    </w:p>
    <w:p w14:paraId="774D46B7" w14:textId="658B0E05" w:rsidR="00D110BD" w:rsidRPr="00C13E80" w:rsidRDefault="00E16AD8" w:rsidP="00E16AD8">
      <w:pPr>
        <w:pStyle w:val="Caption"/>
        <w:jc w:val="left"/>
        <w:rPr>
          <w:rStyle w:val="CommentReference"/>
          <w:b/>
          <w:szCs w:val="24"/>
        </w:rPr>
      </w:pPr>
      <w:bookmarkStart w:id="72" w:name="_Ref104805122"/>
      <w:r w:rsidRPr="00C13E80">
        <w:lastRenderedPageBreak/>
        <w:t xml:space="preserve">Table </w:t>
      </w:r>
      <w:r w:rsidR="00567EAC">
        <w:fldChar w:fldCharType="begin" w:fldLock="1"/>
      </w:r>
      <w:r w:rsidR="00567EAC">
        <w:instrText xml:space="preserve"> SEQ Table \* ARABIC </w:instrText>
      </w:r>
      <w:r w:rsidR="00567EAC">
        <w:fldChar w:fldCharType="separate"/>
      </w:r>
      <w:r w:rsidR="00701DEF">
        <w:rPr>
          <w:noProof/>
        </w:rPr>
        <w:t>10</w:t>
      </w:r>
      <w:r w:rsidR="00567EAC">
        <w:rPr>
          <w:noProof/>
        </w:rPr>
        <w:fldChar w:fldCharType="end"/>
      </w:r>
      <w:bookmarkEnd w:id="72"/>
      <w:r w:rsidRPr="00C13E80">
        <w:t>:</w:t>
      </w:r>
      <w:r w:rsidR="00D110BD" w:rsidRPr="00C13E80">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4820"/>
        <w:gridCol w:w="2783"/>
      </w:tblGrid>
      <w:tr w:rsidR="00537182" w:rsidRPr="00C13E80" w14:paraId="4DD8026E" w14:textId="77777777" w:rsidTr="00524B93">
        <w:trPr>
          <w:tblHeader/>
        </w:trPr>
        <w:tc>
          <w:tcPr>
            <w:tcW w:w="784" w:type="pct"/>
            <w:shd w:val="clear" w:color="auto" w:fill="auto"/>
            <w:vAlign w:val="center"/>
          </w:tcPr>
          <w:p w14:paraId="6A9EC2DA" w14:textId="77777777" w:rsidR="00D110BD" w:rsidRPr="00C13E80" w:rsidRDefault="00D110BD" w:rsidP="00BB00B3">
            <w:pPr>
              <w:pStyle w:val="In-tableHeading"/>
              <w:jc w:val="center"/>
              <w:rPr>
                <w:lang w:val="en-AU"/>
              </w:rPr>
            </w:pPr>
            <w:r w:rsidRPr="00C13E80">
              <w:rPr>
                <w:lang w:val="en-AU"/>
              </w:rPr>
              <w:t>Description</w:t>
            </w:r>
          </w:p>
        </w:tc>
        <w:tc>
          <w:tcPr>
            <w:tcW w:w="2673" w:type="pct"/>
            <w:shd w:val="clear" w:color="auto" w:fill="auto"/>
            <w:vAlign w:val="center"/>
          </w:tcPr>
          <w:p w14:paraId="67A62672" w14:textId="77777777" w:rsidR="00D110BD" w:rsidRPr="00C13E80" w:rsidRDefault="00D110BD" w:rsidP="000A7453">
            <w:pPr>
              <w:pStyle w:val="In-tableHeading"/>
              <w:jc w:val="center"/>
              <w:rPr>
                <w:lang w:val="en-AU"/>
              </w:rPr>
            </w:pPr>
            <w:r w:rsidRPr="00C13E80">
              <w:rPr>
                <w:lang w:val="en-AU"/>
              </w:rPr>
              <w:t>Method/Value</w:t>
            </w:r>
          </w:p>
        </w:tc>
        <w:tc>
          <w:tcPr>
            <w:tcW w:w="1543" w:type="pct"/>
            <w:shd w:val="clear" w:color="auto" w:fill="auto"/>
            <w:vAlign w:val="center"/>
          </w:tcPr>
          <w:p w14:paraId="6B352E41" w14:textId="15C60CB9" w:rsidR="00D110BD" w:rsidRPr="00C13E80" w:rsidRDefault="00D110BD" w:rsidP="000A7453">
            <w:pPr>
              <w:pStyle w:val="In-tableHeading"/>
              <w:jc w:val="center"/>
              <w:rPr>
                <w:lang w:val="en-AU"/>
              </w:rPr>
            </w:pPr>
            <w:r w:rsidRPr="00C13E80">
              <w:rPr>
                <w:lang w:val="en-AU"/>
              </w:rPr>
              <w:t>Impact</w:t>
            </w:r>
            <w:r w:rsidR="006C4E32" w:rsidRPr="00C13E80">
              <w:rPr>
                <w:lang w:val="en-AU"/>
              </w:rPr>
              <w:t xml:space="preserve"> on weighted base-case</w:t>
            </w:r>
          </w:p>
          <w:p w14:paraId="6C1DC9EA" w14:textId="32187EAE" w:rsidR="00490B17" w:rsidRPr="00C13E80" w:rsidRDefault="00490B17" w:rsidP="000A7453">
            <w:pPr>
              <w:pStyle w:val="In-tableHeading"/>
              <w:jc w:val="center"/>
              <w:rPr>
                <w:lang w:val="en-AU"/>
              </w:rPr>
            </w:pPr>
            <w:r w:rsidRPr="00C13E80">
              <w:rPr>
                <w:rFonts w:cs="Arial"/>
                <w:szCs w:val="20"/>
                <w:lang w:val="en-AU"/>
              </w:rPr>
              <w:t>Base case: $</w:t>
            </w:r>
            <w:r w:rsidR="00573190" w:rsidRPr="00573190">
              <w:rPr>
                <w:rFonts w:cs="Arial"/>
                <w:color w:val="000000"/>
                <w:spacing w:val="207"/>
                <w:szCs w:val="20"/>
                <w:shd w:val="solid" w:color="000000" w:fill="000000"/>
                <w:fitText w:val="299" w:id="-1168357885"/>
                <w:lang w:val="en-AU"/>
                <w14:textFill>
                  <w14:solidFill>
                    <w14:srgbClr w14:val="000000">
                      <w14:alpha w14:val="100000"/>
                    </w14:srgbClr>
                  </w14:solidFill>
                </w14:textFill>
              </w:rPr>
              <w:t>|</w:t>
            </w:r>
            <w:r w:rsidR="00573190" w:rsidRPr="00573190">
              <w:rPr>
                <w:rFonts w:cs="Arial"/>
                <w:color w:val="000000"/>
                <w:spacing w:val="1"/>
                <w:szCs w:val="20"/>
                <w:shd w:val="solid" w:color="000000" w:fill="000000"/>
                <w:fitText w:val="299" w:id="-1168357885"/>
                <w:lang w:val="en-AU"/>
                <w14:textFill>
                  <w14:solidFill>
                    <w14:srgbClr w14:val="000000">
                      <w14:alpha w14:val="100000"/>
                    </w14:srgbClr>
                  </w14:solidFill>
                </w14:textFill>
              </w:rPr>
              <w:t>|</w:t>
            </w:r>
            <w:r w:rsidR="00E27974">
              <w:rPr>
                <w:rFonts w:cs="Arial"/>
                <w:szCs w:val="20"/>
                <w:vertAlign w:val="superscript"/>
                <w:lang w:val="en-AU"/>
              </w:rPr>
              <w:t>1</w:t>
            </w:r>
            <w:r w:rsidRPr="00C13E80">
              <w:rPr>
                <w:rFonts w:cs="Arial"/>
                <w:szCs w:val="20"/>
                <w:lang w:val="en-AU"/>
              </w:rPr>
              <w:t>/QALY gained</w:t>
            </w:r>
          </w:p>
        </w:tc>
      </w:tr>
      <w:tr w:rsidR="007128D6" w:rsidRPr="00C13E80" w14:paraId="6F39DB42" w14:textId="77777777">
        <w:tc>
          <w:tcPr>
            <w:tcW w:w="784" w:type="pct"/>
            <w:shd w:val="clear" w:color="auto" w:fill="auto"/>
            <w:vAlign w:val="center"/>
          </w:tcPr>
          <w:p w14:paraId="3258F5E3" w14:textId="77777777" w:rsidR="007128D6" w:rsidRPr="00C13E80" w:rsidRDefault="007128D6">
            <w:pPr>
              <w:pStyle w:val="TableText0"/>
            </w:pPr>
            <w:r w:rsidRPr="00C13E80">
              <w:t>Risk reduction of hospitalisation and death</w:t>
            </w:r>
          </w:p>
        </w:tc>
        <w:tc>
          <w:tcPr>
            <w:tcW w:w="2673" w:type="pct"/>
            <w:shd w:val="clear" w:color="auto" w:fill="auto"/>
            <w:vAlign w:val="center"/>
          </w:tcPr>
          <w:p w14:paraId="19DDC947" w14:textId="0AEE7751" w:rsidR="00346172" w:rsidRPr="00C13E80" w:rsidRDefault="007128D6">
            <w:pPr>
              <w:pStyle w:val="TableText0"/>
            </w:pPr>
            <w:r w:rsidRPr="00C13E80">
              <w:t xml:space="preserve">The submission presented varying </w:t>
            </w:r>
            <w:r w:rsidR="004816EB" w:rsidRPr="00C13E80">
              <w:t>treatment effect of</w:t>
            </w:r>
            <w:r w:rsidRPr="00C13E80">
              <w:t xml:space="preserve"> molnupiravir between populations. Changing the reduction in hospitalisation or death as a result of treatment with molnupiravir influences the QALY gains observed over the time horizon. </w:t>
            </w:r>
          </w:p>
        </w:tc>
        <w:tc>
          <w:tcPr>
            <w:tcW w:w="1543" w:type="pct"/>
            <w:shd w:val="clear" w:color="auto" w:fill="auto"/>
            <w:vAlign w:val="center"/>
          </w:tcPr>
          <w:p w14:paraId="33088569" w14:textId="77777777" w:rsidR="007128D6" w:rsidRPr="00C13E80" w:rsidRDefault="00BC2D87">
            <w:pPr>
              <w:pStyle w:val="TableText0"/>
            </w:pPr>
            <w:r w:rsidRPr="00C13E80">
              <w:t>Hig</w:t>
            </w:r>
            <w:r w:rsidR="003C6697" w:rsidRPr="00C13E80">
              <w:t>h</w:t>
            </w:r>
          </w:p>
          <w:p w14:paraId="6C7F6B07" w14:textId="4780A345" w:rsidR="00152DDF" w:rsidRPr="00C13E80" w:rsidRDefault="00463F2E">
            <w:pPr>
              <w:pStyle w:val="TableText0"/>
              <w:rPr>
                <w:i/>
                <w:iCs/>
              </w:rPr>
            </w:pPr>
            <w:r w:rsidRPr="00C13E80">
              <w:rPr>
                <w:iCs/>
              </w:rPr>
              <w:t xml:space="preserve">Decreases in the risk reductions increases </w:t>
            </w:r>
            <w:r w:rsidR="00DB6EAE" w:rsidRPr="00C13E80">
              <w:rPr>
                <w:iCs/>
              </w:rPr>
              <w:t>the ICER</w:t>
            </w:r>
          </w:p>
        </w:tc>
      </w:tr>
      <w:tr w:rsidR="00537182" w:rsidRPr="00C13E80" w14:paraId="3DE22150" w14:textId="77777777" w:rsidTr="00524B93">
        <w:tc>
          <w:tcPr>
            <w:tcW w:w="784" w:type="pct"/>
            <w:shd w:val="clear" w:color="auto" w:fill="auto"/>
            <w:vAlign w:val="center"/>
          </w:tcPr>
          <w:p w14:paraId="72E20981" w14:textId="47CEF7CB" w:rsidR="00D110BD" w:rsidRPr="00C13E80" w:rsidRDefault="009D5D5B" w:rsidP="00C127B9">
            <w:pPr>
              <w:pStyle w:val="TableText0"/>
            </w:pPr>
            <w:r w:rsidRPr="00C13E80">
              <w:t>Baseline</w:t>
            </w:r>
            <w:r w:rsidR="000210AD" w:rsidRPr="00C13E80">
              <w:t xml:space="preserve"> </w:t>
            </w:r>
            <w:r w:rsidR="005E344A" w:rsidRPr="00C13E80">
              <w:t>risk</w:t>
            </w:r>
            <w:r w:rsidR="000210AD" w:rsidRPr="00C13E80">
              <w:t xml:space="preserve"> of</w:t>
            </w:r>
            <w:r w:rsidRPr="00C13E80">
              <w:t xml:space="preserve"> hospitali</w:t>
            </w:r>
            <w:r w:rsidR="00CE1419" w:rsidRPr="00C13E80">
              <w:t>s</w:t>
            </w:r>
            <w:r w:rsidRPr="00C13E80">
              <w:t xml:space="preserve">ation </w:t>
            </w:r>
            <w:r w:rsidR="000210AD" w:rsidRPr="00C13E80">
              <w:t xml:space="preserve">and death </w:t>
            </w:r>
          </w:p>
        </w:tc>
        <w:tc>
          <w:tcPr>
            <w:tcW w:w="2673" w:type="pct"/>
            <w:shd w:val="clear" w:color="auto" w:fill="auto"/>
            <w:vAlign w:val="center"/>
          </w:tcPr>
          <w:p w14:paraId="64938802" w14:textId="6B8DD564" w:rsidR="00106B80" w:rsidRPr="00C13E80" w:rsidRDefault="00F36FCF" w:rsidP="00BB00B3">
            <w:pPr>
              <w:pStyle w:val="TableText0"/>
            </w:pPr>
            <w:r w:rsidRPr="00C13E80">
              <w:t xml:space="preserve">The </w:t>
            </w:r>
            <w:r w:rsidR="008454AC" w:rsidRPr="00C13E80">
              <w:t xml:space="preserve">baseline </w:t>
            </w:r>
            <w:r w:rsidR="005E344A" w:rsidRPr="00C13E80">
              <w:t xml:space="preserve">risks of </w:t>
            </w:r>
            <w:r w:rsidR="008454AC" w:rsidRPr="00C13E80">
              <w:t xml:space="preserve">hospitalisation </w:t>
            </w:r>
            <w:r w:rsidR="005E344A" w:rsidRPr="00C13E80">
              <w:t>and death</w:t>
            </w:r>
            <w:r w:rsidR="008454AC" w:rsidRPr="00C13E80">
              <w:t xml:space="preserve"> in each of the modelled populations </w:t>
            </w:r>
            <w:r w:rsidR="003530B7" w:rsidRPr="00C13E80">
              <w:t xml:space="preserve">varies significantly. </w:t>
            </w:r>
            <w:r w:rsidR="001D1046" w:rsidRPr="00C13E80">
              <w:t xml:space="preserve">Changing the baseline </w:t>
            </w:r>
            <w:r w:rsidR="005E344A" w:rsidRPr="00C13E80">
              <w:t>risk</w:t>
            </w:r>
            <w:r w:rsidR="001D1046" w:rsidRPr="00C13E80">
              <w:t xml:space="preserve"> has flow on effects for the duration of the time horizon</w:t>
            </w:r>
            <w:r w:rsidR="00CE65C2" w:rsidRPr="00C13E80">
              <w:t xml:space="preserve"> and determines the </w:t>
            </w:r>
            <w:r w:rsidR="000260B1" w:rsidRPr="00C13E80">
              <w:t xml:space="preserve">magnitude of QALY gains. </w:t>
            </w:r>
          </w:p>
        </w:tc>
        <w:tc>
          <w:tcPr>
            <w:tcW w:w="1543" w:type="pct"/>
            <w:shd w:val="clear" w:color="auto" w:fill="auto"/>
            <w:vAlign w:val="center"/>
          </w:tcPr>
          <w:p w14:paraId="5B145059" w14:textId="6F008217" w:rsidR="00D110BD" w:rsidRPr="00C13E80" w:rsidRDefault="00D110BD" w:rsidP="008D743C">
            <w:pPr>
              <w:pStyle w:val="TableText0"/>
            </w:pPr>
            <w:r w:rsidRPr="00C13E80">
              <w:t>High</w:t>
            </w:r>
          </w:p>
          <w:p w14:paraId="0AD58F2B" w14:textId="1BE590A6" w:rsidR="00490B17" w:rsidRPr="00C13E80" w:rsidRDefault="00FB5B51" w:rsidP="008D743C">
            <w:pPr>
              <w:pStyle w:val="TableText0"/>
              <w:rPr>
                <w:i/>
              </w:rPr>
            </w:pPr>
            <w:r w:rsidRPr="00C13E80">
              <w:rPr>
                <w:iCs/>
              </w:rPr>
              <w:t xml:space="preserve">Decreases in the baseline hospitalisation rate across populations </w:t>
            </w:r>
            <w:r w:rsidR="00615847" w:rsidRPr="00C13E80">
              <w:rPr>
                <w:iCs/>
              </w:rPr>
              <w:t>increases the ICER</w:t>
            </w:r>
          </w:p>
        </w:tc>
      </w:tr>
      <w:tr w:rsidR="00537182" w:rsidRPr="00C13E80" w14:paraId="3483847F" w14:textId="77777777" w:rsidTr="00524B93">
        <w:tc>
          <w:tcPr>
            <w:tcW w:w="784" w:type="pct"/>
            <w:shd w:val="clear" w:color="auto" w:fill="auto"/>
            <w:vAlign w:val="center"/>
          </w:tcPr>
          <w:p w14:paraId="2724D8D9" w14:textId="6C5E988A" w:rsidR="00D110BD" w:rsidRPr="00C13E80" w:rsidRDefault="00F36FCF" w:rsidP="00C127B9">
            <w:pPr>
              <w:pStyle w:val="TableText0"/>
            </w:pPr>
            <w:r w:rsidRPr="00C13E80">
              <w:t>Time horizon</w:t>
            </w:r>
          </w:p>
        </w:tc>
        <w:tc>
          <w:tcPr>
            <w:tcW w:w="2673" w:type="pct"/>
            <w:shd w:val="clear" w:color="auto" w:fill="auto"/>
            <w:vAlign w:val="center"/>
          </w:tcPr>
          <w:p w14:paraId="4B9FCE0E" w14:textId="439078B3" w:rsidR="00D110BD" w:rsidRPr="00C13E80" w:rsidRDefault="00847AA4" w:rsidP="00BB00B3">
            <w:pPr>
              <w:pStyle w:val="TableText0"/>
            </w:pPr>
            <w:r w:rsidRPr="00C13E80">
              <w:t>The model</w:t>
            </w:r>
            <w:r w:rsidR="006D12C0" w:rsidRPr="00C13E80">
              <w:t xml:space="preserve"> is sensitive to the time horizon applied. The model uses a lifetime time horizon. Over shorter time horizons, </w:t>
            </w:r>
            <w:r w:rsidR="00CC73AE" w:rsidRPr="00C13E80">
              <w:t>the long</w:t>
            </w:r>
            <w:r w:rsidR="0094040A" w:rsidRPr="00C13E80">
              <w:t>-</w:t>
            </w:r>
            <w:r w:rsidR="00CC73AE" w:rsidRPr="00C13E80">
              <w:t xml:space="preserve">term outcome of deaths averted following treatment with molnupiravir </w:t>
            </w:r>
            <w:r w:rsidR="00E938F9" w:rsidRPr="00C13E80">
              <w:t>is</w:t>
            </w:r>
            <w:r w:rsidR="00CC73AE" w:rsidRPr="00C13E80">
              <w:t xml:space="preserve"> not captured. </w:t>
            </w:r>
          </w:p>
        </w:tc>
        <w:tc>
          <w:tcPr>
            <w:tcW w:w="1543" w:type="pct"/>
            <w:shd w:val="clear" w:color="auto" w:fill="auto"/>
            <w:vAlign w:val="center"/>
          </w:tcPr>
          <w:p w14:paraId="369C4B65" w14:textId="77777777" w:rsidR="001F00C6" w:rsidRPr="00C13E80" w:rsidRDefault="00537182" w:rsidP="008D743C">
            <w:pPr>
              <w:pStyle w:val="TableText0"/>
            </w:pPr>
            <w:r w:rsidRPr="00C13E80">
              <w:t xml:space="preserve">High, favours </w:t>
            </w:r>
            <w:r w:rsidR="00ED18E4" w:rsidRPr="00C13E80">
              <w:t>molnupiravir</w:t>
            </w:r>
            <w:r w:rsidR="00490B17" w:rsidRPr="00C13E80">
              <w:t xml:space="preserve"> </w:t>
            </w:r>
          </w:p>
          <w:p w14:paraId="4CB0C507" w14:textId="1D780F9C" w:rsidR="00D110BD" w:rsidRPr="00C13E80" w:rsidRDefault="00490B17" w:rsidP="008D743C">
            <w:pPr>
              <w:pStyle w:val="TableText0"/>
              <w:rPr>
                <w:i/>
              </w:rPr>
            </w:pPr>
            <w:r w:rsidRPr="00C13E80">
              <w:t xml:space="preserve">Use of </w:t>
            </w:r>
            <w:r w:rsidR="00822F7A" w:rsidRPr="00C13E80">
              <w:t>a one-year time horizon</w:t>
            </w:r>
            <w:r w:rsidRPr="00C13E80">
              <w:t xml:space="preserve"> increased the ICER to $</w:t>
            </w:r>
            <w:r w:rsidR="00573190" w:rsidRPr="00573190">
              <w:rPr>
                <w:color w:val="000000"/>
                <w:spacing w:val="51"/>
                <w:shd w:val="solid" w:color="000000" w:fill="000000"/>
                <w:fitText w:val="326" w:id="-1168357884"/>
                <w14:textFill>
                  <w14:solidFill>
                    <w14:srgbClr w14:val="000000">
                      <w14:alpha w14:val="100000"/>
                    </w14:srgbClr>
                  </w14:solidFill>
                </w14:textFill>
              </w:rPr>
              <w:t>|||</w:t>
            </w:r>
            <w:r w:rsidR="00573190" w:rsidRPr="00573190">
              <w:rPr>
                <w:color w:val="000000"/>
                <w:spacing w:val="3"/>
                <w:shd w:val="solid" w:color="000000" w:fill="000000"/>
                <w:fitText w:val="326" w:id="-1168357884"/>
                <w14:textFill>
                  <w14:solidFill>
                    <w14:srgbClr w14:val="000000">
                      <w14:alpha w14:val="100000"/>
                    </w14:srgbClr>
                  </w14:solidFill>
                </w14:textFill>
              </w:rPr>
              <w:t>|</w:t>
            </w:r>
            <w:r w:rsidR="00E27974">
              <w:t xml:space="preserve"> </w:t>
            </w:r>
            <w:r w:rsidR="00E27974">
              <w:rPr>
                <w:vertAlign w:val="superscript"/>
              </w:rPr>
              <w:t xml:space="preserve">2 </w:t>
            </w:r>
            <w:r w:rsidRPr="00C13E80">
              <w:t>/QALY gained.</w:t>
            </w:r>
            <w:r w:rsidR="00354F64" w:rsidRPr="00C13E80">
              <w:rPr>
                <w:rFonts w:cs="Arial"/>
                <w:color w:val="3366FF"/>
                <w:szCs w:val="20"/>
              </w:rPr>
              <w:t xml:space="preserve"> </w:t>
            </w:r>
          </w:p>
        </w:tc>
      </w:tr>
      <w:tr w:rsidR="0058580C" w:rsidRPr="00C13E80" w14:paraId="757B8BD9" w14:textId="77777777" w:rsidTr="00524B93">
        <w:tc>
          <w:tcPr>
            <w:tcW w:w="784" w:type="pct"/>
            <w:shd w:val="clear" w:color="auto" w:fill="auto"/>
            <w:vAlign w:val="center"/>
          </w:tcPr>
          <w:p w14:paraId="747A9047" w14:textId="1EFF864F" w:rsidR="0058580C" w:rsidRPr="00C13E80" w:rsidRDefault="0058580C" w:rsidP="00C127B9">
            <w:pPr>
              <w:pStyle w:val="TableText0"/>
            </w:pPr>
            <w:r w:rsidRPr="00C13E80">
              <w:t>Cost of molnupiravir</w:t>
            </w:r>
          </w:p>
        </w:tc>
        <w:tc>
          <w:tcPr>
            <w:tcW w:w="2673" w:type="pct"/>
            <w:shd w:val="clear" w:color="auto" w:fill="auto"/>
            <w:vAlign w:val="center"/>
          </w:tcPr>
          <w:p w14:paraId="1CFDE9E2" w14:textId="1BDAE3C3" w:rsidR="0058580C" w:rsidRPr="00C13E80" w:rsidRDefault="007341A9" w:rsidP="00BB00B3">
            <w:pPr>
              <w:pStyle w:val="TableText0"/>
            </w:pPr>
            <w:r w:rsidRPr="00C13E80">
              <w:t>The submission</w:t>
            </w:r>
            <w:r w:rsidR="00953FDC" w:rsidRPr="00C13E80">
              <w:t xml:space="preserve"> proposed an effective dispensed price of molnupiravir of $</w:t>
            </w:r>
            <w:r w:rsidR="00573190" w:rsidRPr="00573190">
              <w:rPr>
                <w:color w:val="000000"/>
                <w:spacing w:val="51"/>
                <w:shd w:val="solid" w:color="000000" w:fill="000000"/>
                <w:fitText w:val="326" w:id="-1168357883"/>
                <w14:textFill>
                  <w14:solidFill>
                    <w14:srgbClr w14:val="000000">
                      <w14:alpha w14:val="100000"/>
                    </w14:srgbClr>
                  </w14:solidFill>
                </w14:textFill>
              </w:rPr>
              <w:t>|||</w:t>
            </w:r>
            <w:r w:rsidR="00573190" w:rsidRPr="00573190">
              <w:rPr>
                <w:color w:val="000000"/>
                <w:spacing w:val="3"/>
                <w:shd w:val="solid" w:color="000000" w:fill="000000"/>
                <w:fitText w:val="326" w:id="-1168357883"/>
                <w14:textFill>
                  <w14:solidFill>
                    <w14:srgbClr w14:val="000000">
                      <w14:alpha w14:val="100000"/>
                    </w14:srgbClr>
                  </w14:solidFill>
                </w14:textFill>
              </w:rPr>
              <w:t>|</w:t>
            </w:r>
            <w:r w:rsidR="00953FDC" w:rsidRPr="00C13E80">
              <w:t xml:space="preserve">. This is the key driver </w:t>
            </w:r>
            <w:r w:rsidR="00960F66" w:rsidRPr="00C13E80">
              <w:t>of</w:t>
            </w:r>
            <w:r w:rsidR="00953FDC" w:rsidRPr="00C13E80">
              <w:t xml:space="preserve"> incremental costs between the two treatment arms of the model. </w:t>
            </w:r>
          </w:p>
        </w:tc>
        <w:tc>
          <w:tcPr>
            <w:tcW w:w="1543" w:type="pct"/>
            <w:shd w:val="clear" w:color="auto" w:fill="auto"/>
            <w:vAlign w:val="center"/>
          </w:tcPr>
          <w:p w14:paraId="27D4F7DC" w14:textId="3A265480" w:rsidR="00DB6EAE" w:rsidRPr="00C13E80" w:rsidRDefault="00953FDC" w:rsidP="00DB6EAE">
            <w:pPr>
              <w:pStyle w:val="TableText0"/>
            </w:pPr>
            <w:r w:rsidRPr="00C13E80">
              <w:t>High</w:t>
            </w:r>
          </w:p>
          <w:p w14:paraId="540240C4" w14:textId="1D2E381C" w:rsidR="00953FDC" w:rsidRPr="00C13E80" w:rsidRDefault="00DB6EAE" w:rsidP="008D743C">
            <w:pPr>
              <w:pStyle w:val="TableText0"/>
              <w:rPr>
                <w:i/>
              </w:rPr>
            </w:pPr>
            <w:r w:rsidRPr="00C13E80">
              <w:t>Decreases in the effective dispensed price decrease the ICER</w:t>
            </w:r>
          </w:p>
        </w:tc>
      </w:tr>
    </w:tbl>
    <w:p w14:paraId="30E97087" w14:textId="3811ADD3" w:rsidR="00D110BD" w:rsidRDefault="009D792E" w:rsidP="00E27974">
      <w:pPr>
        <w:pStyle w:val="FooterTableFigure"/>
        <w:spacing w:after="0"/>
      </w:pPr>
      <w:r w:rsidRPr="00C13E80">
        <w:t xml:space="preserve">Source: </w:t>
      </w:r>
      <w:r w:rsidR="00A86EEF" w:rsidRPr="00C13E80">
        <w:t>Observations from sensitivity analyses presented in the submission and additional analyses conducted during the evaluation.</w:t>
      </w:r>
    </w:p>
    <w:p w14:paraId="16FA14B9" w14:textId="77777777" w:rsidR="00E27974" w:rsidRPr="009A6D58" w:rsidRDefault="00E27974" w:rsidP="00E2797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2F9B4CF" w14:textId="7FFDE063" w:rsidR="00E27974" w:rsidRPr="009A6D58" w:rsidRDefault="00E27974" w:rsidP="00E2797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27974">
        <w:rPr>
          <w:rFonts w:ascii="Arial Narrow" w:hAnsi="Arial Narrow"/>
          <w:i/>
          <w:sz w:val="18"/>
          <w:szCs w:val="18"/>
        </w:rPr>
        <w:t>$5,000 to &lt; $15,000</w:t>
      </w:r>
    </w:p>
    <w:p w14:paraId="19463DB7" w14:textId="749ED174" w:rsidR="00E27974" w:rsidRPr="00AD425C" w:rsidRDefault="00E27974" w:rsidP="00AD425C">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27974">
        <w:rPr>
          <w:rFonts w:ascii="Arial Narrow" w:hAnsi="Arial Narrow"/>
          <w:i/>
          <w:sz w:val="18"/>
          <w:szCs w:val="18"/>
        </w:rPr>
        <w:t>$55,000 to &lt; $75,000</w:t>
      </w:r>
    </w:p>
    <w:p w14:paraId="5BD91E89" w14:textId="01B12C9A" w:rsidR="00CF3457" w:rsidRPr="00C13E80" w:rsidRDefault="008A183B" w:rsidP="00B46FE9">
      <w:pPr>
        <w:pStyle w:val="3-BodyText"/>
      </w:pPr>
      <w:r w:rsidRPr="00C13E80">
        <w:t>The key inputs of the economic model have been summarised in</w:t>
      </w:r>
      <w:r w:rsidR="004C5881" w:rsidRPr="00C13E80">
        <w:t xml:space="preserve"> </w:t>
      </w:r>
      <w:r w:rsidR="00D624DE" w:rsidRPr="00C13E80">
        <w:rPr>
          <w:highlight w:val="yellow"/>
        </w:rPr>
        <w:fldChar w:fldCharType="begin" w:fldLock="1"/>
      </w:r>
      <w:r w:rsidR="00D624DE" w:rsidRPr="00C13E80">
        <w:instrText xml:space="preserve"> REF _Ref134605944 \h </w:instrText>
      </w:r>
      <w:r w:rsidR="00D624DE" w:rsidRPr="00C13E80">
        <w:rPr>
          <w:highlight w:val="yellow"/>
        </w:rPr>
      </w:r>
      <w:r w:rsidR="00D624DE" w:rsidRPr="00C13E80">
        <w:rPr>
          <w:highlight w:val="yellow"/>
        </w:rPr>
        <w:fldChar w:fldCharType="separate"/>
      </w:r>
      <w:r w:rsidR="00701DEF" w:rsidRPr="00C13E80">
        <w:t xml:space="preserve">Table </w:t>
      </w:r>
      <w:r w:rsidR="00701DEF">
        <w:rPr>
          <w:noProof/>
        </w:rPr>
        <w:t>11</w:t>
      </w:r>
      <w:r w:rsidR="00D624DE" w:rsidRPr="00C13E80">
        <w:rPr>
          <w:highlight w:val="yellow"/>
        </w:rPr>
        <w:fldChar w:fldCharType="end"/>
      </w:r>
      <w:r w:rsidR="008C5435" w:rsidRPr="00C13E80">
        <w:t>.</w:t>
      </w:r>
      <w:r w:rsidR="00CF3457" w:rsidRPr="00C13E80">
        <w:t xml:space="preserve"> </w:t>
      </w:r>
    </w:p>
    <w:p w14:paraId="0A6EE343" w14:textId="57EB53CD" w:rsidR="003615CF" w:rsidRPr="00C13E80" w:rsidRDefault="00F000CD" w:rsidP="00B46FE9">
      <w:pPr>
        <w:pStyle w:val="3-BodyText"/>
      </w:pPr>
      <w:r w:rsidRPr="00C13E80">
        <w:t>The submission sourced t</w:t>
      </w:r>
      <w:r w:rsidR="00E8226B" w:rsidRPr="00C13E80">
        <w:t xml:space="preserve">he relative risk </w:t>
      </w:r>
      <w:r w:rsidR="00A6432C" w:rsidRPr="00C13E80">
        <w:t xml:space="preserve">reduction in </w:t>
      </w:r>
      <w:r w:rsidR="00E8226B" w:rsidRPr="00C13E80">
        <w:t>hospitalisation</w:t>
      </w:r>
      <w:r w:rsidR="00AC5B04" w:rsidRPr="00C13E80">
        <w:t>s</w:t>
      </w:r>
      <w:r w:rsidR="00E8226B" w:rsidRPr="00C13E80">
        <w:t xml:space="preserve"> and</w:t>
      </w:r>
      <w:r w:rsidR="00ED00D3" w:rsidRPr="00C13E80">
        <w:t xml:space="preserve"> </w:t>
      </w:r>
      <w:r w:rsidR="00E8226B" w:rsidRPr="00C13E80">
        <w:t>death</w:t>
      </w:r>
      <w:r w:rsidR="00AC5B04" w:rsidRPr="00C13E80">
        <w:t>s</w:t>
      </w:r>
      <w:r w:rsidR="00E8226B" w:rsidRPr="00C13E80">
        <w:t xml:space="preserve"> in the 70+ subgroup and the 50-69 high risk subgroup </w:t>
      </w:r>
      <w:r w:rsidR="00AC5B04" w:rsidRPr="00C13E80">
        <w:t xml:space="preserve">attributable to molnupiravir </w:t>
      </w:r>
      <w:r w:rsidR="00E8226B" w:rsidRPr="00C13E80">
        <w:t xml:space="preserve">from </w:t>
      </w:r>
      <w:r w:rsidR="00844B70" w:rsidRPr="00C13E80">
        <w:t xml:space="preserve">a </w:t>
      </w:r>
      <w:r w:rsidR="00174A37" w:rsidRPr="00C13E80">
        <w:t xml:space="preserve">press release </w:t>
      </w:r>
      <w:r w:rsidR="00844B70" w:rsidRPr="00C13E80">
        <w:t xml:space="preserve">detailing outcomes </w:t>
      </w:r>
      <w:r w:rsidR="00174A37" w:rsidRPr="00C13E80">
        <w:t xml:space="preserve">of </w:t>
      </w:r>
      <w:r w:rsidR="00844B70" w:rsidRPr="00C13E80">
        <w:t xml:space="preserve">analyses of </w:t>
      </w:r>
      <w:r w:rsidR="00174A37" w:rsidRPr="00C13E80">
        <w:t xml:space="preserve">the </w:t>
      </w:r>
      <w:r w:rsidR="00E8226B" w:rsidRPr="00C13E80">
        <w:t xml:space="preserve">Victorian </w:t>
      </w:r>
      <w:r w:rsidR="00A06445" w:rsidRPr="00C13E80">
        <w:t xml:space="preserve">COVID-19 </w:t>
      </w:r>
      <w:r w:rsidR="00E8226B" w:rsidRPr="00C13E80">
        <w:t>data</w:t>
      </w:r>
      <w:r w:rsidR="00ED00D3" w:rsidRPr="00C13E80">
        <w:t xml:space="preserve"> (see </w:t>
      </w:r>
      <w:r w:rsidR="00B22638" w:rsidRPr="00C13E80">
        <w:fldChar w:fldCharType="begin" w:fldLock="1"/>
      </w:r>
      <w:r w:rsidR="00B22638" w:rsidRPr="00C13E80">
        <w:instrText xml:space="preserve"> REF _Ref104803956 \h </w:instrText>
      </w:r>
      <w:r w:rsidR="00B22638" w:rsidRPr="00C13E80">
        <w:fldChar w:fldCharType="separate"/>
      </w:r>
      <w:r w:rsidR="00701DEF" w:rsidRPr="00C13E80">
        <w:rPr>
          <w:color w:val="000000" w:themeColor="text1"/>
        </w:rPr>
        <w:t xml:space="preserve">Table </w:t>
      </w:r>
      <w:r w:rsidR="00701DEF">
        <w:rPr>
          <w:noProof/>
          <w:color w:val="000000" w:themeColor="text1"/>
        </w:rPr>
        <w:t>5</w:t>
      </w:r>
      <w:r w:rsidR="00B22638" w:rsidRPr="00C13E80">
        <w:fldChar w:fldCharType="end"/>
      </w:r>
      <w:r w:rsidR="00B22638" w:rsidRPr="00C13E80">
        <w:t>)</w:t>
      </w:r>
      <w:r w:rsidR="00174A37" w:rsidRPr="00C13E80">
        <w:t xml:space="preserve">. </w:t>
      </w:r>
      <w:r w:rsidR="00121C08" w:rsidRPr="00C13E80">
        <w:t xml:space="preserve">The submission assumed </w:t>
      </w:r>
      <w:r w:rsidR="00074374" w:rsidRPr="00C13E80">
        <w:t>that the</w:t>
      </w:r>
      <w:r w:rsidR="002316D1" w:rsidRPr="00C13E80">
        <w:t xml:space="preserve"> relative treatment effect of molnupiravir in</w:t>
      </w:r>
      <w:r w:rsidR="00074374" w:rsidRPr="00C13E80">
        <w:t xml:space="preserve"> 50-69 high risk subgroup would </w:t>
      </w:r>
      <w:r w:rsidR="002316D1" w:rsidRPr="00C13E80">
        <w:t xml:space="preserve">be the same </w:t>
      </w:r>
      <w:r w:rsidR="00AD442E" w:rsidRPr="00C13E80">
        <w:t xml:space="preserve">as </w:t>
      </w:r>
      <w:r w:rsidR="00231E24" w:rsidRPr="00C13E80">
        <w:t xml:space="preserve">observed in </w:t>
      </w:r>
      <w:r w:rsidR="00AD442E" w:rsidRPr="00C13E80">
        <w:t xml:space="preserve">the population </w:t>
      </w:r>
      <w:r w:rsidR="0070260D" w:rsidRPr="00C13E80">
        <w:t>aged</w:t>
      </w:r>
      <w:r w:rsidR="00AD442E" w:rsidRPr="00C13E80">
        <w:t xml:space="preserve"> 70+ </w:t>
      </w:r>
      <w:r w:rsidR="00934B86" w:rsidRPr="00C13E80">
        <w:t xml:space="preserve">receiving treatment with molnupiravir. </w:t>
      </w:r>
      <w:r w:rsidR="00231E24" w:rsidRPr="00C13E80">
        <w:rPr>
          <w:iCs/>
        </w:rPr>
        <w:t xml:space="preserve">In the absence of other reliable evidence, this is a reasonable assumption. </w:t>
      </w:r>
      <w:r w:rsidR="00F37A38" w:rsidRPr="00C13E80">
        <w:t>Treatment effect (in terms of r</w:t>
      </w:r>
      <w:r w:rsidR="007320A7" w:rsidRPr="00C13E80">
        <w:t>eduction in risk of hospitalisation and death)</w:t>
      </w:r>
      <w:r w:rsidR="009D1060" w:rsidRPr="00C13E80">
        <w:t xml:space="preserve"> in the </w:t>
      </w:r>
      <w:r w:rsidR="00934B86" w:rsidRPr="00C13E80">
        <w:t>IC subgroup w</w:t>
      </w:r>
      <w:r w:rsidR="007320A7" w:rsidRPr="00C13E80">
        <w:t>as</w:t>
      </w:r>
      <w:r w:rsidR="00934B86" w:rsidRPr="00C13E80">
        <w:t xml:space="preserve"> informed by Evans 2023, </w:t>
      </w:r>
      <w:r w:rsidR="00256772" w:rsidRPr="00C13E80">
        <w:t xml:space="preserve">a retrospective </w:t>
      </w:r>
      <w:r w:rsidR="001A5970" w:rsidRPr="00C13E80">
        <w:t xml:space="preserve">study </w:t>
      </w:r>
      <w:r w:rsidR="003615CF" w:rsidRPr="00C13E80">
        <w:t xml:space="preserve">conducted in Wales </w:t>
      </w:r>
      <w:r w:rsidR="009B73FB" w:rsidRPr="00C13E80">
        <w:t>(</w:t>
      </w:r>
      <w:r w:rsidR="00C11990" w:rsidRPr="00C13E80">
        <w:t xml:space="preserve">see </w:t>
      </w:r>
      <w:r w:rsidR="00FC70B8" w:rsidRPr="00C13E80">
        <w:t xml:space="preserve">paragraph </w:t>
      </w:r>
      <w:r w:rsidR="00FC70B8" w:rsidRPr="00C13E80">
        <w:fldChar w:fldCharType="begin" w:fldLock="1"/>
      </w:r>
      <w:r w:rsidR="00FC70B8" w:rsidRPr="00C13E80">
        <w:instrText xml:space="preserve"> REF _Ref134605626 \r \h </w:instrText>
      </w:r>
      <w:r w:rsidR="00FC70B8" w:rsidRPr="00C13E80">
        <w:fldChar w:fldCharType="separate"/>
      </w:r>
      <w:r w:rsidR="00701DEF">
        <w:t>6.38</w:t>
      </w:r>
      <w:r w:rsidR="00FC70B8" w:rsidRPr="00C13E80">
        <w:fldChar w:fldCharType="end"/>
      </w:r>
      <w:r w:rsidR="00C11990" w:rsidRPr="00C13E80">
        <w:t>).</w:t>
      </w:r>
    </w:p>
    <w:p w14:paraId="0B20C7B4" w14:textId="630E821F" w:rsidR="00CE5782" w:rsidRPr="00C13E80" w:rsidRDefault="00EF7AC7" w:rsidP="00B46FE9">
      <w:pPr>
        <w:pStyle w:val="3-BodyText"/>
      </w:pPr>
      <w:bookmarkStart w:id="73" w:name="_Ref135220074"/>
      <w:r w:rsidRPr="00C13E80">
        <w:t>I</w:t>
      </w:r>
      <w:r w:rsidR="008465BA" w:rsidRPr="00C13E80">
        <w:t>n</w:t>
      </w:r>
      <w:r w:rsidRPr="00C13E80">
        <w:t xml:space="preserve"> </w:t>
      </w:r>
      <w:r w:rsidR="008465BA" w:rsidRPr="00C13E80">
        <w:t xml:space="preserve">regard to baseline risk of hospitalisation and death and given </w:t>
      </w:r>
      <w:r w:rsidR="008B3827" w:rsidRPr="00C13E80">
        <w:t>the</w:t>
      </w:r>
      <w:r w:rsidR="00FF240F" w:rsidRPr="00C13E80">
        <w:t xml:space="preserve"> sponsor did not have access to </w:t>
      </w:r>
      <w:r w:rsidR="006F63BA" w:rsidRPr="00C13E80">
        <w:t xml:space="preserve">estimates from the analyses of the Victorian dataset, </w:t>
      </w:r>
      <w:r w:rsidR="00F03A6B" w:rsidRPr="00C13E80">
        <w:t>the submission used data</w:t>
      </w:r>
      <w:r w:rsidR="0066009F" w:rsidRPr="00C13E80">
        <w:t xml:space="preserve"> </w:t>
      </w:r>
      <w:r w:rsidR="00F03A6B" w:rsidRPr="00C13E80">
        <w:t>from the NSW Respiratory Surveillance Reports</w:t>
      </w:r>
      <w:r w:rsidR="00E85116" w:rsidRPr="00C13E80">
        <w:t xml:space="preserve"> </w:t>
      </w:r>
      <w:r w:rsidR="00FF240F" w:rsidRPr="00C13E80">
        <w:t xml:space="preserve">to </w:t>
      </w:r>
      <w:r w:rsidR="0083515B" w:rsidRPr="00C13E80">
        <w:t>estimate</w:t>
      </w:r>
      <w:r w:rsidR="00FF240F" w:rsidRPr="00C13E80">
        <w:t xml:space="preserve"> the proportion of patients with COVID</w:t>
      </w:r>
      <w:r w:rsidR="0083515B" w:rsidRPr="00C13E80">
        <w:noBreakHyphen/>
      </w:r>
      <w:r w:rsidR="00FF240F" w:rsidRPr="00C13E80">
        <w:t xml:space="preserve">19 who </w:t>
      </w:r>
      <w:r w:rsidR="0083515B" w:rsidRPr="00C13E80">
        <w:t xml:space="preserve">are </w:t>
      </w:r>
      <w:r w:rsidR="00FF240F" w:rsidRPr="00C13E80">
        <w:t>hospitalised</w:t>
      </w:r>
      <w:r w:rsidR="001E3CB9" w:rsidRPr="00C13E80">
        <w:t xml:space="preserve"> and who </w:t>
      </w:r>
      <w:r w:rsidR="001F5254" w:rsidRPr="00C13E80">
        <w:t xml:space="preserve">die. </w:t>
      </w:r>
      <w:r w:rsidR="00280CBC" w:rsidRPr="00C13E80">
        <w:t xml:space="preserve">The submission </w:t>
      </w:r>
      <w:r w:rsidR="009E1AC0" w:rsidRPr="00C13E80">
        <w:t xml:space="preserve">assumed that all patients that died in the NSW Respiratory Surveillance Reports </w:t>
      </w:r>
      <w:r w:rsidR="00C52D44" w:rsidRPr="00C13E80">
        <w:t xml:space="preserve">died in hospital (consistent with </w:t>
      </w:r>
      <w:r w:rsidR="001C0920" w:rsidRPr="00C13E80">
        <w:t>the</w:t>
      </w:r>
      <w:r w:rsidR="00C52D44" w:rsidRPr="00C13E80">
        <w:t xml:space="preserve"> assumption in the economic model)</w:t>
      </w:r>
      <w:r w:rsidR="00993035" w:rsidRPr="00C13E80">
        <w:t xml:space="preserve">. </w:t>
      </w:r>
      <w:r w:rsidR="00164901" w:rsidRPr="00C13E80">
        <w:t>As noted by the submission, t</w:t>
      </w:r>
      <w:r w:rsidR="00E14E7E" w:rsidRPr="00C13E80">
        <w:t>he</w:t>
      </w:r>
      <w:r w:rsidR="00B817CF" w:rsidRPr="00C13E80">
        <w:t xml:space="preserve"> proportion of patients in each age group who are hospitalised and who have died with COVID-19 as reported by the NSW Respiratory Surveillance Reports incorporate patients who are treated with antivirals</w:t>
      </w:r>
      <w:r w:rsidR="006F557D" w:rsidRPr="00C13E80">
        <w:t xml:space="preserve"> </w:t>
      </w:r>
      <w:r w:rsidR="00FF3E31" w:rsidRPr="00C13E80">
        <w:t xml:space="preserve">and </w:t>
      </w:r>
      <w:r w:rsidR="006F557D" w:rsidRPr="00C13E80">
        <w:t>do not differentiate patients with risk factors</w:t>
      </w:r>
      <w:r w:rsidR="00850CA5" w:rsidRPr="00C13E80">
        <w:t xml:space="preserve"> from those that do not have risk factors</w:t>
      </w:r>
      <w:r w:rsidR="00283ECA" w:rsidRPr="00C13E80">
        <w:t>.</w:t>
      </w:r>
      <w:bookmarkEnd w:id="73"/>
    </w:p>
    <w:p w14:paraId="08FDAF8F" w14:textId="02A8BE7C" w:rsidR="00FF4864" w:rsidRPr="00C13E80" w:rsidRDefault="00FF4864" w:rsidP="00B46FE9">
      <w:pPr>
        <w:pStyle w:val="3-BodyText"/>
      </w:pPr>
      <w:bookmarkStart w:id="74" w:name="_Ref135219643"/>
      <w:r w:rsidRPr="00C13E80">
        <w:t xml:space="preserve">For the population aged ≥ 70 years, baseline risk of hospitalisation and death is derived from rates reported for this population in the NSW Respiratory Surveillance Reports. </w:t>
      </w:r>
      <w:r w:rsidRPr="00C13E80">
        <w:lastRenderedPageBreak/>
        <w:t>The submission acknowledge</w:t>
      </w:r>
      <w:r w:rsidR="009D772A" w:rsidRPr="00C13E80">
        <w:t>d</w:t>
      </w:r>
      <w:r w:rsidRPr="00C13E80">
        <w:t xml:space="preserve"> that the rates reported include the impact of treatment and it therefore </w:t>
      </w:r>
      <w:r w:rsidR="009D772A" w:rsidRPr="00C13E80">
        <w:t xml:space="preserve">made </w:t>
      </w:r>
      <w:r w:rsidRPr="00C13E80">
        <w:t xml:space="preserve">adjustments to the observed rates to remove the impact of treatment. </w:t>
      </w:r>
    </w:p>
    <w:p w14:paraId="73D418EA" w14:textId="544F8066" w:rsidR="00525ACB" w:rsidRPr="00C13E80" w:rsidRDefault="00254CD7" w:rsidP="00B46FE9">
      <w:pPr>
        <w:pStyle w:val="3-BodyText"/>
      </w:pPr>
      <w:r w:rsidRPr="00C13E80">
        <w:t>F</w:t>
      </w:r>
      <w:r w:rsidR="0081258D" w:rsidRPr="00C13E80">
        <w:t>or</w:t>
      </w:r>
      <w:r w:rsidRPr="00C13E80">
        <w:t xml:space="preserve"> </w:t>
      </w:r>
      <w:r w:rsidR="0081258D" w:rsidRPr="00C13E80">
        <w:t>patients in the 50-69 year age group</w:t>
      </w:r>
      <w:r w:rsidRPr="00C13E80">
        <w:t>, t</w:t>
      </w:r>
      <w:r w:rsidR="00283ECA" w:rsidRPr="00C13E80">
        <w:t>he</w:t>
      </w:r>
      <w:r w:rsidR="00850CA5" w:rsidRPr="00C13E80">
        <w:t xml:space="preserve"> submission </w:t>
      </w:r>
      <w:r w:rsidR="000611E9" w:rsidRPr="00C13E80">
        <w:t xml:space="preserve">applies a </w:t>
      </w:r>
      <w:r w:rsidR="00C76452" w:rsidRPr="00C13E80">
        <w:t xml:space="preserve">multiplier </w:t>
      </w:r>
      <w:r w:rsidR="003E2C81" w:rsidRPr="00C13E80">
        <w:t xml:space="preserve">to </w:t>
      </w:r>
      <w:r w:rsidR="007600D1" w:rsidRPr="00C13E80">
        <w:t xml:space="preserve">adjust </w:t>
      </w:r>
      <w:r w:rsidR="003E2C81" w:rsidRPr="00C13E80">
        <w:t>the estimates</w:t>
      </w:r>
      <w:r w:rsidR="00627F66" w:rsidRPr="00C13E80">
        <w:t xml:space="preserve"> so as to capture th</w:t>
      </w:r>
      <w:r w:rsidR="007664A9" w:rsidRPr="00C13E80">
        <w:t xml:space="preserve">e impact of </w:t>
      </w:r>
      <w:r w:rsidR="0066530E" w:rsidRPr="00C13E80">
        <w:t xml:space="preserve">multiple risk factors in the PBS population. </w:t>
      </w:r>
      <w:r w:rsidR="00652744" w:rsidRPr="00C13E80">
        <w:t xml:space="preserve">However, no adjustments are made </w:t>
      </w:r>
      <w:r w:rsidR="002607A9" w:rsidRPr="00C13E80">
        <w:t>to adjust for</w:t>
      </w:r>
      <w:r w:rsidR="00652744" w:rsidRPr="00C13E80">
        <w:t xml:space="preserve"> </w:t>
      </w:r>
      <w:r w:rsidR="005F071C" w:rsidRPr="00C13E80">
        <w:t xml:space="preserve">benefits of treatment </w:t>
      </w:r>
      <w:r w:rsidR="007402F0" w:rsidRPr="00C13E80">
        <w:t xml:space="preserve">that will also be reflected in the risks of hospitalisation and death </w:t>
      </w:r>
      <w:r w:rsidR="00DE6FFE" w:rsidRPr="00C13E80">
        <w:t>reported by the NSW Respiratory Surveillance reports</w:t>
      </w:r>
      <w:r w:rsidR="005F071C" w:rsidRPr="00C13E80">
        <w:t>.</w:t>
      </w:r>
      <w:bookmarkEnd w:id="74"/>
    </w:p>
    <w:p w14:paraId="274C658E" w14:textId="089720E0" w:rsidR="00EE5F83" w:rsidRPr="00C13E80" w:rsidRDefault="004F2821" w:rsidP="00B46FE9">
      <w:pPr>
        <w:pStyle w:val="3-BodyText"/>
      </w:pPr>
      <w:r w:rsidRPr="00C13E80">
        <w:t>For the immunocompromised population, t</w:t>
      </w:r>
      <w:r w:rsidR="003C568D" w:rsidRPr="00C13E80">
        <w:t>h</w:t>
      </w:r>
      <w:r w:rsidR="00571E76" w:rsidRPr="00C13E80">
        <w:t>e</w:t>
      </w:r>
      <w:r w:rsidR="003C568D" w:rsidRPr="00C13E80">
        <w:t xml:space="preserve"> submission </w:t>
      </w:r>
      <w:r w:rsidR="00571E76" w:rsidRPr="00C13E80">
        <w:t>applie</w:t>
      </w:r>
      <w:r w:rsidR="009D772A" w:rsidRPr="00C13E80">
        <w:t>d</w:t>
      </w:r>
      <w:r w:rsidR="00571E76" w:rsidRPr="00C13E80">
        <w:t xml:space="preserve"> the risk of hospitalisation or death observed in untreated patient</w:t>
      </w:r>
      <w:r w:rsidR="008973B6" w:rsidRPr="00C13E80">
        <w:t xml:space="preserve">s in the study reported by </w:t>
      </w:r>
      <w:r w:rsidR="002512D2" w:rsidRPr="00C13E80">
        <w:t xml:space="preserve">Evans 2023 to </w:t>
      </w:r>
      <w:r w:rsidR="003A2FDE" w:rsidRPr="00C13E80">
        <w:t>estimate the p</w:t>
      </w:r>
      <w:r w:rsidR="002512D2" w:rsidRPr="00C13E80">
        <w:t xml:space="preserve">roportion of patients </w:t>
      </w:r>
      <w:r w:rsidR="003A2FDE" w:rsidRPr="00C13E80">
        <w:t>hospitalised</w:t>
      </w:r>
      <w:r w:rsidR="008973B6" w:rsidRPr="00C13E80">
        <w:t xml:space="preserve"> </w:t>
      </w:r>
      <w:r w:rsidR="00C33552" w:rsidRPr="00C13E80">
        <w:t xml:space="preserve">in </w:t>
      </w:r>
      <w:r w:rsidR="002512D2" w:rsidRPr="00C13E80">
        <w:t xml:space="preserve">the </w:t>
      </w:r>
      <w:r w:rsidR="00BE2264" w:rsidRPr="00C13E80">
        <w:t>usual care</w:t>
      </w:r>
      <w:r w:rsidR="00652654" w:rsidRPr="00C13E80">
        <w:t xml:space="preserve"> arm</w:t>
      </w:r>
      <w:r w:rsidR="00B53AAD" w:rsidRPr="00C13E80">
        <w:t xml:space="preserve"> (a</w:t>
      </w:r>
      <w:r w:rsidR="00B3383D" w:rsidRPr="00C13E80">
        <w:t xml:space="preserve"> reasonable</w:t>
      </w:r>
      <w:r w:rsidR="00B53AAD" w:rsidRPr="00C13E80">
        <w:t xml:space="preserve"> </w:t>
      </w:r>
      <w:r w:rsidR="00B3383D" w:rsidRPr="00C13E80">
        <w:t xml:space="preserve">implicit </w:t>
      </w:r>
      <w:r w:rsidR="00B53AAD" w:rsidRPr="00C13E80">
        <w:t xml:space="preserve">assumption is made that the deaths </w:t>
      </w:r>
      <w:r w:rsidR="00C8414C" w:rsidRPr="00C13E80">
        <w:t xml:space="preserve">in this study </w:t>
      </w:r>
      <w:r w:rsidR="00B53AAD" w:rsidRPr="00C13E80">
        <w:t>occurred in hospitalised patients</w:t>
      </w:r>
      <w:r w:rsidR="00C07FBD" w:rsidRPr="00C13E80">
        <w:t>)</w:t>
      </w:r>
      <w:r w:rsidR="00A923C8" w:rsidRPr="00C13E80">
        <w:t xml:space="preserve">. In the absence of </w:t>
      </w:r>
      <w:r w:rsidR="00C8414C" w:rsidRPr="00C13E80">
        <w:t xml:space="preserve">specific </w:t>
      </w:r>
      <w:r w:rsidR="00A923C8" w:rsidRPr="00C13E80">
        <w:t>data</w:t>
      </w:r>
      <w:r w:rsidR="00AD7104" w:rsidRPr="00C13E80">
        <w:t xml:space="preserve"> for deaths</w:t>
      </w:r>
      <w:r w:rsidR="00A923C8" w:rsidRPr="00C13E80">
        <w:t xml:space="preserve">, </w:t>
      </w:r>
      <w:r w:rsidR="0083057D" w:rsidRPr="00C13E80">
        <w:t xml:space="preserve">the submission assumed the same proportion of </w:t>
      </w:r>
      <w:r w:rsidR="00D418BC" w:rsidRPr="00C13E80">
        <w:t>hos</w:t>
      </w:r>
      <w:r w:rsidR="008D207F" w:rsidRPr="00C13E80">
        <w:t xml:space="preserve">pitalised </w:t>
      </w:r>
      <w:r w:rsidR="0083057D" w:rsidRPr="00C13E80">
        <w:t>patients in the IC subgroup</w:t>
      </w:r>
      <w:r w:rsidR="00695A46" w:rsidRPr="00C13E80">
        <w:t xml:space="preserve"> die </w:t>
      </w:r>
      <w:r w:rsidR="004D3EBA" w:rsidRPr="00C13E80">
        <w:t xml:space="preserve">as </w:t>
      </w:r>
      <w:r w:rsidR="00A43A8C" w:rsidRPr="00C13E80">
        <w:t xml:space="preserve">observed in the </w:t>
      </w:r>
      <w:r w:rsidR="004E5367" w:rsidRPr="00C13E80">
        <w:t xml:space="preserve">NSW </w:t>
      </w:r>
      <w:r w:rsidR="00A43A8C" w:rsidRPr="00C13E80">
        <w:t>raw 70+ subgroup data (</w:t>
      </w:r>
      <w:r w:rsidR="00CF3457" w:rsidRPr="00C13E80">
        <w:t>i.e., without removing the impact of treatment</w:t>
      </w:r>
      <w:r w:rsidR="00A43A8C" w:rsidRPr="00C13E80">
        <w:t>).</w:t>
      </w:r>
    </w:p>
    <w:p w14:paraId="0419FF77" w14:textId="3340392E" w:rsidR="00296461" w:rsidRPr="00F74A5A" w:rsidRDefault="00A86FB2" w:rsidP="00F74A5A">
      <w:pPr>
        <w:pStyle w:val="3-BodyText"/>
      </w:pPr>
      <w:r w:rsidRPr="00C13E80">
        <w:t>In summary, d</w:t>
      </w:r>
      <w:r w:rsidR="000F7A1C" w:rsidRPr="00C13E80">
        <w:t xml:space="preserve">ue to the lack of available relevant data, the submission combined available data from multiple sources, necessitating various assumptions to align the available data with the model's parameters. This resulted in compounding of uncertainty in the generation of results by the economic model. Ultimately, </w:t>
      </w:r>
      <w:r w:rsidRPr="00C13E80">
        <w:t xml:space="preserve">as shown in </w:t>
      </w:r>
      <w:r w:rsidR="00727DF6" w:rsidRPr="00C13E80">
        <w:fldChar w:fldCharType="begin" w:fldLock="1"/>
      </w:r>
      <w:r w:rsidR="00727DF6" w:rsidRPr="00C13E80">
        <w:instrText xml:space="preserve"> REF _Ref134605944 \h  \* MERGEFORMAT </w:instrText>
      </w:r>
      <w:r w:rsidR="00727DF6" w:rsidRPr="00C13E80">
        <w:fldChar w:fldCharType="separate"/>
      </w:r>
      <w:r w:rsidR="00701DEF" w:rsidRPr="00C13E80">
        <w:t xml:space="preserve">Table </w:t>
      </w:r>
      <w:r w:rsidR="00701DEF">
        <w:t>11</w:t>
      </w:r>
      <w:r w:rsidR="00727DF6" w:rsidRPr="00C13E80">
        <w:fldChar w:fldCharType="end"/>
      </w:r>
      <w:r w:rsidR="00727DF6" w:rsidRPr="00C13E80">
        <w:t xml:space="preserve">, </w:t>
      </w:r>
      <w:r w:rsidR="000F7A1C" w:rsidRPr="00C13E80">
        <w:t>the submission assume</w:t>
      </w:r>
      <w:r w:rsidR="00296461" w:rsidRPr="00C13E80">
        <w:t>d</w:t>
      </w:r>
      <w:r w:rsidR="000F7A1C" w:rsidRPr="00C13E80">
        <w:t xml:space="preserve"> that the three modelled populations have vastly different risks hospitalisation and death rates at baseline</w:t>
      </w:r>
      <w:r w:rsidR="0070672F" w:rsidRPr="00C13E80">
        <w:t>.</w:t>
      </w:r>
      <w:r w:rsidR="00EE5F83" w:rsidRPr="00C13E80">
        <w:t xml:space="preserve"> Given the variation in the values assumed for these parameters across the different populations, estimates of cost-effectiveness in each of the three populations </w:t>
      </w:r>
      <w:r w:rsidR="00AB25B8" w:rsidRPr="00C13E80">
        <w:t>are also</w:t>
      </w:r>
      <w:r w:rsidR="00EE5F83" w:rsidRPr="00C13E80">
        <w:t xml:space="preserve"> markedly different.</w:t>
      </w:r>
      <w:r w:rsidR="001A76B3" w:rsidRPr="00C13E80">
        <w:t xml:space="preserve"> The </w:t>
      </w:r>
      <w:r w:rsidR="001A76B3" w:rsidRPr="00C13E80">
        <w:rPr>
          <w:iCs/>
        </w:rPr>
        <w:t xml:space="preserve">ESC </w:t>
      </w:r>
      <w:r w:rsidR="007838F2" w:rsidRPr="00C13E80">
        <w:rPr>
          <w:iCs/>
        </w:rPr>
        <w:t>noted</w:t>
      </w:r>
      <w:r w:rsidR="001A76B3" w:rsidRPr="00C13E80">
        <w:rPr>
          <w:iCs/>
        </w:rPr>
        <w:t xml:space="preserve"> </w:t>
      </w:r>
      <w:r w:rsidR="003605AE" w:rsidRPr="00C13E80">
        <w:rPr>
          <w:iCs/>
        </w:rPr>
        <w:t xml:space="preserve">that </w:t>
      </w:r>
      <w:r w:rsidR="001A76B3" w:rsidRPr="00C13E80">
        <w:rPr>
          <w:iCs/>
        </w:rPr>
        <w:t>although it was theoretically appropriate to split the subgroups in the model, the data used to populate the subgroups were inadequate to be able to do this in a robust way and therefore the results generated by the model are highly uncertain</w:t>
      </w:r>
      <w:r w:rsidR="007838F2" w:rsidRPr="00C13E80">
        <w:rPr>
          <w:iCs/>
        </w:rPr>
        <w:t>.</w:t>
      </w:r>
    </w:p>
    <w:p w14:paraId="144AE2F3" w14:textId="6C3FC710" w:rsidR="00D66670" w:rsidRPr="00C13E80" w:rsidRDefault="00D66670" w:rsidP="00AD425C">
      <w:pPr>
        <w:pStyle w:val="Caption"/>
      </w:pPr>
      <w:bookmarkStart w:id="75" w:name="_Ref134605944"/>
      <w:r w:rsidRPr="00C13E80">
        <w:t xml:space="preserve">Table </w:t>
      </w:r>
      <w:r w:rsidR="00567EAC">
        <w:fldChar w:fldCharType="begin" w:fldLock="1"/>
      </w:r>
      <w:r w:rsidR="00567EAC">
        <w:instrText xml:space="preserve"> SEQ Table \* ARABIC </w:instrText>
      </w:r>
      <w:r w:rsidR="00567EAC">
        <w:fldChar w:fldCharType="separate"/>
      </w:r>
      <w:r w:rsidR="00701DEF">
        <w:rPr>
          <w:noProof/>
        </w:rPr>
        <w:t>11</w:t>
      </w:r>
      <w:r w:rsidR="00567EAC">
        <w:rPr>
          <w:noProof/>
        </w:rPr>
        <w:fldChar w:fldCharType="end"/>
      </w:r>
      <w:bookmarkEnd w:id="75"/>
      <w:r w:rsidR="00FD311B" w:rsidRPr="00C13E80">
        <w:t>:</w:t>
      </w:r>
      <w:r w:rsidR="00FD311B" w:rsidRPr="00C13E80">
        <w:tab/>
        <w:t>Key inputs</w:t>
      </w:r>
      <w:r w:rsidR="00A03EF5" w:rsidRPr="00C13E80">
        <w:t xml:space="preserve"> </w:t>
      </w:r>
      <w:r w:rsidR="00EE73AF" w:rsidRPr="00C13E80">
        <w:t>applied in the economic model</w:t>
      </w:r>
      <w:r w:rsidR="00C62C4A" w:rsidRPr="00C13E80">
        <w:t xml:space="preserve"> </w:t>
      </w:r>
    </w:p>
    <w:tbl>
      <w:tblPr>
        <w:tblStyle w:val="TableGrid"/>
        <w:tblW w:w="5000" w:type="pct"/>
        <w:tblLook w:val="04A0" w:firstRow="1" w:lastRow="0" w:firstColumn="1" w:lastColumn="0" w:noHBand="0" w:noVBand="1"/>
      </w:tblPr>
      <w:tblGrid>
        <w:gridCol w:w="3537"/>
        <w:gridCol w:w="1832"/>
        <w:gridCol w:w="1807"/>
        <w:gridCol w:w="1834"/>
        <w:gridCol w:w="7"/>
      </w:tblGrid>
      <w:tr w:rsidR="00A85505" w:rsidRPr="00C13E80" w14:paraId="3DDD1A26" w14:textId="4C80FE0C" w:rsidTr="00A85505">
        <w:trPr>
          <w:gridAfter w:val="1"/>
          <w:wAfter w:w="4" w:type="pct"/>
        </w:trPr>
        <w:tc>
          <w:tcPr>
            <w:tcW w:w="1961" w:type="pct"/>
            <w:vAlign w:val="center"/>
          </w:tcPr>
          <w:p w14:paraId="405BD17C" w14:textId="02704F4A" w:rsidR="00A85505" w:rsidRPr="00C13E80" w:rsidRDefault="00A85505" w:rsidP="00AD425C">
            <w:pPr>
              <w:pStyle w:val="In-tableHeading"/>
              <w:rPr>
                <w:lang w:val="en-AU"/>
              </w:rPr>
            </w:pPr>
            <w:r w:rsidRPr="00C13E80">
              <w:rPr>
                <w:lang w:val="en-AU"/>
              </w:rPr>
              <w:t>Key transition probabilities and risk reductions in the economic model</w:t>
            </w:r>
          </w:p>
        </w:tc>
        <w:tc>
          <w:tcPr>
            <w:tcW w:w="1016" w:type="pct"/>
            <w:vAlign w:val="center"/>
          </w:tcPr>
          <w:p w14:paraId="1D80542C" w14:textId="77777777" w:rsidR="00A85505" w:rsidRPr="00C13E80" w:rsidRDefault="00A85505" w:rsidP="00AD425C">
            <w:pPr>
              <w:pStyle w:val="In-tableHeading"/>
              <w:jc w:val="center"/>
              <w:rPr>
                <w:bCs/>
                <w:szCs w:val="20"/>
                <w:lang w:val="en-AU"/>
              </w:rPr>
            </w:pPr>
            <w:r w:rsidRPr="00C13E80">
              <w:rPr>
                <w:bCs/>
                <w:szCs w:val="20"/>
                <w:lang w:val="en-AU"/>
              </w:rPr>
              <w:t>70+</w:t>
            </w:r>
          </w:p>
        </w:tc>
        <w:tc>
          <w:tcPr>
            <w:tcW w:w="1002" w:type="pct"/>
            <w:vAlign w:val="center"/>
          </w:tcPr>
          <w:p w14:paraId="5F29D275" w14:textId="76A5F267" w:rsidR="00A85505" w:rsidRPr="00C13E80" w:rsidRDefault="00A85505" w:rsidP="00AD425C">
            <w:pPr>
              <w:pStyle w:val="In-tableHeading"/>
              <w:jc w:val="center"/>
              <w:rPr>
                <w:bCs/>
                <w:szCs w:val="20"/>
                <w:lang w:val="en-AU"/>
              </w:rPr>
            </w:pPr>
            <w:r w:rsidRPr="00C13E80">
              <w:rPr>
                <w:bCs/>
                <w:szCs w:val="20"/>
                <w:lang w:val="en-AU"/>
              </w:rPr>
              <w:t>50-69 high risk</w:t>
            </w:r>
          </w:p>
        </w:tc>
        <w:tc>
          <w:tcPr>
            <w:tcW w:w="1017" w:type="pct"/>
            <w:vAlign w:val="center"/>
          </w:tcPr>
          <w:p w14:paraId="627BAE5D" w14:textId="77777777" w:rsidR="00A85505" w:rsidRPr="00C13E80" w:rsidRDefault="00A85505" w:rsidP="00AD425C">
            <w:pPr>
              <w:pStyle w:val="In-tableHeading"/>
              <w:jc w:val="center"/>
              <w:rPr>
                <w:bCs/>
                <w:szCs w:val="20"/>
                <w:lang w:val="en-AU"/>
              </w:rPr>
            </w:pPr>
            <w:r w:rsidRPr="00C13E80">
              <w:rPr>
                <w:bCs/>
                <w:szCs w:val="20"/>
                <w:lang w:val="en-AU"/>
              </w:rPr>
              <w:t>18-69 IC</w:t>
            </w:r>
          </w:p>
        </w:tc>
      </w:tr>
      <w:tr w:rsidR="00A85505" w:rsidRPr="00C13E80" w14:paraId="66D0CECB" w14:textId="46EC287C" w:rsidTr="00A85505">
        <w:tc>
          <w:tcPr>
            <w:tcW w:w="5000" w:type="pct"/>
            <w:gridSpan w:val="5"/>
            <w:vAlign w:val="center"/>
          </w:tcPr>
          <w:p w14:paraId="66410103" w14:textId="77777777" w:rsidR="00A85505" w:rsidRPr="00C13E80" w:rsidRDefault="00A85505" w:rsidP="00AD425C">
            <w:pPr>
              <w:keepNext/>
              <w:jc w:val="left"/>
              <w:rPr>
                <w:rFonts w:ascii="Arial Narrow" w:hAnsi="Arial Narrow"/>
                <w:b/>
                <w:bCs/>
                <w:sz w:val="20"/>
                <w:szCs w:val="20"/>
              </w:rPr>
            </w:pPr>
            <w:r w:rsidRPr="00C13E80">
              <w:rPr>
                <w:rFonts w:ascii="Arial Narrow" w:hAnsi="Arial Narrow"/>
                <w:b/>
                <w:bCs/>
                <w:sz w:val="20"/>
                <w:szCs w:val="20"/>
              </w:rPr>
              <w:t>All patients hospitalised</w:t>
            </w:r>
          </w:p>
        </w:tc>
      </w:tr>
      <w:tr w:rsidR="00A85505" w:rsidRPr="00C13E80" w14:paraId="49E9EE25" w14:textId="62F00568" w:rsidTr="00A85505">
        <w:trPr>
          <w:gridAfter w:val="1"/>
          <w:wAfter w:w="4" w:type="pct"/>
        </w:trPr>
        <w:tc>
          <w:tcPr>
            <w:tcW w:w="1961" w:type="pct"/>
            <w:vAlign w:val="center"/>
          </w:tcPr>
          <w:p w14:paraId="739A2180" w14:textId="1CC2229D" w:rsidR="00A85505" w:rsidRPr="00C13E80" w:rsidRDefault="00A85505" w:rsidP="00AD425C">
            <w:pPr>
              <w:keepNext/>
              <w:jc w:val="left"/>
              <w:rPr>
                <w:rFonts w:ascii="Arial Narrow" w:hAnsi="Arial Narrow"/>
                <w:sz w:val="20"/>
                <w:szCs w:val="20"/>
              </w:rPr>
            </w:pPr>
            <w:r w:rsidRPr="00C13E80">
              <w:rPr>
                <w:rFonts w:ascii="Arial Narrow" w:hAnsi="Arial Narrow"/>
                <w:sz w:val="20"/>
                <w:szCs w:val="20"/>
              </w:rPr>
              <w:t>Risk of hospitalisation in patients managed with usual care</w:t>
            </w:r>
          </w:p>
        </w:tc>
        <w:tc>
          <w:tcPr>
            <w:tcW w:w="1016" w:type="pct"/>
            <w:vAlign w:val="center"/>
          </w:tcPr>
          <w:p w14:paraId="7B0430F2"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6.41%</w:t>
            </w:r>
          </w:p>
        </w:tc>
        <w:tc>
          <w:tcPr>
            <w:tcW w:w="1002" w:type="pct"/>
            <w:vAlign w:val="center"/>
          </w:tcPr>
          <w:p w14:paraId="6AD6A115"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1.77%</w:t>
            </w:r>
          </w:p>
        </w:tc>
        <w:tc>
          <w:tcPr>
            <w:tcW w:w="1017" w:type="pct"/>
            <w:vAlign w:val="center"/>
          </w:tcPr>
          <w:p w14:paraId="46EE957E"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10.90%</w:t>
            </w:r>
          </w:p>
        </w:tc>
      </w:tr>
      <w:tr w:rsidR="00A85505" w:rsidRPr="00C13E80" w14:paraId="06156634" w14:textId="1A5F8F19" w:rsidTr="00A85505">
        <w:trPr>
          <w:gridAfter w:val="1"/>
          <w:wAfter w:w="4" w:type="pct"/>
        </w:trPr>
        <w:tc>
          <w:tcPr>
            <w:tcW w:w="1961" w:type="pct"/>
            <w:vAlign w:val="center"/>
          </w:tcPr>
          <w:p w14:paraId="2E61E672" w14:textId="2DB9C2F6" w:rsidR="00A85505" w:rsidRPr="00C13E80" w:rsidRDefault="00A85505" w:rsidP="00AD425C">
            <w:pPr>
              <w:keepNext/>
              <w:jc w:val="left"/>
              <w:rPr>
                <w:rFonts w:ascii="Arial Narrow" w:hAnsi="Arial Narrow"/>
                <w:sz w:val="20"/>
                <w:szCs w:val="20"/>
              </w:rPr>
            </w:pPr>
            <w:r w:rsidRPr="00C13E80">
              <w:rPr>
                <w:rFonts w:ascii="Arial Narrow" w:hAnsi="Arial Narrow"/>
                <w:sz w:val="20"/>
                <w:szCs w:val="20"/>
              </w:rPr>
              <w:t xml:space="preserve">RR hospitalisation in </w:t>
            </w:r>
            <w:r w:rsidRPr="00C13E80">
              <w:rPr>
                <w:rFonts w:ascii="Arial Narrow" w:hAnsi="Arial Narrow"/>
                <w:color w:val="000000" w:themeColor="text1"/>
                <w:sz w:val="20"/>
                <w:szCs w:val="20"/>
              </w:rPr>
              <w:t>molnupiravir-treated patients</w:t>
            </w:r>
          </w:p>
        </w:tc>
        <w:tc>
          <w:tcPr>
            <w:tcW w:w="1016" w:type="pct"/>
            <w:vAlign w:val="center"/>
          </w:tcPr>
          <w:p w14:paraId="7CD2778E"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0.74</w:t>
            </w:r>
          </w:p>
        </w:tc>
        <w:tc>
          <w:tcPr>
            <w:tcW w:w="1002" w:type="pct"/>
            <w:vAlign w:val="center"/>
          </w:tcPr>
          <w:p w14:paraId="3141821D"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0.74</w:t>
            </w:r>
          </w:p>
        </w:tc>
        <w:tc>
          <w:tcPr>
            <w:tcW w:w="1017" w:type="pct"/>
            <w:vAlign w:val="center"/>
          </w:tcPr>
          <w:p w14:paraId="3929725F"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0.65</w:t>
            </w:r>
          </w:p>
        </w:tc>
      </w:tr>
      <w:tr w:rsidR="00A85505" w:rsidRPr="00C13E80" w14:paraId="2D48A9FB" w14:textId="473EB0FF" w:rsidTr="00A85505">
        <w:trPr>
          <w:gridAfter w:val="1"/>
          <w:wAfter w:w="4" w:type="pct"/>
        </w:trPr>
        <w:tc>
          <w:tcPr>
            <w:tcW w:w="1961" w:type="pct"/>
            <w:vAlign w:val="center"/>
          </w:tcPr>
          <w:p w14:paraId="7DFE9B80" w14:textId="1AA60EED" w:rsidR="00A85505" w:rsidRPr="00C13E80" w:rsidRDefault="00A85505" w:rsidP="00AD425C">
            <w:pPr>
              <w:keepNext/>
              <w:jc w:val="left"/>
              <w:rPr>
                <w:rFonts w:ascii="Arial Narrow" w:hAnsi="Arial Narrow"/>
                <w:sz w:val="20"/>
                <w:szCs w:val="20"/>
              </w:rPr>
            </w:pPr>
            <w:r w:rsidRPr="00C13E80">
              <w:rPr>
                <w:rFonts w:ascii="Arial Narrow" w:hAnsi="Arial Narrow"/>
                <w:sz w:val="20"/>
                <w:szCs w:val="20"/>
              </w:rPr>
              <w:t>Risk of hospitalisation in molnupiravir-treated patients</w:t>
            </w:r>
          </w:p>
        </w:tc>
        <w:tc>
          <w:tcPr>
            <w:tcW w:w="1016" w:type="pct"/>
            <w:vAlign w:val="center"/>
          </w:tcPr>
          <w:p w14:paraId="2BA069B3"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4.74%</w:t>
            </w:r>
          </w:p>
        </w:tc>
        <w:tc>
          <w:tcPr>
            <w:tcW w:w="1002" w:type="pct"/>
            <w:vAlign w:val="center"/>
          </w:tcPr>
          <w:p w14:paraId="4403B698"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1.31%</w:t>
            </w:r>
          </w:p>
        </w:tc>
        <w:tc>
          <w:tcPr>
            <w:tcW w:w="1017" w:type="pct"/>
            <w:vAlign w:val="center"/>
          </w:tcPr>
          <w:p w14:paraId="5D80B265"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7.09%</w:t>
            </w:r>
          </w:p>
        </w:tc>
      </w:tr>
      <w:tr w:rsidR="00A85505" w:rsidRPr="00C13E80" w14:paraId="57F6821A" w14:textId="73D7FDCC" w:rsidTr="00A85505">
        <w:tc>
          <w:tcPr>
            <w:tcW w:w="5000" w:type="pct"/>
            <w:gridSpan w:val="5"/>
            <w:vAlign w:val="center"/>
          </w:tcPr>
          <w:p w14:paraId="5B7FFC14" w14:textId="0752130D" w:rsidR="00A85505" w:rsidRPr="00C13E80" w:rsidRDefault="00A85505" w:rsidP="00AD425C">
            <w:pPr>
              <w:keepNext/>
              <w:jc w:val="left"/>
              <w:rPr>
                <w:rFonts w:ascii="Arial Narrow" w:hAnsi="Arial Narrow"/>
                <w:sz w:val="20"/>
                <w:szCs w:val="20"/>
              </w:rPr>
            </w:pPr>
            <w:r w:rsidRPr="00C13E80">
              <w:rPr>
                <w:rFonts w:ascii="Arial Narrow" w:hAnsi="Arial Narrow"/>
                <w:b/>
                <w:bCs/>
                <w:sz w:val="20"/>
                <w:szCs w:val="20"/>
              </w:rPr>
              <w:t>Proportion of hospitalised patients dying</w:t>
            </w:r>
          </w:p>
        </w:tc>
      </w:tr>
      <w:tr w:rsidR="00A85505" w:rsidRPr="00C13E80" w14:paraId="44AB67AA" w14:textId="4E2FF74E" w:rsidTr="00A85505">
        <w:trPr>
          <w:gridAfter w:val="1"/>
          <w:wAfter w:w="4" w:type="pct"/>
        </w:trPr>
        <w:tc>
          <w:tcPr>
            <w:tcW w:w="1961" w:type="pct"/>
            <w:vAlign w:val="center"/>
          </w:tcPr>
          <w:p w14:paraId="26E9FC6F" w14:textId="7704A27F" w:rsidR="00A85505" w:rsidRPr="00C13E80" w:rsidRDefault="00A85505" w:rsidP="00AD425C">
            <w:pPr>
              <w:keepNext/>
              <w:jc w:val="left"/>
              <w:rPr>
                <w:rFonts w:ascii="Arial Narrow" w:hAnsi="Arial Narrow"/>
                <w:sz w:val="20"/>
                <w:szCs w:val="20"/>
              </w:rPr>
            </w:pPr>
            <w:r w:rsidRPr="00C13E80">
              <w:rPr>
                <w:rFonts w:ascii="Arial Narrow" w:hAnsi="Arial Narrow"/>
                <w:sz w:val="20"/>
                <w:szCs w:val="20"/>
              </w:rPr>
              <w:t>Risk of death in hospitalised patients treated with usual care</w:t>
            </w:r>
          </w:p>
        </w:tc>
        <w:tc>
          <w:tcPr>
            <w:tcW w:w="1016" w:type="pct"/>
            <w:vAlign w:val="center"/>
          </w:tcPr>
          <w:p w14:paraId="7985F1C2"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30.90%</w:t>
            </w:r>
          </w:p>
        </w:tc>
        <w:tc>
          <w:tcPr>
            <w:tcW w:w="1002" w:type="pct"/>
            <w:vAlign w:val="center"/>
          </w:tcPr>
          <w:p w14:paraId="22988B9A"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7.18%</w:t>
            </w:r>
          </w:p>
        </w:tc>
        <w:tc>
          <w:tcPr>
            <w:tcW w:w="1017" w:type="pct"/>
            <w:vAlign w:val="center"/>
          </w:tcPr>
          <w:p w14:paraId="51304A9E"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27.98%</w:t>
            </w:r>
          </w:p>
        </w:tc>
      </w:tr>
      <w:tr w:rsidR="00A85505" w:rsidRPr="00C13E80" w14:paraId="656A9163" w14:textId="5C8459E2" w:rsidTr="00A85505">
        <w:trPr>
          <w:gridAfter w:val="1"/>
          <w:wAfter w:w="4" w:type="pct"/>
        </w:trPr>
        <w:tc>
          <w:tcPr>
            <w:tcW w:w="1961" w:type="pct"/>
            <w:vAlign w:val="center"/>
          </w:tcPr>
          <w:p w14:paraId="7EB4BD8B" w14:textId="0F9BB6E9" w:rsidR="00A85505" w:rsidRPr="00C13E80" w:rsidRDefault="00A85505" w:rsidP="00AD425C">
            <w:pPr>
              <w:keepNext/>
              <w:jc w:val="left"/>
              <w:rPr>
                <w:rFonts w:ascii="Arial Narrow" w:hAnsi="Arial Narrow"/>
                <w:sz w:val="20"/>
                <w:szCs w:val="20"/>
              </w:rPr>
            </w:pPr>
            <w:r w:rsidRPr="00C13E80">
              <w:rPr>
                <w:rFonts w:ascii="Arial Narrow" w:hAnsi="Arial Narrow"/>
                <w:sz w:val="20"/>
                <w:szCs w:val="20"/>
              </w:rPr>
              <w:t>RR death in molnupiravir-treated patients</w:t>
            </w:r>
          </w:p>
        </w:tc>
        <w:tc>
          <w:tcPr>
            <w:tcW w:w="1016" w:type="pct"/>
            <w:vAlign w:val="center"/>
          </w:tcPr>
          <w:p w14:paraId="76D88710"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0.46</w:t>
            </w:r>
          </w:p>
        </w:tc>
        <w:tc>
          <w:tcPr>
            <w:tcW w:w="1002" w:type="pct"/>
            <w:vAlign w:val="center"/>
          </w:tcPr>
          <w:p w14:paraId="6BC25D88"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0.46</w:t>
            </w:r>
          </w:p>
        </w:tc>
        <w:tc>
          <w:tcPr>
            <w:tcW w:w="1017" w:type="pct"/>
            <w:vAlign w:val="center"/>
          </w:tcPr>
          <w:p w14:paraId="1A8B19D4"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0.65</w:t>
            </w:r>
          </w:p>
        </w:tc>
      </w:tr>
      <w:tr w:rsidR="00A85505" w:rsidRPr="00C13E80" w14:paraId="5F5311C9" w14:textId="2B12AB42" w:rsidTr="00A85505">
        <w:trPr>
          <w:gridAfter w:val="1"/>
          <w:wAfter w:w="4" w:type="pct"/>
        </w:trPr>
        <w:tc>
          <w:tcPr>
            <w:tcW w:w="1961" w:type="pct"/>
            <w:vAlign w:val="center"/>
          </w:tcPr>
          <w:p w14:paraId="445865B8" w14:textId="5FC6ECAF" w:rsidR="00A85505" w:rsidRPr="00C13E80" w:rsidRDefault="00A85505" w:rsidP="00AD425C">
            <w:pPr>
              <w:keepNext/>
              <w:jc w:val="left"/>
              <w:rPr>
                <w:rFonts w:ascii="Arial Narrow" w:hAnsi="Arial Narrow"/>
                <w:sz w:val="20"/>
                <w:szCs w:val="20"/>
              </w:rPr>
            </w:pPr>
            <w:r w:rsidRPr="00C13E80">
              <w:rPr>
                <w:rFonts w:ascii="Arial Narrow" w:hAnsi="Arial Narrow"/>
                <w:sz w:val="20"/>
                <w:szCs w:val="20"/>
              </w:rPr>
              <w:t>Risk of death in hospitalised patients treated with molnupiravir</w:t>
            </w:r>
          </w:p>
        </w:tc>
        <w:tc>
          <w:tcPr>
            <w:tcW w:w="1016" w:type="pct"/>
            <w:vAlign w:val="center"/>
          </w:tcPr>
          <w:p w14:paraId="0E432D1F"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14.22%</w:t>
            </w:r>
          </w:p>
        </w:tc>
        <w:tc>
          <w:tcPr>
            <w:tcW w:w="1002" w:type="pct"/>
            <w:vAlign w:val="center"/>
          </w:tcPr>
          <w:p w14:paraId="4226B99B"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3.30%</w:t>
            </w:r>
          </w:p>
        </w:tc>
        <w:tc>
          <w:tcPr>
            <w:tcW w:w="1017" w:type="pct"/>
            <w:vAlign w:val="center"/>
          </w:tcPr>
          <w:p w14:paraId="62AB43C0" w14:textId="77777777" w:rsidR="00A85505" w:rsidRPr="00C13E80" w:rsidRDefault="00A85505" w:rsidP="00AD425C">
            <w:pPr>
              <w:keepNext/>
              <w:jc w:val="center"/>
              <w:rPr>
                <w:rFonts w:ascii="Arial Narrow" w:hAnsi="Arial Narrow"/>
                <w:sz w:val="20"/>
                <w:szCs w:val="20"/>
              </w:rPr>
            </w:pPr>
            <w:r w:rsidRPr="00C13E80">
              <w:rPr>
                <w:rFonts w:ascii="Arial Narrow" w:hAnsi="Arial Narrow"/>
                <w:sz w:val="20"/>
                <w:szCs w:val="20"/>
              </w:rPr>
              <w:t>18.19%</w:t>
            </w:r>
          </w:p>
        </w:tc>
      </w:tr>
    </w:tbl>
    <w:p w14:paraId="7B04D88B" w14:textId="14393266" w:rsidR="002C5949" w:rsidRPr="00C13E80" w:rsidRDefault="002571F3" w:rsidP="00F74A5A">
      <w:pPr>
        <w:spacing w:after="120"/>
        <w:rPr>
          <w:rFonts w:ascii="Arial Narrow" w:hAnsi="Arial Narrow"/>
          <w:sz w:val="20"/>
          <w:szCs w:val="20"/>
        </w:rPr>
      </w:pPr>
      <w:r w:rsidRPr="00C13E80">
        <w:rPr>
          <w:rFonts w:ascii="Arial Narrow" w:hAnsi="Arial Narrow"/>
          <w:sz w:val="20"/>
          <w:szCs w:val="20"/>
        </w:rPr>
        <w:t>Abbreviations: IC = immunocompromised; RR = risk</w:t>
      </w:r>
      <w:r w:rsidR="001563A7" w:rsidRPr="00C13E80">
        <w:rPr>
          <w:rFonts w:ascii="Arial Narrow" w:hAnsi="Arial Narrow"/>
          <w:sz w:val="20"/>
          <w:szCs w:val="20"/>
        </w:rPr>
        <w:t xml:space="preserve"> reduction</w:t>
      </w:r>
    </w:p>
    <w:p w14:paraId="71B03ADE" w14:textId="5AFF5BFC" w:rsidR="005768A3" w:rsidRPr="00C13E80" w:rsidRDefault="006D3A71" w:rsidP="00B46FE9">
      <w:pPr>
        <w:pStyle w:val="3-BodyText"/>
      </w:pPr>
      <w:r w:rsidRPr="00C13E80">
        <w:lastRenderedPageBreak/>
        <w:t xml:space="preserve">The submission presented results of the economic evaluation by treatment phase and by </w:t>
      </w:r>
      <w:r w:rsidR="00167EA4" w:rsidRPr="00C13E80">
        <w:t>subgroup</w:t>
      </w:r>
      <w:r w:rsidRPr="00C13E80">
        <w:t xml:space="preserve">. </w:t>
      </w:r>
      <w:r w:rsidR="008B52A3" w:rsidRPr="00C13E80">
        <w:t xml:space="preserve">As can be seen from </w:t>
      </w:r>
      <w:r w:rsidR="00987B6D" w:rsidRPr="00C13E80">
        <w:rPr>
          <w:highlight w:val="yellow"/>
        </w:rPr>
        <w:fldChar w:fldCharType="begin" w:fldLock="1"/>
      </w:r>
      <w:r w:rsidR="00987B6D" w:rsidRPr="00C13E80">
        <w:instrText xml:space="preserve"> REF _Ref104805160 \h </w:instrText>
      </w:r>
      <w:r w:rsidR="00987B6D" w:rsidRPr="00C13E80">
        <w:rPr>
          <w:highlight w:val="yellow"/>
        </w:rPr>
      </w:r>
      <w:r w:rsidR="00987B6D" w:rsidRPr="00C13E80">
        <w:rPr>
          <w:highlight w:val="yellow"/>
        </w:rPr>
        <w:fldChar w:fldCharType="separate"/>
      </w:r>
      <w:r w:rsidR="00701DEF" w:rsidRPr="00C13E80">
        <w:t xml:space="preserve">Table </w:t>
      </w:r>
      <w:r w:rsidR="00701DEF">
        <w:rPr>
          <w:noProof/>
        </w:rPr>
        <w:t>12</w:t>
      </w:r>
      <w:r w:rsidR="00987B6D" w:rsidRPr="00C13E80">
        <w:rPr>
          <w:highlight w:val="yellow"/>
        </w:rPr>
        <w:fldChar w:fldCharType="end"/>
      </w:r>
      <w:r w:rsidR="008B52A3" w:rsidRPr="00C13E80">
        <w:t xml:space="preserve">, the </w:t>
      </w:r>
      <w:r w:rsidR="00106E04" w:rsidRPr="00C13E80">
        <w:t>ICER decrease</w:t>
      </w:r>
      <w:r w:rsidR="00167EA4" w:rsidRPr="00C13E80">
        <w:t>d</w:t>
      </w:r>
      <w:r w:rsidR="00106E04" w:rsidRPr="00C13E80">
        <w:t xml:space="preserve"> as the time horizon </w:t>
      </w:r>
      <w:r w:rsidR="00A32775" w:rsidRPr="00C13E80">
        <w:t>examined by</w:t>
      </w:r>
      <w:r w:rsidR="00106E04" w:rsidRPr="00C13E80">
        <w:t xml:space="preserve"> the economic</w:t>
      </w:r>
      <w:r w:rsidR="00A32E08" w:rsidRPr="00C13E80">
        <w:t xml:space="preserve"> </w:t>
      </w:r>
      <w:r w:rsidR="00106E04" w:rsidRPr="00C13E80">
        <w:t xml:space="preserve">model </w:t>
      </w:r>
      <w:r w:rsidR="00A32775" w:rsidRPr="00C13E80">
        <w:t xml:space="preserve">was </w:t>
      </w:r>
      <w:r w:rsidR="00106E04" w:rsidRPr="00C13E80">
        <w:t>extended</w:t>
      </w:r>
      <w:r w:rsidR="00A32E08" w:rsidRPr="00C13E80">
        <w:t xml:space="preserve"> </w:t>
      </w:r>
      <w:r w:rsidR="00A32775" w:rsidRPr="00C13E80">
        <w:t xml:space="preserve">from one phase to the next </w:t>
      </w:r>
      <w:r w:rsidR="00F95685" w:rsidRPr="00C13E80">
        <w:t>for</w:t>
      </w:r>
      <w:r w:rsidR="00A32E08" w:rsidRPr="00C13E80">
        <w:t xml:space="preserve"> each of the modelled </w:t>
      </w:r>
      <w:r w:rsidR="00F95685" w:rsidRPr="00C13E80">
        <w:t>subgroups</w:t>
      </w:r>
      <w:r w:rsidR="00A32E08" w:rsidRPr="00C13E80">
        <w:t xml:space="preserve">. </w:t>
      </w:r>
      <w:r w:rsidR="00B8086E" w:rsidRPr="00C13E80">
        <w:t xml:space="preserve">This is primarily due to the capture of years of life saved from averted deaths. </w:t>
      </w:r>
      <w:r w:rsidR="00F95685" w:rsidRPr="00C13E80">
        <w:t xml:space="preserve">There was a substantial difference </w:t>
      </w:r>
      <w:r w:rsidR="009F7C89" w:rsidRPr="00C13E80">
        <w:t xml:space="preserve">in </w:t>
      </w:r>
      <w:r w:rsidR="00F95685" w:rsidRPr="00C13E80">
        <w:t xml:space="preserve">the </w:t>
      </w:r>
      <w:r w:rsidR="003A64F3" w:rsidRPr="00C13E80">
        <w:t xml:space="preserve">ICER </w:t>
      </w:r>
      <w:r w:rsidR="008307ED" w:rsidRPr="00C13E80">
        <w:t xml:space="preserve">generated for each </w:t>
      </w:r>
      <w:r w:rsidR="00F95685" w:rsidRPr="00C13E80">
        <w:t>subgroup</w:t>
      </w:r>
      <w:r w:rsidR="00110693" w:rsidRPr="00C13E80">
        <w:t xml:space="preserve"> as</w:t>
      </w:r>
      <w:r w:rsidR="008307ED" w:rsidRPr="00C13E80">
        <w:t xml:space="preserve"> can </w:t>
      </w:r>
      <w:r w:rsidR="00A174C8" w:rsidRPr="00C13E80">
        <w:t xml:space="preserve">be </w:t>
      </w:r>
      <w:r w:rsidR="00110693" w:rsidRPr="00C13E80">
        <w:t xml:space="preserve">seen from </w:t>
      </w:r>
      <w:r w:rsidR="00987B6D" w:rsidRPr="00C13E80">
        <w:rPr>
          <w:highlight w:val="yellow"/>
        </w:rPr>
        <w:fldChar w:fldCharType="begin" w:fldLock="1"/>
      </w:r>
      <w:r w:rsidR="00987B6D" w:rsidRPr="00C13E80">
        <w:instrText xml:space="preserve"> REF _Ref104805160 \h </w:instrText>
      </w:r>
      <w:r w:rsidR="00987B6D" w:rsidRPr="00C13E80">
        <w:rPr>
          <w:highlight w:val="yellow"/>
        </w:rPr>
      </w:r>
      <w:r w:rsidR="00987B6D" w:rsidRPr="00C13E80">
        <w:rPr>
          <w:highlight w:val="yellow"/>
        </w:rPr>
        <w:fldChar w:fldCharType="separate"/>
      </w:r>
      <w:r w:rsidR="00701DEF" w:rsidRPr="00C13E80">
        <w:t xml:space="preserve">Table </w:t>
      </w:r>
      <w:r w:rsidR="00701DEF">
        <w:rPr>
          <w:noProof/>
        </w:rPr>
        <w:t>12</w:t>
      </w:r>
      <w:r w:rsidR="00987B6D" w:rsidRPr="00C13E80">
        <w:rPr>
          <w:highlight w:val="yellow"/>
        </w:rPr>
        <w:fldChar w:fldCharType="end"/>
      </w:r>
      <w:r w:rsidR="008307ED" w:rsidRPr="00C13E80">
        <w:t>. The submission included supplementary analys</w:t>
      </w:r>
      <w:r w:rsidR="00B970E7" w:rsidRPr="00C13E80">
        <w:t>e</w:t>
      </w:r>
      <w:r w:rsidR="008307ED" w:rsidRPr="00C13E80">
        <w:t xml:space="preserve">s </w:t>
      </w:r>
      <w:r w:rsidR="008E7BDF" w:rsidRPr="00C13E80">
        <w:t>that took</w:t>
      </w:r>
      <w:r w:rsidR="00B77A1D" w:rsidRPr="00C13E80">
        <w:t xml:space="preserve"> a societal perspective, where productivity losses and </w:t>
      </w:r>
      <w:r w:rsidR="00B50AAB" w:rsidRPr="00C13E80">
        <w:t>hospital opportunity cost</w:t>
      </w:r>
      <w:r w:rsidR="00EB4F87" w:rsidRPr="00C13E80">
        <w:t xml:space="preserve"> losses</w:t>
      </w:r>
      <w:r w:rsidR="00846B80" w:rsidRPr="00C13E80">
        <w:t xml:space="preserve"> (e.g., due to having to reduce</w:t>
      </w:r>
      <w:r w:rsidR="00F35A98" w:rsidRPr="00C13E80">
        <w:t xml:space="preserve"> elective services)</w:t>
      </w:r>
      <w:r w:rsidR="00EB4F87" w:rsidRPr="00C13E80">
        <w:t xml:space="preserve"> </w:t>
      </w:r>
      <w:r w:rsidR="00110693" w:rsidRPr="00C13E80">
        <w:t>due</w:t>
      </w:r>
      <w:r w:rsidR="00846B80" w:rsidRPr="00C13E80">
        <w:t xml:space="preserve"> to COVID-19 </w:t>
      </w:r>
      <w:r w:rsidR="00EB4F87" w:rsidRPr="00C13E80">
        <w:t>were considered</w:t>
      </w:r>
      <w:r w:rsidR="00347880" w:rsidRPr="00C13E80">
        <w:t xml:space="preserve"> (see </w:t>
      </w:r>
      <w:r w:rsidR="00281A3D" w:rsidRPr="00C13E80">
        <w:fldChar w:fldCharType="begin" w:fldLock="1"/>
      </w:r>
      <w:r w:rsidR="00281A3D" w:rsidRPr="00C13E80">
        <w:instrText xml:space="preserve"> REF _Ref104805160 \h </w:instrText>
      </w:r>
      <w:r w:rsidR="00281A3D" w:rsidRPr="00C13E80">
        <w:fldChar w:fldCharType="separate"/>
      </w:r>
      <w:r w:rsidR="00701DEF" w:rsidRPr="00C13E80">
        <w:t xml:space="preserve">Table </w:t>
      </w:r>
      <w:r w:rsidR="00701DEF">
        <w:rPr>
          <w:noProof/>
        </w:rPr>
        <w:t>12</w:t>
      </w:r>
      <w:r w:rsidR="00281A3D" w:rsidRPr="00C13E80">
        <w:fldChar w:fldCharType="end"/>
      </w:r>
      <w:r w:rsidR="00347880" w:rsidRPr="00C13E80">
        <w:t>)</w:t>
      </w:r>
      <w:r w:rsidR="00EB4F87" w:rsidRPr="00C13E80">
        <w:t>.</w:t>
      </w:r>
    </w:p>
    <w:p w14:paraId="63D487B8" w14:textId="25474E5F" w:rsidR="00D110BD" w:rsidRPr="00C13E80" w:rsidRDefault="00E16AD8" w:rsidP="009D5749">
      <w:pPr>
        <w:pStyle w:val="Caption"/>
        <w:rPr>
          <w:rStyle w:val="CommentReference"/>
          <w:b/>
          <w:szCs w:val="24"/>
        </w:rPr>
      </w:pPr>
      <w:bookmarkStart w:id="76" w:name="_Ref104805160"/>
      <w:bookmarkStart w:id="77" w:name="_Ref134609138"/>
      <w:bookmarkStart w:id="78" w:name="_Hlk141445124"/>
      <w:r w:rsidRPr="00C13E80">
        <w:t xml:space="preserve">Table </w:t>
      </w:r>
      <w:r w:rsidR="00567EAC">
        <w:fldChar w:fldCharType="begin" w:fldLock="1"/>
      </w:r>
      <w:r w:rsidR="00567EAC">
        <w:instrText xml:space="preserve"> SEQ Table \* ARABIC </w:instrText>
      </w:r>
      <w:r w:rsidR="00567EAC">
        <w:fldChar w:fldCharType="separate"/>
      </w:r>
      <w:r w:rsidR="00701DEF">
        <w:rPr>
          <w:noProof/>
        </w:rPr>
        <w:t>12</w:t>
      </w:r>
      <w:r w:rsidR="00567EAC">
        <w:rPr>
          <w:noProof/>
        </w:rPr>
        <w:fldChar w:fldCharType="end"/>
      </w:r>
      <w:bookmarkEnd w:id="76"/>
      <w:r w:rsidRPr="00C13E80">
        <w:t>:</w:t>
      </w:r>
      <w:r w:rsidR="005A373D" w:rsidRPr="00C13E80">
        <w:rPr>
          <w:rStyle w:val="CommentReference"/>
          <w:b/>
          <w:szCs w:val="24"/>
        </w:rPr>
        <w:t xml:space="preserve"> Results of the economic evaluation</w:t>
      </w:r>
      <w:r w:rsidR="005768A3" w:rsidRPr="00C13E80">
        <w:rPr>
          <w:rStyle w:val="CommentReference"/>
          <w:b/>
          <w:szCs w:val="24"/>
        </w:rPr>
        <w:t xml:space="preserve"> by</w:t>
      </w:r>
      <w:r w:rsidR="00524B1F" w:rsidRPr="00C13E80">
        <w:rPr>
          <w:rStyle w:val="CommentReference"/>
          <w:b/>
          <w:szCs w:val="24"/>
        </w:rPr>
        <w:t xml:space="preserve"> treatment phase</w:t>
      </w:r>
      <w:r w:rsidR="006D3A71" w:rsidRPr="00C13E80">
        <w:rPr>
          <w:rStyle w:val="CommentReference"/>
          <w:b/>
          <w:szCs w:val="24"/>
        </w:rPr>
        <w:t xml:space="preserve"> and population</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08"/>
        <w:gridCol w:w="2072"/>
        <w:gridCol w:w="2070"/>
        <w:gridCol w:w="2067"/>
      </w:tblGrid>
      <w:tr w:rsidR="005768A3" w:rsidRPr="00C13E80" w14:paraId="12AD307F" w14:textId="77777777" w:rsidTr="005768A3">
        <w:trPr>
          <w:tblHeader/>
        </w:trPr>
        <w:tc>
          <w:tcPr>
            <w:tcW w:w="1557" w:type="pct"/>
            <w:vAlign w:val="center"/>
          </w:tcPr>
          <w:p w14:paraId="3681C1BF" w14:textId="77777777" w:rsidR="005768A3" w:rsidRPr="00C13E80" w:rsidRDefault="005768A3" w:rsidP="009D5749">
            <w:pPr>
              <w:pStyle w:val="In-tableHeading"/>
              <w:rPr>
                <w:szCs w:val="20"/>
                <w:lang w:val="en-AU"/>
              </w:rPr>
            </w:pPr>
            <w:r w:rsidRPr="00C13E80">
              <w:rPr>
                <w:szCs w:val="20"/>
                <w:lang w:val="en-AU"/>
              </w:rPr>
              <w:t>Step and component</w:t>
            </w:r>
          </w:p>
        </w:tc>
        <w:tc>
          <w:tcPr>
            <w:tcW w:w="1149" w:type="pct"/>
            <w:vAlign w:val="center"/>
          </w:tcPr>
          <w:p w14:paraId="62A671DC" w14:textId="77777777" w:rsidR="005768A3" w:rsidRPr="00C13E80" w:rsidRDefault="005768A3" w:rsidP="009D5749">
            <w:pPr>
              <w:pStyle w:val="In-tableHeading"/>
              <w:jc w:val="center"/>
              <w:rPr>
                <w:szCs w:val="20"/>
                <w:lang w:val="en-AU"/>
              </w:rPr>
            </w:pPr>
            <w:r w:rsidRPr="00C13E80">
              <w:rPr>
                <w:szCs w:val="20"/>
                <w:lang w:val="en-AU"/>
              </w:rPr>
              <w:t>Incremental costs</w:t>
            </w:r>
          </w:p>
        </w:tc>
        <w:tc>
          <w:tcPr>
            <w:tcW w:w="1148" w:type="pct"/>
            <w:vAlign w:val="center"/>
          </w:tcPr>
          <w:p w14:paraId="528D7B35" w14:textId="77777777" w:rsidR="005768A3" w:rsidRPr="00C13E80" w:rsidRDefault="005768A3" w:rsidP="009D5749">
            <w:pPr>
              <w:pStyle w:val="In-tableHeading"/>
              <w:jc w:val="center"/>
              <w:rPr>
                <w:szCs w:val="20"/>
                <w:lang w:val="en-AU"/>
              </w:rPr>
            </w:pPr>
            <w:r w:rsidRPr="00C13E80">
              <w:rPr>
                <w:szCs w:val="20"/>
                <w:lang w:val="en-AU"/>
              </w:rPr>
              <w:t>Incremental QALYs</w:t>
            </w:r>
          </w:p>
        </w:tc>
        <w:tc>
          <w:tcPr>
            <w:tcW w:w="1146" w:type="pct"/>
          </w:tcPr>
          <w:p w14:paraId="18BC80FD" w14:textId="77777777" w:rsidR="005768A3" w:rsidRPr="00C13E80" w:rsidRDefault="005768A3" w:rsidP="009D5749">
            <w:pPr>
              <w:pStyle w:val="In-tableHeading"/>
              <w:jc w:val="center"/>
              <w:rPr>
                <w:szCs w:val="20"/>
                <w:lang w:val="en-AU"/>
              </w:rPr>
            </w:pPr>
            <w:r w:rsidRPr="00C13E80">
              <w:rPr>
                <w:szCs w:val="20"/>
                <w:lang w:val="en-AU"/>
              </w:rPr>
              <w:t>ICER</w:t>
            </w:r>
          </w:p>
        </w:tc>
      </w:tr>
      <w:tr w:rsidR="005768A3" w:rsidRPr="00C13E80" w14:paraId="38E0FCE0" w14:textId="77777777" w:rsidTr="005768A3">
        <w:trPr>
          <w:tblHeader/>
        </w:trPr>
        <w:tc>
          <w:tcPr>
            <w:tcW w:w="5000" w:type="pct"/>
            <w:gridSpan w:val="4"/>
            <w:vAlign w:val="center"/>
          </w:tcPr>
          <w:p w14:paraId="1B236B88" w14:textId="52AAABF5" w:rsidR="005768A3" w:rsidRPr="00C13E80" w:rsidRDefault="005768A3" w:rsidP="009D5749">
            <w:pPr>
              <w:pStyle w:val="In-tableHeading"/>
              <w:rPr>
                <w:szCs w:val="20"/>
                <w:lang w:val="en-AU"/>
              </w:rPr>
            </w:pPr>
            <w:r w:rsidRPr="00C13E80">
              <w:rPr>
                <w:szCs w:val="20"/>
                <w:lang w:val="en-AU"/>
              </w:rPr>
              <w:t>Total weighted population</w:t>
            </w:r>
          </w:p>
        </w:tc>
      </w:tr>
      <w:tr w:rsidR="005768A3" w:rsidRPr="00C13E80" w14:paraId="3BDD0B63" w14:textId="77777777" w:rsidTr="005768A3">
        <w:tc>
          <w:tcPr>
            <w:tcW w:w="1557" w:type="pct"/>
            <w:vAlign w:val="center"/>
          </w:tcPr>
          <w:p w14:paraId="18210A3E" w14:textId="77777777" w:rsidR="005768A3" w:rsidRPr="00C13E80" w:rsidRDefault="005768A3" w:rsidP="009D5749">
            <w:pPr>
              <w:pStyle w:val="TableText0"/>
              <w:rPr>
                <w:szCs w:val="20"/>
              </w:rPr>
            </w:pPr>
            <w:r w:rsidRPr="00C13E80">
              <w:rPr>
                <w:szCs w:val="20"/>
              </w:rPr>
              <w:t>Acute phase (30 days)</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6C283698" w14:textId="23363C56"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19722945" w14:textId="77777777" w:rsidR="005768A3" w:rsidRPr="00C13E80" w:rsidRDefault="005768A3" w:rsidP="009D5749">
            <w:pPr>
              <w:pStyle w:val="TableText0"/>
              <w:jc w:val="center"/>
              <w:rPr>
                <w:szCs w:val="20"/>
              </w:rPr>
            </w:pPr>
            <w:r w:rsidRPr="00C13E80">
              <w:rPr>
                <w:szCs w:val="20"/>
              </w:rPr>
              <w:t>0.0007</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4BA60A11" w14:textId="4340F5F2" w:rsidR="005768A3" w:rsidRPr="00AD425C" w:rsidRDefault="005768A3" w:rsidP="009D5749">
            <w:pPr>
              <w:pStyle w:val="TableText0"/>
              <w:jc w:val="center"/>
              <w:rPr>
                <w:b/>
                <w:bCs w:val="0"/>
                <w:szCs w:val="20"/>
                <w:vertAlign w:val="superscript"/>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1</w:t>
            </w:r>
          </w:p>
        </w:tc>
      </w:tr>
      <w:tr w:rsidR="005768A3" w:rsidRPr="00C13E80" w14:paraId="7B02D2ED" w14:textId="77777777" w:rsidTr="005768A3">
        <w:tc>
          <w:tcPr>
            <w:tcW w:w="1557" w:type="pct"/>
            <w:vAlign w:val="center"/>
          </w:tcPr>
          <w:p w14:paraId="2A0AAD4F" w14:textId="77777777" w:rsidR="005768A3" w:rsidRPr="00C13E80" w:rsidRDefault="005768A3" w:rsidP="009D5749">
            <w:pPr>
              <w:pStyle w:val="TableText0"/>
              <w:rPr>
                <w:szCs w:val="20"/>
              </w:rPr>
            </w:pPr>
            <w:r w:rsidRPr="00C13E80">
              <w:rPr>
                <w:szCs w:val="20"/>
              </w:rPr>
              <w:t>Mid-term phase (1 year)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7AC751A4" w14:textId="45C6D8C4"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5398C77A" w14:textId="77777777" w:rsidR="005768A3" w:rsidRPr="00C13E80" w:rsidRDefault="005768A3" w:rsidP="009D5749">
            <w:pPr>
              <w:pStyle w:val="TableText0"/>
              <w:jc w:val="center"/>
              <w:rPr>
                <w:szCs w:val="20"/>
              </w:rPr>
            </w:pPr>
            <w:r w:rsidRPr="00C13E80">
              <w:rPr>
                <w:szCs w:val="20"/>
              </w:rPr>
              <w:t>0.0098</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27296B37" w14:textId="70F14BA1" w:rsidR="005768A3" w:rsidRPr="00AD425C" w:rsidRDefault="005768A3" w:rsidP="009D5749">
            <w:pPr>
              <w:pStyle w:val="TableText0"/>
              <w:jc w:val="center"/>
              <w:rPr>
                <w:b/>
                <w:bCs w:val="0"/>
                <w:szCs w:val="20"/>
                <w:vertAlign w:val="superscript"/>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2</w:t>
            </w:r>
          </w:p>
        </w:tc>
      </w:tr>
      <w:tr w:rsidR="005768A3" w:rsidRPr="00C13E80" w14:paraId="2E6F9E6B" w14:textId="77777777" w:rsidTr="005768A3">
        <w:tc>
          <w:tcPr>
            <w:tcW w:w="1557" w:type="pct"/>
            <w:vAlign w:val="center"/>
          </w:tcPr>
          <w:p w14:paraId="3662C5E9" w14:textId="29CE1332" w:rsidR="005768A3" w:rsidRPr="00C13E80" w:rsidRDefault="005768A3" w:rsidP="009D5749">
            <w:pPr>
              <w:pStyle w:val="TableText0"/>
              <w:rPr>
                <w:szCs w:val="20"/>
              </w:rPr>
            </w:pPr>
            <w:r w:rsidRPr="00C13E80">
              <w:rPr>
                <w:szCs w:val="20"/>
              </w:rPr>
              <w:t>Markov phase (lifetime)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39A1BE49" w14:textId="40223E32"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3C6AEF5F" w14:textId="77777777" w:rsidR="005768A3" w:rsidRPr="00C13E80" w:rsidRDefault="005768A3" w:rsidP="009D5749">
            <w:pPr>
              <w:pStyle w:val="TableText0"/>
              <w:jc w:val="center"/>
              <w:rPr>
                <w:szCs w:val="20"/>
              </w:rPr>
            </w:pPr>
            <w:r w:rsidRPr="00C13E80">
              <w:rPr>
                <w:szCs w:val="20"/>
              </w:rPr>
              <w:t>0.0870</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6D6DF57D" w14:textId="7DD85ED1"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3</w:t>
            </w:r>
          </w:p>
        </w:tc>
      </w:tr>
      <w:tr w:rsidR="005768A3" w:rsidRPr="00C13E80" w14:paraId="0F982D31" w14:textId="77777777" w:rsidTr="005768A3">
        <w:tc>
          <w:tcPr>
            <w:tcW w:w="1557" w:type="pct"/>
            <w:vAlign w:val="center"/>
          </w:tcPr>
          <w:p w14:paraId="0B1D38D4" w14:textId="77777777" w:rsidR="005768A3" w:rsidRPr="00C13E80" w:rsidRDefault="005768A3" w:rsidP="009D5749">
            <w:pPr>
              <w:pStyle w:val="TableText0"/>
              <w:rPr>
                <w:szCs w:val="20"/>
              </w:rPr>
            </w:pPr>
            <w:r w:rsidRPr="00C13E80">
              <w:rPr>
                <w:szCs w:val="20"/>
              </w:rPr>
              <w:t>Societal perspective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95D6C3F" w14:textId="20880FF2"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716E317A" w14:textId="77777777" w:rsidR="005768A3" w:rsidRPr="00C13E80" w:rsidRDefault="005768A3" w:rsidP="009D5749">
            <w:pPr>
              <w:pStyle w:val="TableText0"/>
              <w:jc w:val="center"/>
              <w:rPr>
                <w:szCs w:val="20"/>
              </w:rPr>
            </w:pPr>
            <w:r w:rsidRPr="00C13E80">
              <w:rPr>
                <w:szCs w:val="20"/>
              </w:rPr>
              <w:t>0.0870</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2B6CFFA5" w14:textId="258B4CC7"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4</w:t>
            </w:r>
          </w:p>
        </w:tc>
      </w:tr>
      <w:tr w:rsidR="005768A3" w:rsidRPr="00C13E80" w14:paraId="0A017315" w14:textId="77777777" w:rsidTr="005768A3">
        <w:tc>
          <w:tcPr>
            <w:tcW w:w="5000" w:type="pct"/>
            <w:gridSpan w:val="4"/>
            <w:tcBorders>
              <w:right w:val="single" w:sz="4" w:space="0" w:color="auto"/>
            </w:tcBorders>
            <w:vAlign w:val="center"/>
          </w:tcPr>
          <w:p w14:paraId="14688D4D" w14:textId="1BCE9F2E" w:rsidR="005768A3" w:rsidRPr="00C13E80" w:rsidRDefault="005768A3" w:rsidP="009D5749">
            <w:pPr>
              <w:pStyle w:val="TableText0"/>
              <w:rPr>
                <w:b/>
                <w:bCs w:val="0"/>
                <w:szCs w:val="20"/>
              </w:rPr>
            </w:pPr>
            <w:r w:rsidRPr="00C13E80">
              <w:rPr>
                <w:b/>
                <w:bCs w:val="0"/>
                <w:szCs w:val="20"/>
              </w:rPr>
              <w:t>70+ subgroup</w:t>
            </w:r>
          </w:p>
        </w:tc>
      </w:tr>
      <w:tr w:rsidR="005768A3" w:rsidRPr="00C13E80" w14:paraId="5C7B2DCD" w14:textId="77777777" w:rsidTr="005768A3">
        <w:tc>
          <w:tcPr>
            <w:tcW w:w="1557" w:type="pct"/>
            <w:vAlign w:val="center"/>
          </w:tcPr>
          <w:p w14:paraId="6FA2738D" w14:textId="77777777" w:rsidR="005768A3" w:rsidRPr="00C13E80" w:rsidRDefault="005768A3" w:rsidP="009D5749">
            <w:pPr>
              <w:pStyle w:val="TableText0"/>
              <w:rPr>
                <w:szCs w:val="20"/>
              </w:rPr>
            </w:pPr>
            <w:r w:rsidRPr="00C13E80">
              <w:rPr>
                <w:szCs w:val="20"/>
              </w:rPr>
              <w:t>Acute phase (30 days)</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9BDADE1" w14:textId="2FB07191"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3D4A6ED9" w14:textId="77777777" w:rsidR="005768A3" w:rsidRPr="00C13E80" w:rsidRDefault="005768A3" w:rsidP="009D5749">
            <w:pPr>
              <w:pStyle w:val="TableText0"/>
              <w:jc w:val="center"/>
              <w:rPr>
                <w:szCs w:val="20"/>
              </w:rPr>
            </w:pPr>
            <w:r w:rsidRPr="00C13E80">
              <w:rPr>
                <w:szCs w:val="20"/>
              </w:rPr>
              <w:t>0.0008</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6B8B5CFC" w14:textId="7AD338F0"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1</w:t>
            </w:r>
          </w:p>
        </w:tc>
      </w:tr>
      <w:tr w:rsidR="005768A3" w:rsidRPr="00C13E80" w14:paraId="0BE8C704" w14:textId="77777777" w:rsidTr="005768A3">
        <w:tc>
          <w:tcPr>
            <w:tcW w:w="1557" w:type="pct"/>
            <w:vAlign w:val="center"/>
          </w:tcPr>
          <w:p w14:paraId="7C98EDDB" w14:textId="77777777" w:rsidR="005768A3" w:rsidRPr="00C13E80" w:rsidRDefault="005768A3" w:rsidP="009D5749">
            <w:pPr>
              <w:pStyle w:val="TableText0"/>
              <w:rPr>
                <w:szCs w:val="20"/>
              </w:rPr>
            </w:pPr>
            <w:r w:rsidRPr="00C13E80">
              <w:rPr>
                <w:szCs w:val="20"/>
              </w:rPr>
              <w:t>Mid-term phase (1 year)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6012FB0E" w14:textId="3DB38D73"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6F44884F" w14:textId="77777777" w:rsidR="005768A3" w:rsidRPr="00C13E80" w:rsidRDefault="005768A3" w:rsidP="009D5749">
            <w:pPr>
              <w:pStyle w:val="TableText0"/>
              <w:jc w:val="center"/>
              <w:rPr>
                <w:szCs w:val="20"/>
              </w:rPr>
            </w:pPr>
            <w:r w:rsidRPr="00C13E80">
              <w:rPr>
                <w:szCs w:val="20"/>
              </w:rPr>
              <w:t>0.0108</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332E225B" w14:textId="7C237430"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2</w:t>
            </w:r>
          </w:p>
        </w:tc>
      </w:tr>
      <w:tr w:rsidR="005768A3" w:rsidRPr="00C13E80" w14:paraId="25D93E5A" w14:textId="77777777" w:rsidTr="005768A3">
        <w:tc>
          <w:tcPr>
            <w:tcW w:w="1557" w:type="pct"/>
            <w:vAlign w:val="center"/>
          </w:tcPr>
          <w:p w14:paraId="7C27A2A4" w14:textId="762E09F4" w:rsidR="005768A3" w:rsidRPr="00C13E80" w:rsidRDefault="005768A3" w:rsidP="009D5749">
            <w:pPr>
              <w:pStyle w:val="TableText0"/>
              <w:rPr>
                <w:szCs w:val="20"/>
              </w:rPr>
            </w:pPr>
            <w:r w:rsidRPr="00C13E80">
              <w:rPr>
                <w:szCs w:val="20"/>
              </w:rPr>
              <w:t>Markov phase (lifetime)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6A72D01D" w14:textId="465138CE"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55006BF1" w14:textId="77777777" w:rsidR="005768A3" w:rsidRPr="00C13E80" w:rsidRDefault="005768A3" w:rsidP="009D5749">
            <w:pPr>
              <w:pStyle w:val="TableText0"/>
              <w:jc w:val="center"/>
              <w:rPr>
                <w:szCs w:val="20"/>
              </w:rPr>
            </w:pPr>
            <w:r w:rsidRPr="00C13E80">
              <w:rPr>
                <w:szCs w:val="20"/>
              </w:rPr>
              <w:t>0.0646</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0C39F0D8" w14:textId="656B1A6A"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3</w:t>
            </w:r>
          </w:p>
        </w:tc>
      </w:tr>
      <w:tr w:rsidR="005768A3" w:rsidRPr="00C13E80" w14:paraId="1C0AE106" w14:textId="77777777" w:rsidTr="005768A3">
        <w:tc>
          <w:tcPr>
            <w:tcW w:w="1557" w:type="pct"/>
            <w:vAlign w:val="center"/>
          </w:tcPr>
          <w:p w14:paraId="1A39B8CC" w14:textId="77777777" w:rsidR="005768A3" w:rsidRPr="00C13E80" w:rsidRDefault="005768A3" w:rsidP="009D5749">
            <w:pPr>
              <w:pStyle w:val="TableText0"/>
              <w:rPr>
                <w:szCs w:val="20"/>
              </w:rPr>
            </w:pPr>
            <w:r w:rsidRPr="00C13E80">
              <w:rPr>
                <w:szCs w:val="20"/>
              </w:rPr>
              <w:t>Societal perspective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1953218F" w14:textId="075A87EF"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282BD7F3" w14:textId="77777777" w:rsidR="005768A3" w:rsidRPr="00C13E80" w:rsidRDefault="005768A3" w:rsidP="009D5749">
            <w:pPr>
              <w:pStyle w:val="TableText0"/>
              <w:jc w:val="center"/>
              <w:rPr>
                <w:szCs w:val="20"/>
              </w:rPr>
            </w:pPr>
            <w:r w:rsidRPr="00C13E80">
              <w:rPr>
                <w:szCs w:val="20"/>
              </w:rPr>
              <w:t>0.0646</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35085753" w14:textId="7BC767CC"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3</w:t>
            </w:r>
          </w:p>
        </w:tc>
      </w:tr>
      <w:tr w:rsidR="005768A3" w:rsidRPr="00C13E80" w14:paraId="1C99C7B8" w14:textId="77777777" w:rsidTr="005768A3">
        <w:tc>
          <w:tcPr>
            <w:tcW w:w="5000" w:type="pct"/>
            <w:gridSpan w:val="4"/>
            <w:tcBorders>
              <w:right w:val="single" w:sz="4" w:space="0" w:color="auto"/>
            </w:tcBorders>
            <w:vAlign w:val="center"/>
          </w:tcPr>
          <w:p w14:paraId="3C121419" w14:textId="00162C88" w:rsidR="005768A3" w:rsidRPr="00C13E80" w:rsidRDefault="005768A3" w:rsidP="009D5749">
            <w:pPr>
              <w:pStyle w:val="TableText0"/>
              <w:rPr>
                <w:b/>
                <w:bCs w:val="0"/>
                <w:szCs w:val="20"/>
              </w:rPr>
            </w:pPr>
            <w:r w:rsidRPr="00C13E80">
              <w:rPr>
                <w:b/>
                <w:bCs w:val="0"/>
                <w:szCs w:val="20"/>
              </w:rPr>
              <w:t xml:space="preserve">50-69 high risk </w:t>
            </w:r>
            <w:r w:rsidR="000C2CA7" w:rsidRPr="00C13E80">
              <w:rPr>
                <w:b/>
                <w:bCs w:val="0"/>
                <w:szCs w:val="20"/>
              </w:rPr>
              <w:t>subgroup</w:t>
            </w:r>
          </w:p>
        </w:tc>
      </w:tr>
      <w:tr w:rsidR="005768A3" w:rsidRPr="00C13E80" w14:paraId="2F80EAAC" w14:textId="77777777" w:rsidTr="005768A3">
        <w:tc>
          <w:tcPr>
            <w:tcW w:w="1557" w:type="pct"/>
            <w:vAlign w:val="center"/>
          </w:tcPr>
          <w:p w14:paraId="5BD789D0" w14:textId="77777777" w:rsidR="005768A3" w:rsidRPr="00C13E80" w:rsidRDefault="005768A3" w:rsidP="009D5749">
            <w:pPr>
              <w:pStyle w:val="TableText0"/>
              <w:rPr>
                <w:szCs w:val="20"/>
              </w:rPr>
            </w:pPr>
            <w:r w:rsidRPr="00C13E80">
              <w:rPr>
                <w:szCs w:val="20"/>
              </w:rPr>
              <w:t>Acute phase (30 days)</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79BFCF1" w14:textId="618DBB1B"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7FE25998" w14:textId="77777777" w:rsidR="005768A3" w:rsidRPr="00C13E80" w:rsidRDefault="005768A3" w:rsidP="009D5749">
            <w:pPr>
              <w:pStyle w:val="TableText0"/>
              <w:jc w:val="center"/>
              <w:rPr>
                <w:szCs w:val="20"/>
              </w:rPr>
            </w:pPr>
            <w:r w:rsidRPr="00C13E80">
              <w:rPr>
                <w:szCs w:val="20"/>
              </w:rPr>
              <w:t>0.0001</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29940B44" w14:textId="7FEA342B"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5</w:t>
            </w:r>
          </w:p>
        </w:tc>
      </w:tr>
      <w:tr w:rsidR="005768A3" w:rsidRPr="00C13E80" w14:paraId="475B31D5" w14:textId="77777777" w:rsidTr="009D5749">
        <w:trPr>
          <w:trHeight w:val="64"/>
        </w:trPr>
        <w:tc>
          <w:tcPr>
            <w:tcW w:w="1557" w:type="pct"/>
            <w:vAlign w:val="center"/>
          </w:tcPr>
          <w:p w14:paraId="7FB7A072" w14:textId="77777777" w:rsidR="005768A3" w:rsidRPr="00C13E80" w:rsidRDefault="005768A3" w:rsidP="009D5749">
            <w:pPr>
              <w:pStyle w:val="TableText0"/>
              <w:rPr>
                <w:szCs w:val="20"/>
              </w:rPr>
            </w:pPr>
            <w:r w:rsidRPr="00C13E80">
              <w:rPr>
                <w:szCs w:val="20"/>
              </w:rPr>
              <w:t>Mid-term phase (1 year)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78C4A06" w14:textId="70DEE59D"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535E65DC" w14:textId="77777777" w:rsidR="005768A3" w:rsidRPr="00C13E80" w:rsidRDefault="005768A3" w:rsidP="009D5749">
            <w:pPr>
              <w:pStyle w:val="TableText0"/>
              <w:jc w:val="center"/>
              <w:rPr>
                <w:szCs w:val="20"/>
              </w:rPr>
            </w:pPr>
            <w:r w:rsidRPr="00C13E80">
              <w:rPr>
                <w:szCs w:val="20"/>
              </w:rPr>
              <w:t>0.0008</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67767B0B" w14:textId="3A3022EB"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9D5749">
              <w:rPr>
                <w:b/>
                <w:bCs w:val="0"/>
                <w:szCs w:val="20"/>
                <w:vertAlign w:val="superscript"/>
              </w:rPr>
              <w:t>6</w:t>
            </w:r>
          </w:p>
        </w:tc>
      </w:tr>
      <w:tr w:rsidR="005768A3" w:rsidRPr="00C13E80" w14:paraId="1415D698" w14:textId="77777777" w:rsidTr="005768A3">
        <w:tc>
          <w:tcPr>
            <w:tcW w:w="1557" w:type="pct"/>
            <w:vAlign w:val="center"/>
          </w:tcPr>
          <w:p w14:paraId="1093943F" w14:textId="7CFE96B3" w:rsidR="005768A3" w:rsidRPr="00C13E80" w:rsidRDefault="005768A3" w:rsidP="009D5749">
            <w:pPr>
              <w:pStyle w:val="TableText0"/>
              <w:rPr>
                <w:szCs w:val="20"/>
              </w:rPr>
            </w:pPr>
            <w:r w:rsidRPr="00C13E80">
              <w:rPr>
                <w:szCs w:val="20"/>
              </w:rPr>
              <w:t>Markov phase (lifetime)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707F4C2A" w14:textId="5C9C5B7F"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4357D3A0" w14:textId="77777777" w:rsidR="005768A3" w:rsidRPr="00C13E80" w:rsidRDefault="005768A3" w:rsidP="009D5749">
            <w:pPr>
              <w:pStyle w:val="TableText0"/>
              <w:jc w:val="center"/>
              <w:rPr>
                <w:szCs w:val="20"/>
              </w:rPr>
            </w:pPr>
            <w:r w:rsidRPr="00C13E80">
              <w:rPr>
                <w:szCs w:val="20"/>
              </w:rPr>
              <w:t>0.0103</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1B5E84B5" w14:textId="6B15482E"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9D5749">
              <w:rPr>
                <w:b/>
                <w:bCs w:val="0"/>
                <w:szCs w:val="20"/>
                <w:vertAlign w:val="superscript"/>
              </w:rPr>
              <w:t>7</w:t>
            </w:r>
          </w:p>
        </w:tc>
      </w:tr>
      <w:tr w:rsidR="005768A3" w:rsidRPr="00C13E80" w14:paraId="40D761F2" w14:textId="77777777" w:rsidTr="005768A3">
        <w:tc>
          <w:tcPr>
            <w:tcW w:w="1557" w:type="pct"/>
            <w:vAlign w:val="center"/>
          </w:tcPr>
          <w:p w14:paraId="24D63998" w14:textId="77777777" w:rsidR="005768A3" w:rsidRPr="00C13E80" w:rsidRDefault="005768A3" w:rsidP="009D5749">
            <w:pPr>
              <w:pStyle w:val="TableText0"/>
              <w:rPr>
                <w:szCs w:val="20"/>
              </w:rPr>
            </w:pPr>
            <w:r w:rsidRPr="00C13E80">
              <w:rPr>
                <w:szCs w:val="20"/>
              </w:rPr>
              <w:t>Societal perspective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4F12983" w14:textId="5E49086A"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6442337B" w14:textId="77777777" w:rsidR="005768A3" w:rsidRPr="00C13E80" w:rsidRDefault="005768A3" w:rsidP="009D5749">
            <w:pPr>
              <w:pStyle w:val="TableText0"/>
              <w:jc w:val="center"/>
              <w:rPr>
                <w:szCs w:val="20"/>
              </w:rPr>
            </w:pPr>
            <w:r w:rsidRPr="00C13E80">
              <w:rPr>
                <w:szCs w:val="20"/>
              </w:rPr>
              <w:t>0.0103</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5ABDDD15" w14:textId="4BC647BB"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2</w:t>
            </w:r>
          </w:p>
        </w:tc>
      </w:tr>
      <w:tr w:rsidR="005768A3" w:rsidRPr="00C13E80" w14:paraId="5FFA8C59" w14:textId="77777777" w:rsidTr="005768A3">
        <w:tc>
          <w:tcPr>
            <w:tcW w:w="5000" w:type="pct"/>
            <w:gridSpan w:val="4"/>
            <w:tcBorders>
              <w:right w:val="single" w:sz="4" w:space="0" w:color="auto"/>
            </w:tcBorders>
            <w:vAlign w:val="center"/>
          </w:tcPr>
          <w:p w14:paraId="3730A36E" w14:textId="30BF75FE" w:rsidR="005768A3" w:rsidRPr="00C13E80" w:rsidRDefault="005768A3" w:rsidP="009D5749">
            <w:pPr>
              <w:pStyle w:val="TableText0"/>
              <w:rPr>
                <w:b/>
                <w:bCs w:val="0"/>
                <w:szCs w:val="20"/>
              </w:rPr>
            </w:pPr>
            <w:r w:rsidRPr="00C13E80">
              <w:rPr>
                <w:b/>
                <w:bCs w:val="0"/>
                <w:szCs w:val="20"/>
              </w:rPr>
              <w:t>IC subgroup</w:t>
            </w:r>
          </w:p>
        </w:tc>
      </w:tr>
      <w:tr w:rsidR="005768A3" w:rsidRPr="00C13E80" w14:paraId="6E2C7461" w14:textId="77777777" w:rsidTr="005768A3">
        <w:tc>
          <w:tcPr>
            <w:tcW w:w="1557" w:type="pct"/>
            <w:vAlign w:val="center"/>
          </w:tcPr>
          <w:p w14:paraId="0741EAE3" w14:textId="77777777" w:rsidR="005768A3" w:rsidRPr="00C13E80" w:rsidRDefault="005768A3" w:rsidP="009D5749">
            <w:pPr>
              <w:pStyle w:val="TableText0"/>
              <w:rPr>
                <w:szCs w:val="20"/>
              </w:rPr>
            </w:pPr>
            <w:r w:rsidRPr="00C13E80">
              <w:rPr>
                <w:szCs w:val="20"/>
              </w:rPr>
              <w:t>Acute phase (30 days)</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9A1D07B" w14:textId="60FE4DBC"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795788E8" w14:textId="77777777" w:rsidR="005768A3" w:rsidRPr="00C13E80" w:rsidRDefault="005768A3" w:rsidP="009D5749">
            <w:pPr>
              <w:pStyle w:val="TableText0"/>
              <w:jc w:val="center"/>
              <w:rPr>
                <w:szCs w:val="20"/>
              </w:rPr>
            </w:pPr>
            <w:r w:rsidRPr="00C13E80">
              <w:rPr>
                <w:szCs w:val="20"/>
              </w:rPr>
              <w:t>0.0011</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2E2C224B" w14:textId="20355176"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9D5749">
              <w:rPr>
                <w:b/>
                <w:bCs w:val="0"/>
                <w:szCs w:val="20"/>
                <w:vertAlign w:val="superscript"/>
              </w:rPr>
              <w:t>8</w:t>
            </w:r>
          </w:p>
        </w:tc>
      </w:tr>
      <w:tr w:rsidR="005768A3" w:rsidRPr="00C13E80" w14:paraId="2F4F1B2F" w14:textId="77777777" w:rsidTr="005768A3">
        <w:tc>
          <w:tcPr>
            <w:tcW w:w="1557" w:type="pct"/>
            <w:vAlign w:val="center"/>
          </w:tcPr>
          <w:p w14:paraId="3A79A4F9" w14:textId="77777777" w:rsidR="005768A3" w:rsidRPr="00C13E80" w:rsidRDefault="005768A3" w:rsidP="009D5749">
            <w:pPr>
              <w:pStyle w:val="TableText0"/>
              <w:rPr>
                <w:szCs w:val="20"/>
              </w:rPr>
            </w:pPr>
            <w:r w:rsidRPr="00C13E80">
              <w:rPr>
                <w:szCs w:val="20"/>
              </w:rPr>
              <w:t>Mid-term phase (1 year)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320E53AD" w14:textId="41587239"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22F97CA4" w14:textId="77777777" w:rsidR="005768A3" w:rsidRPr="00C13E80" w:rsidRDefault="005768A3" w:rsidP="009D5749">
            <w:pPr>
              <w:pStyle w:val="TableText0"/>
              <w:jc w:val="center"/>
              <w:rPr>
                <w:szCs w:val="20"/>
              </w:rPr>
            </w:pPr>
            <w:r w:rsidRPr="00C13E80">
              <w:rPr>
                <w:szCs w:val="20"/>
              </w:rPr>
              <w:t>0.0153</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582F72AC" w14:textId="07144889"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9D5749">
              <w:rPr>
                <w:b/>
                <w:bCs w:val="0"/>
                <w:szCs w:val="20"/>
                <w:vertAlign w:val="superscript"/>
              </w:rPr>
              <w:t>9</w:t>
            </w:r>
          </w:p>
        </w:tc>
      </w:tr>
      <w:tr w:rsidR="005768A3" w:rsidRPr="00C13E80" w14:paraId="416431F4" w14:textId="77777777" w:rsidTr="005768A3">
        <w:tc>
          <w:tcPr>
            <w:tcW w:w="1557" w:type="pct"/>
            <w:vAlign w:val="center"/>
          </w:tcPr>
          <w:p w14:paraId="08D2A6BB" w14:textId="42723FA3" w:rsidR="005768A3" w:rsidRPr="00C13E80" w:rsidRDefault="005768A3" w:rsidP="009D5749">
            <w:pPr>
              <w:pStyle w:val="TableText0"/>
              <w:rPr>
                <w:szCs w:val="20"/>
              </w:rPr>
            </w:pPr>
            <w:r w:rsidRPr="00C13E80">
              <w:rPr>
                <w:szCs w:val="20"/>
              </w:rPr>
              <w:t>Markov phase (lifetime)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1C406B7C" w14:textId="5B8825F4"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0CE29F11" w14:textId="77777777" w:rsidR="005768A3" w:rsidRPr="00C13E80" w:rsidRDefault="005768A3" w:rsidP="009D5749">
            <w:pPr>
              <w:pStyle w:val="TableText0"/>
              <w:jc w:val="center"/>
              <w:rPr>
                <w:szCs w:val="20"/>
              </w:rPr>
            </w:pPr>
            <w:r w:rsidRPr="00C13E80">
              <w:rPr>
                <w:szCs w:val="20"/>
              </w:rPr>
              <w:t>0.2269</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6CFD02E0" w14:textId="13C22DBA" w:rsidR="005768A3" w:rsidRPr="00C13E80" w:rsidRDefault="005768A3" w:rsidP="009D5749">
            <w:pPr>
              <w:pStyle w:val="TableText0"/>
              <w:jc w:val="center"/>
              <w:rPr>
                <w:b/>
                <w:bCs w:val="0"/>
                <w:szCs w:val="20"/>
              </w:rPr>
            </w:pPr>
            <w:r w:rsidRPr="00C13E80">
              <w:rPr>
                <w:b/>
                <w:bCs w:val="0"/>
                <w:szCs w:val="20"/>
              </w:rPr>
              <w:t>$</w:t>
            </w:r>
            <w:r w:rsidR="00573190" w:rsidRPr="00573190">
              <w:rPr>
                <w:b/>
                <w:bCs w:val="0"/>
                <w:color w:val="000000"/>
                <w:szCs w:val="20"/>
                <w:shd w:val="solid" w:color="000000" w:fill="000000"/>
                <w14:textFill>
                  <w14:solidFill>
                    <w14:srgbClr w14:val="000000">
                      <w14:alpha w14:val="100000"/>
                    </w14:srgbClr>
                  </w14:solidFill>
                </w14:textFill>
              </w:rPr>
              <w:t>|</w:t>
            </w:r>
            <w:r w:rsidR="00AD425C">
              <w:rPr>
                <w:b/>
                <w:bCs w:val="0"/>
                <w:szCs w:val="20"/>
              </w:rPr>
              <w:t xml:space="preserve"> </w:t>
            </w:r>
            <w:r w:rsidR="00AD425C">
              <w:rPr>
                <w:b/>
                <w:bCs w:val="0"/>
                <w:szCs w:val="20"/>
                <w:vertAlign w:val="superscript"/>
              </w:rPr>
              <w:t>4</w:t>
            </w:r>
          </w:p>
        </w:tc>
      </w:tr>
      <w:tr w:rsidR="005768A3" w:rsidRPr="00C13E80" w14:paraId="3C0CD726" w14:textId="77777777" w:rsidTr="005768A3">
        <w:tc>
          <w:tcPr>
            <w:tcW w:w="1557" w:type="pct"/>
            <w:vAlign w:val="center"/>
          </w:tcPr>
          <w:p w14:paraId="3BDD2ABE" w14:textId="77777777" w:rsidR="005768A3" w:rsidRPr="00C13E80" w:rsidRDefault="005768A3" w:rsidP="009D5749">
            <w:pPr>
              <w:pStyle w:val="TableText0"/>
              <w:rPr>
                <w:szCs w:val="20"/>
              </w:rPr>
            </w:pPr>
            <w:r w:rsidRPr="00C13E80">
              <w:rPr>
                <w:szCs w:val="20"/>
              </w:rPr>
              <w:t>Societal perspective</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228B2689" w14:textId="54186670" w:rsidR="005768A3" w:rsidRPr="00C13E80" w:rsidRDefault="005768A3" w:rsidP="009D5749">
            <w:pPr>
              <w:pStyle w:val="TableText0"/>
              <w:jc w:val="center"/>
              <w:rPr>
                <w:szCs w:val="20"/>
              </w:rPr>
            </w:pPr>
            <w:r w:rsidRPr="00C13E80">
              <w:rPr>
                <w:szCs w:val="20"/>
              </w:rPr>
              <w:t>-$</w:t>
            </w:r>
            <w:r w:rsidR="00573190" w:rsidRPr="00573190">
              <w:rPr>
                <w:color w:val="000000"/>
                <w:szCs w:val="20"/>
                <w:shd w:val="solid" w:color="000000" w:fill="000000"/>
                <w14:textFill>
                  <w14:solidFill>
                    <w14:srgbClr w14:val="000000">
                      <w14:alpha w14:val="100000"/>
                    </w14:srgbClr>
                  </w14:solidFill>
                </w14:textFill>
              </w:rPr>
              <w:t>|</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bottom"/>
          </w:tcPr>
          <w:p w14:paraId="5CA0C900" w14:textId="77777777" w:rsidR="005768A3" w:rsidRPr="00C13E80" w:rsidRDefault="005768A3" w:rsidP="009D5749">
            <w:pPr>
              <w:pStyle w:val="TableText0"/>
              <w:jc w:val="center"/>
              <w:rPr>
                <w:szCs w:val="20"/>
              </w:rPr>
            </w:pPr>
            <w:r w:rsidRPr="00C13E80">
              <w:rPr>
                <w:szCs w:val="20"/>
              </w:rPr>
              <w:t>0.2269</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bottom"/>
          </w:tcPr>
          <w:p w14:paraId="1F4BDA92" w14:textId="77777777" w:rsidR="005768A3" w:rsidRPr="00C13E80" w:rsidRDefault="005768A3" w:rsidP="009D5749">
            <w:pPr>
              <w:pStyle w:val="TableText0"/>
              <w:jc w:val="center"/>
              <w:rPr>
                <w:b/>
                <w:bCs w:val="0"/>
                <w:szCs w:val="20"/>
              </w:rPr>
            </w:pPr>
            <w:r w:rsidRPr="00C13E80">
              <w:rPr>
                <w:b/>
                <w:bCs w:val="0"/>
                <w:szCs w:val="20"/>
              </w:rPr>
              <w:t>DOMINANT</w:t>
            </w:r>
          </w:p>
        </w:tc>
      </w:tr>
    </w:tbl>
    <w:p w14:paraId="1A14D7FB" w14:textId="46DC1572" w:rsidR="005768A3" w:rsidRDefault="005A373D" w:rsidP="009D5749">
      <w:pPr>
        <w:pStyle w:val="FooterTableFigure"/>
        <w:keepNext/>
        <w:spacing w:after="0"/>
        <w:contextualSpacing w:val="0"/>
      </w:pPr>
      <w:r w:rsidRPr="00C13E80">
        <w:t>Source: Table</w:t>
      </w:r>
      <w:r w:rsidR="006D3A71" w:rsidRPr="00C13E80">
        <w:t xml:space="preserve"> 3.8-1</w:t>
      </w:r>
      <w:r w:rsidRPr="00C13E80">
        <w:t>, p</w:t>
      </w:r>
      <w:r w:rsidR="006D3A71" w:rsidRPr="00C13E80">
        <w:t>185</w:t>
      </w:r>
      <w:r w:rsidRPr="00C13E80">
        <w:t xml:space="preserve"> of the submission.</w:t>
      </w:r>
      <w:bookmarkEnd w:id="78"/>
    </w:p>
    <w:p w14:paraId="5FECD786" w14:textId="77777777" w:rsidR="009D5749" w:rsidRPr="009A6D58" w:rsidRDefault="009D5749" w:rsidP="009D5749">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C15125D" w14:textId="62A24E73" w:rsidR="009D5749" w:rsidRPr="009A6D58" w:rsidRDefault="009D5749" w:rsidP="009D5749">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D5749">
        <w:rPr>
          <w:rFonts w:ascii="Arial Narrow" w:hAnsi="Arial Narrow"/>
          <w:i/>
          <w:sz w:val="18"/>
          <w:szCs w:val="18"/>
        </w:rPr>
        <w:t>$855,000 to &lt; $955,000</w:t>
      </w:r>
    </w:p>
    <w:p w14:paraId="6F6E35BA" w14:textId="59F8781D" w:rsidR="009D5749" w:rsidRPr="009A6D58" w:rsidRDefault="009D5749" w:rsidP="009D5749">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D5749">
        <w:rPr>
          <w:rFonts w:ascii="Arial Narrow" w:hAnsi="Arial Narrow"/>
          <w:i/>
          <w:sz w:val="18"/>
          <w:szCs w:val="18"/>
        </w:rPr>
        <w:t>$55,000 to &lt; $75,000</w:t>
      </w:r>
    </w:p>
    <w:p w14:paraId="53071117" w14:textId="77777777" w:rsidR="009D5749" w:rsidRDefault="009D5749" w:rsidP="009D5749">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D5749">
        <w:rPr>
          <w:rFonts w:ascii="Arial Narrow" w:hAnsi="Arial Narrow"/>
          <w:i/>
          <w:sz w:val="18"/>
          <w:szCs w:val="18"/>
        </w:rPr>
        <w:t>$5,000 to &lt; $15,000</w:t>
      </w:r>
    </w:p>
    <w:p w14:paraId="6BD24B32" w14:textId="54A1B535" w:rsidR="009D5749" w:rsidRDefault="009D5749" w:rsidP="009D5749">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9D5749">
        <w:rPr>
          <w:rFonts w:ascii="Arial Narrow" w:hAnsi="Arial Narrow"/>
          <w:i/>
          <w:sz w:val="18"/>
          <w:szCs w:val="18"/>
        </w:rPr>
        <w:t>$0 to &lt; $5,000</w:t>
      </w:r>
    </w:p>
    <w:p w14:paraId="7D9BBCC3" w14:textId="63FDBBD8" w:rsidR="009D5749" w:rsidRDefault="009D5749" w:rsidP="009D5749">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D5749">
        <w:rPr>
          <w:rFonts w:ascii="Arial Narrow" w:hAnsi="Arial Narrow"/>
          <w:i/>
          <w:sz w:val="18"/>
          <w:szCs w:val="18"/>
        </w:rPr>
        <w:t>&gt; $1,055,000</w:t>
      </w:r>
    </w:p>
    <w:p w14:paraId="5AA591EE" w14:textId="41BB602E" w:rsidR="009D5749" w:rsidRDefault="009D5749" w:rsidP="009D5749">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9D5749">
        <w:rPr>
          <w:rFonts w:ascii="Arial Narrow" w:hAnsi="Arial Narrow"/>
          <w:i/>
          <w:sz w:val="18"/>
          <w:szCs w:val="18"/>
        </w:rPr>
        <w:t>$955,000 to &lt; $1,055,000</w:t>
      </w:r>
    </w:p>
    <w:p w14:paraId="31D61799" w14:textId="3C823A8E" w:rsidR="009D5749" w:rsidRDefault="009D5749" w:rsidP="009D5749">
      <w:pPr>
        <w:keepNex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9D5749">
        <w:rPr>
          <w:rFonts w:ascii="Arial Narrow" w:hAnsi="Arial Narrow"/>
          <w:i/>
          <w:sz w:val="18"/>
          <w:szCs w:val="18"/>
        </w:rPr>
        <w:t>$75,000 to &lt; $95,000</w:t>
      </w:r>
    </w:p>
    <w:p w14:paraId="7D54178E" w14:textId="370E8709" w:rsidR="009D5749" w:rsidRDefault="009D5749" w:rsidP="009D5749">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9D5749">
        <w:rPr>
          <w:rFonts w:ascii="Arial Narrow" w:hAnsi="Arial Narrow"/>
          <w:i/>
          <w:sz w:val="18"/>
          <w:szCs w:val="18"/>
        </w:rPr>
        <w:t>$255,000 to &lt; $355,000</w:t>
      </w:r>
    </w:p>
    <w:p w14:paraId="042FA41D" w14:textId="154CF3F3" w:rsidR="009D5749" w:rsidRPr="00C13E80" w:rsidRDefault="009D5749" w:rsidP="00F74A5A">
      <w:pPr>
        <w:pStyle w:val="FooterTableFigure"/>
        <w:contextualSpacing w:val="0"/>
      </w:pPr>
      <w:r>
        <w:rPr>
          <w:i/>
          <w:szCs w:val="18"/>
          <w:vertAlign w:val="superscript"/>
        </w:rPr>
        <w:t>9</w:t>
      </w:r>
      <w:r w:rsidRPr="009D5749">
        <w:rPr>
          <w:i/>
          <w:szCs w:val="18"/>
        </w:rPr>
        <w:t xml:space="preserve"> $</w:t>
      </w:r>
      <w:r w:rsidR="002E4F5B">
        <w:rPr>
          <w:i/>
          <w:szCs w:val="18"/>
        </w:rPr>
        <w:t>1</w:t>
      </w:r>
      <w:r w:rsidRPr="009D5749">
        <w:rPr>
          <w:i/>
          <w:szCs w:val="18"/>
        </w:rPr>
        <w:t>5,000 to &lt; $</w:t>
      </w:r>
      <w:r w:rsidR="002E4F5B">
        <w:rPr>
          <w:i/>
          <w:szCs w:val="18"/>
        </w:rPr>
        <w:t>2</w:t>
      </w:r>
      <w:r w:rsidRPr="009D5749">
        <w:rPr>
          <w:i/>
          <w:szCs w:val="18"/>
        </w:rPr>
        <w:t>5,000</w:t>
      </w:r>
    </w:p>
    <w:p w14:paraId="3E83F49B" w14:textId="566DDE45" w:rsidR="005768A3" w:rsidRPr="00C13E80" w:rsidRDefault="0007309D" w:rsidP="00B46FE9">
      <w:pPr>
        <w:pStyle w:val="3-BodyText"/>
      </w:pPr>
      <w:r w:rsidRPr="00C13E80">
        <w:rPr>
          <w:highlight w:val="yellow"/>
        </w:rPr>
        <w:fldChar w:fldCharType="begin" w:fldLock="1"/>
      </w:r>
      <w:r w:rsidRPr="00C13E80">
        <w:instrText xml:space="preserve"> REF _Ref104805181 \h </w:instrText>
      </w:r>
      <w:r w:rsidRPr="00C13E80">
        <w:rPr>
          <w:highlight w:val="yellow"/>
        </w:rPr>
      </w:r>
      <w:r w:rsidRPr="00C13E80">
        <w:rPr>
          <w:highlight w:val="yellow"/>
        </w:rPr>
        <w:fldChar w:fldCharType="separate"/>
      </w:r>
      <w:r w:rsidR="00701DEF" w:rsidRPr="00C13E80">
        <w:t xml:space="preserve">Table </w:t>
      </w:r>
      <w:r w:rsidR="00701DEF">
        <w:rPr>
          <w:noProof/>
        </w:rPr>
        <w:t>13</w:t>
      </w:r>
      <w:r w:rsidRPr="00C13E80">
        <w:rPr>
          <w:highlight w:val="yellow"/>
        </w:rPr>
        <w:fldChar w:fldCharType="end"/>
      </w:r>
      <w:r w:rsidR="008520E2" w:rsidRPr="00C13E80">
        <w:t xml:space="preserve"> presents the results of the </w:t>
      </w:r>
      <w:r w:rsidR="00582263" w:rsidRPr="00C13E80">
        <w:t xml:space="preserve">base case </w:t>
      </w:r>
      <w:r w:rsidR="008520E2" w:rsidRPr="00C13E80">
        <w:t>economic evaluation</w:t>
      </w:r>
      <w:r w:rsidR="00F96807" w:rsidRPr="00C13E80">
        <w:t xml:space="preserve"> excluding</w:t>
      </w:r>
      <w:r w:rsidR="00B73F5D" w:rsidRPr="00C13E80">
        <w:t xml:space="preserve"> </w:t>
      </w:r>
      <w:r w:rsidR="001B369E" w:rsidRPr="00C13E80">
        <w:t>indirect costs (e.g., due to productivity gains</w:t>
      </w:r>
      <w:r w:rsidR="0020184C" w:rsidRPr="00C13E80">
        <w:t>)</w:t>
      </w:r>
      <w:r w:rsidR="008520E2" w:rsidRPr="00C13E80">
        <w:t xml:space="preserve">. </w:t>
      </w:r>
      <w:r w:rsidR="0097491F" w:rsidRPr="00C13E80">
        <w:t>Following weighting of the cost-effectiveness</w:t>
      </w:r>
      <w:r w:rsidR="00F3336B" w:rsidRPr="00C13E80">
        <w:t xml:space="preserve"> </w:t>
      </w:r>
      <w:r w:rsidR="001B369E" w:rsidRPr="00C13E80">
        <w:t>for</w:t>
      </w:r>
      <w:r w:rsidR="00F3336B" w:rsidRPr="00C13E80">
        <w:t xml:space="preserve"> </w:t>
      </w:r>
      <w:r w:rsidR="0097491F" w:rsidRPr="00C13E80">
        <w:t xml:space="preserve">each </w:t>
      </w:r>
      <w:r w:rsidR="001B369E" w:rsidRPr="00C13E80">
        <w:t>subgroup</w:t>
      </w:r>
      <w:r w:rsidR="0097491F" w:rsidRPr="00C13E80">
        <w:t xml:space="preserve">, the economic model estimates an ICER of </w:t>
      </w:r>
      <w:r w:rsidR="00063AB6" w:rsidRPr="00063AB6">
        <w:t>$5,000</w:t>
      </w:r>
      <w:r w:rsidR="00063AB6">
        <w:t> </w:t>
      </w:r>
      <w:r w:rsidR="00063AB6" w:rsidRPr="00063AB6">
        <w:t>to</w:t>
      </w:r>
      <w:r w:rsidR="00063AB6">
        <w:t> </w:t>
      </w:r>
      <w:r w:rsidR="00063AB6" w:rsidRPr="00063AB6">
        <w:t>&lt; $15,000</w:t>
      </w:r>
      <w:r w:rsidR="00063AB6">
        <w:t xml:space="preserve"> </w:t>
      </w:r>
      <w:r w:rsidR="0097491F" w:rsidRPr="00C13E80">
        <w:t>per QALY gained</w:t>
      </w:r>
      <w:r w:rsidR="00F3336B" w:rsidRPr="00C13E80">
        <w:t xml:space="preserve">. </w:t>
      </w:r>
      <w:r w:rsidR="001B369E" w:rsidRPr="00C13E80">
        <w:t>As discussed previously, t</w:t>
      </w:r>
      <w:r w:rsidR="008C0B09" w:rsidRPr="00C13E80">
        <w:t>he</w:t>
      </w:r>
      <w:r w:rsidR="00C862E8" w:rsidRPr="00C13E80">
        <w:t>re is wide variation in the</w:t>
      </w:r>
      <w:r w:rsidR="008C0B09" w:rsidRPr="00C13E80">
        <w:t xml:space="preserve"> ICER</w:t>
      </w:r>
      <w:r w:rsidR="00C862E8" w:rsidRPr="00C13E80">
        <w:t>s</w:t>
      </w:r>
      <w:r w:rsidR="008C0B09" w:rsidRPr="00C13E80">
        <w:t xml:space="preserve"> generated </w:t>
      </w:r>
      <w:r w:rsidR="00C862E8" w:rsidRPr="00C13E80">
        <w:t>for each of the subgroups</w:t>
      </w:r>
      <w:r w:rsidR="00EE6245" w:rsidRPr="00C13E80">
        <w:t xml:space="preserve">, ranging from </w:t>
      </w:r>
      <w:r w:rsidR="00063AB6" w:rsidRPr="00063AB6">
        <w:t>$0 to &lt; $5,000</w:t>
      </w:r>
      <w:r w:rsidR="00063AB6">
        <w:t xml:space="preserve"> </w:t>
      </w:r>
      <w:r w:rsidR="00EE6245" w:rsidRPr="00C13E80">
        <w:t>per QALY gained</w:t>
      </w:r>
      <w:r w:rsidR="00A72B60" w:rsidRPr="00C13E80">
        <w:t xml:space="preserve"> in the IC subgroup to </w:t>
      </w:r>
      <w:r w:rsidR="00063AB6" w:rsidRPr="00063AB6">
        <w:t>$75,000 to &lt; $95,000</w:t>
      </w:r>
      <w:r w:rsidR="00063AB6">
        <w:t xml:space="preserve"> </w:t>
      </w:r>
      <w:r w:rsidR="00A72B60" w:rsidRPr="00C13E80">
        <w:t xml:space="preserve">per QALY gained in the 50-69 high risk subgroup. </w:t>
      </w:r>
      <w:r w:rsidR="00D143E1" w:rsidRPr="00C13E80">
        <w:t>The largest group in the utilisation estimates was the 70+ subgroup, comprising 60</w:t>
      </w:r>
      <w:r w:rsidR="00A1305F" w:rsidRPr="00C13E80">
        <w:t>.7</w:t>
      </w:r>
      <w:r w:rsidR="00D143E1" w:rsidRPr="00C13E80">
        <w:t xml:space="preserve">% </w:t>
      </w:r>
      <w:r w:rsidR="00A1305F" w:rsidRPr="00C13E80">
        <w:t xml:space="preserve">of antiviral prescriptions on the PBS from August 2022 to </w:t>
      </w:r>
      <w:r w:rsidR="00A1305F" w:rsidRPr="00C13E80">
        <w:lastRenderedPageBreak/>
        <w:t>December 2022</w:t>
      </w:r>
      <w:r w:rsidR="00177204" w:rsidRPr="00C13E80">
        <w:t xml:space="preserve">, therefore the cost-effectiveness of this group has the largest influence on the weighted results. </w:t>
      </w:r>
    </w:p>
    <w:p w14:paraId="2C1B62F3" w14:textId="1D1FC5BA" w:rsidR="001F4081" w:rsidRPr="00C13E80" w:rsidRDefault="00E16AD8" w:rsidP="00F74A5A">
      <w:pPr>
        <w:pStyle w:val="Caption"/>
      </w:pPr>
      <w:bookmarkStart w:id="79" w:name="_Ref104805181"/>
      <w:r w:rsidRPr="00C13E80">
        <w:t xml:space="preserve">Table </w:t>
      </w:r>
      <w:r w:rsidR="00567EAC">
        <w:fldChar w:fldCharType="begin" w:fldLock="1"/>
      </w:r>
      <w:r w:rsidR="00567EAC">
        <w:instrText xml:space="preserve"> SEQ Table \* ARABIC </w:instrText>
      </w:r>
      <w:r w:rsidR="00567EAC">
        <w:fldChar w:fldCharType="separate"/>
      </w:r>
      <w:r w:rsidR="00701DEF">
        <w:rPr>
          <w:noProof/>
        </w:rPr>
        <w:t>13</w:t>
      </w:r>
      <w:r w:rsidR="00567EAC">
        <w:rPr>
          <w:noProof/>
        </w:rPr>
        <w:fldChar w:fldCharType="end"/>
      </w:r>
      <w:bookmarkEnd w:id="79"/>
      <w:r w:rsidR="001F4081" w:rsidRPr="00C13E80">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802E3D" w:rsidRPr="00C13E80" w14:paraId="437363FA" w14:textId="77777777" w:rsidTr="002A4292">
        <w:trPr>
          <w:tblHeader/>
        </w:trPr>
        <w:tc>
          <w:tcPr>
            <w:tcW w:w="1529" w:type="pct"/>
            <w:vAlign w:val="center"/>
          </w:tcPr>
          <w:p w14:paraId="2B88E44F" w14:textId="77777777" w:rsidR="00802E3D" w:rsidRPr="00C13E80" w:rsidRDefault="00802E3D" w:rsidP="00F74A5A">
            <w:pPr>
              <w:pStyle w:val="In-tableHeading"/>
              <w:rPr>
                <w:lang w:val="en-AU"/>
              </w:rPr>
            </w:pPr>
            <w:r w:rsidRPr="00C13E80">
              <w:rPr>
                <w:lang w:val="en-AU"/>
              </w:rPr>
              <w:t>Component</w:t>
            </w:r>
          </w:p>
        </w:tc>
        <w:tc>
          <w:tcPr>
            <w:tcW w:w="1359" w:type="pct"/>
            <w:vAlign w:val="center"/>
          </w:tcPr>
          <w:p w14:paraId="3DAB678B" w14:textId="77777777" w:rsidR="00802E3D" w:rsidRPr="00C13E80" w:rsidRDefault="00802E3D" w:rsidP="00F74A5A">
            <w:pPr>
              <w:pStyle w:val="In-tableHeading"/>
              <w:jc w:val="center"/>
              <w:rPr>
                <w:lang w:val="en-AU"/>
              </w:rPr>
            </w:pPr>
            <w:r w:rsidRPr="00C13E80">
              <w:rPr>
                <w:lang w:val="en-AU"/>
              </w:rPr>
              <w:t>Molnupiravir</w:t>
            </w:r>
          </w:p>
        </w:tc>
        <w:tc>
          <w:tcPr>
            <w:tcW w:w="1274" w:type="pct"/>
            <w:vAlign w:val="center"/>
          </w:tcPr>
          <w:p w14:paraId="73B005DA" w14:textId="04A72E63" w:rsidR="00802E3D" w:rsidRPr="00C13E80" w:rsidRDefault="008155C8" w:rsidP="00F74A5A">
            <w:pPr>
              <w:pStyle w:val="In-tableHeading"/>
              <w:jc w:val="center"/>
              <w:rPr>
                <w:lang w:val="en-AU"/>
              </w:rPr>
            </w:pPr>
            <w:r w:rsidRPr="00C13E80">
              <w:rPr>
                <w:lang w:val="en-AU"/>
              </w:rPr>
              <w:t>Usual care</w:t>
            </w:r>
          </w:p>
        </w:tc>
        <w:tc>
          <w:tcPr>
            <w:tcW w:w="838" w:type="pct"/>
            <w:vAlign w:val="center"/>
          </w:tcPr>
          <w:p w14:paraId="42DD6B8A" w14:textId="77777777" w:rsidR="00802E3D" w:rsidRPr="00C13E80" w:rsidRDefault="00802E3D" w:rsidP="00F74A5A">
            <w:pPr>
              <w:pStyle w:val="In-tableHeading"/>
              <w:jc w:val="center"/>
              <w:rPr>
                <w:lang w:val="en-AU"/>
              </w:rPr>
            </w:pPr>
            <w:r w:rsidRPr="00C13E80">
              <w:rPr>
                <w:lang w:val="en-AU"/>
              </w:rPr>
              <w:t>Increment</w:t>
            </w:r>
          </w:p>
        </w:tc>
      </w:tr>
      <w:tr w:rsidR="00802E3D" w:rsidRPr="00C13E80" w14:paraId="7514B143" w14:textId="77777777" w:rsidTr="002A4292">
        <w:tc>
          <w:tcPr>
            <w:tcW w:w="1529" w:type="pct"/>
            <w:vAlign w:val="center"/>
          </w:tcPr>
          <w:p w14:paraId="3CCF354D" w14:textId="77777777" w:rsidR="00802E3D" w:rsidRPr="00C13E80" w:rsidRDefault="00802E3D" w:rsidP="00F74A5A">
            <w:pPr>
              <w:pStyle w:val="TableText0"/>
            </w:pPr>
            <w:r w:rsidRPr="00C13E80">
              <w:t>Drug costs</w:t>
            </w:r>
          </w:p>
        </w:tc>
        <w:tc>
          <w:tcPr>
            <w:tcW w:w="1359" w:type="pct"/>
            <w:vAlign w:val="center"/>
          </w:tcPr>
          <w:p w14:paraId="743CAFC0" w14:textId="4946DAB4" w:rsidR="00802E3D" w:rsidRPr="00C13E80" w:rsidRDefault="00802E3D" w:rsidP="00F74A5A">
            <w:pPr>
              <w:pStyle w:val="TableText0"/>
              <w:jc w:val="center"/>
            </w:pPr>
            <w:r w:rsidRPr="00C13E80">
              <w:t>$</w:t>
            </w:r>
            <w:r w:rsidR="00573190" w:rsidRPr="00573190">
              <w:rPr>
                <w:color w:val="000000"/>
                <w:shd w:val="solid" w:color="000000" w:fill="000000"/>
                <w14:textFill>
                  <w14:solidFill>
                    <w14:srgbClr w14:val="000000">
                      <w14:alpha w14:val="100000"/>
                    </w14:srgbClr>
                  </w14:solidFill>
                </w14:textFill>
              </w:rPr>
              <w:t>|</w:t>
            </w:r>
          </w:p>
        </w:tc>
        <w:tc>
          <w:tcPr>
            <w:tcW w:w="1274" w:type="pct"/>
            <w:vAlign w:val="center"/>
          </w:tcPr>
          <w:p w14:paraId="572F3E5A" w14:textId="18C15736" w:rsidR="00802E3D" w:rsidRPr="00C13E80" w:rsidRDefault="00802E3D" w:rsidP="00F74A5A">
            <w:pPr>
              <w:pStyle w:val="TableText0"/>
              <w:jc w:val="center"/>
            </w:pPr>
            <w:r w:rsidRPr="00C13E80">
              <w:t>$</w:t>
            </w:r>
            <w:r w:rsidR="00573190" w:rsidRPr="00573190">
              <w:rPr>
                <w:color w:val="000000"/>
                <w:shd w:val="solid" w:color="000000" w:fill="000000"/>
                <w14:textFill>
                  <w14:solidFill>
                    <w14:srgbClr w14:val="000000">
                      <w14:alpha w14:val="100000"/>
                    </w14:srgbClr>
                  </w14:solidFill>
                </w14:textFill>
              </w:rPr>
              <w:t>|</w:t>
            </w:r>
          </w:p>
        </w:tc>
        <w:tc>
          <w:tcPr>
            <w:tcW w:w="838" w:type="pct"/>
            <w:vAlign w:val="center"/>
          </w:tcPr>
          <w:p w14:paraId="4A77E839" w14:textId="14DB6DB0" w:rsidR="00802E3D" w:rsidRPr="00C13E80" w:rsidRDefault="00802E3D" w:rsidP="00F74A5A">
            <w:pPr>
              <w:pStyle w:val="TableText0"/>
              <w:jc w:val="center"/>
            </w:pPr>
            <w:r w:rsidRPr="00C13E80">
              <w:t>$</w:t>
            </w:r>
            <w:r w:rsidR="00573190" w:rsidRPr="00573190">
              <w:rPr>
                <w:color w:val="000000"/>
                <w:shd w:val="solid" w:color="000000" w:fill="000000"/>
                <w14:textFill>
                  <w14:solidFill>
                    <w14:srgbClr w14:val="000000">
                      <w14:alpha w14:val="100000"/>
                    </w14:srgbClr>
                  </w14:solidFill>
                </w14:textFill>
              </w:rPr>
              <w:t>|</w:t>
            </w:r>
          </w:p>
        </w:tc>
      </w:tr>
      <w:tr w:rsidR="00802E3D" w:rsidRPr="00C13E80" w14:paraId="17D549ED" w14:textId="77777777" w:rsidTr="002A4292">
        <w:tc>
          <w:tcPr>
            <w:tcW w:w="1529" w:type="pct"/>
            <w:vAlign w:val="center"/>
          </w:tcPr>
          <w:p w14:paraId="35E16062" w14:textId="77777777" w:rsidR="00802E3D" w:rsidRPr="00C13E80" w:rsidRDefault="00802E3D" w:rsidP="00F74A5A">
            <w:pPr>
              <w:pStyle w:val="TableText0"/>
            </w:pPr>
            <w:r w:rsidRPr="00C13E80">
              <w:t>Outpatient costs</w:t>
            </w:r>
          </w:p>
        </w:tc>
        <w:tc>
          <w:tcPr>
            <w:tcW w:w="1359" w:type="pct"/>
            <w:vAlign w:val="center"/>
          </w:tcPr>
          <w:p w14:paraId="223B71FC" w14:textId="77777777" w:rsidR="00802E3D" w:rsidRPr="00C13E80" w:rsidRDefault="00802E3D" w:rsidP="00F74A5A">
            <w:pPr>
              <w:pStyle w:val="TableText0"/>
              <w:jc w:val="center"/>
            </w:pPr>
            <w:r w:rsidRPr="00C13E80">
              <w:t>$96.47</w:t>
            </w:r>
          </w:p>
        </w:tc>
        <w:tc>
          <w:tcPr>
            <w:tcW w:w="1274" w:type="pct"/>
            <w:vAlign w:val="center"/>
          </w:tcPr>
          <w:p w14:paraId="5D9096FA" w14:textId="77777777" w:rsidR="00802E3D" w:rsidRPr="00C13E80" w:rsidRDefault="00802E3D" w:rsidP="00F74A5A">
            <w:pPr>
              <w:pStyle w:val="TableText0"/>
              <w:jc w:val="center"/>
            </w:pPr>
            <w:r w:rsidRPr="00C13E80">
              <w:t>$94.58</w:t>
            </w:r>
          </w:p>
        </w:tc>
        <w:tc>
          <w:tcPr>
            <w:tcW w:w="838" w:type="pct"/>
            <w:vAlign w:val="center"/>
          </w:tcPr>
          <w:p w14:paraId="0EFCEB23" w14:textId="77777777" w:rsidR="00802E3D" w:rsidRPr="00C13E80" w:rsidRDefault="00802E3D" w:rsidP="00F74A5A">
            <w:pPr>
              <w:pStyle w:val="TableText0"/>
              <w:jc w:val="center"/>
            </w:pPr>
            <w:r w:rsidRPr="00C13E80">
              <w:t>$1.89</w:t>
            </w:r>
          </w:p>
        </w:tc>
      </w:tr>
      <w:tr w:rsidR="00802E3D" w:rsidRPr="00C13E80" w14:paraId="4706C198" w14:textId="77777777" w:rsidTr="002A4292">
        <w:tc>
          <w:tcPr>
            <w:tcW w:w="1529" w:type="pct"/>
            <w:vAlign w:val="center"/>
          </w:tcPr>
          <w:p w14:paraId="6C81C304" w14:textId="77777777" w:rsidR="00802E3D" w:rsidRPr="00C13E80" w:rsidRDefault="00802E3D" w:rsidP="00F74A5A">
            <w:pPr>
              <w:pStyle w:val="TableText0"/>
            </w:pPr>
            <w:r w:rsidRPr="00C13E80">
              <w:t>Hospital costs</w:t>
            </w:r>
          </w:p>
        </w:tc>
        <w:tc>
          <w:tcPr>
            <w:tcW w:w="1359" w:type="pct"/>
            <w:vAlign w:val="center"/>
          </w:tcPr>
          <w:p w14:paraId="492359F4" w14:textId="77777777" w:rsidR="00802E3D" w:rsidRPr="00C13E80" w:rsidRDefault="00802E3D" w:rsidP="00F74A5A">
            <w:pPr>
              <w:pStyle w:val="TableText0"/>
              <w:jc w:val="center"/>
            </w:pPr>
            <w:r w:rsidRPr="00C13E80">
              <w:t>$776.89</w:t>
            </w:r>
          </w:p>
        </w:tc>
        <w:tc>
          <w:tcPr>
            <w:tcW w:w="1274" w:type="pct"/>
            <w:vAlign w:val="center"/>
          </w:tcPr>
          <w:p w14:paraId="6C3EB5E3" w14:textId="77777777" w:rsidR="00802E3D" w:rsidRPr="00C13E80" w:rsidRDefault="00802E3D" w:rsidP="00F74A5A">
            <w:pPr>
              <w:pStyle w:val="TableText0"/>
              <w:jc w:val="center"/>
            </w:pPr>
            <w:r w:rsidRPr="00C13E80">
              <w:t>$1,105.00</w:t>
            </w:r>
          </w:p>
        </w:tc>
        <w:tc>
          <w:tcPr>
            <w:tcW w:w="838" w:type="pct"/>
            <w:vAlign w:val="center"/>
          </w:tcPr>
          <w:p w14:paraId="3CD4B3E9" w14:textId="77777777" w:rsidR="00802E3D" w:rsidRPr="00C13E80" w:rsidRDefault="00802E3D" w:rsidP="00F74A5A">
            <w:pPr>
              <w:pStyle w:val="TableText0"/>
              <w:jc w:val="center"/>
            </w:pPr>
            <w:r w:rsidRPr="00C13E80">
              <w:t>-$328.11</w:t>
            </w:r>
          </w:p>
        </w:tc>
      </w:tr>
      <w:tr w:rsidR="00802E3D" w:rsidRPr="00C13E80" w14:paraId="11A2E728" w14:textId="77777777" w:rsidTr="002A4292">
        <w:tc>
          <w:tcPr>
            <w:tcW w:w="1529" w:type="pct"/>
            <w:vAlign w:val="center"/>
          </w:tcPr>
          <w:p w14:paraId="693DB6CA" w14:textId="77777777" w:rsidR="00802E3D" w:rsidRPr="00C13E80" w:rsidRDefault="00802E3D" w:rsidP="00F74A5A">
            <w:pPr>
              <w:pStyle w:val="TableText0"/>
              <w:jc w:val="right"/>
              <w:rPr>
                <w:b/>
                <w:bCs w:val="0"/>
              </w:rPr>
            </w:pPr>
            <w:r w:rsidRPr="00C13E80">
              <w:rPr>
                <w:b/>
                <w:bCs w:val="0"/>
              </w:rPr>
              <w:t>Total costs</w:t>
            </w:r>
          </w:p>
        </w:tc>
        <w:tc>
          <w:tcPr>
            <w:tcW w:w="1359" w:type="pct"/>
            <w:vAlign w:val="center"/>
          </w:tcPr>
          <w:p w14:paraId="7F9A43AA" w14:textId="3379AFDD" w:rsidR="00802E3D" w:rsidRPr="00C13E80" w:rsidRDefault="00802E3D" w:rsidP="00F74A5A">
            <w:pPr>
              <w:pStyle w:val="TableText0"/>
              <w:jc w:val="center"/>
              <w:rPr>
                <w:b/>
                <w:bCs w:val="0"/>
              </w:rPr>
            </w:pPr>
            <w:r w:rsidRPr="00C13E80">
              <w:rPr>
                <w:b/>
                <w:bCs w:val="0"/>
              </w:rPr>
              <w:t>$</w:t>
            </w:r>
            <w:r w:rsidR="00573190" w:rsidRPr="00573190">
              <w:rPr>
                <w:b/>
                <w:bCs w:val="0"/>
                <w:color w:val="000000"/>
                <w:shd w:val="solid" w:color="000000" w:fill="000000"/>
                <w14:textFill>
                  <w14:solidFill>
                    <w14:srgbClr w14:val="000000">
                      <w14:alpha w14:val="100000"/>
                    </w14:srgbClr>
                  </w14:solidFill>
                </w14:textFill>
              </w:rPr>
              <w:t>|</w:t>
            </w:r>
          </w:p>
        </w:tc>
        <w:tc>
          <w:tcPr>
            <w:tcW w:w="1274" w:type="pct"/>
            <w:vAlign w:val="center"/>
          </w:tcPr>
          <w:p w14:paraId="5C22BA41" w14:textId="5AA85680" w:rsidR="00802E3D" w:rsidRPr="00C13E80" w:rsidRDefault="00802E3D" w:rsidP="00F74A5A">
            <w:pPr>
              <w:pStyle w:val="TableText0"/>
              <w:jc w:val="center"/>
              <w:rPr>
                <w:b/>
                <w:bCs w:val="0"/>
              </w:rPr>
            </w:pPr>
            <w:r w:rsidRPr="00C13E80">
              <w:rPr>
                <w:b/>
                <w:bCs w:val="0"/>
              </w:rPr>
              <w:t>$</w:t>
            </w:r>
            <w:r w:rsidR="00573190" w:rsidRPr="00573190">
              <w:rPr>
                <w:b/>
                <w:bCs w:val="0"/>
                <w:color w:val="000000"/>
                <w:shd w:val="solid" w:color="000000" w:fill="000000"/>
                <w14:textFill>
                  <w14:solidFill>
                    <w14:srgbClr w14:val="000000">
                      <w14:alpha w14:val="100000"/>
                    </w14:srgbClr>
                  </w14:solidFill>
                </w14:textFill>
              </w:rPr>
              <w:t>|</w:t>
            </w:r>
          </w:p>
        </w:tc>
        <w:tc>
          <w:tcPr>
            <w:tcW w:w="838" w:type="pct"/>
            <w:vAlign w:val="center"/>
          </w:tcPr>
          <w:p w14:paraId="3B50463A" w14:textId="6B6FC33F" w:rsidR="00802E3D" w:rsidRPr="00C13E80" w:rsidRDefault="00802E3D" w:rsidP="00F74A5A">
            <w:pPr>
              <w:pStyle w:val="TableText0"/>
              <w:jc w:val="center"/>
              <w:rPr>
                <w:b/>
                <w:bCs w:val="0"/>
              </w:rPr>
            </w:pPr>
            <w:r w:rsidRPr="00C13E80">
              <w:rPr>
                <w:b/>
                <w:bCs w:val="0"/>
              </w:rPr>
              <w:t>$</w:t>
            </w:r>
            <w:r w:rsidR="00573190" w:rsidRPr="00573190">
              <w:rPr>
                <w:b/>
                <w:bCs w:val="0"/>
                <w:color w:val="000000"/>
                <w:shd w:val="solid" w:color="000000" w:fill="000000"/>
                <w14:textFill>
                  <w14:solidFill>
                    <w14:srgbClr w14:val="000000">
                      <w14:alpha w14:val="100000"/>
                    </w14:srgbClr>
                  </w14:solidFill>
                </w14:textFill>
              </w:rPr>
              <w:t>|</w:t>
            </w:r>
          </w:p>
        </w:tc>
      </w:tr>
      <w:tr w:rsidR="00802E3D" w:rsidRPr="00C13E80" w14:paraId="30B98FE3" w14:textId="77777777" w:rsidTr="002A4292">
        <w:tc>
          <w:tcPr>
            <w:tcW w:w="1529" w:type="pct"/>
            <w:vAlign w:val="center"/>
          </w:tcPr>
          <w:p w14:paraId="318A92F8" w14:textId="77777777" w:rsidR="00802E3D" w:rsidRPr="00C13E80" w:rsidRDefault="00802E3D" w:rsidP="00F74A5A">
            <w:pPr>
              <w:pStyle w:val="TableText0"/>
              <w:rPr>
                <w:b/>
                <w:bCs w:val="0"/>
              </w:rPr>
            </w:pPr>
            <w:r w:rsidRPr="00C13E80">
              <w:rPr>
                <w:b/>
                <w:bCs w:val="0"/>
              </w:rPr>
              <w:t>QALYs</w:t>
            </w:r>
          </w:p>
        </w:tc>
        <w:tc>
          <w:tcPr>
            <w:tcW w:w="1359" w:type="pct"/>
            <w:vAlign w:val="center"/>
          </w:tcPr>
          <w:p w14:paraId="2C34F8BB" w14:textId="77777777" w:rsidR="00802E3D" w:rsidRPr="00C13E80" w:rsidRDefault="00802E3D" w:rsidP="00F74A5A">
            <w:pPr>
              <w:pStyle w:val="TableText0"/>
              <w:jc w:val="center"/>
              <w:rPr>
                <w:b/>
                <w:bCs w:val="0"/>
              </w:rPr>
            </w:pPr>
            <w:r w:rsidRPr="00C13E80">
              <w:rPr>
                <w:b/>
                <w:bCs w:val="0"/>
              </w:rPr>
              <w:t>7.8497</w:t>
            </w:r>
          </w:p>
        </w:tc>
        <w:tc>
          <w:tcPr>
            <w:tcW w:w="1274" w:type="pct"/>
            <w:vAlign w:val="center"/>
          </w:tcPr>
          <w:p w14:paraId="0736E019" w14:textId="77777777" w:rsidR="00802E3D" w:rsidRPr="00C13E80" w:rsidRDefault="00802E3D" w:rsidP="00F74A5A">
            <w:pPr>
              <w:pStyle w:val="TableText0"/>
              <w:jc w:val="center"/>
              <w:rPr>
                <w:b/>
                <w:bCs w:val="0"/>
              </w:rPr>
            </w:pPr>
            <w:r w:rsidRPr="00C13E80">
              <w:rPr>
                <w:b/>
                <w:bCs w:val="0"/>
              </w:rPr>
              <w:t>7.7627</w:t>
            </w:r>
          </w:p>
        </w:tc>
        <w:tc>
          <w:tcPr>
            <w:tcW w:w="838" w:type="pct"/>
            <w:vAlign w:val="center"/>
          </w:tcPr>
          <w:p w14:paraId="5F3FE178" w14:textId="77777777" w:rsidR="00802E3D" w:rsidRPr="00C13E80" w:rsidRDefault="00802E3D" w:rsidP="00F74A5A">
            <w:pPr>
              <w:pStyle w:val="TableText0"/>
              <w:jc w:val="center"/>
              <w:rPr>
                <w:b/>
                <w:bCs w:val="0"/>
              </w:rPr>
            </w:pPr>
            <w:r w:rsidRPr="00C13E80">
              <w:rPr>
                <w:b/>
                <w:bCs w:val="0"/>
              </w:rPr>
              <w:t>0.0870</w:t>
            </w:r>
          </w:p>
        </w:tc>
      </w:tr>
      <w:tr w:rsidR="00802E3D" w:rsidRPr="00C13E80" w14:paraId="598F26F2" w14:textId="77777777" w:rsidTr="002A4292">
        <w:tc>
          <w:tcPr>
            <w:tcW w:w="1529" w:type="pct"/>
            <w:vAlign w:val="center"/>
          </w:tcPr>
          <w:p w14:paraId="59D1C264" w14:textId="77777777" w:rsidR="00802E3D" w:rsidRPr="00C13E80" w:rsidRDefault="00802E3D" w:rsidP="00F74A5A">
            <w:pPr>
              <w:pStyle w:val="TableText0"/>
              <w:rPr>
                <w:b/>
                <w:bCs w:val="0"/>
              </w:rPr>
            </w:pPr>
            <w:r w:rsidRPr="00C13E80">
              <w:rPr>
                <w:b/>
                <w:bCs w:val="0"/>
              </w:rPr>
              <w:t>LYs</w:t>
            </w:r>
          </w:p>
        </w:tc>
        <w:tc>
          <w:tcPr>
            <w:tcW w:w="1359" w:type="pct"/>
            <w:vAlign w:val="center"/>
          </w:tcPr>
          <w:p w14:paraId="5F1B68BE" w14:textId="77777777" w:rsidR="00802E3D" w:rsidRPr="00C13E80" w:rsidRDefault="00802E3D" w:rsidP="00F74A5A">
            <w:pPr>
              <w:pStyle w:val="TableText0"/>
              <w:jc w:val="center"/>
              <w:rPr>
                <w:b/>
                <w:bCs w:val="0"/>
              </w:rPr>
            </w:pPr>
            <w:r w:rsidRPr="00C13E80">
              <w:rPr>
                <w:b/>
                <w:bCs w:val="0"/>
              </w:rPr>
              <w:t>9.2346</w:t>
            </w:r>
          </w:p>
        </w:tc>
        <w:tc>
          <w:tcPr>
            <w:tcW w:w="1274" w:type="pct"/>
            <w:vAlign w:val="center"/>
          </w:tcPr>
          <w:p w14:paraId="398E28E0" w14:textId="77777777" w:rsidR="00802E3D" w:rsidRPr="00C13E80" w:rsidRDefault="00802E3D" w:rsidP="00F74A5A">
            <w:pPr>
              <w:pStyle w:val="TableText0"/>
              <w:jc w:val="center"/>
              <w:rPr>
                <w:b/>
                <w:bCs w:val="0"/>
              </w:rPr>
            </w:pPr>
            <w:r w:rsidRPr="00C13E80">
              <w:rPr>
                <w:b/>
                <w:bCs w:val="0"/>
              </w:rPr>
              <w:t>9.1326</w:t>
            </w:r>
          </w:p>
        </w:tc>
        <w:tc>
          <w:tcPr>
            <w:tcW w:w="838" w:type="pct"/>
            <w:vAlign w:val="center"/>
          </w:tcPr>
          <w:p w14:paraId="1DC2E9C7" w14:textId="77777777" w:rsidR="00802E3D" w:rsidRPr="00C13E80" w:rsidRDefault="00802E3D" w:rsidP="00F74A5A">
            <w:pPr>
              <w:pStyle w:val="TableText0"/>
              <w:jc w:val="center"/>
              <w:rPr>
                <w:b/>
                <w:bCs w:val="0"/>
              </w:rPr>
            </w:pPr>
            <w:r w:rsidRPr="00C13E80">
              <w:rPr>
                <w:b/>
                <w:bCs w:val="0"/>
              </w:rPr>
              <w:t>0.1020</w:t>
            </w:r>
          </w:p>
        </w:tc>
      </w:tr>
      <w:tr w:rsidR="00802E3D" w:rsidRPr="00C13E80" w14:paraId="438DFF1B" w14:textId="77777777" w:rsidTr="002A4292">
        <w:tc>
          <w:tcPr>
            <w:tcW w:w="4162" w:type="pct"/>
            <w:gridSpan w:val="3"/>
            <w:vAlign w:val="center"/>
          </w:tcPr>
          <w:p w14:paraId="63D5FFD5" w14:textId="401F9593" w:rsidR="00802E3D" w:rsidRPr="00C13E80" w:rsidRDefault="00802E3D" w:rsidP="00F74A5A">
            <w:pPr>
              <w:pStyle w:val="TableText0"/>
              <w:rPr>
                <w:b/>
              </w:rPr>
            </w:pPr>
            <w:r w:rsidRPr="00C13E80">
              <w:rPr>
                <w:b/>
              </w:rPr>
              <w:t>Incremental cost per QALY gained (weighted population)</w:t>
            </w:r>
          </w:p>
        </w:tc>
        <w:tc>
          <w:tcPr>
            <w:tcW w:w="838" w:type="pct"/>
            <w:vAlign w:val="center"/>
          </w:tcPr>
          <w:p w14:paraId="23C47A21" w14:textId="0EF1F701" w:rsidR="00802E3D" w:rsidRPr="00063AB6" w:rsidRDefault="00802E3D" w:rsidP="00F74A5A">
            <w:pPr>
              <w:pStyle w:val="TableText0"/>
              <w:jc w:val="center"/>
              <w:rPr>
                <w:b/>
                <w:vertAlign w:val="superscript"/>
              </w:rPr>
            </w:pPr>
            <w:r w:rsidRPr="00C13E80">
              <w:rPr>
                <w:b/>
              </w:rPr>
              <w:t>$</w:t>
            </w:r>
            <w:r w:rsidR="00573190" w:rsidRPr="00573190">
              <w:rPr>
                <w:b/>
                <w:color w:val="000000"/>
                <w:shd w:val="solid" w:color="000000" w:fill="000000"/>
                <w14:textFill>
                  <w14:solidFill>
                    <w14:srgbClr w14:val="000000">
                      <w14:alpha w14:val="100000"/>
                    </w14:srgbClr>
                  </w14:solidFill>
                </w14:textFill>
              </w:rPr>
              <w:t>|</w:t>
            </w:r>
            <w:r w:rsidR="00063AB6">
              <w:rPr>
                <w:b/>
              </w:rPr>
              <w:t xml:space="preserve"> </w:t>
            </w:r>
            <w:r w:rsidR="00063AB6">
              <w:rPr>
                <w:b/>
                <w:vertAlign w:val="superscript"/>
              </w:rPr>
              <w:t>1</w:t>
            </w:r>
          </w:p>
        </w:tc>
      </w:tr>
      <w:tr w:rsidR="00802E3D" w:rsidRPr="00C13E80" w14:paraId="6CC4FD9B" w14:textId="77777777" w:rsidTr="002A4292">
        <w:tc>
          <w:tcPr>
            <w:tcW w:w="4162" w:type="pct"/>
            <w:gridSpan w:val="3"/>
            <w:vAlign w:val="center"/>
          </w:tcPr>
          <w:p w14:paraId="398094B6" w14:textId="3E54BFEF" w:rsidR="00802E3D" w:rsidRPr="00C13E80" w:rsidRDefault="00802E3D" w:rsidP="00F74A5A">
            <w:pPr>
              <w:pStyle w:val="TableText0"/>
              <w:rPr>
                <w:b/>
              </w:rPr>
            </w:pPr>
            <w:r w:rsidRPr="00C13E80">
              <w:rPr>
                <w:b/>
              </w:rPr>
              <w:t>Incremental cost per LY gained (weighted population)</w:t>
            </w:r>
          </w:p>
        </w:tc>
        <w:tc>
          <w:tcPr>
            <w:tcW w:w="838" w:type="pct"/>
            <w:vAlign w:val="center"/>
          </w:tcPr>
          <w:p w14:paraId="14D5E528" w14:textId="487F08D0" w:rsidR="00802E3D" w:rsidRPr="00C13E80" w:rsidRDefault="00802E3D" w:rsidP="00F74A5A">
            <w:pPr>
              <w:pStyle w:val="TableText0"/>
              <w:jc w:val="center"/>
              <w:rPr>
                <w:b/>
              </w:rPr>
            </w:pPr>
            <w:r w:rsidRPr="00C13E80">
              <w:rPr>
                <w:b/>
              </w:rPr>
              <w:t>$</w:t>
            </w:r>
            <w:r w:rsidR="00573190" w:rsidRPr="00573190">
              <w:rPr>
                <w:b/>
                <w:color w:val="000000"/>
                <w:shd w:val="solid" w:color="000000" w:fill="000000"/>
                <w14:textFill>
                  <w14:solidFill>
                    <w14:srgbClr w14:val="000000">
                      <w14:alpha w14:val="100000"/>
                    </w14:srgbClr>
                  </w14:solidFill>
                </w14:textFill>
              </w:rPr>
              <w:t>|</w:t>
            </w:r>
            <w:r w:rsidR="00063AB6">
              <w:rPr>
                <w:b/>
              </w:rPr>
              <w:t xml:space="preserve"> </w:t>
            </w:r>
            <w:r w:rsidR="00063AB6">
              <w:rPr>
                <w:b/>
                <w:vertAlign w:val="superscript"/>
              </w:rPr>
              <w:t>1</w:t>
            </w:r>
          </w:p>
        </w:tc>
      </w:tr>
      <w:tr w:rsidR="00802E3D" w:rsidRPr="00C13E80" w14:paraId="3473C129" w14:textId="77777777" w:rsidTr="002A4292">
        <w:tc>
          <w:tcPr>
            <w:tcW w:w="4162" w:type="pct"/>
            <w:gridSpan w:val="3"/>
            <w:vAlign w:val="center"/>
          </w:tcPr>
          <w:p w14:paraId="18F91C15" w14:textId="16734BA5" w:rsidR="00802E3D" w:rsidRPr="00C13E80" w:rsidRDefault="00802E3D" w:rsidP="00F74A5A">
            <w:pPr>
              <w:pStyle w:val="TableText0"/>
              <w:rPr>
                <w:bCs w:val="0"/>
              </w:rPr>
            </w:pPr>
            <w:r w:rsidRPr="00C13E80">
              <w:rPr>
                <w:bCs w:val="0"/>
              </w:rPr>
              <w:t>Incremental cost per QALY gained (70+ subgroup)</w:t>
            </w:r>
            <w:r w:rsidR="00A04288" w:rsidRPr="00C13E80">
              <w:rPr>
                <w:bCs w:val="0"/>
              </w:rPr>
              <w:t xml:space="preserve"> – submission base case</w:t>
            </w:r>
          </w:p>
        </w:tc>
        <w:tc>
          <w:tcPr>
            <w:tcW w:w="838" w:type="pct"/>
            <w:vAlign w:val="center"/>
          </w:tcPr>
          <w:p w14:paraId="27B70CD3" w14:textId="0FD5FEA9" w:rsidR="00802E3D" w:rsidRPr="00C13E80" w:rsidRDefault="00802E3D" w:rsidP="00F74A5A">
            <w:pPr>
              <w:pStyle w:val="TableText0"/>
              <w:jc w:val="center"/>
              <w:rPr>
                <w:bCs w:val="0"/>
              </w:rPr>
            </w:pPr>
            <w:r w:rsidRPr="00C13E80">
              <w:rPr>
                <w:bCs w:val="0"/>
              </w:rPr>
              <w:t>$</w:t>
            </w:r>
            <w:r w:rsidR="00573190" w:rsidRPr="00573190">
              <w:rPr>
                <w:bCs w:val="0"/>
                <w:color w:val="000000"/>
                <w:shd w:val="solid" w:color="000000" w:fill="000000"/>
                <w14:textFill>
                  <w14:solidFill>
                    <w14:srgbClr w14:val="000000">
                      <w14:alpha w14:val="100000"/>
                    </w14:srgbClr>
                  </w14:solidFill>
                </w14:textFill>
              </w:rPr>
              <w:t>|</w:t>
            </w:r>
            <w:r w:rsidR="00063AB6">
              <w:rPr>
                <w:b/>
              </w:rPr>
              <w:t xml:space="preserve"> </w:t>
            </w:r>
            <w:r w:rsidR="00063AB6">
              <w:rPr>
                <w:b/>
                <w:vertAlign w:val="superscript"/>
              </w:rPr>
              <w:t>1</w:t>
            </w:r>
          </w:p>
        </w:tc>
      </w:tr>
      <w:tr w:rsidR="00A04288" w:rsidRPr="00C13E80" w14:paraId="11C98B0D" w14:textId="77777777" w:rsidTr="002A4292">
        <w:tc>
          <w:tcPr>
            <w:tcW w:w="4162" w:type="pct"/>
            <w:gridSpan w:val="3"/>
            <w:vAlign w:val="center"/>
          </w:tcPr>
          <w:p w14:paraId="25BE7283" w14:textId="0E7D138C" w:rsidR="00A04288" w:rsidRPr="00C13E80" w:rsidRDefault="00A04288" w:rsidP="00F74A5A">
            <w:pPr>
              <w:pStyle w:val="TableText0"/>
              <w:rPr>
                <w:bCs w:val="0"/>
              </w:rPr>
            </w:pPr>
            <w:r w:rsidRPr="00C13E80">
              <w:rPr>
                <w:bCs w:val="0"/>
              </w:rPr>
              <w:t>Incremental cost per QALY gained (50-69 high risk subgroup)</w:t>
            </w:r>
          </w:p>
        </w:tc>
        <w:tc>
          <w:tcPr>
            <w:tcW w:w="838" w:type="pct"/>
            <w:vAlign w:val="center"/>
          </w:tcPr>
          <w:p w14:paraId="163BDE3D" w14:textId="64261190" w:rsidR="00A04288" w:rsidRPr="00C13E80" w:rsidRDefault="00A04288" w:rsidP="00F74A5A">
            <w:pPr>
              <w:pStyle w:val="TableText0"/>
              <w:jc w:val="center"/>
              <w:rPr>
                <w:bCs w:val="0"/>
              </w:rPr>
            </w:pPr>
            <w:r w:rsidRPr="00C13E80">
              <w:rPr>
                <w:bCs w:val="0"/>
              </w:rPr>
              <w:t>$</w:t>
            </w:r>
            <w:r w:rsidR="00573190" w:rsidRPr="00573190">
              <w:rPr>
                <w:bCs w:val="0"/>
                <w:color w:val="000000"/>
                <w:shd w:val="solid" w:color="000000" w:fill="000000"/>
                <w14:textFill>
                  <w14:solidFill>
                    <w14:srgbClr w14:val="000000">
                      <w14:alpha w14:val="100000"/>
                    </w14:srgbClr>
                  </w14:solidFill>
                </w14:textFill>
              </w:rPr>
              <w:t>|</w:t>
            </w:r>
            <w:r w:rsidR="00063AB6">
              <w:rPr>
                <w:b/>
              </w:rPr>
              <w:t xml:space="preserve"> </w:t>
            </w:r>
            <w:r w:rsidR="00063AB6">
              <w:rPr>
                <w:b/>
                <w:vertAlign w:val="superscript"/>
              </w:rPr>
              <w:t>2</w:t>
            </w:r>
          </w:p>
        </w:tc>
      </w:tr>
      <w:tr w:rsidR="00A04288" w:rsidRPr="00C13E80" w14:paraId="54102DF1" w14:textId="77777777" w:rsidTr="002A4292">
        <w:tc>
          <w:tcPr>
            <w:tcW w:w="4162" w:type="pct"/>
            <w:gridSpan w:val="3"/>
            <w:vAlign w:val="center"/>
          </w:tcPr>
          <w:p w14:paraId="5DB8B9F4" w14:textId="35BA6090" w:rsidR="00A04288" w:rsidRPr="00C13E80" w:rsidRDefault="00A04288" w:rsidP="00F74A5A">
            <w:pPr>
              <w:pStyle w:val="TableText0"/>
              <w:rPr>
                <w:bCs w:val="0"/>
              </w:rPr>
            </w:pPr>
            <w:r w:rsidRPr="00C13E80">
              <w:rPr>
                <w:bCs w:val="0"/>
              </w:rPr>
              <w:t>Incremental cost per QALY gained (IC subgroup)</w:t>
            </w:r>
          </w:p>
        </w:tc>
        <w:tc>
          <w:tcPr>
            <w:tcW w:w="838" w:type="pct"/>
            <w:vAlign w:val="center"/>
          </w:tcPr>
          <w:p w14:paraId="12C2BE6E" w14:textId="4801C206" w:rsidR="00A04288" w:rsidRPr="00C13E80" w:rsidRDefault="00A04288" w:rsidP="00F74A5A">
            <w:pPr>
              <w:pStyle w:val="TableText0"/>
              <w:jc w:val="center"/>
              <w:rPr>
                <w:bCs w:val="0"/>
              </w:rPr>
            </w:pPr>
            <w:r w:rsidRPr="00C13E80">
              <w:rPr>
                <w:bCs w:val="0"/>
              </w:rPr>
              <w:t>$</w:t>
            </w:r>
            <w:r w:rsidR="00573190" w:rsidRPr="00573190">
              <w:rPr>
                <w:bCs w:val="0"/>
                <w:color w:val="000000"/>
                <w:shd w:val="solid" w:color="000000" w:fill="000000"/>
                <w14:textFill>
                  <w14:solidFill>
                    <w14:srgbClr w14:val="000000">
                      <w14:alpha w14:val="100000"/>
                    </w14:srgbClr>
                  </w14:solidFill>
                </w14:textFill>
              </w:rPr>
              <w:t>|</w:t>
            </w:r>
            <w:r w:rsidR="00063AB6">
              <w:rPr>
                <w:b/>
              </w:rPr>
              <w:t xml:space="preserve"> </w:t>
            </w:r>
            <w:r w:rsidR="00063AB6">
              <w:rPr>
                <w:b/>
                <w:vertAlign w:val="superscript"/>
              </w:rPr>
              <w:t>3</w:t>
            </w:r>
          </w:p>
        </w:tc>
      </w:tr>
      <w:tr w:rsidR="00A85505" w:rsidRPr="00C13E80" w14:paraId="4BCDA3A3" w14:textId="77777777" w:rsidTr="002A4292">
        <w:tc>
          <w:tcPr>
            <w:tcW w:w="4162" w:type="pct"/>
            <w:gridSpan w:val="3"/>
            <w:vAlign w:val="center"/>
          </w:tcPr>
          <w:p w14:paraId="7CDC4BF7" w14:textId="59E13836" w:rsidR="009F07B8" w:rsidRPr="00C13E80" w:rsidRDefault="009F07B8" w:rsidP="00F74A5A">
            <w:pPr>
              <w:pStyle w:val="TableText0"/>
              <w:rPr>
                <w:bCs w:val="0"/>
              </w:rPr>
            </w:pPr>
            <w:r w:rsidRPr="00C13E80">
              <w:rPr>
                <w:bCs w:val="0"/>
              </w:rPr>
              <w:t xml:space="preserve">Pre-PBAC response </w:t>
            </w:r>
          </w:p>
        </w:tc>
        <w:tc>
          <w:tcPr>
            <w:tcW w:w="838" w:type="pct"/>
            <w:vAlign w:val="center"/>
          </w:tcPr>
          <w:p w14:paraId="2A5B4E79" w14:textId="77777777" w:rsidR="009F07B8" w:rsidRPr="00C13E80" w:rsidRDefault="009F07B8" w:rsidP="00F74A5A">
            <w:pPr>
              <w:pStyle w:val="TableText0"/>
              <w:jc w:val="center"/>
              <w:rPr>
                <w:bCs w:val="0"/>
              </w:rPr>
            </w:pPr>
          </w:p>
        </w:tc>
      </w:tr>
      <w:tr w:rsidR="00A85505" w:rsidRPr="00C13E80" w14:paraId="19275CF5" w14:textId="77777777" w:rsidTr="002A4292">
        <w:tc>
          <w:tcPr>
            <w:tcW w:w="4162" w:type="pct"/>
            <w:gridSpan w:val="3"/>
            <w:vAlign w:val="center"/>
          </w:tcPr>
          <w:p w14:paraId="595DFD75" w14:textId="7057F438" w:rsidR="009F07B8" w:rsidRPr="00C13E80" w:rsidRDefault="009F07B8" w:rsidP="00F74A5A">
            <w:pPr>
              <w:pStyle w:val="TableText0"/>
              <w:rPr>
                <w:bCs w:val="0"/>
              </w:rPr>
            </w:pPr>
            <w:r w:rsidRPr="00C13E80">
              <w:rPr>
                <w:bCs w:val="0"/>
              </w:rPr>
              <w:t>Incremental cost per QALY gained (70+ subgroup) – Pre-PBAC response*</w:t>
            </w:r>
          </w:p>
        </w:tc>
        <w:tc>
          <w:tcPr>
            <w:tcW w:w="838" w:type="pct"/>
            <w:vAlign w:val="center"/>
          </w:tcPr>
          <w:p w14:paraId="05D14893" w14:textId="7C53F7C7" w:rsidR="009F07B8" w:rsidRPr="00C13E80" w:rsidRDefault="009F07B8" w:rsidP="00F74A5A">
            <w:pPr>
              <w:pStyle w:val="TableText0"/>
              <w:jc w:val="center"/>
              <w:rPr>
                <w:bCs w:val="0"/>
              </w:rPr>
            </w:pPr>
            <w:r w:rsidRPr="00C13E80">
              <w:rPr>
                <w:bCs w:val="0"/>
              </w:rPr>
              <w:t>$</w:t>
            </w:r>
            <w:r w:rsidR="00573190" w:rsidRPr="00573190">
              <w:rPr>
                <w:bCs w:val="0"/>
                <w:color w:val="000000"/>
                <w:shd w:val="solid" w:color="000000" w:fill="000000"/>
                <w14:textFill>
                  <w14:solidFill>
                    <w14:srgbClr w14:val="000000">
                      <w14:alpha w14:val="100000"/>
                    </w14:srgbClr>
                  </w14:solidFill>
                </w14:textFill>
              </w:rPr>
              <w:t>|</w:t>
            </w:r>
            <w:r w:rsidR="00063AB6">
              <w:rPr>
                <w:b/>
              </w:rPr>
              <w:t xml:space="preserve"> </w:t>
            </w:r>
            <w:r w:rsidR="00063AB6">
              <w:rPr>
                <w:b/>
                <w:vertAlign w:val="superscript"/>
              </w:rPr>
              <w:t>3</w:t>
            </w:r>
          </w:p>
        </w:tc>
      </w:tr>
    </w:tbl>
    <w:p w14:paraId="5B3CFC8C" w14:textId="633337CB" w:rsidR="00D6216F" w:rsidRPr="00C13E80" w:rsidRDefault="00A04288" w:rsidP="00F74A5A">
      <w:pPr>
        <w:pStyle w:val="FooterTableFigure"/>
        <w:keepNext/>
        <w:jc w:val="left"/>
      </w:pPr>
      <w:r w:rsidRPr="00C13E80">
        <w:t xml:space="preserve">* </w:t>
      </w:r>
      <w:r w:rsidR="00385526" w:rsidRPr="00C13E80">
        <w:t>Uses u</w:t>
      </w:r>
      <w:r w:rsidRPr="00C13E80">
        <w:t xml:space="preserve">pdated inputs from manuscript as shown in </w:t>
      </w:r>
      <w:r w:rsidR="00D6216F" w:rsidRPr="00C13E80">
        <w:fldChar w:fldCharType="begin" w:fldLock="1"/>
      </w:r>
      <w:r w:rsidR="00D6216F" w:rsidRPr="00C13E80">
        <w:instrText xml:space="preserve"> REF _Ref141466961 \h </w:instrText>
      </w:r>
      <w:r w:rsidR="00D6216F" w:rsidRPr="00C13E80">
        <w:fldChar w:fldCharType="separate"/>
      </w:r>
      <w:r w:rsidR="00701DEF" w:rsidRPr="00C13E80">
        <w:t xml:space="preserve">Table </w:t>
      </w:r>
      <w:r w:rsidR="00701DEF">
        <w:rPr>
          <w:noProof/>
        </w:rPr>
        <w:t>15</w:t>
      </w:r>
      <w:r w:rsidR="00D6216F" w:rsidRPr="00C13E80">
        <w:fldChar w:fldCharType="end"/>
      </w:r>
      <w:r w:rsidR="00D6216F" w:rsidRPr="00C13E80">
        <w:t>.</w:t>
      </w:r>
    </w:p>
    <w:p w14:paraId="6899C968" w14:textId="5BA81BBD" w:rsidR="005F7588" w:rsidRPr="00C13E80" w:rsidRDefault="005F7588" w:rsidP="00F74A5A">
      <w:pPr>
        <w:pStyle w:val="FooterTableFigure"/>
        <w:keepNext/>
        <w:jc w:val="left"/>
        <w:rPr>
          <w:rStyle w:val="CommentReference"/>
        </w:rPr>
      </w:pPr>
      <w:r w:rsidRPr="00C13E80">
        <w:t>Source: Table</w:t>
      </w:r>
      <w:r w:rsidR="00DB0B47" w:rsidRPr="00C13E80">
        <w:t xml:space="preserve"> 3.8-2</w:t>
      </w:r>
      <w:r w:rsidRPr="00C13E80">
        <w:t>, p</w:t>
      </w:r>
      <w:r w:rsidR="00DB0B47" w:rsidRPr="00C13E80">
        <w:t>186</w:t>
      </w:r>
      <w:r w:rsidRPr="00C13E80">
        <w:t xml:space="preserve"> of the submission.</w:t>
      </w:r>
    </w:p>
    <w:p w14:paraId="3DE90AAE" w14:textId="1F75EE60" w:rsidR="001F4081" w:rsidRDefault="00DB0B47" w:rsidP="00063AB6">
      <w:pPr>
        <w:pStyle w:val="FooterTableFigure"/>
        <w:spacing w:after="0"/>
        <w:rPr>
          <w:rFonts w:eastAsia="Calibri"/>
          <w:szCs w:val="20"/>
        </w:rPr>
      </w:pPr>
      <w:r w:rsidRPr="00C13E80">
        <w:rPr>
          <w:rFonts w:eastAsia="Calibri"/>
          <w:szCs w:val="20"/>
        </w:rPr>
        <w:t xml:space="preserve">Abbreviations: IC = immunocompromised; LY = life year; </w:t>
      </w:r>
      <w:r w:rsidR="000207C9" w:rsidRPr="00C13E80">
        <w:rPr>
          <w:rFonts w:eastAsia="Calibri"/>
          <w:szCs w:val="20"/>
        </w:rPr>
        <w:t>QALY</w:t>
      </w:r>
      <w:r w:rsidR="00620C25" w:rsidRPr="00C13E80">
        <w:rPr>
          <w:rFonts w:eastAsia="Calibri"/>
          <w:szCs w:val="20"/>
        </w:rPr>
        <w:t xml:space="preserve"> </w:t>
      </w:r>
      <w:r w:rsidR="000207C9" w:rsidRPr="00C13E80">
        <w:rPr>
          <w:rFonts w:eastAsia="Calibri"/>
          <w:szCs w:val="20"/>
        </w:rPr>
        <w:t>=</w:t>
      </w:r>
      <w:r w:rsidR="00620C25" w:rsidRPr="00C13E80">
        <w:rPr>
          <w:rFonts w:eastAsia="Calibri"/>
          <w:szCs w:val="20"/>
        </w:rPr>
        <w:t xml:space="preserve"> </w:t>
      </w:r>
      <w:r w:rsidR="001F4081" w:rsidRPr="00C13E80">
        <w:rPr>
          <w:rFonts w:eastAsia="Calibri"/>
          <w:szCs w:val="20"/>
        </w:rPr>
        <w:t>quality</w:t>
      </w:r>
      <w:r w:rsidRPr="00C13E80">
        <w:rPr>
          <w:rFonts w:eastAsia="Calibri"/>
          <w:szCs w:val="20"/>
        </w:rPr>
        <w:t>-</w:t>
      </w:r>
      <w:r w:rsidR="001F4081" w:rsidRPr="00C13E80">
        <w:rPr>
          <w:rFonts w:eastAsia="Calibri"/>
          <w:szCs w:val="20"/>
        </w:rPr>
        <w:t>adjusted life year.</w:t>
      </w:r>
    </w:p>
    <w:p w14:paraId="0041CA4B" w14:textId="77777777" w:rsidR="00063AB6" w:rsidRPr="009A6D58" w:rsidRDefault="00063AB6" w:rsidP="00063AB6">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6FA6141" w14:textId="3BE09B72" w:rsidR="00063AB6" w:rsidRPr="009A6D58" w:rsidRDefault="00063AB6" w:rsidP="00063AB6">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D5749">
        <w:rPr>
          <w:rFonts w:ascii="Arial Narrow" w:hAnsi="Arial Narrow"/>
          <w:i/>
          <w:sz w:val="18"/>
          <w:szCs w:val="18"/>
        </w:rPr>
        <w:t>$5,000 to &lt; $15,000</w:t>
      </w:r>
    </w:p>
    <w:p w14:paraId="7E71FBCA" w14:textId="0950EF4A" w:rsidR="00063AB6" w:rsidRPr="009A6D58" w:rsidRDefault="00063AB6" w:rsidP="00063AB6">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D5749">
        <w:rPr>
          <w:rFonts w:ascii="Arial Narrow" w:hAnsi="Arial Narrow"/>
          <w:i/>
          <w:sz w:val="18"/>
          <w:szCs w:val="18"/>
        </w:rPr>
        <w:t>$</w:t>
      </w:r>
      <w:r>
        <w:rPr>
          <w:rFonts w:ascii="Arial Narrow" w:hAnsi="Arial Narrow"/>
          <w:i/>
          <w:sz w:val="18"/>
          <w:szCs w:val="18"/>
        </w:rPr>
        <w:t>7</w:t>
      </w:r>
      <w:r w:rsidRPr="009D5749">
        <w:rPr>
          <w:rFonts w:ascii="Arial Narrow" w:hAnsi="Arial Narrow"/>
          <w:i/>
          <w:sz w:val="18"/>
          <w:szCs w:val="18"/>
        </w:rPr>
        <w:t>5,000 to &lt; $</w:t>
      </w:r>
      <w:r>
        <w:rPr>
          <w:rFonts w:ascii="Arial Narrow" w:hAnsi="Arial Narrow"/>
          <w:i/>
          <w:sz w:val="18"/>
          <w:szCs w:val="18"/>
        </w:rPr>
        <w:t>9</w:t>
      </w:r>
      <w:r w:rsidRPr="009D5749">
        <w:rPr>
          <w:rFonts w:ascii="Arial Narrow" w:hAnsi="Arial Narrow"/>
          <w:i/>
          <w:sz w:val="18"/>
          <w:szCs w:val="18"/>
        </w:rPr>
        <w:t>5,000</w:t>
      </w:r>
    </w:p>
    <w:p w14:paraId="0A46A24F" w14:textId="7B97B4F9" w:rsidR="00063AB6" w:rsidRPr="00063AB6" w:rsidRDefault="00063AB6" w:rsidP="00063AB6">
      <w:pPr>
        <w:keepNext/>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D5749">
        <w:rPr>
          <w:rFonts w:ascii="Arial Narrow" w:hAnsi="Arial Narrow"/>
          <w:i/>
          <w:sz w:val="18"/>
          <w:szCs w:val="18"/>
        </w:rPr>
        <w:t>$</w:t>
      </w:r>
      <w:r>
        <w:rPr>
          <w:rFonts w:ascii="Arial Narrow" w:hAnsi="Arial Narrow"/>
          <w:i/>
          <w:sz w:val="18"/>
          <w:szCs w:val="18"/>
        </w:rPr>
        <w:t>0</w:t>
      </w:r>
      <w:r w:rsidRPr="009D5749">
        <w:rPr>
          <w:rFonts w:ascii="Arial Narrow" w:hAnsi="Arial Narrow"/>
          <w:i/>
          <w:sz w:val="18"/>
          <w:szCs w:val="18"/>
        </w:rPr>
        <w:t xml:space="preserve"> to &lt; $5,000</w:t>
      </w:r>
    </w:p>
    <w:p w14:paraId="6940DC0C" w14:textId="71DCDF5F" w:rsidR="001C2846" w:rsidRPr="00C13E80" w:rsidRDefault="001C2846" w:rsidP="00B46FE9">
      <w:pPr>
        <w:pStyle w:val="3-BodyText"/>
        <w:rPr>
          <w:iCs/>
        </w:rPr>
      </w:pPr>
      <w:r w:rsidRPr="00C13E80">
        <w:t>The submission estimated hospital costs using National Hospital Cost Data Collection (NHCDC) data</w:t>
      </w:r>
      <w:r w:rsidR="00F870EA" w:rsidRPr="00C13E80">
        <w:t xml:space="preserve">. </w:t>
      </w:r>
      <w:r w:rsidRPr="00C13E80">
        <w:t>The AR-DRG codes used were: E41B (Respiratory System Disorders W Non-Invasive Ventilation, Minor Complexity), E41A (Respiratory System Disorders W Non-Invasive Ventilation, Major Complexity) and E40A (Respiratory System Disorders W Ventilator Support, Major Complexity)</w:t>
      </w:r>
      <w:r w:rsidR="00F870EA" w:rsidRPr="00C13E80">
        <w:t xml:space="preserve">. </w:t>
      </w:r>
      <w:r w:rsidRPr="00C13E80">
        <w:rPr>
          <w:iCs/>
        </w:rPr>
        <w:t>The ESC considered this was appropriate given that specific estimates for COVID related admissions</w:t>
      </w:r>
      <w:r w:rsidR="00E805CA" w:rsidRPr="00C13E80">
        <w:rPr>
          <w:iCs/>
        </w:rPr>
        <w:t xml:space="preserve"> based on age and gender</w:t>
      </w:r>
      <w:r w:rsidRPr="00C13E80">
        <w:rPr>
          <w:iCs/>
        </w:rPr>
        <w:t xml:space="preserve"> had not been published.</w:t>
      </w:r>
    </w:p>
    <w:p w14:paraId="1BAC1159" w14:textId="07619352" w:rsidR="00A86E8B" w:rsidRPr="00C13E80" w:rsidRDefault="00D23D11" w:rsidP="00B46FE9">
      <w:pPr>
        <w:pStyle w:val="3-BodyText"/>
      </w:pPr>
      <w:r w:rsidRPr="00C13E80">
        <w:t xml:space="preserve">The results of key sensitivity analyses are summarised </w:t>
      </w:r>
      <w:r w:rsidR="00E16AD8" w:rsidRPr="00C13E80">
        <w:t xml:space="preserve">in </w:t>
      </w:r>
      <w:r w:rsidR="00E16AD8" w:rsidRPr="00C13E80">
        <w:fldChar w:fldCharType="begin" w:fldLock="1"/>
      </w:r>
      <w:r w:rsidR="00E16AD8" w:rsidRPr="00C13E80">
        <w:instrText xml:space="preserve"> REF _Ref104804865 \h </w:instrText>
      </w:r>
      <w:r w:rsidR="00E16AD8" w:rsidRPr="00C13E80">
        <w:fldChar w:fldCharType="separate"/>
      </w:r>
      <w:r w:rsidR="00701DEF" w:rsidRPr="00C13E80">
        <w:t xml:space="preserve">Table </w:t>
      </w:r>
      <w:r w:rsidR="00701DEF">
        <w:rPr>
          <w:noProof/>
        </w:rPr>
        <w:t>14</w:t>
      </w:r>
      <w:r w:rsidR="00E16AD8" w:rsidRPr="00C13E80">
        <w:fldChar w:fldCharType="end"/>
      </w:r>
      <w:r w:rsidRPr="00C13E80">
        <w:t xml:space="preserve">. </w:t>
      </w:r>
      <w:r w:rsidR="00AC02CE" w:rsidRPr="00C13E80">
        <w:t>The results of the model are relatively robust</w:t>
      </w:r>
      <w:r w:rsidR="00A52EF3" w:rsidRPr="00C13E80">
        <w:t xml:space="preserve"> and the weighted ICER remains</w:t>
      </w:r>
      <w:r w:rsidR="0025434E" w:rsidRPr="00C13E80">
        <w:t xml:space="preserve"> &lt; </w:t>
      </w:r>
      <w:r w:rsidR="00063AB6" w:rsidRPr="00063AB6">
        <w:t>$15,000 to &lt; $25,000</w:t>
      </w:r>
      <w:r w:rsidR="00063AB6">
        <w:t xml:space="preserve">/ per QALY </w:t>
      </w:r>
      <w:r w:rsidR="0025434E" w:rsidRPr="00C13E80">
        <w:t>in all scenarios</w:t>
      </w:r>
      <w:r w:rsidR="00AD26F7" w:rsidRPr="00C13E80">
        <w:t xml:space="preserve">. The key drivers of the ICER </w:t>
      </w:r>
      <w:proofErr w:type="gramStart"/>
      <w:r w:rsidR="00AD26F7" w:rsidRPr="00C13E80">
        <w:t>are</w:t>
      </w:r>
      <w:r w:rsidR="003C5DA7" w:rsidRPr="00C13E80">
        <w:t>:</w:t>
      </w:r>
      <w:proofErr w:type="gramEnd"/>
      <w:r w:rsidR="003C5DA7" w:rsidRPr="00C13E80">
        <w:t xml:space="preserve"> cost per course of treatment, baseline risk of hospitalisation, baseline risk of death and treatment effect</w:t>
      </w:r>
      <w:r w:rsidR="00A52EF3" w:rsidRPr="00C13E80">
        <w:t xml:space="preserve"> of </w:t>
      </w:r>
      <w:r w:rsidR="00A52EF3" w:rsidRPr="00C13E80">
        <w:rPr>
          <w:color w:val="000000" w:themeColor="text1"/>
        </w:rPr>
        <w:t>molnupiravir.</w:t>
      </w:r>
    </w:p>
    <w:p w14:paraId="3A64F4E7" w14:textId="38E360D1" w:rsidR="00D23D11" w:rsidRPr="00C13E80" w:rsidRDefault="00E16AD8" w:rsidP="00E16AD8">
      <w:pPr>
        <w:pStyle w:val="Caption"/>
        <w:rPr>
          <w:rStyle w:val="CommentReference"/>
          <w:b/>
          <w:szCs w:val="24"/>
        </w:rPr>
      </w:pPr>
      <w:bookmarkStart w:id="80" w:name="_Ref104804865"/>
      <w:r w:rsidRPr="00C13E80">
        <w:lastRenderedPageBreak/>
        <w:t xml:space="preserve">Table </w:t>
      </w:r>
      <w:r w:rsidR="00567EAC">
        <w:fldChar w:fldCharType="begin" w:fldLock="1"/>
      </w:r>
      <w:r w:rsidR="00567EAC">
        <w:instrText xml:space="preserve"> SEQ Table \* ARABIC </w:instrText>
      </w:r>
      <w:r w:rsidR="00567EAC">
        <w:fldChar w:fldCharType="separate"/>
      </w:r>
      <w:r w:rsidR="00701DEF">
        <w:rPr>
          <w:noProof/>
        </w:rPr>
        <w:t>14</w:t>
      </w:r>
      <w:r w:rsidR="00567EAC">
        <w:rPr>
          <w:noProof/>
        </w:rPr>
        <w:fldChar w:fldCharType="end"/>
      </w:r>
      <w:bookmarkEnd w:id="80"/>
      <w:r w:rsidRPr="00C13E80">
        <w:t>:</w:t>
      </w:r>
      <w:r w:rsidR="00354F64" w:rsidRPr="00C13E80">
        <w:rPr>
          <w:rStyle w:val="CommentReference"/>
          <w:b/>
          <w:szCs w:val="24"/>
        </w:rPr>
        <w:t xml:space="preserve"> </w:t>
      </w:r>
      <w:r w:rsidR="00D15314" w:rsidRPr="00C13E80">
        <w:rPr>
          <w:rStyle w:val="CommentReference"/>
          <w:b/>
          <w:szCs w:val="24"/>
        </w:rPr>
        <w:t>Sensitivity analyses</w:t>
      </w:r>
      <w:r w:rsidR="00C62C4A" w:rsidRPr="00C13E80">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417"/>
        <w:gridCol w:w="1417"/>
        <w:gridCol w:w="1417"/>
        <w:gridCol w:w="1084"/>
      </w:tblGrid>
      <w:tr w:rsidR="000C4CF2" w:rsidRPr="00C13E80" w14:paraId="4832DD69" w14:textId="390B42CE" w:rsidTr="00063AB6">
        <w:trPr>
          <w:cantSplit/>
          <w:tblHeader/>
        </w:trPr>
        <w:tc>
          <w:tcPr>
            <w:tcW w:w="2041" w:type="pct"/>
            <w:shd w:val="clear" w:color="auto" w:fill="D9D9D9" w:themeFill="background1" w:themeFillShade="D9"/>
            <w:vAlign w:val="center"/>
          </w:tcPr>
          <w:p w14:paraId="36024DAB" w14:textId="77777777" w:rsidR="000C4CF2" w:rsidRPr="00C13E80" w:rsidRDefault="000C4CF2" w:rsidP="00063AB6">
            <w:pPr>
              <w:pStyle w:val="In-tableHeading"/>
              <w:rPr>
                <w:lang w:val="en-AU"/>
              </w:rPr>
            </w:pPr>
            <w:r w:rsidRPr="00C13E80">
              <w:rPr>
                <w:lang w:val="en-AU"/>
              </w:rPr>
              <w:t>Analyses</w:t>
            </w:r>
          </w:p>
        </w:tc>
        <w:tc>
          <w:tcPr>
            <w:tcW w:w="786" w:type="pct"/>
            <w:shd w:val="clear" w:color="auto" w:fill="D9D9D9" w:themeFill="background1" w:themeFillShade="D9"/>
            <w:vAlign w:val="center"/>
          </w:tcPr>
          <w:p w14:paraId="116A6840" w14:textId="4A3C6683" w:rsidR="000C4CF2" w:rsidRPr="00C13E80" w:rsidRDefault="000C4CF2" w:rsidP="00063AB6">
            <w:pPr>
              <w:pStyle w:val="In-tableHeading"/>
              <w:jc w:val="center"/>
              <w:rPr>
                <w:lang w:val="en-AU"/>
              </w:rPr>
            </w:pPr>
            <w:r w:rsidRPr="00C13E80">
              <w:rPr>
                <w:lang w:val="en-AU"/>
              </w:rPr>
              <w:t>Incremental cost</w:t>
            </w:r>
            <w:r w:rsidR="00063AB6">
              <w:rPr>
                <w:lang w:val="en-AU"/>
              </w:rPr>
              <w:t xml:space="preserve"> ($)</w:t>
            </w:r>
          </w:p>
        </w:tc>
        <w:tc>
          <w:tcPr>
            <w:tcW w:w="786" w:type="pct"/>
            <w:shd w:val="clear" w:color="auto" w:fill="D9D9D9" w:themeFill="background1" w:themeFillShade="D9"/>
            <w:vAlign w:val="center"/>
          </w:tcPr>
          <w:p w14:paraId="3A2E0B89" w14:textId="77777777" w:rsidR="000C4CF2" w:rsidRPr="00C13E80" w:rsidRDefault="000C4CF2" w:rsidP="00063AB6">
            <w:pPr>
              <w:pStyle w:val="In-tableHeading"/>
              <w:jc w:val="center"/>
              <w:rPr>
                <w:lang w:val="en-AU"/>
              </w:rPr>
            </w:pPr>
            <w:r w:rsidRPr="00C13E80">
              <w:rPr>
                <w:lang w:val="en-AU"/>
              </w:rPr>
              <w:t>Incremental QALY</w:t>
            </w:r>
          </w:p>
        </w:tc>
        <w:tc>
          <w:tcPr>
            <w:tcW w:w="786" w:type="pct"/>
            <w:shd w:val="clear" w:color="auto" w:fill="D9D9D9" w:themeFill="background1" w:themeFillShade="D9"/>
            <w:vAlign w:val="center"/>
          </w:tcPr>
          <w:p w14:paraId="137D47A9" w14:textId="77777777" w:rsidR="000C4CF2" w:rsidRPr="00C13E80" w:rsidRDefault="000C4CF2" w:rsidP="00063AB6">
            <w:pPr>
              <w:pStyle w:val="In-tableHeading"/>
              <w:jc w:val="center"/>
              <w:rPr>
                <w:lang w:val="en-AU"/>
              </w:rPr>
            </w:pPr>
            <w:r w:rsidRPr="00C13E80">
              <w:rPr>
                <w:lang w:val="en-AU"/>
              </w:rPr>
              <w:t>ICER</w:t>
            </w:r>
          </w:p>
        </w:tc>
        <w:tc>
          <w:tcPr>
            <w:tcW w:w="601" w:type="pct"/>
            <w:shd w:val="clear" w:color="auto" w:fill="D9D9D9" w:themeFill="background1" w:themeFillShade="D9"/>
            <w:vAlign w:val="center"/>
          </w:tcPr>
          <w:p w14:paraId="000EA292" w14:textId="362F99AB" w:rsidR="000C4CF2" w:rsidRPr="00C13E80" w:rsidRDefault="000C4CF2" w:rsidP="00063AB6">
            <w:pPr>
              <w:pStyle w:val="In-tableHeading"/>
              <w:jc w:val="center"/>
              <w:rPr>
                <w:lang w:val="en-AU"/>
              </w:rPr>
            </w:pPr>
            <w:r w:rsidRPr="00C13E80">
              <w:rPr>
                <w:lang w:val="en-AU"/>
              </w:rPr>
              <w:t>% change to ICER</w:t>
            </w:r>
          </w:p>
        </w:tc>
      </w:tr>
      <w:tr w:rsidR="000C4CF2" w:rsidRPr="00C13E80" w14:paraId="589E440B" w14:textId="4C7F6453" w:rsidTr="00063AB6">
        <w:trPr>
          <w:cantSplit/>
        </w:trPr>
        <w:tc>
          <w:tcPr>
            <w:tcW w:w="2041" w:type="pct"/>
            <w:vAlign w:val="center"/>
          </w:tcPr>
          <w:p w14:paraId="6264D5C4" w14:textId="77777777" w:rsidR="000C4CF2" w:rsidRPr="00C13E80" w:rsidRDefault="000C4CF2" w:rsidP="00063AB6">
            <w:pPr>
              <w:pStyle w:val="TableText0"/>
              <w:rPr>
                <w:b/>
              </w:rPr>
            </w:pPr>
            <w:r w:rsidRPr="00C13E80">
              <w:rPr>
                <w:b/>
              </w:rPr>
              <w:t>Base case</w:t>
            </w:r>
          </w:p>
        </w:tc>
        <w:tc>
          <w:tcPr>
            <w:tcW w:w="786" w:type="pct"/>
          </w:tcPr>
          <w:p w14:paraId="5169AB20" w14:textId="5663BB5C" w:rsidR="000C4CF2" w:rsidRPr="00573190" w:rsidRDefault="00573190" w:rsidP="00BB732D">
            <w:pPr>
              <w:pStyle w:val="TableText0"/>
              <w:jc w:val="center"/>
              <w:rPr>
                <w:b/>
              </w:rPr>
            </w:pPr>
            <w:r w:rsidRPr="00573190">
              <w:rPr>
                <w:rFonts w:eastAsia="Calibri"/>
                <w:b/>
                <w:color w:val="000000"/>
                <w:szCs w:val="20"/>
                <w:shd w:val="solid" w:color="000000" w:fill="000000"/>
                <w14:textFill>
                  <w14:solidFill>
                    <w14:srgbClr w14:val="000000">
                      <w14:alpha w14:val="100000"/>
                    </w14:srgbClr>
                  </w14:solidFill>
                </w14:textFill>
              </w:rPr>
              <w:t>|</w:t>
            </w:r>
            <w:r w:rsidR="00063AB6" w:rsidRPr="00573190">
              <w:rPr>
                <w:rFonts w:eastAsia="Calibri"/>
                <w:b/>
                <w:szCs w:val="20"/>
              </w:rPr>
              <w:t xml:space="preserve"> </w:t>
            </w:r>
          </w:p>
        </w:tc>
        <w:tc>
          <w:tcPr>
            <w:tcW w:w="786" w:type="pct"/>
          </w:tcPr>
          <w:p w14:paraId="5DD6CC2E" w14:textId="05561374" w:rsidR="000C4CF2" w:rsidRPr="00C13E80" w:rsidRDefault="00030607" w:rsidP="00BB732D">
            <w:pPr>
              <w:pStyle w:val="TableText0"/>
              <w:jc w:val="center"/>
              <w:rPr>
                <w:b/>
              </w:rPr>
            </w:pPr>
            <w:r w:rsidRPr="00C13E80">
              <w:rPr>
                <w:b/>
              </w:rPr>
              <w:t>0.0870</w:t>
            </w:r>
          </w:p>
        </w:tc>
        <w:tc>
          <w:tcPr>
            <w:tcW w:w="786" w:type="pct"/>
          </w:tcPr>
          <w:p w14:paraId="1463ED96" w14:textId="4C14B6D5" w:rsidR="000C4CF2" w:rsidRPr="00063AB6" w:rsidRDefault="000C4CF2" w:rsidP="00BB732D">
            <w:pPr>
              <w:pStyle w:val="TableText0"/>
              <w:jc w:val="center"/>
              <w:rPr>
                <w:b/>
                <w:highlight w:val="black"/>
                <w:vertAlign w:val="superscript"/>
              </w:rPr>
            </w:pPr>
            <w:r w:rsidRPr="00C13E80">
              <w:rPr>
                <w:rFonts w:eastAsia="Calibri"/>
                <w:b/>
                <w:szCs w:val="20"/>
              </w:rPr>
              <w:t>$</w:t>
            </w:r>
            <w:r w:rsidR="00573190" w:rsidRPr="00573190">
              <w:rPr>
                <w:rFonts w:eastAsia="Calibri" w:hint="eastAsia"/>
                <w:b/>
                <w:color w:val="000000"/>
                <w:w w:val="18"/>
                <w:szCs w:val="20"/>
                <w:shd w:val="solid" w:color="000000" w:fill="000000"/>
                <w:fitText w:val="81" w:id="-1168357882"/>
                <w14:textFill>
                  <w14:solidFill>
                    <w14:srgbClr w14:val="000000">
                      <w14:alpha w14:val="100000"/>
                    </w14:srgbClr>
                  </w14:solidFill>
                </w14:textFill>
              </w:rPr>
              <w:t xml:space="preserve">　</w:t>
            </w:r>
            <w:r w:rsidR="00573190" w:rsidRPr="00573190">
              <w:rPr>
                <w:rFonts w:eastAsia="Calibri"/>
                <w:b/>
                <w:color w:val="000000"/>
                <w:w w:val="18"/>
                <w:szCs w:val="20"/>
                <w:shd w:val="solid" w:color="000000" w:fill="000000"/>
                <w:fitText w:val="81" w:id="-1168357882"/>
                <w14:textFill>
                  <w14:solidFill>
                    <w14:srgbClr w14:val="000000">
                      <w14:alpha w14:val="100000"/>
                    </w14:srgbClr>
                  </w14:solidFill>
                </w14:textFill>
              </w:rPr>
              <w:t>|</w:t>
            </w:r>
            <w:r w:rsidR="00573190" w:rsidRPr="00573190">
              <w:rPr>
                <w:rFonts w:eastAsia="Calibri" w:hint="eastAsia"/>
                <w:b/>
                <w:color w:val="000000"/>
                <w:w w:val="18"/>
                <w:szCs w:val="20"/>
                <w:shd w:val="solid" w:color="000000" w:fill="000000"/>
                <w:fitText w:val="81" w:id="-1168357882"/>
                <w14:textFill>
                  <w14:solidFill>
                    <w14:srgbClr w14:val="000000">
                      <w14:alpha w14:val="100000"/>
                    </w14:srgbClr>
                  </w14:solidFill>
                </w14:textFill>
              </w:rPr>
              <w:t xml:space="preserve">　</w:t>
            </w:r>
            <w:r w:rsidR="00063AB6">
              <w:rPr>
                <w:rFonts w:eastAsia="Calibri"/>
                <w:b/>
                <w:szCs w:val="20"/>
              </w:rPr>
              <w:t xml:space="preserve"> </w:t>
            </w:r>
            <w:r w:rsidR="00063AB6">
              <w:rPr>
                <w:rFonts w:eastAsia="Calibri"/>
                <w:b/>
                <w:szCs w:val="20"/>
                <w:vertAlign w:val="superscript"/>
              </w:rPr>
              <w:t>1</w:t>
            </w:r>
          </w:p>
        </w:tc>
        <w:tc>
          <w:tcPr>
            <w:tcW w:w="601" w:type="pct"/>
          </w:tcPr>
          <w:p w14:paraId="4E38A137" w14:textId="12B7AE50" w:rsidR="000C4CF2" w:rsidRPr="00C13E80" w:rsidRDefault="000C4CF2" w:rsidP="000C4CF2">
            <w:pPr>
              <w:pStyle w:val="TableText0"/>
              <w:rPr>
                <w:rFonts w:eastAsia="Calibri"/>
                <w:b/>
                <w:szCs w:val="20"/>
              </w:rPr>
            </w:pPr>
          </w:p>
        </w:tc>
      </w:tr>
      <w:tr w:rsidR="000C4CF2" w:rsidRPr="00C13E80" w14:paraId="42CD3BDB" w14:textId="6D8D9305" w:rsidTr="00063AB6">
        <w:trPr>
          <w:cantSplit/>
        </w:trPr>
        <w:tc>
          <w:tcPr>
            <w:tcW w:w="4399" w:type="pct"/>
            <w:gridSpan w:val="4"/>
            <w:vAlign w:val="center"/>
          </w:tcPr>
          <w:p w14:paraId="4AA54ECF" w14:textId="0EF5FE36" w:rsidR="000C4CF2" w:rsidRPr="00C13E80" w:rsidRDefault="009207E7" w:rsidP="00063AB6">
            <w:pPr>
              <w:pStyle w:val="TableText0"/>
            </w:pPr>
            <w:r w:rsidRPr="00C13E80">
              <w:t xml:space="preserve">Cost per course of treatment </w:t>
            </w:r>
            <w:r w:rsidR="00AF39E4" w:rsidRPr="00C13E80">
              <w:t xml:space="preserve">with molnupiravir </w:t>
            </w:r>
            <w:r w:rsidRPr="00C13E80">
              <w:t>(base case = $</w:t>
            </w:r>
            <w:r w:rsidR="00573190" w:rsidRPr="00573190">
              <w:rPr>
                <w:color w:val="000000"/>
                <w:spacing w:val="51"/>
                <w:shd w:val="solid" w:color="000000" w:fill="000000"/>
                <w:fitText w:val="326" w:id="-1168357881"/>
                <w14:textFill>
                  <w14:solidFill>
                    <w14:srgbClr w14:val="000000">
                      <w14:alpha w14:val="100000"/>
                    </w14:srgbClr>
                  </w14:solidFill>
                </w14:textFill>
              </w:rPr>
              <w:t>|||</w:t>
            </w:r>
            <w:r w:rsidR="00573190" w:rsidRPr="00573190">
              <w:rPr>
                <w:color w:val="000000"/>
                <w:spacing w:val="3"/>
                <w:shd w:val="solid" w:color="000000" w:fill="000000"/>
                <w:fitText w:val="326" w:id="-1168357881"/>
                <w14:textFill>
                  <w14:solidFill>
                    <w14:srgbClr w14:val="000000">
                      <w14:alpha w14:val="100000"/>
                    </w14:srgbClr>
                  </w14:solidFill>
                </w14:textFill>
              </w:rPr>
              <w:t>|</w:t>
            </w:r>
            <w:r w:rsidR="006C75F8" w:rsidRPr="00C13E80">
              <w:t>)</w:t>
            </w:r>
          </w:p>
        </w:tc>
        <w:tc>
          <w:tcPr>
            <w:tcW w:w="601" w:type="pct"/>
          </w:tcPr>
          <w:p w14:paraId="6B4E1110" w14:textId="77777777" w:rsidR="000C4CF2" w:rsidRPr="00C13E80" w:rsidRDefault="000C4CF2" w:rsidP="00BB732D">
            <w:pPr>
              <w:pStyle w:val="TableText0"/>
            </w:pPr>
          </w:p>
        </w:tc>
      </w:tr>
      <w:tr w:rsidR="000C4CF2" w:rsidRPr="00C13E80" w14:paraId="3B6F2FC0" w14:textId="2CF18288" w:rsidTr="00063AB6">
        <w:trPr>
          <w:cantSplit/>
        </w:trPr>
        <w:tc>
          <w:tcPr>
            <w:tcW w:w="2041" w:type="pct"/>
            <w:vAlign w:val="center"/>
          </w:tcPr>
          <w:p w14:paraId="567E2689" w14:textId="01F69FF9" w:rsidR="000C4CF2" w:rsidRPr="00C13E80" w:rsidRDefault="00BD0436" w:rsidP="00063AB6">
            <w:pPr>
              <w:pStyle w:val="TableText0"/>
            </w:pPr>
            <w:r w:rsidRPr="00C13E80">
              <w:t xml:space="preserve">Halve </w:t>
            </w:r>
            <w:r w:rsidR="00AF39E4" w:rsidRPr="00C13E80">
              <w:t>the cost of molnupiravir ($</w:t>
            </w:r>
            <w:r w:rsidR="00573190" w:rsidRPr="00573190">
              <w:rPr>
                <w:color w:val="000000"/>
                <w:spacing w:val="51"/>
                <w:shd w:val="solid" w:color="000000" w:fill="000000"/>
                <w:fitText w:val="326" w:id="-1168357880"/>
                <w14:textFill>
                  <w14:solidFill>
                    <w14:srgbClr w14:val="000000">
                      <w14:alpha w14:val="100000"/>
                    </w14:srgbClr>
                  </w14:solidFill>
                </w14:textFill>
              </w:rPr>
              <w:t>|||</w:t>
            </w:r>
            <w:r w:rsidR="00573190" w:rsidRPr="00573190">
              <w:rPr>
                <w:color w:val="000000"/>
                <w:spacing w:val="3"/>
                <w:shd w:val="solid" w:color="000000" w:fill="000000"/>
                <w:fitText w:val="326" w:id="-1168357880"/>
                <w14:textFill>
                  <w14:solidFill>
                    <w14:srgbClr w14:val="000000">
                      <w14:alpha w14:val="100000"/>
                    </w14:srgbClr>
                  </w14:solidFill>
                </w14:textFill>
              </w:rPr>
              <w:t>|</w:t>
            </w:r>
            <w:r w:rsidR="00AF39E4" w:rsidRPr="00C13E80">
              <w:t>)</w:t>
            </w:r>
          </w:p>
        </w:tc>
        <w:tc>
          <w:tcPr>
            <w:tcW w:w="786" w:type="pct"/>
            <w:vAlign w:val="center"/>
          </w:tcPr>
          <w:p w14:paraId="409937C7" w14:textId="75762646" w:rsidR="000C4CF2" w:rsidRPr="00573190" w:rsidRDefault="00573190" w:rsidP="002A7943">
            <w:pPr>
              <w:pStyle w:val="TableText0"/>
              <w:jc w:val="center"/>
            </w:pPr>
            <w:r w:rsidRPr="00573190">
              <w:rPr>
                <w:color w:val="000000"/>
                <w:szCs w:val="20"/>
                <w:shd w:val="solid" w:color="000000" w:fill="000000"/>
                <w14:textFill>
                  <w14:solidFill>
                    <w14:srgbClr w14:val="000000">
                      <w14:alpha w14:val="100000"/>
                    </w14:srgbClr>
                  </w14:solidFill>
                </w14:textFill>
              </w:rPr>
              <w:t>|</w:t>
            </w:r>
            <w:r w:rsidRPr="00573190">
              <w:rPr>
                <w:szCs w:val="20"/>
              </w:rPr>
              <w:t xml:space="preserve"> </w:t>
            </w:r>
          </w:p>
        </w:tc>
        <w:tc>
          <w:tcPr>
            <w:tcW w:w="786" w:type="pct"/>
            <w:vAlign w:val="center"/>
          </w:tcPr>
          <w:p w14:paraId="50FD973F" w14:textId="7734F7B4" w:rsidR="000C4CF2" w:rsidRPr="00C13E80" w:rsidRDefault="00B6796B" w:rsidP="002A7943">
            <w:pPr>
              <w:pStyle w:val="TableText0"/>
              <w:jc w:val="center"/>
            </w:pPr>
            <w:r w:rsidRPr="00C13E80">
              <w:rPr>
                <w:szCs w:val="20"/>
              </w:rPr>
              <w:t>0.0870</w:t>
            </w:r>
          </w:p>
        </w:tc>
        <w:tc>
          <w:tcPr>
            <w:tcW w:w="786" w:type="pct"/>
            <w:vAlign w:val="center"/>
          </w:tcPr>
          <w:p w14:paraId="2BA03071" w14:textId="3CC6D877" w:rsidR="000C4CF2" w:rsidRPr="00C13E80" w:rsidRDefault="00B6796B" w:rsidP="002A7943">
            <w:pPr>
              <w:pStyle w:val="TableText0"/>
              <w:jc w:val="center"/>
              <w:rPr>
                <w:highlight w:val="black"/>
              </w:rPr>
            </w:pPr>
            <w:r w:rsidRPr="00C13E80">
              <w:rPr>
                <w:szCs w:val="20"/>
              </w:rPr>
              <w:t>$</w:t>
            </w:r>
            <w:r w:rsidR="00573190" w:rsidRPr="00573190">
              <w:rPr>
                <w:rFonts w:hint="eastAsia"/>
                <w:color w:val="000000"/>
                <w:w w:val="15"/>
                <w:szCs w:val="20"/>
                <w:shd w:val="solid" w:color="000000" w:fill="000000"/>
                <w:fitText w:val="41" w:id="-1168357879"/>
                <w14:textFill>
                  <w14:solidFill>
                    <w14:srgbClr w14:val="000000">
                      <w14:alpha w14:val="100000"/>
                    </w14:srgbClr>
                  </w14:solidFill>
                </w14:textFill>
              </w:rPr>
              <w:t xml:space="preserve">　</w:t>
            </w:r>
            <w:r w:rsidR="00573190" w:rsidRPr="00573190">
              <w:rPr>
                <w:color w:val="000000"/>
                <w:w w:val="15"/>
                <w:szCs w:val="20"/>
                <w:shd w:val="solid" w:color="000000" w:fill="000000"/>
                <w:fitText w:val="41" w:id="-1168357879"/>
                <w14:textFill>
                  <w14:solidFill>
                    <w14:srgbClr w14:val="000000">
                      <w14:alpha w14:val="100000"/>
                    </w14:srgbClr>
                  </w14:solidFill>
                </w14:textFill>
              </w:rPr>
              <w:t>|</w:t>
            </w:r>
            <w:r w:rsidR="00573190" w:rsidRPr="00573190">
              <w:rPr>
                <w:rFonts w:hint="eastAsia"/>
                <w:color w:val="000000"/>
                <w:spacing w:val="-24"/>
                <w:w w:val="15"/>
                <w:szCs w:val="20"/>
                <w:shd w:val="solid" w:color="000000" w:fill="000000"/>
                <w:fitText w:val="41" w:id="-1168357879"/>
                <w14:textFill>
                  <w14:solidFill>
                    <w14:srgbClr w14:val="000000">
                      <w14:alpha w14:val="100000"/>
                    </w14:srgbClr>
                  </w14:solidFill>
                </w14:textFill>
              </w:rPr>
              <w:t xml:space="preserve">　</w:t>
            </w:r>
            <w:r w:rsidR="00063AB6">
              <w:rPr>
                <w:rFonts w:eastAsia="Calibri"/>
                <w:b/>
                <w:szCs w:val="20"/>
              </w:rPr>
              <w:t xml:space="preserve"> </w:t>
            </w:r>
            <w:r w:rsidR="00063AB6">
              <w:rPr>
                <w:rFonts w:eastAsia="Calibri"/>
                <w:b/>
                <w:szCs w:val="20"/>
                <w:vertAlign w:val="superscript"/>
              </w:rPr>
              <w:t>2</w:t>
            </w:r>
          </w:p>
        </w:tc>
        <w:tc>
          <w:tcPr>
            <w:tcW w:w="601" w:type="pct"/>
            <w:vAlign w:val="center"/>
          </w:tcPr>
          <w:p w14:paraId="48296EA7" w14:textId="37DD608B" w:rsidR="000C4CF2" w:rsidRPr="00C13E80" w:rsidRDefault="00B6796B" w:rsidP="002A7943">
            <w:pPr>
              <w:pStyle w:val="TableText0"/>
              <w:jc w:val="center"/>
              <w:rPr>
                <w:rFonts w:eastAsia="Calibri"/>
                <w:szCs w:val="20"/>
              </w:rPr>
            </w:pPr>
            <w:r w:rsidRPr="00C13E80">
              <w:rPr>
                <w:szCs w:val="20"/>
              </w:rPr>
              <w:t>-76%</w:t>
            </w:r>
          </w:p>
        </w:tc>
      </w:tr>
      <w:tr w:rsidR="000C4CF2" w:rsidRPr="00C13E80" w14:paraId="1F5CED3E" w14:textId="7886CEF0" w:rsidTr="00063AB6">
        <w:trPr>
          <w:cantSplit/>
          <w:trHeight w:val="283"/>
        </w:trPr>
        <w:tc>
          <w:tcPr>
            <w:tcW w:w="2041" w:type="pct"/>
            <w:vAlign w:val="center"/>
          </w:tcPr>
          <w:p w14:paraId="3387A447" w14:textId="073626DB" w:rsidR="000C4CF2" w:rsidRPr="00C13E80" w:rsidRDefault="00AF39E4" w:rsidP="00063AB6">
            <w:pPr>
              <w:pStyle w:val="TableText0"/>
            </w:pPr>
            <w:r w:rsidRPr="00C13E80">
              <w:t>Double the cost of molnupiravir ($</w:t>
            </w:r>
            <w:r w:rsidR="00573190" w:rsidRPr="00573190">
              <w:rPr>
                <w:color w:val="000000"/>
                <w:spacing w:val="51"/>
                <w:shd w:val="solid" w:color="000000" w:fill="000000"/>
                <w:fitText w:val="326" w:id="-1168357878"/>
                <w14:textFill>
                  <w14:solidFill>
                    <w14:srgbClr w14:val="000000">
                      <w14:alpha w14:val="100000"/>
                    </w14:srgbClr>
                  </w14:solidFill>
                </w14:textFill>
              </w:rPr>
              <w:t>|||</w:t>
            </w:r>
            <w:r w:rsidR="00573190" w:rsidRPr="00573190">
              <w:rPr>
                <w:color w:val="000000"/>
                <w:spacing w:val="3"/>
                <w:shd w:val="solid" w:color="000000" w:fill="000000"/>
                <w:fitText w:val="326" w:id="-1168357878"/>
                <w14:textFill>
                  <w14:solidFill>
                    <w14:srgbClr w14:val="000000">
                      <w14:alpha w14:val="100000"/>
                    </w14:srgbClr>
                  </w14:solidFill>
                </w14:textFill>
              </w:rPr>
              <w:t>|</w:t>
            </w:r>
            <w:r w:rsidRPr="00C13E80">
              <w:t>)</w:t>
            </w:r>
          </w:p>
        </w:tc>
        <w:tc>
          <w:tcPr>
            <w:tcW w:w="786" w:type="pct"/>
            <w:vAlign w:val="center"/>
          </w:tcPr>
          <w:p w14:paraId="75B6153A" w14:textId="3886534A" w:rsidR="000C4CF2" w:rsidRPr="00573190" w:rsidRDefault="00573190" w:rsidP="002A7943">
            <w:pPr>
              <w:pStyle w:val="TableText0"/>
              <w:jc w:val="center"/>
            </w:pPr>
            <w:r w:rsidRPr="00573190">
              <w:rPr>
                <w:color w:val="000000"/>
                <w:szCs w:val="20"/>
                <w:shd w:val="solid" w:color="000000" w:fill="000000"/>
                <w14:textFill>
                  <w14:solidFill>
                    <w14:srgbClr w14:val="000000">
                      <w14:alpha w14:val="100000"/>
                    </w14:srgbClr>
                  </w14:solidFill>
                </w14:textFill>
              </w:rPr>
              <w:t>|</w:t>
            </w:r>
            <w:r w:rsidRPr="00573190">
              <w:rPr>
                <w:szCs w:val="20"/>
              </w:rPr>
              <w:t xml:space="preserve"> </w:t>
            </w:r>
          </w:p>
        </w:tc>
        <w:tc>
          <w:tcPr>
            <w:tcW w:w="786" w:type="pct"/>
            <w:vAlign w:val="center"/>
          </w:tcPr>
          <w:p w14:paraId="65593F50" w14:textId="3D70D6DB" w:rsidR="000C4CF2" w:rsidRPr="00C13E80" w:rsidRDefault="00B6796B" w:rsidP="002A7943">
            <w:pPr>
              <w:pStyle w:val="TableText0"/>
              <w:jc w:val="center"/>
            </w:pPr>
            <w:r w:rsidRPr="00C13E80">
              <w:rPr>
                <w:szCs w:val="20"/>
              </w:rPr>
              <w:t>0.0870</w:t>
            </w:r>
          </w:p>
        </w:tc>
        <w:tc>
          <w:tcPr>
            <w:tcW w:w="786" w:type="pct"/>
            <w:vAlign w:val="center"/>
          </w:tcPr>
          <w:p w14:paraId="2BDED9F9" w14:textId="0EC347CC" w:rsidR="000C4CF2" w:rsidRPr="00C13E80" w:rsidRDefault="00B6796B" w:rsidP="002A7943">
            <w:pPr>
              <w:pStyle w:val="TableText0"/>
              <w:jc w:val="center"/>
              <w:rPr>
                <w:highlight w:val="black"/>
              </w:rPr>
            </w:pPr>
            <w:r w:rsidRPr="00C13E80">
              <w:rPr>
                <w:szCs w:val="20"/>
              </w:rPr>
              <w:t>$</w:t>
            </w:r>
            <w:r w:rsidR="00573190" w:rsidRPr="00573190">
              <w:rPr>
                <w:rFonts w:hint="eastAsia"/>
                <w:color w:val="000000"/>
                <w:w w:val="15"/>
                <w:szCs w:val="20"/>
                <w:shd w:val="solid" w:color="000000" w:fill="000000"/>
                <w:fitText w:val="41" w:id="-1168357877"/>
                <w14:textFill>
                  <w14:solidFill>
                    <w14:srgbClr w14:val="000000">
                      <w14:alpha w14:val="100000"/>
                    </w14:srgbClr>
                  </w14:solidFill>
                </w14:textFill>
              </w:rPr>
              <w:t xml:space="preserve">　</w:t>
            </w:r>
            <w:r w:rsidR="00573190" w:rsidRPr="00573190">
              <w:rPr>
                <w:color w:val="000000"/>
                <w:w w:val="15"/>
                <w:szCs w:val="20"/>
                <w:shd w:val="solid" w:color="000000" w:fill="000000"/>
                <w:fitText w:val="41" w:id="-1168357877"/>
                <w14:textFill>
                  <w14:solidFill>
                    <w14:srgbClr w14:val="000000">
                      <w14:alpha w14:val="100000"/>
                    </w14:srgbClr>
                  </w14:solidFill>
                </w14:textFill>
              </w:rPr>
              <w:t>|</w:t>
            </w:r>
            <w:r w:rsidR="00573190" w:rsidRPr="00573190">
              <w:rPr>
                <w:rFonts w:hint="eastAsia"/>
                <w:color w:val="000000"/>
                <w:spacing w:val="-24"/>
                <w:w w:val="15"/>
                <w:szCs w:val="20"/>
                <w:shd w:val="solid" w:color="000000" w:fill="000000"/>
                <w:fitText w:val="41" w:id="-1168357877"/>
                <w14:textFill>
                  <w14:solidFill>
                    <w14:srgbClr w14:val="000000">
                      <w14:alpha w14:val="100000"/>
                    </w14:srgbClr>
                  </w14:solidFill>
                </w14:textFill>
              </w:rPr>
              <w:t xml:space="preserve">　</w:t>
            </w:r>
            <w:r w:rsidR="00063AB6">
              <w:rPr>
                <w:rFonts w:eastAsia="Calibri"/>
                <w:b/>
                <w:szCs w:val="20"/>
              </w:rPr>
              <w:t xml:space="preserve"> </w:t>
            </w:r>
            <w:r w:rsidR="00063AB6">
              <w:rPr>
                <w:rFonts w:eastAsia="Calibri"/>
                <w:b/>
                <w:szCs w:val="20"/>
                <w:vertAlign w:val="superscript"/>
              </w:rPr>
              <w:t>3</w:t>
            </w:r>
          </w:p>
        </w:tc>
        <w:tc>
          <w:tcPr>
            <w:tcW w:w="601" w:type="pct"/>
            <w:vAlign w:val="center"/>
          </w:tcPr>
          <w:p w14:paraId="66BDB7F5" w14:textId="6A12209D" w:rsidR="000C4CF2" w:rsidRPr="00C13E80" w:rsidRDefault="00B6796B" w:rsidP="002A7943">
            <w:pPr>
              <w:pStyle w:val="TableText0"/>
              <w:jc w:val="center"/>
              <w:rPr>
                <w:rFonts w:eastAsia="Calibri"/>
                <w:szCs w:val="20"/>
              </w:rPr>
            </w:pPr>
            <w:r w:rsidRPr="00C13E80">
              <w:rPr>
                <w:szCs w:val="20"/>
              </w:rPr>
              <w:t>+152%</w:t>
            </w:r>
          </w:p>
        </w:tc>
      </w:tr>
      <w:tr w:rsidR="002A7943" w:rsidRPr="00C13E80" w14:paraId="0C48C05F" w14:textId="58C92E74" w:rsidTr="00063AB6">
        <w:trPr>
          <w:cantSplit/>
          <w:trHeight w:val="283"/>
        </w:trPr>
        <w:tc>
          <w:tcPr>
            <w:tcW w:w="5000" w:type="pct"/>
            <w:gridSpan w:val="5"/>
            <w:vAlign w:val="center"/>
          </w:tcPr>
          <w:p w14:paraId="3907EE02" w14:textId="5F6F9AC0" w:rsidR="002A7943" w:rsidRPr="00C13E80" w:rsidRDefault="00AA4D04" w:rsidP="00063AB6">
            <w:pPr>
              <w:pStyle w:val="TableText0"/>
              <w:rPr>
                <w:rFonts w:eastAsia="Calibri"/>
                <w:szCs w:val="20"/>
              </w:rPr>
            </w:pPr>
            <w:r w:rsidRPr="00C13E80">
              <w:t xml:space="preserve">Baseline risk of hospitalisation </w:t>
            </w:r>
            <w:r w:rsidR="00924E5D" w:rsidRPr="00C13E80">
              <w:t>or death</w:t>
            </w:r>
            <w:r w:rsidRPr="00C13E80">
              <w:t xml:space="preserve"> (base case = </w:t>
            </w:r>
            <w:r w:rsidR="00260A4C" w:rsidRPr="00C13E80">
              <w:t xml:space="preserve">see </w:t>
            </w:r>
            <w:r w:rsidR="00260A4C" w:rsidRPr="00C13E80">
              <w:fldChar w:fldCharType="begin" w:fldLock="1"/>
            </w:r>
            <w:r w:rsidR="00260A4C" w:rsidRPr="00C13E80">
              <w:instrText xml:space="preserve"> REF _Ref134605944 \h </w:instrText>
            </w:r>
            <w:r w:rsidR="00063AB6">
              <w:instrText xml:space="preserve"> \* MERGEFORMAT </w:instrText>
            </w:r>
            <w:r w:rsidR="00260A4C" w:rsidRPr="00C13E80">
              <w:fldChar w:fldCharType="separate"/>
            </w:r>
            <w:r w:rsidR="00701DEF" w:rsidRPr="00C13E80">
              <w:t xml:space="preserve">Table </w:t>
            </w:r>
            <w:r w:rsidR="00701DEF">
              <w:rPr>
                <w:noProof/>
              </w:rPr>
              <w:t>11</w:t>
            </w:r>
            <w:r w:rsidR="00260A4C" w:rsidRPr="00C13E80">
              <w:fldChar w:fldCharType="end"/>
            </w:r>
            <w:r w:rsidRPr="00C13E80">
              <w:t>)</w:t>
            </w:r>
          </w:p>
        </w:tc>
      </w:tr>
      <w:tr w:rsidR="000C4CF2" w:rsidRPr="00C13E80" w14:paraId="13470BB1" w14:textId="0042A2B7" w:rsidTr="00063AB6">
        <w:trPr>
          <w:cantSplit/>
          <w:trHeight w:val="283"/>
        </w:trPr>
        <w:tc>
          <w:tcPr>
            <w:tcW w:w="2041" w:type="pct"/>
            <w:vAlign w:val="center"/>
          </w:tcPr>
          <w:p w14:paraId="3B9B7B31" w14:textId="0B904F37" w:rsidR="000C4CF2" w:rsidRPr="00C13E80" w:rsidRDefault="00881F67" w:rsidP="00063AB6">
            <w:pPr>
              <w:pStyle w:val="TableText0"/>
            </w:pPr>
            <w:r w:rsidRPr="00C13E80">
              <w:t xml:space="preserve">Assume </w:t>
            </w:r>
            <w:r w:rsidR="00E267F8" w:rsidRPr="00C13E80">
              <w:t xml:space="preserve">the </w:t>
            </w:r>
            <w:r w:rsidRPr="00C13E80">
              <w:t xml:space="preserve">same </w:t>
            </w:r>
            <w:r w:rsidR="004F6667" w:rsidRPr="00C13E80">
              <w:t>baseline</w:t>
            </w:r>
            <w:r w:rsidR="00E30323" w:rsidRPr="00C13E80">
              <w:t xml:space="preserve"> </w:t>
            </w:r>
            <w:r w:rsidR="004A487D" w:rsidRPr="00C13E80">
              <w:t>risks of hospitalisation and death</w:t>
            </w:r>
            <w:r w:rsidR="00E96F1A" w:rsidRPr="00C13E80">
              <w:t xml:space="preserve"> </w:t>
            </w:r>
            <w:r w:rsidR="00E30323" w:rsidRPr="00C13E80">
              <w:t>as the 70+ subgroup for the 50-69 high risk subgroup</w:t>
            </w:r>
          </w:p>
        </w:tc>
        <w:tc>
          <w:tcPr>
            <w:tcW w:w="786" w:type="pct"/>
            <w:vAlign w:val="center"/>
          </w:tcPr>
          <w:p w14:paraId="56D1C7D6" w14:textId="078E32DC" w:rsidR="000C4CF2" w:rsidRPr="00573190" w:rsidRDefault="00573190" w:rsidP="002A7943">
            <w:pPr>
              <w:pStyle w:val="TableText0"/>
              <w:jc w:val="center"/>
              <w:rPr>
                <w:rFonts w:eastAsia="Calibri"/>
                <w:szCs w:val="20"/>
              </w:rPr>
            </w:pPr>
            <w:r w:rsidRPr="00573190">
              <w:rPr>
                <w:color w:val="000000"/>
                <w:szCs w:val="20"/>
                <w:shd w:val="solid" w:color="000000" w:fill="000000"/>
                <w14:textFill>
                  <w14:solidFill>
                    <w14:srgbClr w14:val="000000">
                      <w14:alpha w14:val="100000"/>
                    </w14:srgbClr>
                  </w14:solidFill>
                </w14:textFill>
              </w:rPr>
              <w:t>|</w:t>
            </w:r>
            <w:r w:rsidR="00063AB6" w:rsidRPr="00573190">
              <w:rPr>
                <w:szCs w:val="20"/>
              </w:rPr>
              <w:t xml:space="preserve"> </w:t>
            </w:r>
          </w:p>
        </w:tc>
        <w:tc>
          <w:tcPr>
            <w:tcW w:w="786" w:type="pct"/>
            <w:vAlign w:val="center"/>
          </w:tcPr>
          <w:p w14:paraId="48EC500E" w14:textId="16BBEF3C" w:rsidR="000C4CF2" w:rsidRPr="00C13E80" w:rsidRDefault="00E30323" w:rsidP="002A7943">
            <w:pPr>
              <w:pStyle w:val="TableText0"/>
              <w:jc w:val="center"/>
              <w:rPr>
                <w:rFonts w:eastAsia="Calibri"/>
                <w:szCs w:val="20"/>
              </w:rPr>
            </w:pPr>
            <w:r w:rsidRPr="00C13E80">
              <w:rPr>
                <w:szCs w:val="20"/>
              </w:rPr>
              <w:t>0.1153</w:t>
            </w:r>
          </w:p>
        </w:tc>
        <w:tc>
          <w:tcPr>
            <w:tcW w:w="786" w:type="pct"/>
            <w:vAlign w:val="center"/>
          </w:tcPr>
          <w:p w14:paraId="2CC817D5" w14:textId="528B9765" w:rsidR="000C4CF2" w:rsidRPr="00C13E80" w:rsidRDefault="00E30323" w:rsidP="002A7943">
            <w:pPr>
              <w:pStyle w:val="TableText0"/>
              <w:jc w:val="center"/>
              <w:rPr>
                <w:rFonts w:eastAsia="Calibri"/>
                <w:szCs w:val="20"/>
              </w:rPr>
            </w:pPr>
            <w:r w:rsidRPr="00C13E80">
              <w:rPr>
                <w:szCs w:val="20"/>
              </w:rPr>
              <w:t>$</w:t>
            </w:r>
            <w:r w:rsidR="00573190" w:rsidRPr="00573190">
              <w:rPr>
                <w:rFonts w:hint="eastAsia"/>
                <w:color w:val="000000"/>
                <w:w w:val="15"/>
                <w:szCs w:val="20"/>
                <w:shd w:val="solid" w:color="000000" w:fill="000000"/>
                <w:fitText w:val="41" w:id="-1168357876"/>
                <w14:textFill>
                  <w14:solidFill>
                    <w14:srgbClr w14:val="000000">
                      <w14:alpha w14:val="100000"/>
                    </w14:srgbClr>
                  </w14:solidFill>
                </w14:textFill>
              </w:rPr>
              <w:t xml:space="preserve">　</w:t>
            </w:r>
            <w:r w:rsidR="00573190" w:rsidRPr="00573190">
              <w:rPr>
                <w:color w:val="000000"/>
                <w:w w:val="15"/>
                <w:szCs w:val="20"/>
                <w:shd w:val="solid" w:color="000000" w:fill="000000"/>
                <w:fitText w:val="41" w:id="-1168357876"/>
                <w14:textFill>
                  <w14:solidFill>
                    <w14:srgbClr w14:val="000000">
                      <w14:alpha w14:val="100000"/>
                    </w14:srgbClr>
                  </w14:solidFill>
                </w14:textFill>
              </w:rPr>
              <w:t>|</w:t>
            </w:r>
            <w:r w:rsidR="00573190" w:rsidRPr="00573190">
              <w:rPr>
                <w:rFonts w:hint="eastAsia"/>
                <w:color w:val="000000"/>
                <w:spacing w:val="-24"/>
                <w:w w:val="15"/>
                <w:szCs w:val="20"/>
                <w:shd w:val="solid" w:color="000000" w:fill="000000"/>
                <w:fitText w:val="41" w:id="-1168357876"/>
                <w14:textFill>
                  <w14:solidFill>
                    <w14:srgbClr w14:val="000000">
                      <w14:alpha w14:val="100000"/>
                    </w14:srgbClr>
                  </w14:solidFill>
                </w14:textFill>
              </w:rPr>
              <w:t xml:space="preserve">　</w:t>
            </w:r>
            <w:r w:rsidR="00063AB6">
              <w:rPr>
                <w:rFonts w:eastAsia="Calibri"/>
                <w:b/>
                <w:szCs w:val="20"/>
              </w:rPr>
              <w:t xml:space="preserve"> </w:t>
            </w:r>
            <w:r w:rsidR="00063AB6">
              <w:rPr>
                <w:rFonts w:eastAsia="Calibri"/>
                <w:b/>
                <w:szCs w:val="20"/>
                <w:vertAlign w:val="superscript"/>
              </w:rPr>
              <w:t>1</w:t>
            </w:r>
          </w:p>
        </w:tc>
        <w:tc>
          <w:tcPr>
            <w:tcW w:w="601" w:type="pct"/>
            <w:vAlign w:val="center"/>
          </w:tcPr>
          <w:p w14:paraId="1768EDBF" w14:textId="16B0070A" w:rsidR="000C4CF2" w:rsidRPr="00C13E80" w:rsidRDefault="00E30323" w:rsidP="002A7943">
            <w:pPr>
              <w:pStyle w:val="TableText0"/>
              <w:jc w:val="center"/>
              <w:rPr>
                <w:rFonts w:eastAsia="Calibri"/>
                <w:szCs w:val="20"/>
              </w:rPr>
            </w:pPr>
            <w:r w:rsidRPr="00C13E80">
              <w:rPr>
                <w:szCs w:val="20"/>
              </w:rPr>
              <w:t>-29%</w:t>
            </w:r>
          </w:p>
        </w:tc>
      </w:tr>
      <w:tr w:rsidR="00B6796B" w:rsidRPr="00C13E80" w14:paraId="4CF1A223" w14:textId="77777777" w:rsidTr="00EE6793">
        <w:trPr>
          <w:cantSplit/>
          <w:trHeight w:val="283"/>
        </w:trPr>
        <w:tc>
          <w:tcPr>
            <w:tcW w:w="5000" w:type="pct"/>
            <w:gridSpan w:val="5"/>
            <w:vAlign w:val="center"/>
          </w:tcPr>
          <w:p w14:paraId="65A02D2A" w14:textId="408ECE8C" w:rsidR="00B6796B" w:rsidRPr="00C13E80" w:rsidRDefault="003A0E1E" w:rsidP="00EE6793">
            <w:pPr>
              <w:pStyle w:val="TableText0"/>
              <w:rPr>
                <w:rFonts w:eastAsia="Calibri"/>
                <w:szCs w:val="20"/>
              </w:rPr>
            </w:pPr>
            <w:r w:rsidRPr="00C13E80">
              <w:t>Treatment effect</w:t>
            </w:r>
            <w:r w:rsidR="00EE6793" w:rsidRPr="00C13E80">
              <w:t xml:space="preserve"> (base case = see </w:t>
            </w:r>
            <w:r w:rsidR="00EE6793" w:rsidRPr="00C13E80">
              <w:fldChar w:fldCharType="begin" w:fldLock="1"/>
            </w:r>
            <w:r w:rsidR="00EE6793" w:rsidRPr="00C13E80">
              <w:instrText xml:space="preserve"> REF _Ref134605944 \h </w:instrText>
            </w:r>
            <w:r w:rsidR="00EE6793" w:rsidRPr="00C13E80">
              <w:fldChar w:fldCharType="separate"/>
            </w:r>
            <w:r w:rsidR="00701DEF" w:rsidRPr="00C13E80">
              <w:t xml:space="preserve">Table </w:t>
            </w:r>
            <w:r w:rsidR="00701DEF">
              <w:rPr>
                <w:noProof/>
              </w:rPr>
              <w:t>11</w:t>
            </w:r>
            <w:r w:rsidR="00EE6793" w:rsidRPr="00C13E80">
              <w:fldChar w:fldCharType="end"/>
            </w:r>
            <w:r w:rsidRPr="00C13E80">
              <w:t>)</w:t>
            </w:r>
          </w:p>
        </w:tc>
      </w:tr>
      <w:tr w:rsidR="00B6796B" w:rsidRPr="00C13E80" w14:paraId="5E6D9ED7" w14:textId="77777777" w:rsidTr="00063AB6">
        <w:trPr>
          <w:cantSplit/>
          <w:trHeight w:val="283"/>
        </w:trPr>
        <w:tc>
          <w:tcPr>
            <w:tcW w:w="2041" w:type="pct"/>
            <w:vAlign w:val="center"/>
          </w:tcPr>
          <w:p w14:paraId="2549730B" w14:textId="71156E71" w:rsidR="00B6796B" w:rsidRPr="00C13E80" w:rsidRDefault="001660A5" w:rsidP="00063AB6">
            <w:pPr>
              <w:pStyle w:val="TableText0"/>
            </w:pPr>
            <w:r w:rsidRPr="00C13E80">
              <w:t>Assume</w:t>
            </w:r>
            <w:r w:rsidR="007A6028" w:rsidRPr="00C13E80">
              <w:t xml:space="preserve"> the same treatment effect for all subgroups</w:t>
            </w:r>
            <w:r w:rsidR="00C61728" w:rsidRPr="00C13E80">
              <w:t xml:space="preserve"> using the</w:t>
            </w:r>
            <w:r w:rsidR="00C76715" w:rsidRPr="00C13E80">
              <w:t xml:space="preserve"> published Victorian data</w:t>
            </w:r>
          </w:p>
        </w:tc>
        <w:tc>
          <w:tcPr>
            <w:tcW w:w="786" w:type="pct"/>
            <w:vAlign w:val="center"/>
          </w:tcPr>
          <w:p w14:paraId="0DCF329C" w14:textId="0D69BAB0" w:rsidR="00B6796B" w:rsidRPr="00573190" w:rsidRDefault="00573190" w:rsidP="002A7943">
            <w:pPr>
              <w:pStyle w:val="TableText0"/>
              <w:jc w:val="center"/>
              <w:rPr>
                <w:rFonts w:eastAsia="Calibri"/>
                <w:szCs w:val="20"/>
              </w:rPr>
            </w:pPr>
            <w:r w:rsidRPr="00573190">
              <w:rPr>
                <w:color w:val="000000"/>
                <w:szCs w:val="20"/>
                <w:shd w:val="solid" w:color="000000" w:fill="000000"/>
                <w14:textFill>
                  <w14:solidFill>
                    <w14:srgbClr w14:val="000000">
                      <w14:alpha w14:val="100000"/>
                    </w14:srgbClr>
                  </w14:solidFill>
                </w14:textFill>
              </w:rPr>
              <w:t>|</w:t>
            </w:r>
            <w:r w:rsidR="00063AB6" w:rsidRPr="00573190">
              <w:rPr>
                <w:szCs w:val="20"/>
              </w:rPr>
              <w:t xml:space="preserve"> </w:t>
            </w:r>
          </w:p>
        </w:tc>
        <w:tc>
          <w:tcPr>
            <w:tcW w:w="786" w:type="pct"/>
            <w:vAlign w:val="center"/>
          </w:tcPr>
          <w:p w14:paraId="60D53FD5" w14:textId="1F39DC4D" w:rsidR="00B6796B" w:rsidRPr="00C13E80" w:rsidRDefault="00C32D22" w:rsidP="002A7943">
            <w:pPr>
              <w:pStyle w:val="TableText0"/>
              <w:jc w:val="center"/>
              <w:rPr>
                <w:rFonts w:eastAsia="Calibri"/>
                <w:szCs w:val="20"/>
              </w:rPr>
            </w:pPr>
            <w:r w:rsidRPr="00C13E80">
              <w:rPr>
                <w:szCs w:val="20"/>
              </w:rPr>
              <w:t>0.0934</w:t>
            </w:r>
          </w:p>
        </w:tc>
        <w:tc>
          <w:tcPr>
            <w:tcW w:w="786" w:type="pct"/>
            <w:vAlign w:val="center"/>
          </w:tcPr>
          <w:p w14:paraId="6FFEB690" w14:textId="13E9516A" w:rsidR="00B6796B" w:rsidRPr="00C13E80" w:rsidRDefault="00C32D22" w:rsidP="002A7943">
            <w:pPr>
              <w:pStyle w:val="TableText0"/>
              <w:jc w:val="center"/>
              <w:rPr>
                <w:rFonts w:eastAsia="Calibri"/>
                <w:szCs w:val="20"/>
              </w:rPr>
            </w:pPr>
            <w:r w:rsidRPr="00C13E80">
              <w:rPr>
                <w:szCs w:val="20"/>
              </w:rPr>
              <w:t>$</w:t>
            </w:r>
            <w:r w:rsidR="00573190" w:rsidRPr="00573190">
              <w:rPr>
                <w:rFonts w:hint="eastAsia"/>
                <w:color w:val="000000"/>
                <w:w w:val="15"/>
                <w:szCs w:val="20"/>
                <w:shd w:val="solid" w:color="000000" w:fill="000000"/>
                <w:fitText w:val="41" w:id="-1168357875"/>
                <w14:textFill>
                  <w14:solidFill>
                    <w14:srgbClr w14:val="000000">
                      <w14:alpha w14:val="100000"/>
                    </w14:srgbClr>
                  </w14:solidFill>
                </w14:textFill>
              </w:rPr>
              <w:t xml:space="preserve">　</w:t>
            </w:r>
            <w:r w:rsidR="00573190" w:rsidRPr="00573190">
              <w:rPr>
                <w:color w:val="000000"/>
                <w:w w:val="15"/>
                <w:szCs w:val="20"/>
                <w:shd w:val="solid" w:color="000000" w:fill="000000"/>
                <w:fitText w:val="41" w:id="-1168357875"/>
                <w14:textFill>
                  <w14:solidFill>
                    <w14:srgbClr w14:val="000000">
                      <w14:alpha w14:val="100000"/>
                    </w14:srgbClr>
                  </w14:solidFill>
                </w14:textFill>
              </w:rPr>
              <w:t>|</w:t>
            </w:r>
            <w:r w:rsidR="00573190" w:rsidRPr="00573190">
              <w:rPr>
                <w:rFonts w:hint="eastAsia"/>
                <w:color w:val="000000"/>
                <w:spacing w:val="-24"/>
                <w:w w:val="15"/>
                <w:szCs w:val="20"/>
                <w:shd w:val="solid" w:color="000000" w:fill="000000"/>
                <w:fitText w:val="41" w:id="-1168357875"/>
                <w14:textFill>
                  <w14:solidFill>
                    <w14:srgbClr w14:val="000000">
                      <w14:alpha w14:val="100000"/>
                    </w14:srgbClr>
                  </w14:solidFill>
                </w14:textFill>
              </w:rPr>
              <w:t xml:space="preserve">　</w:t>
            </w:r>
            <w:r w:rsidR="00063AB6">
              <w:rPr>
                <w:rFonts w:eastAsia="Calibri"/>
                <w:b/>
                <w:szCs w:val="20"/>
              </w:rPr>
              <w:t xml:space="preserve"> </w:t>
            </w:r>
            <w:r w:rsidR="00063AB6">
              <w:rPr>
                <w:rFonts w:eastAsia="Calibri"/>
                <w:b/>
                <w:szCs w:val="20"/>
                <w:vertAlign w:val="superscript"/>
              </w:rPr>
              <w:t>1</w:t>
            </w:r>
          </w:p>
        </w:tc>
        <w:tc>
          <w:tcPr>
            <w:tcW w:w="601" w:type="pct"/>
            <w:vAlign w:val="center"/>
          </w:tcPr>
          <w:p w14:paraId="19AEB54A" w14:textId="6DA59D7F" w:rsidR="00B6796B" w:rsidRPr="00C13E80" w:rsidRDefault="00C32D22" w:rsidP="002A7943">
            <w:pPr>
              <w:pStyle w:val="TableText0"/>
              <w:jc w:val="center"/>
              <w:rPr>
                <w:rFonts w:eastAsia="Calibri"/>
                <w:szCs w:val="20"/>
              </w:rPr>
            </w:pPr>
            <w:r w:rsidRPr="00C13E80">
              <w:rPr>
                <w:szCs w:val="20"/>
              </w:rPr>
              <w:t>-2%</w:t>
            </w:r>
          </w:p>
        </w:tc>
      </w:tr>
      <w:tr w:rsidR="0001519E" w:rsidRPr="00C13E80" w14:paraId="2F2957C7" w14:textId="77777777" w:rsidTr="0001519E">
        <w:trPr>
          <w:cantSplit/>
          <w:trHeight w:val="283"/>
        </w:trPr>
        <w:tc>
          <w:tcPr>
            <w:tcW w:w="5000" w:type="pct"/>
            <w:gridSpan w:val="5"/>
            <w:vAlign w:val="center"/>
          </w:tcPr>
          <w:p w14:paraId="19E98894" w14:textId="1D6088AA" w:rsidR="0001519E" w:rsidRPr="00C13E80" w:rsidRDefault="0001519E" w:rsidP="0001519E">
            <w:pPr>
              <w:pStyle w:val="TableText0"/>
              <w:rPr>
                <w:rFonts w:eastAsia="Calibri"/>
                <w:szCs w:val="20"/>
              </w:rPr>
            </w:pPr>
            <w:r w:rsidRPr="00C13E80">
              <w:rPr>
                <w:rFonts w:eastAsia="Calibri"/>
                <w:szCs w:val="20"/>
              </w:rPr>
              <w:t>Multivariate analyses</w:t>
            </w:r>
          </w:p>
        </w:tc>
      </w:tr>
      <w:tr w:rsidR="00C32D22" w:rsidRPr="00C13E80" w14:paraId="081ED258" w14:textId="77777777" w:rsidTr="00063AB6">
        <w:trPr>
          <w:cantSplit/>
          <w:trHeight w:val="283"/>
        </w:trPr>
        <w:tc>
          <w:tcPr>
            <w:tcW w:w="2041" w:type="pct"/>
            <w:vAlign w:val="center"/>
          </w:tcPr>
          <w:p w14:paraId="197255F3" w14:textId="496BD6C0" w:rsidR="00C32D22" w:rsidRPr="00C13E80" w:rsidRDefault="002A726E" w:rsidP="00063AB6">
            <w:pPr>
              <w:pStyle w:val="TableText0"/>
            </w:pPr>
            <w:r w:rsidRPr="00C13E80">
              <w:t xml:space="preserve">Assume </w:t>
            </w:r>
            <w:r w:rsidR="00806D54" w:rsidRPr="00C13E80">
              <w:t xml:space="preserve">all subjects have </w:t>
            </w:r>
            <w:r w:rsidRPr="00C13E80">
              <w:t>the same baseline risk of hos</w:t>
            </w:r>
            <w:r w:rsidR="00806D54" w:rsidRPr="00C13E80">
              <w:t xml:space="preserve">pitalisation of </w:t>
            </w:r>
            <w:r w:rsidR="003F0E38" w:rsidRPr="00C13E80">
              <w:t>6.41%</w:t>
            </w:r>
            <w:r w:rsidR="00050526" w:rsidRPr="00C13E80">
              <w:t xml:space="preserve"> and a RR of 0.74</w:t>
            </w:r>
            <w:r w:rsidR="00C16A55" w:rsidRPr="00C13E80">
              <w:t xml:space="preserve"> in</w:t>
            </w:r>
            <w:r w:rsidR="00C16A55" w:rsidRPr="00C13E80">
              <w:rPr>
                <w:szCs w:val="20"/>
              </w:rPr>
              <w:t xml:space="preserve"> molnupiravir-treated patients AND a baseline risk of death of 1.98%</w:t>
            </w:r>
            <w:r w:rsidR="00262CC2" w:rsidRPr="00C13E80">
              <w:rPr>
                <w:szCs w:val="20"/>
              </w:rPr>
              <w:t xml:space="preserve"> and RR of </w:t>
            </w:r>
            <w:r w:rsidR="008E05C9" w:rsidRPr="00C13E80">
              <w:rPr>
                <w:szCs w:val="20"/>
              </w:rPr>
              <w:t>0.46 molnupiravir-treated patients, based on the data used in the 70+</w:t>
            </w:r>
            <w:r w:rsidR="00D54691" w:rsidRPr="00C13E80">
              <w:rPr>
                <w:szCs w:val="20"/>
              </w:rPr>
              <w:t xml:space="preserve"> </w:t>
            </w:r>
            <w:r w:rsidR="008E05C9" w:rsidRPr="00C13E80">
              <w:rPr>
                <w:szCs w:val="20"/>
              </w:rPr>
              <w:t>subgroup</w:t>
            </w:r>
          </w:p>
        </w:tc>
        <w:tc>
          <w:tcPr>
            <w:tcW w:w="786" w:type="pct"/>
            <w:vAlign w:val="center"/>
          </w:tcPr>
          <w:p w14:paraId="52581D06" w14:textId="5B1851B0" w:rsidR="00C32D22" w:rsidRPr="00573190" w:rsidRDefault="00573190" w:rsidP="00C32D22">
            <w:pPr>
              <w:pStyle w:val="TableText0"/>
              <w:jc w:val="center"/>
              <w:rPr>
                <w:rFonts w:eastAsia="Calibri"/>
                <w:szCs w:val="20"/>
              </w:rPr>
            </w:pPr>
            <w:r w:rsidRPr="00573190">
              <w:rPr>
                <w:color w:val="000000"/>
                <w:szCs w:val="20"/>
                <w:shd w:val="solid" w:color="000000" w:fill="000000"/>
                <w14:textFill>
                  <w14:solidFill>
                    <w14:srgbClr w14:val="000000">
                      <w14:alpha w14:val="100000"/>
                    </w14:srgbClr>
                  </w14:solidFill>
                </w14:textFill>
              </w:rPr>
              <w:t>|</w:t>
            </w:r>
            <w:r w:rsidR="00063AB6" w:rsidRPr="00573190">
              <w:rPr>
                <w:szCs w:val="20"/>
              </w:rPr>
              <w:t xml:space="preserve"> </w:t>
            </w:r>
          </w:p>
        </w:tc>
        <w:tc>
          <w:tcPr>
            <w:tcW w:w="786" w:type="pct"/>
            <w:vAlign w:val="center"/>
          </w:tcPr>
          <w:p w14:paraId="195E4F8A" w14:textId="10FC1A3F" w:rsidR="00C32D22" w:rsidRPr="00C13E80" w:rsidRDefault="00466E65" w:rsidP="00C32D22">
            <w:pPr>
              <w:pStyle w:val="TableText0"/>
              <w:jc w:val="center"/>
              <w:rPr>
                <w:rFonts w:eastAsia="Calibri"/>
                <w:szCs w:val="20"/>
              </w:rPr>
            </w:pPr>
            <w:r w:rsidRPr="00C13E80">
              <w:rPr>
                <w:szCs w:val="20"/>
              </w:rPr>
              <w:t>0.103</w:t>
            </w:r>
            <w:r w:rsidR="00A16747" w:rsidRPr="00C13E80">
              <w:rPr>
                <w:szCs w:val="20"/>
              </w:rPr>
              <w:t>3</w:t>
            </w:r>
          </w:p>
        </w:tc>
        <w:tc>
          <w:tcPr>
            <w:tcW w:w="786" w:type="pct"/>
            <w:vAlign w:val="center"/>
          </w:tcPr>
          <w:p w14:paraId="521E2B3C" w14:textId="52EB586D" w:rsidR="00C32D22" w:rsidRPr="00C13E80" w:rsidRDefault="00466E65" w:rsidP="00C32D22">
            <w:pPr>
              <w:pStyle w:val="TableText0"/>
              <w:jc w:val="center"/>
              <w:rPr>
                <w:rFonts w:eastAsia="Calibri"/>
                <w:szCs w:val="20"/>
              </w:rPr>
            </w:pPr>
            <w:r w:rsidRPr="00C13E80">
              <w:rPr>
                <w:szCs w:val="20"/>
              </w:rPr>
              <w:t>$</w:t>
            </w:r>
            <w:r w:rsidR="00573190" w:rsidRPr="00573190">
              <w:rPr>
                <w:rFonts w:hint="eastAsia"/>
                <w:color w:val="000000"/>
                <w:w w:val="15"/>
                <w:szCs w:val="20"/>
                <w:shd w:val="solid" w:color="000000" w:fill="000000"/>
                <w:fitText w:val="41" w:id="-1168357874"/>
                <w14:textFill>
                  <w14:solidFill>
                    <w14:srgbClr w14:val="000000">
                      <w14:alpha w14:val="100000"/>
                    </w14:srgbClr>
                  </w14:solidFill>
                </w14:textFill>
              </w:rPr>
              <w:t xml:space="preserve">　</w:t>
            </w:r>
            <w:r w:rsidR="00573190" w:rsidRPr="00573190">
              <w:rPr>
                <w:color w:val="000000"/>
                <w:w w:val="15"/>
                <w:szCs w:val="20"/>
                <w:shd w:val="solid" w:color="000000" w:fill="000000"/>
                <w:fitText w:val="41" w:id="-1168357874"/>
                <w14:textFill>
                  <w14:solidFill>
                    <w14:srgbClr w14:val="000000">
                      <w14:alpha w14:val="100000"/>
                    </w14:srgbClr>
                  </w14:solidFill>
                </w14:textFill>
              </w:rPr>
              <w:t>|</w:t>
            </w:r>
            <w:r w:rsidR="00573190" w:rsidRPr="00573190">
              <w:rPr>
                <w:rFonts w:hint="eastAsia"/>
                <w:color w:val="000000"/>
                <w:spacing w:val="-24"/>
                <w:w w:val="15"/>
                <w:szCs w:val="20"/>
                <w:shd w:val="solid" w:color="000000" w:fill="000000"/>
                <w:fitText w:val="41" w:id="-1168357874"/>
                <w14:textFill>
                  <w14:solidFill>
                    <w14:srgbClr w14:val="000000">
                      <w14:alpha w14:val="100000"/>
                    </w14:srgbClr>
                  </w14:solidFill>
                </w14:textFill>
              </w:rPr>
              <w:t xml:space="preserve">　</w:t>
            </w:r>
            <w:r w:rsidR="00063AB6">
              <w:rPr>
                <w:rFonts w:eastAsia="Calibri"/>
                <w:b/>
                <w:szCs w:val="20"/>
              </w:rPr>
              <w:t xml:space="preserve"> </w:t>
            </w:r>
            <w:r w:rsidR="00063AB6">
              <w:rPr>
                <w:rFonts w:eastAsia="Calibri"/>
                <w:b/>
                <w:szCs w:val="20"/>
                <w:vertAlign w:val="superscript"/>
              </w:rPr>
              <w:t>1</w:t>
            </w:r>
          </w:p>
        </w:tc>
        <w:tc>
          <w:tcPr>
            <w:tcW w:w="601" w:type="pct"/>
            <w:vAlign w:val="center"/>
          </w:tcPr>
          <w:p w14:paraId="6A6D8F49" w14:textId="6BFF438B" w:rsidR="00C32D22" w:rsidRPr="00C13E80" w:rsidRDefault="00466E65" w:rsidP="00C32D22">
            <w:pPr>
              <w:pStyle w:val="TableText0"/>
              <w:jc w:val="center"/>
              <w:rPr>
                <w:rFonts w:eastAsia="Calibri"/>
                <w:szCs w:val="20"/>
              </w:rPr>
            </w:pPr>
            <w:r w:rsidRPr="00C13E80">
              <w:rPr>
                <w:szCs w:val="20"/>
              </w:rPr>
              <w:t>-10%</w:t>
            </w:r>
          </w:p>
        </w:tc>
      </w:tr>
    </w:tbl>
    <w:p w14:paraId="04C82657" w14:textId="2F1F7DDE" w:rsidR="00765EDB" w:rsidRPr="00C13E80" w:rsidRDefault="00765EDB" w:rsidP="00765EDB">
      <w:pPr>
        <w:pStyle w:val="FooterTableFigure"/>
      </w:pPr>
      <w:r w:rsidRPr="00C13E80">
        <w:t>Source: Additional analyses conducted during the evaluation.</w:t>
      </w:r>
    </w:p>
    <w:p w14:paraId="77A94114" w14:textId="7BF6A7CF" w:rsidR="00D23D11" w:rsidRDefault="00765EDB" w:rsidP="00063AB6">
      <w:pPr>
        <w:pStyle w:val="FooterTableFigure"/>
        <w:spacing w:after="0"/>
        <w:rPr>
          <w:rFonts w:eastAsia="Calibri"/>
          <w:szCs w:val="20"/>
        </w:rPr>
      </w:pPr>
      <w:r w:rsidRPr="00C13E80">
        <w:rPr>
          <w:rFonts w:eastAsia="Calibri"/>
          <w:szCs w:val="20"/>
        </w:rPr>
        <w:t xml:space="preserve">Abbreviations: </w:t>
      </w:r>
      <w:r w:rsidR="00D23D11" w:rsidRPr="00C13E80">
        <w:rPr>
          <w:rFonts w:eastAsia="Calibri"/>
          <w:szCs w:val="20"/>
        </w:rPr>
        <w:t>QALY</w:t>
      </w:r>
      <w:r w:rsidR="009A2DCC" w:rsidRPr="00C13E80">
        <w:rPr>
          <w:rFonts w:eastAsia="Calibri"/>
          <w:szCs w:val="20"/>
        </w:rPr>
        <w:t xml:space="preserve"> =</w:t>
      </w:r>
      <w:r w:rsidR="00D23D11" w:rsidRPr="00C13E80">
        <w:rPr>
          <w:rFonts w:eastAsia="Calibri"/>
          <w:szCs w:val="20"/>
        </w:rPr>
        <w:t xml:space="preserve"> quality adjusted life year</w:t>
      </w:r>
      <w:r w:rsidRPr="00C13E80">
        <w:rPr>
          <w:rFonts w:eastAsia="Calibri"/>
          <w:szCs w:val="20"/>
        </w:rPr>
        <w:t xml:space="preserve">; RR = risk reduction. </w:t>
      </w:r>
    </w:p>
    <w:p w14:paraId="0C2CFA58" w14:textId="77777777" w:rsidR="00063AB6" w:rsidRPr="009A6D58" w:rsidRDefault="00063AB6" w:rsidP="00063AB6">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48CBB84" w14:textId="77777777" w:rsidR="00063AB6" w:rsidRPr="009A6D58" w:rsidRDefault="00063AB6" w:rsidP="00063AB6">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D5749">
        <w:rPr>
          <w:rFonts w:ascii="Arial Narrow" w:hAnsi="Arial Narrow"/>
          <w:i/>
          <w:sz w:val="18"/>
          <w:szCs w:val="18"/>
        </w:rPr>
        <w:t>$5,000 to &lt; $15,000</w:t>
      </w:r>
    </w:p>
    <w:p w14:paraId="16027D9D" w14:textId="7F556D1F" w:rsidR="00063AB6" w:rsidRPr="009A6D58" w:rsidRDefault="00063AB6" w:rsidP="00063AB6">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1A500B" w:rsidRPr="009D5749">
        <w:rPr>
          <w:rFonts w:ascii="Arial Narrow" w:hAnsi="Arial Narrow"/>
          <w:i/>
          <w:sz w:val="18"/>
          <w:szCs w:val="18"/>
        </w:rPr>
        <w:t>$</w:t>
      </w:r>
      <w:r w:rsidR="001A500B">
        <w:rPr>
          <w:rFonts w:ascii="Arial Narrow" w:hAnsi="Arial Narrow"/>
          <w:i/>
          <w:sz w:val="18"/>
          <w:szCs w:val="18"/>
        </w:rPr>
        <w:t>0</w:t>
      </w:r>
      <w:r w:rsidR="001A500B" w:rsidRPr="009D5749">
        <w:rPr>
          <w:rFonts w:ascii="Arial Narrow" w:hAnsi="Arial Narrow"/>
          <w:i/>
          <w:sz w:val="18"/>
          <w:szCs w:val="18"/>
        </w:rPr>
        <w:t xml:space="preserve"> to &lt; $5,000</w:t>
      </w:r>
    </w:p>
    <w:p w14:paraId="40909E92" w14:textId="74D91D8F" w:rsidR="00063AB6" w:rsidRPr="00063AB6" w:rsidRDefault="00063AB6" w:rsidP="00063AB6">
      <w:pPr>
        <w:keepNext/>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A500B" w:rsidRPr="009D5749">
        <w:rPr>
          <w:rFonts w:ascii="Arial Narrow" w:hAnsi="Arial Narrow"/>
          <w:i/>
          <w:sz w:val="18"/>
          <w:szCs w:val="18"/>
        </w:rPr>
        <w:t>$</w:t>
      </w:r>
      <w:r w:rsidR="001A500B">
        <w:rPr>
          <w:rFonts w:ascii="Arial Narrow" w:hAnsi="Arial Narrow"/>
          <w:i/>
          <w:sz w:val="18"/>
          <w:szCs w:val="18"/>
        </w:rPr>
        <w:t>1</w:t>
      </w:r>
      <w:r w:rsidR="001A500B" w:rsidRPr="009D5749">
        <w:rPr>
          <w:rFonts w:ascii="Arial Narrow" w:hAnsi="Arial Narrow"/>
          <w:i/>
          <w:sz w:val="18"/>
          <w:szCs w:val="18"/>
        </w:rPr>
        <w:t>5,000 to &lt; $</w:t>
      </w:r>
      <w:r w:rsidR="001A500B">
        <w:rPr>
          <w:rFonts w:ascii="Arial Narrow" w:hAnsi="Arial Narrow"/>
          <w:i/>
          <w:sz w:val="18"/>
          <w:szCs w:val="18"/>
        </w:rPr>
        <w:t>2</w:t>
      </w:r>
      <w:r w:rsidR="001A500B" w:rsidRPr="009D5749">
        <w:rPr>
          <w:rFonts w:ascii="Arial Narrow" w:hAnsi="Arial Narrow"/>
          <w:i/>
          <w:sz w:val="18"/>
          <w:szCs w:val="18"/>
        </w:rPr>
        <w:t>5,000</w:t>
      </w:r>
    </w:p>
    <w:p w14:paraId="0C5F4F22" w14:textId="25390EF7" w:rsidR="007358EB" w:rsidRPr="00C13E80" w:rsidRDefault="007358EB" w:rsidP="00B46FE9">
      <w:pPr>
        <w:pStyle w:val="3-BodyText"/>
      </w:pPr>
      <w:r w:rsidRPr="00C13E80">
        <w:rPr>
          <w:iCs/>
        </w:rPr>
        <w:t>The ESC noted that limited validation of the economic model was conducted by the submission</w:t>
      </w:r>
      <w:r w:rsidR="00F870EA" w:rsidRPr="00C13E80">
        <w:rPr>
          <w:iCs/>
        </w:rPr>
        <w:t xml:space="preserve">. </w:t>
      </w:r>
      <w:r w:rsidRPr="00C13E80">
        <w:rPr>
          <w:iCs/>
        </w:rPr>
        <w:t xml:space="preserve">Cohort disposition at the end of 12 months for each treatment arm was presented </w:t>
      </w:r>
      <w:r w:rsidR="001905CC" w:rsidRPr="00C13E80">
        <w:rPr>
          <w:iCs/>
        </w:rPr>
        <w:t xml:space="preserve">in the submission </w:t>
      </w:r>
      <w:r w:rsidRPr="00C13E80">
        <w:rPr>
          <w:iCs/>
        </w:rPr>
        <w:t>to demonstrate the model correctly applied clinical inputs</w:t>
      </w:r>
      <w:r w:rsidR="001905CC" w:rsidRPr="00C13E80">
        <w:rPr>
          <w:iCs/>
        </w:rPr>
        <w:t>, and the logic and calculations were verified during the evaluation</w:t>
      </w:r>
      <w:r w:rsidR="00F870EA" w:rsidRPr="00C13E80">
        <w:rPr>
          <w:iCs/>
        </w:rPr>
        <w:t xml:space="preserve">. </w:t>
      </w:r>
      <w:r w:rsidRPr="00C13E80">
        <w:rPr>
          <w:iCs/>
        </w:rPr>
        <w:t>The ESC considered that further validation of the modelled traces against published studies would be informative when further clinical data become available.</w:t>
      </w:r>
    </w:p>
    <w:p w14:paraId="1AAE0C7B" w14:textId="2C776F62" w:rsidR="00D6216F" w:rsidRPr="00C13E80" w:rsidRDefault="00D6216F" w:rsidP="00D6216F">
      <w:pPr>
        <w:pStyle w:val="3-BodyText"/>
      </w:pPr>
      <w:r w:rsidRPr="00C13E80">
        <w:t>The pre-PBAC response stated that the cost effectiveness of molnupiravir improved after inclusion of the inputs from the pre-print manuscript (Van Heer et al. 2023), and stated that the price offered accounted for any uncertainty within the data</w:t>
      </w:r>
      <w:r w:rsidR="00F870EA" w:rsidRPr="00C13E80">
        <w:t xml:space="preserve">. </w:t>
      </w:r>
      <w:r w:rsidRPr="00C13E80">
        <w:t xml:space="preserve">The results of the economic model for the 70+ population based on the published data are provided in </w:t>
      </w:r>
      <w:r w:rsidRPr="00C13E80">
        <w:fldChar w:fldCharType="begin" w:fldLock="1"/>
      </w:r>
      <w:r w:rsidRPr="00C13E80">
        <w:instrText xml:space="preserve"> REF _Ref141466961 \h </w:instrText>
      </w:r>
      <w:r w:rsidRPr="00C13E80">
        <w:fldChar w:fldCharType="separate"/>
      </w:r>
      <w:r w:rsidR="00701DEF" w:rsidRPr="00C13E80">
        <w:t xml:space="preserve">Table </w:t>
      </w:r>
      <w:r w:rsidR="00701DEF">
        <w:rPr>
          <w:noProof/>
        </w:rPr>
        <w:t>15</w:t>
      </w:r>
      <w:r w:rsidRPr="00C13E80">
        <w:fldChar w:fldCharType="end"/>
      </w:r>
      <w:r w:rsidRPr="00C13E80">
        <w:t xml:space="preserve">. The ICER in the 70+ group reduced from </w:t>
      </w:r>
      <w:r w:rsidR="006441F7" w:rsidRPr="006441F7">
        <w:rPr>
          <w:iCs/>
        </w:rPr>
        <w:t>$5,000 to &lt; $15,000</w:t>
      </w:r>
      <w:r w:rsidR="006441F7">
        <w:rPr>
          <w:i/>
        </w:rPr>
        <w:t xml:space="preserve"> </w:t>
      </w:r>
      <w:r w:rsidRPr="00C13E80">
        <w:t xml:space="preserve">to </w:t>
      </w:r>
      <w:r w:rsidR="006441F7" w:rsidRPr="006441F7">
        <w:rPr>
          <w:iCs/>
        </w:rPr>
        <w:t>$0 to &lt; $5,000</w:t>
      </w:r>
      <w:r w:rsidR="006441F7">
        <w:rPr>
          <w:i/>
        </w:rPr>
        <w:t xml:space="preserve"> </w:t>
      </w:r>
      <w:r w:rsidRPr="00C13E80">
        <w:t>per QALY gained. The response stated this was due to higher baseline rates of hospitalisation and deaths reported in the publication relative to what was assumed in the economic model and to slightly greater treatment effects reported in the publication relative to the online article available to the sponsor at the time of submission (</w:t>
      </w:r>
      <w:r w:rsidRPr="00C13E80">
        <w:fldChar w:fldCharType="begin" w:fldLock="1"/>
      </w:r>
      <w:r w:rsidRPr="00C13E80">
        <w:instrText xml:space="preserve"> REF _Ref141466961 \h </w:instrText>
      </w:r>
      <w:r w:rsidRPr="00C13E80">
        <w:fldChar w:fldCharType="separate"/>
      </w:r>
      <w:r w:rsidR="00701DEF" w:rsidRPr="00C13E80">
        <w:t xml:space="preserve">Table </w:t>
      </w:r>
      <w:r w:rsidR="00701DEF">
        <w:rPr>
          <w:noProof/>
        </w:rPr>
        <w:t>15</w:t>
      </w:r>
      <w:r w:rsidRPr="00C13E80">
        <w:fldChar w:fldCharType="end"/>
      </w:r>
      <w:r w:rsidRPr="00C13E80">
        <w:t>).</w:t>
      </w:r>
    </w:p>
    <w:p w14:paraId="22218880" w14:textId="307E87C5" w:rsidR="00D6216F" w:rsidRPr="00C13E80" w:rsidRDefault="00D6216F" w:rsidP="00D6216F">
      <w:pPr>
        <w:pStyle w:val="Caption"/>
      </w:pPr>
      <w:bookmarkStart w:id="81" w:name="_Ref141466961"/>
      <w:r w:rsidRPr="00C13E80">
        <w:lastRenderedPageBreak/>
        <w:t xml:space="preserve">Table </w:t>
      </w:r>
      <w:r w:rsidR="00567EAC">
        <w:fldChar w:fldCharType="begin" w:fldLock="1"/>
      </w:r>
      <w:r w:rsidR="00567EAC">
        <w:instrText xml:space="preserve"> SEQ Table \* ARABIC </w:instrText>
      </w:r>
      <w:r w:rsidR="00567EAC">
        <w:fldChar w:fldCharType="separate"/>
      </w:r>
      <w:r w:rsidR="00701DEF">
        <w:rPr>
          <w:noProof/>
        </w:rPr>
        <w:t>15</w:t>
      </w:r>
      <w:r w:rsidR="00567EAC">
        <w:rPr>
          <w:noProof/>
        </w:rPr>
        <w:fldChar w:fldCharType="end"/>
      </w:r>
      <w:bookmarkEnd w:id="81"/>
      <w:r w:rsidRPr="00C13E80">
        <w:rPr>
          <w:rStyle w:val="CommentReference"/>
          <w:b/>
          <w:szCs w:val="24"/>
        </w:rPr>
        <w:t xml:space="preserve">: </w:t>
      </w:r>
      <w:r w:rsidRPr="00C13E80">
        <w:t>Economic model inputs and results in the 70+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2272"/>
        <w:gridCol w:w="2628"/>
      </w:tblGrid>
      <w:tr w:rsidR="00D6216F" w:rsidRPr="00C13E80" w14:paraId="3BC5C5F7" w14:textId="77777777" w:rsidTr="00385526">
        <w:tc>
          <w:tcPr>
            <w:tcW w:w="4106" w:type="dxa"/>
            <w:tcMar>
              <w:top w:w="0" w:type="dxa"/>
              <w:left w:w="108" w:type="dxa"/>
              <w:bottom w:w="0" w:type="dxa"/>
              <w:right w:w="108" w:type="dxa"/>
            </w:tcMar>
            <w:hideMark/>
          </w:tcPr>
          <w:p w14:paraId="7B7E6AB7" w14:textId="77777777" w:rsidR="00D6216F" w:rsidRPr="00C13E80" w:rsidRDefault="00D6216F" w:rsidP="00385526">
            <w:pPr>
              <w:pStyle w:val="TableText0"/>
              <w:rPr>
                <w:b/>
                <w:bCs w:val="0"/>
              </w:rPr>
            </w:pPr>
            <w:r w:rsidRPr="00C13E80">
              <w:rPr>
                <w:b/>
                <w:bCs w:val="0"/>
              </w:rPr>
              <w:t xml:space="preserve">70+ population </w:t>
            </w:r>
          </w:p>
        </w:tc>
        <w:tc>
          <w:tcPr>
            <w:tcW w:w="2272" w:type="dxa"/>
            <w:tcMar>
              <w:top w:w="0" w:type="dxa"/>
              <w:left w:w="108" w:type="dxa"/>
              <w:bottom w:w="0" w:type="dxa"/>
              <w:right w:w="108" w:type="dxa"/>
            </w:tcMar>
            <w:hideMark/>
          </w:tcPr>
          <w:p w14:paraId="3BD0F4FA" w14:textId="77777777" w:rsidR="00D6216F" w:rsidRPr="00C13E80" w:rsidRDefault="00D6216F" w:rsidP="00385526">
            <w:pPr>
              <w:pStyle w:val="TableText0"/>
              <w:rPr>
                <w:b/>
                <w:bCs w:val="0"/>
              </w:rPr>
            </w:pPr>
            <w:r w:rsidRPr="00C13E80">
              <w:rPr>
                <w:b/>
                <w:bCs w:val="0"/>
              </w:rPr>
              <w:t>Updated model inputs</w:t>
            </w:r>
          </w:p>
        </w:tc>
        <w:tc>
          <w:tcPr>
            <w:tcW w:w="2628" w:type="dxa"/>
            <w:tcMar>
              <w:top w:w="0" w:type="dxa"/>
              <w:left w:w="108" w:type="dxa"/>
              <w:bottom w:w="0" w:type="dxa"/>
              <w:right w:w="108" w:type="dxa"/>
            </w:tcMar>
            <w:hideMark/>
          </w:tcPr>
          <w:p w14:paraId="5A52F675" w14:textId="2098C998" w:rsidR="00D6216F" w:rsidRPr="00C13E80" w:rsidRDefault="00D6216F" w:rsidP="00385526">
            <w:pPr>
              <w:pStyle w:val="TableText0"/>
              <w:rPr>
                <w:b/>
                <w:bCs w:val="0"/>
              </w:rPr>
            </w:pPr>
            <w:r w:rsidRPr="00C13E80">
              <w:rPr>
                <w:b/>
                <w:bCs w:val="0"/>
              </w:rPr>
              <w:t>Submi</w:t>
            </w:r>
            <w:r w:rsidR="00385526" w:rsidRPr="00C13E80">
              <w:rPr>
                <w:b/>
                <w:bCs w:val="0"/>
              </w:rPr>
              <w:t xml:space="preserve">ssion </w:t>
            </w:r>
            <w:r w:rsidRPr="00C13E80">
              <w:rPr>
                <w:b/>
                <w:bCs w:val="0"/>
              </w:rPr>
              <w:t>model inputs</w:t>
            </w:r>
          </w:p>
        </w:tc>
      </w:tr>
      <w:tr w:rsidR="00D6216F" w:rsidRPr="00C13E80" w14:paraId="6548D737" w14:textId="77777777" w:rsidTr="00385526">
        <w:trPr>
          <w:trHeight w:val="217"/>
        </w:trPr>
        <w:tc>
          <w:tcPr>
            <w:tcW w:w="4106" w:type="dxa"/>
            <w:tcMar>
              <w:top w:w="0" w:type="dxa"/>
              <w:left w:w="108" w:type="dxa"/>
              <w:bottom w:w="0" w:type="dxa"/>
              <w:right w:w="108" w:type="dxa"/>
            </w:tcMar>
            <w:hideMark/>
          </w:tcPr>
          <w:p w14:paraId="2D4857F1" w14:textId="77777777" w:rsidR="00D6216F" w:rsidRPr="00C13E80" w:rsidRDefault="00D6216F" w:rsidP="00385526">
            <w:pPr>
              <w:pStyle w:val="TableText0"/>
            </w:pPr>
            <w:r w:rsidRPr="00C13E80">
              <w:t>Hosp rate (SOC)</w:t>
            </w:r>
          </w:p>
        </w:tc>
        <w:tc>
          <w:tcPr>
            <w:tcW w:w="2272" w:type="dxa"/>
            <w:tcMar>
              <w:top w:w="0" w:type="dxa"/>
              <w:left w:w="108" w:type="dxa"/>
              <w:bottom w:w="0" w:type="dxa"/>
              <w:right w:w="108" w:type="dxa"/>
            </w:tcMar>
            <w:hideMark/>
          </w:tcPr>
          <w:p w14:paraId="4B628FC4" w14:textId="77777777" w:rsidR="00D6216F" w:rsidRPr="00C13E80" w:rsidRDefault="00D6216F" w:rsidP="00385526">
            <w:pPr>
              <w:pStyle w:val="TableText0"/>
            </w:pPr>
            <w:r w:rsidRPr="00C13E80">
              <w:t xml:space="preserve">11.90% </w:t>
            </w:r>
            <w:r w:rsidRPr="00C13E80">
              <w:rPr>
                <w:vertAlign w:val="superscript"/>
              </w:rPr>
              <w:t>a</w:t>
            </w:r>
          </w:p>
        </w:tc>
        <w:tc>
          <w:tcPr>
            <w:tcW w:w="2628" w:type="dxa"/>
            <w:tcMar>
              <w:top w:w="0" w:type="dxa"/>
              <w:left w:w="108" w:type="dxa"/>
              <w:bottom w:w="0" w:type="dxa"/>
              <w:right w:w="108" w:type="dxa"/>
            </w:tcMar>
            <w:hideMark/>
          </w:tcPr>
          <w:p w14:paraId="1F323C87" w14:textId="77777777" w:rsidR="00D6216F" w:rsidRPr="00C13E80" w:rsidRDefault="00D6216F" w:rsidP="00385526">
            <w:pPr>
              <w:pStyle w:val="TableText0"/>
            </w:pPr>
            <w:r w:rsidRPr="00C13E80">
              <w:t>6.41%</w:t>
            </w:r>
          </w:p>
        </w:tc>
      </w:tr>
      <w:tr w:rsidR="00D6216F" w:rsidRPr="00C13E80" w14:paraId="09824E9C" w14:textId="77777777" w:rsidTr="00385526">
        <w:tc>
          <w:tcPr>
            <w:tcW w:w="4106" w:type="dxa"/>
            <w:tcMar>
              <w:top w:w="0" w:type="dxa"/>
              <w:left w:w="108" w:type="dxa"/>
              <w:bottom w:w="0" w:type="dxa"/>
              <w:right w:w="108" w:type="dxa"/>
            </w:tcMar>
            <w:hideMark/>
          </w:tcPr>
          <w:p w14:paraId="36754075" w14:textId="77777777" w:rsidR="00D6216F" w:rsidRPr="00C13E80" w:rsidRDefault="00D6216F" w:rsidP="00385526">
            <w:pPr>
              <w:pStyle w:val="TableText0"/>
            </w:pPr>
            <w:r w:rsidRPr="00C13E80">
              <w:t>ICU rate (SOC)</w:t>
            </w:r>
          </w:p>
        </w:tc>
        <w:tc>
          <w:tcPr>
            <w:tcW w:w="2272" w:type="dxa"/>
            <w:tcMar>
              <w:top w:w="0" w:type="dxa"/>
              <w:left w:w="108" w:type="dxa"/>
              <w:bottom w:w="0" w:type="dxa"/>
              <w:right w:w="108" w:type="dxa"/>
            </w:tcMar>
            <w:hideMark/>
          </w:tcPr>
          <w:p w14:paraId="4B369C6C" w14:textId="77777777" w:rsidR="00D6216F" w:rsidRPr="00C13E80" w:rsidRDefault="00D6216F" w:rsidP="00385526">
            <w:pPr>
              <w:pStyle w:val="TableText0"/>
            </w:pPr>
            <w:r w:rsidRPr="00C13E80">
              <w:t xml:space="preserve">0.89% </w:t>
            </w:r>
            <w:r w:rsidRPr="00C13E80">
              <w:rPr>
                <w:vertAlign w:val="superscript"/>
              </w:rPr>
              <w:t>b</w:t>
            </w:r>
          </w:p>
        </w:tc>
        <w:tc>
          <w:tcPr>
            <w:tcW w:w="2628" w:type="dxa"/>
            <w:tcMar>
              <w:top w:w="0" w:type="dxa"/>
              <w:left w:w="108" w:type="dxa"/>
              <w:bottom w:w="0" w:type="dxa"/>
              <w:right w:w="108" w:type="dxa"/>
            </w:tcMar>
            <w:hideMark/>
          </w:tcPr>
          <w:p w14:paraId="091BC5DC" w14:textId="77777777" w:rsidR="00D6216F" w:rsidRPr="00C13E80" w:rsidRDefault="00D6216F" w:rsidP="00385526">
            <w:pPr>
              <w:pStyle w:val="TableText0"/>
            </w:pPr>
            <w:r w:rsidRPr="00C13E80">
              <w:t>0.48%</w:t>
            </w:r>
          </w:p>
        </w:tc>
      </w:tr>
      <w:tr w:rsidR="00D6216F" w:rsidRPr="00C13E80" w14:paraId="646116A3" w14:textId="77777777" w:rsidTr="00385526">
        <w:tc>
          <w:tcPr>
            <w:tcW w:w="4106" w:type="dxa"/>
            <w:tcMar>
              <w:top w:w="0" w:type="dxa"/>
              <w:left w:w="108" w:type="dxa"/>
              <w:bottom w:w="0" w:type="dxa"/>
              <w:right w:w="108" w:type="dxa"/>
            </w:tcMar>
            <w:hideMark/>
          </w:tcPr>
          <w:p w14:paraId="670E674C" w14:textId="77777777" w:rsidR="00D6216F" w:rsidRPr="00C13E80" w:rsidRDefault="00D6216F" w:rsidP="00385526">
            <w:pPr>
              <w:pStyle w:val="TableText0"/>
            </w:pPr>
            <w:r w:rsidRPr="00C13E80">
              <w:t>Death rate (SOC)</w:t>
            </w:r>
          </w:p>
        </w:tc>
        <w:tc>
          <w:tcPr>
            <w:tcW w:w="2272" w:type="dxa"/>
            <w:tcMar>
              <w:top w:w="0" w:type="dxa"/>
              <w:left w:w="108" w:type="dxa"/>
              <w:bottom w:w="0" w:type="dxa"/>
              <w:right w:w="108" w:type="dxa"/>
            </w:tcMar>
            <w:hideMark/>
          </w:tcPr>
          <w:p w14:paraId="2E9DCA64" w14:textId="77777777" w:rsidR="00D6216F" w:rsidRPr="00C13E80" w:rsidRDefault="00D6216F" w:rsidP="00385526">
            <w:pPr>
              <w:pStyle w:val="TableText0"/>
            </w:pPr>
            <w:r w:rsidRPr="00C13E80">
              <w:t xml:space="preserve">3.40% </w:t>
            </w:r>
            <w:r w:rsidRPr="00C13E80">
              <w:rPr>
                <w:vertAlign w:val="superscript"/>
              </w:rPr>
              <w:t>a</w:t>
            </w:r>
          </w:p>
        </w:tc>
        <w:tc>
          <w:tcPr>
            <w:tcW w:w="2628" w:type="dxa"/>
            <w:tcMar>
              <w:top w:w="0" w:type="dxa"/>
              <w:left w:w="108" w:type="dxa"/>
              <w:bottom w:w="0" w:type="dxa"/>
              <w:right w:w="108" w:type="dxa"/>
            </w:tcMar>
            <w:hideMark/>
          </w:tcPr>
          <w:p w14:paraId="766A3ADD" w14:textId="77777777" w:rsidR="00D6216F" w:rsidRPr="00C13E80" w:rsidRDefault="00D6216F" w:rsidP="00385526">
            <w:pPr>
              <w:pStyle w:val="TableText0"/>
            </w:pPr>
            <w:r w:rsidRPr="00C13E80">
              <w:t>1.98%</w:t>
            </w:r>
          </w:p>
        </w:tc>
      </w:tr>
      <w:tr w:rsidR="00D6216F" w:rsidRPr="00C13E80" w14:paraId="4C2B5197" w14:textId="77777777" w:rsidTr="00385526">
        <w:tc>
          <w:tcPr>
            <w:tcW w:w="4106" w:type="dxa"/>
            <w:tcMar>
              <w:top w:w="0" w:type="dxa"/>
              <w:left w:w="108" w:type="dxa"/>
              <w:bottom w:w="0" w:type="dxa"/>
              <w:right w:w="108" w:type="dxa"/>
            </w:tcMar>
            <w:hideMark/>
          </w:tcPr>
          <w:p w14:paraId="7BAE49D9" w14:textId="77777777" w:rsidR="00D6216F" w:rsidRPr="00C13E80" w:rsidRDefault="00D6216F" w:rsidP="00385526">
            <w:pPr>
              <w:pStyle w:val="TableText0"/>
            </w:pPr>
            <w:r w:rsidRPr="00C13E80">
              <w:t>Age of COVID-affected population</w:t>
            </w:r>
          </w:p>
        </w:tc>
        <w:tc>
          <w:tcPr>
            <w:tcW w:w="2272" w:type="dxa"/>
            <w:tcMar>
              <w:top w:w="0" w:type="dxa"/>
              <w:left w:w="108" w:type="dxa"/>
              <w:bottom w:w="0" w:type="dxa"/>
              <w:right w:w="108" w:type="dxa"/>
            </w:tcMar>
            <w:hideMark/>
          </w:tcPr>
          <w:p w14:paraId="6853F37B" w14:textId="7A603215" w:rsidR="00D6216F" w:rsidRPr="00C13E80" w:rsidRDefault="00D6216F" w:rsidP="00385526">
            <w:pPr>
              <w:pStyle w:val="TableText0"/>
            </w:pPr>
            <w:r w:rsidRPr="00C13E80">
              <w:t>77.0</w:t>
            </w:r>
            <w:r w:rsidR="00385526" w:rsidRPr="00C13E80">
              <w:t xml:space="preserve"> </w:t>
            </w:r>
            <w:r w:rsidRPr="00C13E80">
              <w:rPr>
                <w:vertAlign w:val="superscript"/>
              </w:rPr>
              <w:t>c</w:t>
            </w:r>
          </w:p>
        </w:tc>
        <w:tc>
          <w:tcPr>
            <w:tcW w:w="2628" w:type="dxa"/>
            <w:tcMar>
              <w:top w:w="0" w:type="dxa"/>
              <w:left w:w="108" w:type="dxa"/>
              <w:bottom w:w="0" w:type="dxa"/>
              <w:right w:w="108" w:type="dxa"/>
            </w:tcMar>
            <w:hideMark/>
          </w:tcPr>
          <w:p w14:paraId="77B09404" w14:textId="77777777" w:rsidR="00D6216F" w:rsidRPr="00C13E80" w:rsidRDefault="00D6216F" w:rsidP="00385526">
            <w:pPr>
              <w:pStyle w:val="TableText0"/>
            </w:pPr>
            <w:r w:rsidRPr="00C13E80">
              <w:t>79.5</w:t>
            </w:r>
          </w:p>
        </w:tc>
      </w:tr>
      <w:tr w:rsidR="00D6216F" w:rsidRPr="00C13E80" w14:paraId="66DB8AED" w14:textId="77777777" w:rsidTr="00385526">
        <w:tc>
          <w:tcPr>
            <w:tcW w:w="4106" w:type="dxa"/>
            <w:tcMar>
              <w:top w:w="0" w:type="dxa"/>
              <w:left w:w="108" w:type="dxa"/>
              <w:bottom w:w="0" w:type="dxa"/>
              <w:right w:w="108" w:type="dxa"/>
            </w:tcMar>
            <w:hideMark/>
          </w:tcPr>
          <w:p w14:paraId="34E5FCAD" w14:textId="77777777" w:rsidR="00D6216F" w:rsidRPr="00C13E80" w:rsidRDefault="00D6216F" w:rsidP="00385526">
            <w:pPr>
              <w:pStyle w:val="TableText0"/>
            </w:pPr>
            <w:r w:rsidRPr="00C13E80">
              <w:t>Relative reduction in hospitalisation with MOV</w:t>
            </w:r>
          </w:p>
        </w:tc>
        <w:tc>
          <w:tcPr>
            <w:tcW w:w="2272" w:type="dxa"/>
            <w:tcMar>
              <w:top w:w="0" w:type="dxa"/>
              <w:left w:w="108" w:type="dxa"/>
              <w:bottom w:w="0" w:type="dxa"/>
              <w:right w:w="108" w:type="dxa"/>
            </w:tcMar>
            <w:hideMark/>
          </w:tcPr>
          <w:p w14:paraId="761B451F" w14:textId="77777777" w:rsidR="00D6216F" w:rsidRPr="00C13E80" w:rsidRDefault="00D6216F" w:rsidP="00385526">
            <w:pPr>
              <w:pStyle w:val="TableText0"/>
            </w:pPr>
            <w:r w:rsidRPr="00C13E80">
              <w:t xml:space="preserve">0.29 </w:t>
            </w:r>
            <w:r w:rsidRPr="00C13E80">
              <w:rPr>
                <w:vertAlign w:val="superscript"/>
              </w:rPr>
              <w:t>d</w:t>
            </w:r>
          </w:p>
        </w:tc>
        <w:tc>
          <w:tcPr>
            <w:tcW w:w="2628" w:type="dxa"/>
            <w:tcMar>
              <w:top w:w="0" w:type="dxa"/>
              <w:left w:w="108" w:type="dxa"/>
              <w:bottom w:w="0" w:type="dxa"/>
              <w:right w:w="108" w:type="dxa"/>
            </w:tcMar>
            <w:hideMark/>
          </w:tcPr>
          <w:p w14:paraId="0F37B305" w14:textId="77777777" w:rsidR="00D6216F" w:rsidRPr="00C13E80" w:rsidRDefault="00D6216F" w:rsidP="00385526">
            <w:pPr>
              <w:pStyle w:val="TableText0"/>
            </w:pPr>
            <w:r w:rsidRPr="00C13E80">
              <w:t>0.26</w:t>
            </w:r>
          </w:p>
        </w:tc>
      </w:tr>
      <w:tr w:rsidR="00D6216F" w:rsidRPr="00C13E80" w14:paraId="1E1216FF" w14:textId="77777777" w:rsidTr="00385526">
        <w:tc>
          <w:tcPr>
            <w:tcW w:w="4106" w:type="dxa"/>
            <w:tcMar>
              <w:top w:w="0" w:type="dxa"/>
              <w:left w:w="108" w:type="dxa"/>
              <w:bottom w:w="0" w:type="dxa"/>
              <w:right w:w="108" w:type="dxa"/>
            </w:tcMar>
            <w:hideMark/>
          </w:tcPr>
          <w:p w14:paraId="0F6D8436" w14:textId="77777777" w:rsidR="00D6216F" w:rsidRPr="00C13E80" w:rsidRDefault="00D6216F" w:rsidP="00385526">
            <w:pPr>
              <w:pStyle w:val="TableText0"/>
            </w:pPr>
            <w:r w:rsidRPr="00C13E80">
              <w:t>Relative reduction in death with MOV</w:t>
            </w:r>
          </w:p>
        </w:tc>
        <w:tc>
          <w:tcPr>
            <w:tcW w:w="2272" w:type="dxa"/>
            <w:tcMar>
              <w:top w:w="0" w:type="dxa"/>
              <w:left w:w="108" w:type="dxa"/>
              <w:bottom w:w="0" w:type="dxa"/>
              <w:right w:w="108" w:type="dxa"/>
            </w:tcMar>
            <w:hideMark/>
          </w:tcPr>
          <w:p w14:paraId="7775C47C" w14:textId="77777777" w:rsidR="00D6216F" w:rsidRPr="00C13E80" w:rsidRDefault="00D6216F" w:rsidP="00385526">
            <w:pPr>
              <w:pStyle w:val="TableText0"/>
            </w:pPr>
            <w:r w:rsidRPr="00C13E80">
              <w:t xml:space="preserve">0.55 </w:t>
            </w:r>
            <w:r w:rsidRPr="00C13E80">
              <w:rPr>
                <w:vertAlign w:val="superscript"/>
              </w:rPr>
              <w:t>d</w:t>
            </w:r>
          </w:p>
        </w:tc>
        <w:tc>
          <w:tcPr>
            <w:tcW w:w="2628" w:type="dxa"/>
            <w:tcMar>
              <w:top w:w="0" w:type="dxa"/>
              <w:left w:w="108" w:type="dxa"/>
              <w:bottom w:w="0" w:type="dxa"/>
              <w:right w:w="108" w:type="dxa"/>
            </w:tcMar>
            <w:hideMark/>
          </w:tcPr>
          <w:p w14:paraId="7BFFC413" w14:textId="77777777" w:rsidR="00D6216F" w:rsidRPr="00C13E80" w:rsidRDefault="00D6216F" w:rsidP="00385526">
            <w:pPr>
              <w:pStyle w:val="TableText0"/>
            </w:pPr>
            <w:r w:rsidRPr="00C13E80">
              <w:t>0.54</w:t>
            </w:r>
          </w:p>
        </w:tc>
      </w:tr>
      <w:tr w:rsidR="00D6216F" w:rsidRPr="00C13E80" w14:paraId="17723BBB" w14:textId="77777777" w:rsidTr="00385526">
        <w:tc>
          <w:tcPr>
            <w:tcW w:w="4106" w:type="dxa"/>
            <w:tcMar>
              <w:top w:w="0" w:type="dxa"/>
              <w:left w:w="108" w:type="dxa"/>
              <w:bottom w:w="0" w:type="dxa"/>
              <w:right w:w="108" w:type="dxa"/>
            </w:tcMar>
            <w:hideMark/>
          </w:tcPr>
          <w:p w14:paraId="3709057C" w14:textId="77777777" w:rsidR="00D6216F" w:rsidRPr="00C13E80" w:rsidRDefault="00D6216F" w:rsidP="00385526">
            <w:pPr>
              <w:pStyle w:val="TableText0"/>
            </w:pPr>
            <w:r w:rsidRPr="00C13E80">
              <w:t>ICER</w:t>
            </w:r>
          </w:p>
        </w:tc>
        <w:tc>
          <w:tcPr>
            <w:tcW w:w="2272" w:type="dxa"/>
            <w:tcMar>
              <w:top w:w="0" w:type="dxa"/>
              <w:left w:w="108" w:type="dxa"/>
              <w:bottom w:w="0" w:type="dxa"/>
              <w:right w:w="108" w:type="dxa"/>
            </w:tcMar>
            <w:hideMark/>
          </w:tcPr>
          <w:p w14:paraId="70243F82" w14:textId="065DE5F7" w:rsidR="00D6216F" w:rsidRPr="006441F7" w:rsidRDefault="00D6216F" w:rsidP="00385526">
            <w:pPr>
              <w:pStyle w:val="TableText0"/>
              <w:rPr>
                <w:vertAlign w:val="superscript"/>
              </w:rPr>
            </w:pPr>
            <w:r w:rsidRPr="00C13E80">
              <w:t>$</w:t>
            </w:r>
            <w:r w:rsidR="00573190" w:rsidRPr="00573190">
              <w:rPr>
                <w:color w:val="000000"/>
                <w:spacing w:val="51"/>
                <w:shd w:val="solid" w:color="000000" w:fill="000000"/>
                <w:fitText w:val="326" w:id="-1168357873"/>
                <w14:textFill>
                  <w14:solidFill>
                    <w14:srgbClr w14:val="000000">
                      <w14:alpha w14:val="100000"/>
                    </w14:srgbClr>
                  </w14:solidFill>
                </w14:textFill>
              </w:rPr>
              <w:t>|||</w:t>
            </w:r>
            <w:r w:rsidR="00573190" w:rsidRPr="00573190">
              <w:rPr>
                <w:color w:val="000000"/>
                <w:spacing w:val="3"/>
                <w:shd w:val="solid" w:color="000000" w:fill="000000"/>
                <w:fitText w:val="326" w:id="-1168357873"/>
                <w14:textFill>
                  <w14:solidFill>
                    <w14:srgbClr w14:val="000000">
                      <w14:alpha w14:val="100000"/>
                    </w14:srgbClr>
                  </w14:solidFill>
                </w14:textFill>
              </w:rPr>
              <w:t>|</w:t>
            </w:r>
            <w:r w:rsidR="006441F7">
              <w:t xml:space="preserve"> </w:t>
            </w:r>
            <w:r w:rsidR="006441F7">
              <w:rPr>
                <w:vertAlign w:val="superscript"/>
              </w:rPr>
              <w:t>1</w:t>
            </w:r>
          </w:p>
        </w:tc>
        <w:tc>
          <w:tcPr>
            <w:tcW w:w="2628" w:type="dxa"/>
            <w:tcMar>
              <w:top w:w="0" w:type="dxa"/>
              <w:left w:w="108" w:type="dxa"/>
              <w:bottom w:w="0" w:type="dxa"/>
              <w:right w:w="108" w:type="dxa"/>
            </w:tcMar>
            <w:hideMark/>
          </w:tcPr>
          <w:p w14:paraId="39A559C9" w14:textId="4FB5DF89" w:rsidR="00D6216F" w:rsidRPr="006441F7" w:rsidRDefault="00D6216F" w:rsidP="00385526">
            <w:pPr>
              <w:pStyle w:val="TableText0"/>
              <w:rPr>
                <w:vertAlign w:val="superscript"/>
              </w:rPr>
            </w:pPr>
            <w:r w:rsidRPr="00C13E80">
              <w:t>$</w:t>
            </w:r>
            <w:r w:rsidR="00573190" w:rsidRPr="00573190">
              <w:rPr>
                <w:color w:val="000000"/>
                <w:spacing w:val="51"/>
                <w:shd w:val="solid" w:color="000000" w:fill="000000"/>
                <w:fitText w:val="326" w:id="-1168357872"/>
                <w14:textFill>
                  <w14:solidFill>
                    <w14:srgbClr w14:val="000000">
                      <w14:alpha w14:val="100000"/>
                    </w14:srgbClr>
                  </w14:solidFill>
                </w14:textFill>
              </w:rPr>
              <w:t>|||</w:t>
            </w:r>
            <w:r w:rsidR="00573190" w:rsidRPr="00573190">
              <w:rPr>
                <w:color w:val="000000"/>
                <w:spacing w:val="3"/>
                <w:shd w:val="solid" w:color="000000" w:fill="000000"/>
                <w:fitText w:val="326" w:id="-1168357872"/>
                <w14:textFill>
                  <w14:solidFill>
                    <w14:srgbClr w14:val="000000">
                      <w14:alpha w14:val="100000"/>
                    </w14:srgbClr>
                  </w14:solidFill>
                </w14:textFill>
              </w:rPr>
              <w:t>|</w:t>
            </w:r>
            <w:r w:rsidR="006441F7">
              <w:t xml:space="preserve"> </w:t>
            </w:r>
            <w:r w:rsidR="006441F7">
              <w:rPr>
                <w:vertAlign w:val="superscript"/>
              </w:rPr>
              <w:t>2</w:t>
            </w:r>
          </w:p>
        </w:tc>
      </w:tr>
    </w:tbl>
    <w:p w14:paraId="146A21E5" w14:textId="780DA7CB" w:rsidR="00D6216F" w:rsidRPr="00C13E80" w:rsidRDefault="00F74A5A" w:rsidP="00F74A5A">
      <w:pPr>
        <w:pStyle w:val="FooterTableFigure"/>
      </w:pPr>
      <w:r>
        <w:t xml:space="preserve">a. </w:t>
      </w:r>
      <w:r w:rsidR="00D6216F" w:rsidRPr="00C13E80">
        <w:t>Updated hospitalisation and deaths rates for the SOC arm based on Table 1 (Cowie, 2023)</w:t>
      </w:r>
    </w:p>
    <w:p w14:paraId="46A30111" w14:textId="0DA70728" w:rsidR="00D6216F" w:rsidRPr="00C13E80" w:rsidRDefault="00F74A5A" w:rsidP="00F74A5A">
      <w:pPr>
        <w:pStyle w:val="FooterTableFigure"/>
      </w:pPr>
      <w:r>
        <w:t xml:space="preserve">b. </w:t>
      </w:r>
      <w:r w:rsidR="00D6216F" w:rsidRPr="00C13E80">
        <w:t xml:space="preserve">ICU rates not reported in Cowie. Updated assuming the ratio of ICU:hospitalisation as per the submitted model (0.89=0.48/6.41*11.90) </w:t>
      </w:r>
    </w:p>
    <w:p w14:paraId="766CCFD3" w14:textId="64CC5188" w:rsidR="00D6216F" w:rsidRPr="00C13E80" w:rsidRDefault="00F74A5A" w:rsidP="00F74A5A">
      <w:pPr>
        <w:pStyle w:val="FooterTableFigure"/>
      </w:pPr>
      <w:r>
        <w:t xml:space="preserve">c. </w:t>
      </w:r>
      <w:r w:rsidR="00D6216F" w:rsidRPr="00C13E80">
        <w:t>Table 1 (Cowie, 2023)</w:t>
      </w:r>
    </w:p>
    <w:p w14:paraId="476DCC03" w14:textId="5676FAAB" w:rsidR="00D6216F" w:rsidRPr="00C13E80" w:rsidRDefault="00F74A5A" w:rsidP="00F74A5A">
      <w:pPr>
        <w:pStyle w:val="FooterTableFigure"/>
      </w:pPr>
      <w:r>
        <w:t xml:space="preserve">d. </w:t>
      </w:r>
      <w:r w:rsidR="00D6216F" w:rsidRPr="00C13E80">
        <w:t xml:space="preserve">Relative reductions from Cowie (2023) reported and applied as odds ratios (as opposed to relative risk reduction in the submitted model inputs) </w:t>
      </w:r>
    </w:p>
    <w:p w14:paraId="12B6FF0A" w14:textId="5FC0DA78" w:rsidR="00D6216F" w:rsidRDefault="00D6216F" w:rsidP="006441F7">
      <w:pPr>
        <w:pStyle w:val="FooterTableFigure"/>
        <w:spacing w:after="0"/>
      </w:pPr>
      <w:r w:rsidRPr="00C13E80">
        <w:t>Source: Pre-PBAC response addendum</w:t>
      </w:r>
      <w:r w:rsidR="00F870EA" w:rsidRPr="00C13E80">
        <w:t xml:space="preserve">. </w:t>
      </w:r>
      <w:r w:rsidR="00212282" w:rsidRPr="00C13E80">
        <w:t>Results have not been independently verified.</w:t>
      </w:r>
    </w:p>
    <w:p w14:paraId="5F6E2BBF" w14:textId="77777777" w:rsidR="006441F7" w:rsidRPr="009A6D58" w:rsidRDefault="006441F7" w:rsidP="006441F7">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0912C75" w14:textId="275DA7FB" w:rsidR="006441F7" w:rsidRPr="009A6D58" w:rsidRDefault="006441F7" w:rsidP="006441F7">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D5749">
        <w:rPr>
          <w:rFonts w:ascii="Arial Narrow" w:hAnsi="Arial Narrow"/>
          <w:i/>
          <w:sz w:val="18"/>
          <w:szCs w:val="18"/>
        </w:rPr>
        <w:t>$</w:t>
      </w:r>
      <w:r>
        <w:rPr>
          <w:rFonts w:ascii="Arial Narrow" w:hAnsi="Arial Narrow"/>
          <w:i/>
          <w:sz w:val="18"/>
          <w:szCs w:val="18"/>
        </w:rPr>
        <w:t>0</w:t>
      </w:r>
      <w:r w:rsidRPr="009D5749">
        <w:rPr>
          <w:rFonts w:ascii="Arial Narrow" w:hAnsi="Arial Narrow"/>
          <w:i/>
          <w:sz w:val="18"/>
          <w:szCs w:val="18"/>
        </w:rPr>
        <w:t xml:space="preserve"> to &lt; $5,000</w:t>
      </w:r>
    </w:p>
    <w:p w14:paraId="7C6357D2" w14:textId="46A03BDF" w:rsidR="006441F7" w:rsidRPr="009A6D58" w:rsidRDefault="006441F7" w:rsidP="006441F7">
      <w:pPr>
        <w:keepNext/>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D5749">
        <w:rPr>
          <w:rFonts w:ascii="Arial Narrow" w:hAnsi="Arial Narrow"/>
          <w:i/>
          <w:sz w:val="18"/>
          <w:szCs w:val="18"/>
        </w:rPr>
        <w:t>$5,000 to &lt; $15,000</w:t>
      </w:r>
    </w:p>
    <w:p w14:paraId="57BF8CBD" w14:textId="165E4117" w:rsidR="00DE4273" w:rsidRPr="00C13E80" w:rsidRDefault="00EE089C" w:rsidP="00B46FE9">
      <w:pPr>
        <w:pStyle w:val="3-BodyText"/>
      </w:pPr>
      <w:r w:rsidRPr="00C13E80">
        <w:t xml:space="preserve">The submission also presented a cost-minimisation </w:t>
      </w:r>
      <w:r w:rsidR="00B94146" w:rsidRPr="00C13E80">
        <w:t>analysis</w:t>
      </w:r>
      <w:r w:rsidRPr="00C13E80">
        <w:t xml:space="preserve"> comparing molnupiravir to </w:t>
      </w:r>
      <w:r w:rsidR="002530C9" w:rsidRPr="00C13E80">
        <w:t>nirmatrelvir and ritonavir</w:t>
      </w:r>
      <w:r w:rsidR="00B94146" w:rsidRPr="00C13E80">
        <w:t xml:space="preserve"> that assumes </w:t>
      </w:r>
      <w:r w:rsidR="00662396" w:rsidRPr="00C13E80">
        <w:t xml:space="preserve">therapeutic </w:t>
      </w:r>
      <w:r w:rsidRPr="00C13E80">
        <w:t xml:space="preserve">non-inferiority of </w:t>
      </w:r>
      <w:r w:rsidR="00662396" w:rsidRPr="00C13E80">
        <w:rPr>
          <w:color w:val="000000" w:themeColor="text1"/>
        </w:rPr>
        <w:t xml:space="preserve">molnupiravir compared to nirmatrelvir and ritonavir. </w:t>
      </w:r>
      <w:r w:rsidR="00966276" w:rsidRPr="00C13E80">
        <w:t xml:space="preserve">The submission claimed </w:t>
      </w:r>
      <w:r w:rsidR="000B4701" w:rsidRPr="00C13E80">
        <w:t xml:space="preserve">there </w:t>
      </w:r>
      <w:r w:rsidRPr="00C13E80">
        <w:t xml:space="preserve">was insufficient evidence to determine one treatment was superior to the other. </w:t>
      </w:r>
      <w:r w:rsidR="004856BB" w:rsidRPr="00C13E80">
        <w:t>However,</w:t>
      </w:r>
      <w:r w:rsidR="00BE6CF6" w:rsidRPr="00C13E80">
        <w:t xml:space="preserve"> as discussed in paragraph</w:t>
      </w:r>
      <w:r w:rsidR="00700883" w:rsidRPr="00C13E80">
        <w:t>s</w:t>
      </w:r>
      <w:r w:rsidR="00D25901" w:rsidRPr="00C13E80">
        <w:t xml:space="preserve"> </w:t>
      </w:r>
      <w:r w:rsidR="00F42ED1" w:rsidRPr="00C13E80">
        <w:fldChar w:fldCharType="begin" w:fldLock="1"/>
      </w:r>
      <w:r w:rsidR="00F42ED1" w:rsidRPr="00C13E80">
        <w:instrText xml:space="preserve"> REF _Ref134606550 \r \h </w:instrText>
      </w:r>
      <w:r w:rsidR="00F42ED1" w:rsidRPr="00C13E80">
        <w:fldChar w:fldCharType="separate"/>
      </w:r>
      <w:r w:rsidR="00701DEF">
        <w:t>6.41</w:t>
      </w:r>
      <w:r w:rsidR="00F42ED1" w:rsidRPr="00C13E80">
        <w:fldChar w:fldCharType="end"/>
      </w:r>
      <w:r w:rsidR="00D25901" w:rsidRPr="00C13E80">
        <w:t xml:space="preserve"> </w:t>
      </w:r>
      <w:r w:rsidR="00700883" w:rsidRPr="00C13E80">
        <w:t xml:space="preserve">and </w:t>
      </w:r>
      <w:r w:rsidR="00700883" w:rsidRPr="00C13E80">
        <w:fldChar w:fldCharType="begin" w:fldLock="1"/>
      </w:r>
      <w:r w:rsidR="00700883" w:rsidRPr="00C13E80">
        <w:instrText xml:space="preserve"> REF _Ref137672988 \r \h </w:instrText>
      </w:r>
      <w:r w:rsidR="00700883" w:rsidRPr="00C13E80">
        <w:fldChar w:fldCharType="separate"/>
      </w:r>
      <w:r w:rsidR="00701DEF">
        <w:t>6.51</w:t>
      </w:r>
      <w:r w:rsidR="00700883" w:rsidRPr="00C13E80">
        <w:fldChar w:fldCharType="end"/>
      </w:r>
      <w:r w:rsidR="00700883" w:rsidRPr="00C13E80">
        <w:t xml:space="preserve"> </w:t>
      </w:r>
      <w:r w:rsidR="00D25901" w:rsidRPr="00C13E80">
        <w:t xml:space="preserve">the </w:t>
      </w:r>
      <w:r w:rsidR="00F47511" w:rsidRPr="00C13E80">
        <w:t xml:space="preserve">assumption of non-inferior effectiveness </w:t>
      </w:r>
      <w:r w:rsidR="006D7CAA" w:rsidRPr="00C13E80">
        <w:t>does not appear to be</w:t>
      </w:r>
      <w:r w:rsidR="00F47511" w:rsidRPr="00C13E80">
        <w:t xml:space="preserve"> supported by the </w:t>
      </w:r>
      <w:r w:rsidR="006D7CAA" w:rsidRPr="00C13E80">
        <w:t xml:space="preserve">totality of the available </w:t>
      </w:r>
      <w:r w:rsidR="00F47511" w:rsidRPr="00C13E80">
        <w:t xml:space="preserve">evidence. </w:t>
      </w:r>
    </w:p>
    <w:p w14:paraId="54D6CBE1" w14:textId="655E9200" w:rsidR="00AD5C88" w:rsidRPr="00C13E80" w:rsidRDefault="00AD5C88" w:rsidP="00B46FE9">
      <w:pPr>
        <w:pStyle w:val="3-BodyText"/>
      </w:pPr>
      <w:r w:rsidRPr="00C13E80">
        <w:rPr>
          <w:color w:val="000000" w:themeColor="text1"/>
        </w:rPr>
        <w:t xml:space="preserve">Regardless of whether nirmatrelvir and ritonavir is an appropriate comparator, </w:t>
      </w:r>
      <w:r w:rsidR="00A377E3">
        <w:rPr>
          <w:color w:val="000000" w:themeColor="text1"/>
        </w:rPr>
        <w:t xml:space="preserve">the commentary </w:t>
      </w:r>
      <w:r w:rsidRPr="00C13E80">
        <w:rPr>
          <w:color w:val="000000" w:themeColor="text1"/>
        </w:rPr>
        <w:t xml:space="preserve">considered </w:t>
      </w:r>
      <w:r w:rsidR="00A377E3" w:rsidRPr="00C13E80">
        <w:rPr>
          <w:color w:val="000000" w:themeColor="text1"/>
        </w:rPr>
        <w:t>it could be</w:t>
      </w:r>
      <w:r w:rsidRPr="00C13E80">
        <w:rPr>
          <w:color w:val="000000" w:themeColor="text1"/>
        </w:rPr>
        <w:t xml:space="preserve"> reasonable for nirmatrelvir and ritonavir to provide a frame of reference for judging the cost-effectiveness of molnupiravir given the objective of treatment with nirmatrelvir and ritonavir is identical to the objective of treatment with molnupiravir i.e., avoidance of hospitalisation and death</w:t>
      </w:r>
      <w:r w:rsidR="00F870EA" w:rsidRPr="00C13E80">
        <w:rPr>
          <w:color w:val="000000" w:themeColor="text1"/>
        </w:rPr>
        <w:t xml:space="preserve">. </w:t>
      </w:r>
      <w:r w:rsidRPr="00C13E80">
        <w:rPr>
          <w:color w:val="000000" w:themeColor="text1"/>
        </w:rPr>
        <w:t>The dispensed price per course of nirmatrelvir and ritonavir is $1,113.99 for the standard 5-day course of treatment.</w:t>
      </w:r>
    </w:p>
    <w:p w14:paraId="0BA5ACC3" w14:textId="75892515" w:rsidR="00231216" w:rsidRPr="00C13E80" w:rsidRDefault="00231216" w:rsidP="00912CE8">
      <w:pPr>
        <w:pStyle w:val="5-SubsectionSubheading"/>
      </w:pPr>
      <w:bookmarkStart w:id="82" w:name="_Toc135232228"/>
      <w:bookmarkStart w:id="83" w:name="_Hlk137676955"/>
      <w:r w:rsidRPr="00C13E80">
        <w:t>Expectation of value for money at the time of listing of molnupiravir on the PBS</w:t>
      </w:r>
      <w:bookmarkEnd w:id="82"/>
    </w:p>
    <w:p w14:paraId="5DE602AE" w14:textId="7CF8DCD0" w:rsidR="00231216" w:rsidRPr="00F74A5A" w:rsidRDefault="00231216" w:rsidP="00F74A5A">
      <w:pPr>
        <w:pStyle w:val="3-BodyText"/>
        <w:rPr>
          <w:color w:val="000000" w:themeColor="text1"/>
        </w:rPr>
      </w:pPr>
      <w:bookmarkStart w:id="84" w:name="_Ref134521721"/>
      <w:bookmarkStart w:id="85" w:name="_Ref137652781"/>
      <w:bookmarkEnd w:id="83"/>
      <w:r w:rsidRPr="00C13E80">
        <w:rPr>
          <w:color w:val="000000" w:themeColor="text1"/>
        </w:rPr>
        <w:t>The modelled economic analysis presented in the rHTA assumed a baseline risk of hospitalisation of 19.1% in patients with mild to moderate COVID-19 at high risk of developing severe disease requiring hospitalisation</w:t>
      </w:r>
      <w:r w:rsidR="00A21CB9" w:rsidRPr="00C13E80">
        <w:rPr>
          <w:color w:val="000000" w:themeColor="text1"/>
        </w:rPr>
        <w:t xml:space="preserve"> in the base case</w:t>
      </w:r>
      <w:r w:rsidRPr="00C13E80">
        <w:rPr>
          <w:color w:val="000000" w:themeColor="text1"/>
        </w:rPr>
        <w:t>. A relative risk of 0.696 was applied in the economic analysis such that 5.81 hospitalisations were expected to be avoided per 100 patients treated with molnupiravir. Thus, the incremental cost of molnupiravir (based on the current dispensed price) per hospitalisation averted was $18,968 ($1</w:t>
      </w:r>
      <w:r w:rsidR="007A33BB" w:rsidRPr="00C13E80">
        <w:rPr>
          <w:color w:val="000000" w:themeColor="text1"/>
        </w:rPr>
        <w:t>,</w:t>
      </w:r>
      <w:r w:rsidRPr="00C13E80">
        <w:rPr>
          <w:color w:val="000000" w:themeColor="text1"/>
        </w:rPr>
        <w:t>101.30/0.0581</w:t>
      </w:r>
      <w:bookmarkEnd w:id="84"/>
      <w:r w:rsidRPr="00C13E80">
        <w:rPr>
          <w:color w:val="000000" w:themeColor="text1"/>
        </w:rPr>
        <w:t xml:space="preserve">). Notably, this estimate was </w:t>
      </w:r>
      <w:r w:rsidR="0035042B" w:rsidRPr="00C13E80">
        <w:rPr>
          <w:color w:val="000000" w:themeColor="text1"/>
        </w:rPr>
        <w:t>associated</w:t>
      </w:r>
      <w:r w:rsidRPr="00C13E80">
        <w:rPr>
          <w:color w:val="000000" w:themeColor="text1"/>
        </w:rPr>
        <w:t xml:space="preserve"> with a high degree of uncertainty (e.g., due to uncertainty around the baseline risk of hospitalisation, due to uncertainty about benefits at various stages of each wave of infection [e.g., interventions used at the peak of a wave could prevent ove</w:t>
      </w:r>
      <w:r w:rsidR="00C8592E" w:rsidRPr="00C13E80">
        <w:rPr>
          <w:color w:val="000000" w:themeColor="text1"/>
        </w:rPr>
        <w:t>rcrowding</w:t>
      </w:r>
      <w:r w:rsidRPr="00C13E80">
        <w:rPr>
          <w:color w:val="000000" w:themeColor="text1"/>
        </w:rPr>
        <w:t xml:space="preserve"> of the hospital system], uncertainty around impact on mortality, etc) and thus a wide confidence interval </w:t>
      </w:r>
      <w:r w:rsidR="00C8592E" w:rsidRPr="00C13E80">
        <w:rPr>
          <w:color w:val="000000" w:themeColor="text1"/>
        </w:rPr>
        <w:t xml:space="preserve">should be </w:t>
      </w:r>
      <w:r w:rsidRPr="00C13E80">
        <w:rPr>
          <w:color w:val="000000" w:themeColor="text1"/>
        </w:rPr>
        <w:t>applied around this estimate</w:t>
      </w:r>
      <w:bookmarkEnd w:id="85"/>
      <w:r w:rsidR="00F870EA" w:rsidRPr="00C13E80">
        <w:rPr>
          <w:color w:val="000000" w:themeColor="text1"/>
        </w:rPr>
        <w:t xml:space="preserve">. </w:t>
      </w:r>
      <w:r w:rsidR="00A21CB9" w:rsidRPr="00C13E80">
        <w:rPr>
          <w:color w:val="000000" w:themeColor="text1"/>
        </w:rPr>
        <w:t>The pre</w:t>
      </w:r>
      <w:r w:rsidR="0020639E" w:rsidRPr="00C13E80">
        <w:rPr>
          <w:color w:val="000000" w:themeColor="text1"/>
        </w:rPr>
        <w:noBreakHyphen/>
      </w:r>
      <w:r w:rsidR="00A21CB9" w:rsidRPr="00C13E80">
        <w:rPr>
          <w:color w:val="000000" w:themeColor="text1"/>
        </w:rPr>
        <w:t xml:space="preserve">PBAC response noted that while the base case for the rHTA assessment assumed </w:t>
      </w:r>
      <w:r w:rsidR="00A21CB9" w:rsidRPr="00C13E80">
        <w:rPr>
          <w:color w:val="000000" w:themeColor="text1"/>
        </w:rPr>
        <w:lastRenderedPageBreak/>
        <w:t>a baseline risk of hospitalisation of 19.1%, the PBAC consideration in February</w:t>
      </w:r>
      <w:r w:rsidR="00F74A5A">
        <w:rPr>
          <w:color w:val="000000" w:themeColor="text1"/>
        </w:rPr>
        <w:t> </w:t>
      </w:r>
      <w:r w:rsidR="00A21CB9" w:rsidRPr="00C13E80">
        <w:rPr>
          <w:color w:val="000000" w:themeColor="text1"/>
        </w:rPr>
        <w:t xml:space="preserve">2022 had also considered a sensitivity analysis which assumed </w:t>
      </w:r>
      <w:r w:rsidR="0020639E" w:rsidRPr="00C13E80">
        <w:rPr>
          <w:color w:val="000000" w:themeColor="text1"/>
        </w:rPr>
        <w:t xml:space="preserve">6.6% for this input, reflecting the baseline risk of hospitalisation in a vaccinated population and resulting in an ICER of </w:t>
      </w:r>
      <w:r w:rsidR="006441F7" w:rsidRPr="006441F7">
        <w:rPr>
          <w:color w:val="000000" w:themeColor="text1"/>
        </w:rPr>
        <w:t>$35,000 to &lt; $45,000</w:t>
      </w:r>
      <w:r w:rsidR="00A21CB9" w:rsidRPr="00C13E80">
        <w:rPr>
          <w:color w:val="000000" w:themeColor="text1"/>
        </w:rPr>
        <w:t>/QALY.</w:t>
      </w:r>
    </w:p>
    <w:p w14:paraId="66113ED1" w14:textId="0CA4E154" w:rsidR="00424A1D" w:rsidRPr="00C13E80" w:rsidRDefault="00294D78" w:rsidP="00424A1D">
      <w:pPr>
        <w:pStyle w:val="5-SubsectionSubheading"/>
      </w:pPr>
      <w:r w:rsidRPr="00C13E80">
        <w:t xml:space="preserve">Overall assessment </w:t>
      </w:r>
    </w:p>
    <w:p w14:paraId="5644094A" w14:textId="541ED712" w:rsidR="001B3E08" w:rsidRPr="00C13E80" w:rsidRDefault="001B3E08" w:rsidP="00B46FE9">
      <w:pPr>
        <w:pStyle w:val="3-BodyText"/>
        <w:rPr>
          <w:iCs/>
        </w:rPr>
      </w:pPr>
      <w:bookmarkStart w:id="86" w:name="_Ref137711051"/>
      <w:bookmarkStart w:id="87" w:name="_Hlk142401814"/>
      <w:r w:rsidRPr="00C13E80">
        <w:rPr>
          <w:iCs/>
        </w:rPr>
        <w:t>The PSC</w:t>
      </w:r>
      <w:r w:rsidR="00D01BE2" w:rsidRPr="00C13E80">
        <w:rPr>
          <w:iCs/>
        </w:rPr>
        <w:t>R</w:t>
      </w:r>
      <w:r w:rsidRPr="00C13E80">
        <w:rPr>
          <w:iCs/>
        </w:rPr>
        <w:t xml:space="preserve"> noted that the evaluation commented on the opportunity cost of oral antivirals to the </w:t>
      </w:r>
      <w:r w:rsidR="00F870EA" w:rsidRPr="00C13E80">
        <w:rPr>
          <w:iCs/>
        </w:rPr>
        <w:t>PBS and</w:t>
      </w:r>
      <w:r w:rsidRPr="00C13E80">
        <w:rPr>
          <w:iCs/>
        </w:rPr>
        <w:t xml:space="preserve"> stated this should be balanced against the wider opportunity cost of not treating COVID-19 and resulting impacts on the healthcare system and society. The PSCR stated that the ICER remains the best measure of the respective trade-offs, where an ICER of less than $10,000 strikes that balance and is in-line with that previously accepted for similar treatments (ledipasvir/sofosbuvir for Hepatitis</w:t>
      </w:r>
      <w:r w:rsidR="00F74A5A">
        <w:rPr>
          <w:iCs/>
        </w:rPr>
        <w:t> </w:t>
      </w:r>
      <w:r w:rsidRPr="00C13E80">
        <w:rPr>
          <w:iCs/>
        </w:rPr>
        <w:t>C &lt;$15,000/QALY)</w:t>
      </w:r>
      <w:r w:rsidRPr="00C13E80">
        <w:rPr>
          <w:rStyle w:val="FootnoteReference"/>
          <w:iCs/>
        </w:rPr>
        <w:footnoteReference w:id="20"/>
      </w:r>
      <w:r w:rsidRPr="00C13E80">
        <w:rPr>
          <w:iCs/>
        </w:rPr>
        <w:t>.</w:t>
      </w:r>
      <w:bookmarkEnd w:id="86"/>
      <w:r w:rsidR="00DD467C">
        <w:rPr>
          <w:iCs/>
        </w:rPr>
        <w:t xml:space="preserve"> </w:t>
      </w:r>
      <w:r w:rsidR="00AA3DAC">
        <w:rPr>
          <w:iCs/>
        </w:rPr>
        <w:t xml:space="preserve">The </w:t>
      </w:r>
      <w:r w:rsidR="00AA3DAC" w:rsidRPr="00AA3DAC">
        <w:rPr>
          <w:iCs/>
        </w:rPr>
        <w:t xml:space="preserve">PBAC did not accept that treatment of hepatitis C was a sufficiently similar clinical context to treatment of COVID-19 for ICER comparisons to be informative, including among other differences </w:t>
      </w:r>
      <w:r w:rsidR="00AA3DAC">
        <w:rPr>
          <w:iCs/>
        </w:rPr>
        <w:t xml:space="preserve">that </w:t>
      </w:r>
      <w:r w:rsidR="00AA3DAC" w:rsidRPr="00AA3DAC">
        <w:rPr>
          <w:iCs/>
        </w:rPr>
        <w:t>hepatitis C antiviral treatment</w:t>
      </w:r>
      <w:r w:rsidR="00AA3DAC">
        <w:rPr>
          <w:iCs/>
        </w:rPr>
        <w:t>s</w:t>
      </w:r>
      <w:r w:rsidR="00AA3DAC" w:rsidRPr="00AA3DAC">
        <w:rPr>
          <w:iCs/>
        </w:rPr>
        <w:t xml:space="preserve"> </w:t>
      </w:r>
      <w:r w:rsidR="000A4670">
        <w:rPr>
          <w:iCs/>
        </w:rPr>
        <w:t xml:space="preserve">are </w:t>
      </w:r>
      <w:r w:rsidR="00AA3DAC" w:rsidRPr="00AA3DAC">
        <w:rPr>
          <w:iCs/>
        </w:rPr>
        <w:t>curing a chronic condition that causes long term morbidity and deaths from liver disease and cancer</w:t>
      </w:r>
      <w:r w:rsidR="00AA3DAC">
        <w:rPr>
          <w:iCs/>
        </w:rPr>
        <w:t>.</w:t>
      </w:r>
    </w:p>
    <w:bookmarkEnd w:id="87"/>
    <w:p w14:paraId="215A19F9" w14:textId="61246D2A" w:rsidR="00294D78" w:rsidRPr="00C13E80" w:rsidRDefault="00424A1D" w:rsidP="00B46FE9">
      <w:pPr>
        <w:pStyle w:val="3-BodyText"/>
        <w:rPr>
          <w:iCs/>
        </w:rPr>
      </w:pPr>
      <w:r w:rsidRPr="00C13E80">
        <w:rPr>
          <w:iCs/>
        </w:rPr>
        <w:t xml:space="preserve">Given </w:t>
      </w:r>
      <w:r w:rsidR="00AD1A72" w:rsidRPr="00C13E80">
        <w:rPr>
          <w:iCs/>
        </w:rPr>
        <w:t>the</w:t>
      </w:r>
      <w:r w:rsidRPr="00C13E80">
        <w:rPr>
          <w:iCs/>
        </w:rPr>
        <w:t xml:space="preserve"> purpose of the submission was to present the PBAC with evidence to inform a review of its decision to recommend molnupiravir for inclusion on the PBS for patients with COVID 19 at high risk of hospitalisation, </w:t>
      </w:r>
      <w:r w:rsidR="00DC16DB" w:rsidRPr="00C13E80">
        <w:rPr>
          <w:iCs/>
        </w:rPr>
        <w:t xml:space="preserve">the </w:t>
      </w:r>
      <w:r w:rsidRPr="00C13E80">
        <w:rPr>
          <w:iCs/>
        </w:rPr>
        <w:t xml:space="preserve">ESC disagreed with the view expressed in the PSCR that the decision on whether molnupiravir </w:t>
      </w:r>
      <w:r w:rsidR="009709BB">
        <w:rPr>
          <w:iCs/>
        </w:rPr>
        <w:t>‘</w:t>
      </w:r>
      <w:r w:rsidRPr="00C13E80">
        <w:rPr>
          <w:iCs/>
        </w:rPr>
        <w:t>is cost-effective should be based on its current economic performance, not on a historic precedent</w:t>
      </w:r>
      <w:r w:rsidR="009709BB">
        <w:rPr>
          <w:iCs/>
        </w:rPr>
        <w:t>’</w:t>
      </w:r>
      <w:r w:rsidRPr="00C13E80">
        <w:rPr>
          <w:iCs/>
        </w:rPr>
        <w:t>.</w:t>
      </w:r>
    </w:p>
    <w:p w14:paraId="72133FAB" w14:textId="213A1ABE" w:rsidR="00424A1D" w:rsidRPr="00F74A5A" w:rsidRDefault="00424A1D" w:rsidP="00294D78">
      <w:pPr>
        <w:pStyle w:val="3-BodyText"/>
        <w:rPr>
          <w:iCs/>
        </w:rPr>
      </w:pPr>
      <w:bookmarkStart w:id="88" w:name="_Ref137711053"/>
      <w:r w:rsidRPr="00C13E80">
        <w:t>The ESC considered that the PBAC’s intent for the review was to ascertain whether performance (including cost-effectiveness) of molnupiravir in practice has been consistent with expectations at the time of recommendation</w:t>
      </w:r>
      <w:r w:rsidR="00F870EA" w:rsidRPr="00C13E80">
        <w:t xml:space="preserve">. </w:t>
      </w:r>
      <w:r w:rsidR="00162DBF" w:rsidRPr="00C13E80">
        <w:t xml:space="preserve">The ESC noted the </w:t>
      </w:r>
      <w:r w:rsidRPr="00C13E80">
        <w:t>limitations of data available to inform the cost-effectiveness assessment of the patient subgroups</w:t>
      </w:r>
      <w:bookmarkEnd w:id="88"/>
      <w:r w:rsidR="00F870EA" w:rsidRPr="00C13E80">
        <w:t xml:space="preserve">. </w:t>
      </w:r>
    </w:p>
    <w:p w14:paraId="472842D7" w14:textId="6200A04C" w:rsidR="00C25D9C" w:rsidRPr="00C13E80" w:rsidRDefault="001D60D3" w:rsidP="00BB732D">
      <w:pPr>
        <w:pStyle w:val="4-SubsectionHeading"/>
      </w:pPr>
      <w:bookmarkStart w:id="89" w:name="_Toc22897646"/>
      <w:bookmarkStart w:id="90" w:name="_Toc135232229"/>
      <w:r w:rsidRPr="00C13E80">
        <w:rPr>
          <w:color w:val="000000" w:themeColor="text1"/>
        </w:rPr>
        <w:t xml:space="preserve">Molnupiravir </w:t>
      </w:r>
      <w:r w:rsidR="00C25D9C" w:rsidRPr="00C13E80">
        <w:t>cost/patient/course</w:t>
      </w:r>
      <w:bookmarkEnd w:id="89"/>
      <w:bookmarkEnd w:id="90"/>
    </w:p>
    <w:p w14:paraId="480EA601" w14:textId="6E3AF783" w:rsidR="001028C3" w:rsidRPr="00C13E80" w:rsidRDefault="001D60D3" w:rsidP="00B46FE9">
      <w:pPr>
        <w:pStyle w:val="3-BodyText"/>
        <w:rPr>
          <w:color w:val="000000" w:themeColor="text1"/>
        </w:rPr>
      </w:pPr>
      <w:bookmarkStart w:id="91" w:name="_Ref104805102"/>
      <w:r w:rsidRPr="00C13E80">
        <w:rPr>
          <w:color w:val="000000" w:themeColor="text1"/>
        </w:rPr>
        <w:t>One pack of molnupiravir as listed on the PBS provides sufficient treatment for the standard 5-day course of treatment.</w:t>
      </w:r>
      <w:r w:rsidR="00F96E22" w:rsidRPr="00C13E80">
        <w:rPr>
          <w:color w:val="000000" w:themeColor="text1"/>
        </w:rPr>
        <w:t xml:space="preserve"> The</w:t>
      </w:r>
      <w:r w:rsidR="00770D02" w:rsidRPr="00C13E80">
        <w:rPr>
          <w:color w:val="000000" w:themeColor="text1"/>
        </w:rPr>
        <w:t xml:space="preserve"> proposed</w:t>
      </w:r>
      <w:r w:rsidR="00F96E22" w:rsidRPr="00C13E80">
        <w:rPr>
          <w:color w:val="000000" w:themeColor="text1"/>
        </w:rPr>
        <w:t xml:space="preserve"> </w:t>
      </w:r>
      <w:r w:rsidR="00735703" w:rsidRPr="00C13E80">
        <w:rPr>
          <w:color w:val="000000" w:themeColor="text1"/>
        </w:rPr>
        <w:t xml:space="preserve">effective dispensed price per course is </w:t>
      </w:r>
      <w:r w:rsidR="00770D02" w:rsidRPr="00C13E80">
        <w:rPr>
          <w:color w:val="000000" w:themeColor="text1"/>
        </w:rPr>
        <w:t>$</w:t>
      </w:r>
      <w:r w:rsidR="00573190" w:rsidRPr="0007631D">
        <w:rPr>
          <w:color w:val="000000" w:themeColor="text1"/>
          <w:w w:val="15"/>
          <w:shd w:val="solid" w:color="000000" w:fill="000000"/>
          <w:fitText w:val="-20" w:id="-1168357888"/>
          <w14:textFill>
            <w14:solidFill>
              <w14:schemeClr w14:val="tx1">
                <w14:alpha w14:val="100000"/>
              </w14:schemeClr>
            </w14:solidFill>
          </w14:textFill>
        </w:rPr>
        <w:t xml:space="preserve">|  </w:t>
      </w:r>
      <w:r w:rsidR="00573190" w:rsidRPr="0007631D">
        <w:rPr>
          <w:color w:val="000000" w:themeColor="text1"/>
          <w:spacing w:val="-69"/>
          <w:w w:val="15"/>
          <w:shd w:val="solid" w:color="000000" w:fill="000000"/>
          <w:fitText w:val="-20" w:id="-1168357888"/>
          <w14:textFill>
            <w14:solidFill>
              <w14:schemeClr w14:val="tx1">
                <w14:alpha w14:val="100000"/>
              </w14:schemeClr>
            </w14:solidFill>
          </w14:textFill>
        </w:rPr>
        <w:t>|</w:t>
      </w:r>
      <w:r w:rsidR="009756AC" w:rsidRPr="00C13E80">
        <w:rPr>
          <w:color w:val="000000" w:themeColor="text1"/>
        </w:rPr>
        <w:t>(AEMP= $</w:t>
      </w:r>
      <w:r w:rsidR="00573190" w:rsidRPr="0007631D">
        <w:rPr>
          <w:color w:val="000000" w:themeColor="text1"/>
          <w:w w:val="15"/>
          <w:shd w:val="solid" w:color="000000" w:fill="000000"/>
          <w:fitText w:val="-20" w:id="-1168357887"/>
          <w14:textFill>
            <w14:solidFill>
              <w14:schemeClr w14:val="tx1">
                <w14:alpha w14:val="100000"/>
              </w14:schemeClr>
            </w14:solidFill>
          </w14:textFill>
        </w:rPr>
        <w:t xml:space="preserve">|  </w:t>
      </w:r>
      <w:r w:rsidR="00573190" w:rsidRPr="0007631D">
        <w:rPr>
          <w:color w:val="000000" w:themeColor="text1"/>
          <w:spacing w:val="-69"/>
          <w:w w:val="15"/>
          <w:shd w:val="solid" w:color="000000" w:fill="000000"/>
          <w:fitText w:val="-20" w:id="-1168357887"/>
          <w14:textFill>
            <w14:solidFill>
              <w14:schemeClr w14:val="tx1">
                <w14:alpha w14:val="100000"/>
              </w14:schemeClr>
            </w14:solidFill>
          </w14:textFill>
        </w:rPr>
        <w:t>|</w:t>
      </w:r>
      <w:r w:rsidR="009756AC" w:rsidRPr="00C13E80">
        <w:rPr>
          <w:color w:val="000000" w:themeColor="text1"/>
        </w:rPr>
        <w:t xml:space="preserve">), which is </w:t>
      </w:r>
      <w:r w:rsidR="001221E8" w:rsidRPr="00C13E80">
        <w:rPr>
          <w:color w:val="000000" w:themeColor="text1"/>
        </w:rPr>
        <w:t xml:space="preserve">a reduction from the current price </w:t>
      </w:r>
      <w:r w:rsidR="009756AC" w:rsidRPr="00C13E80">
        <w:rPr>
          <w:color w:val="000000" w:themeColor="text1"/>
        </w:rPr>
        <w:t xml:space="preserve">for one pack of molnupiravir </w:t>
      </w:r>
      <w:r w:rsidR="001221E8" w:rsidRPr="00C13E80">
        <w:rPr>
          <w:color w:val="000000" w:themeColor="text1"/>
        </w:rPr>
        <w:t xml:space="preserve">(DPMQ = </w:t>
      </w:r>
      <w:r w:rsidR="009756AC" w:rsidRPr="00C13E80">
        <w:rPr>
          <w:color w:val="000000" w:themeColor="text1"/>
        </w:rPr>
        <w:t>$1,101.39</w:t>
      </w:r>
      <w:r w:rsidR="001221E8" w:rsidRPr="00C13E80">
        <w:rPr>
          <w:color w:val="000000" w:themeColor="text1"/>
        </w:rPr>
        <w:t xml:space="preserve">; </w:t>
      </w:r>
      <w:r w:rsidR="009756AC" w:rsidRPr="00C13E80">
        <w:rPr>
          <w:color w:val="000000" w:themeColor="text1"/>
        </w:rPr>
        <w:t>AEMP=$988)</w:t>
      </w:r>
      <w:r w:rsidR="004709D6" w:rsidRPr="00C13E80">
        <w:rPr>
          <w:color w:val="000000" w:themeColor="text1"/>
        </w:rPr>
        <w:t>.</w:t>
      </w:r>
    </w:p>
    <w:p w14:paraId="268768EF" w14:textId="3626F292" w:rsidR="00B60939" w:rsidRPr="00C13E80" w:rsidRDefault="00B60939" w:rsidP="002B05A1">
      <w:pPr>
        <w:pStyle w:val="4-SubsectionHeading"/>
      </w:pPr>
      <w:bookmarkStart w:id="92" w:name="_Toc22897647"/>
      <w:bookmarkStart w:id="93" w:name="_Toc135232230"/>
      <w:bookmarkEnd w:id="91"/>
      <w:r w:rsidRPr="00C13E80">
        <w:t>Estimated PBS usage &amp; financial implications</w:t>
      </w:r>
      <w:bookmarkEnd w:id="92"/>
      <w:bookmarkEnd w:id="93"/>
    </w:p>
    <w:p w14:paraId="23CC769D" w14:textId="020BF963" w:rsidR="00D55A10" w:rsidRPr="00C13E80" w:rsidRDefault="00D55A10" w:rsidP="00B46FE9">
      <w:pPr>
        <w:pStyle w:val="3-BodyText"/>
      </w:pPr>
      <w:r w:rsidRPr="00C13E80">
        <w:t xml:space="preserve">This submission was considered by DUSC. </w:t>
      </w:r>
    </w:p>
    <w:p w14:paraId="75EF1848" w14:textId="1EB79ACB" w:rsidR="00D55A10" w:rsidRPr="00C13E80" w:rsidRDefault="00212282" w:rsidP="00B46FE9">
      <w:pPr>
        <w:pStyle w:val="3-BodyText"/>
      </w:pPr>
      <w:r w:rsidRPr="00C13E80">
        <w:t>T</w:t>
      </w:r>
      <w:r w:rsidR="00D55A10" w:rsidRPr="00C13E80">
        <w:t>he submission estimate</w:t>
      </w:r>
      <w:r w:rsidRPr="00C13E80">
        <w:t>d</w:t>
      </w:r>
      <w:r w:rsidR="00D55A10" w:rsidRPr="00C13E80">
        <w:t xml:space="preserve"> utilisation and associated financial implications based on an epidemiological approach in addition to an approach based on utilisation of oral antivirals from July to December 2022 on the PBS. Ultimately, the submission use</w:t>
      </w:r>
      <w:r w:rsidRPr="00C13E80">
        <w:t>d</w:t>
      </w:r>
      <w:r w:rsidR="00D55A10" w:rsidRPr="00C13E80">
        <w:t xml:space="preserve"> the </w:t>
      </w:r>
      <w:r w:rsidR="00D55A10" w:rsidRPr="00C13E80">
        <w:lastRenderedPageBreak/>
        <w:t>market-based approach to estimate utilisation. This approach generate</w:t>
      </w:r>
      <w:r w:rsidRPr="00C13E80">
        <w:t>d</w:t>
      </w:r>
      <w:r w:rsidR="00D55A10" w:rsidRPr="00C13E80">
        <w:t xml:space="preserve"> higher estimates of utilisation than the epidemiological approach. </w:t>
      </w:r>
      <w:r w:rsidR="00D55A10" w:rsidRPr="00C13E80">
        <w:fldChar w:fldCharType="begin" w:fldLock="1"/>
      </w:r>
      <w:r w:rsidR="00D55A10" w:rsidRPr="00C13E80">
        <w:instrText xml:space="preserve"> REF _Ref104805262 \h </w:instrText>
      </w:r>
      <w:r w:rsidR="00D55A10" w:rsidRPr="00C13E80">
        <w:fldChar w:fldCharType="separate"/>
      </w:r>
      <w:r w:rsidR="00701DEF" w:rsidRPr="00C13E80">
        <w:t xml:space="preserve">Table </w:t>
      </w:r>
      <w:r w:rsidR="00701DEF">
        <w:rPr>
          <w:noProof/>
        </w:rPr>
        <w:t>16</w:t>
      </w:r>
      <w:r w:rsidR="00D55A10" w:rsidRPr="00C13E80">
        <w:fldChar w:fldCharType="end"/>
      </w:r>
      <w:r w:rsidR="00D55A10" w:rsidRPr="00C13E80">
        <w:t xml:space="preserve"> summarises the inputs to the financial analyses and the sources for those inputs. </w:t>
      </w:r>
    </w:p>
    <w:p w14:paraId="70838BA6" w14:textId="56DB676C" w:rsidR="00D55A10" w:rsidRPr="00C13E80" w:rsidRDefault="00D55A10" w:rsidP="00D55A10">
      <w:pPr>
        <w:pStyle w:val="Caption"/>
        <w:rPr>
          <w:rStyle w:val="CommentReference"/>
          <w:b/>
          <w:szCs w:val="24"/>
        </w:rPr>
      </w:pPr>
      <w:bookmarkStart w:id="94" w:name="_Ref104805262"/>
      <w:r w:rsidRPr="00C13E80">
        <w:t xml:space="preserve">Table </w:t>
      </w:r>
      <w:r w:rsidR="00567EAC">
        <w:fldChar w:fldCharType="begin" w:fldLock="1"/>
      </w:r>
      <w:r w:rsidR="00567EAC">
        <w:instrText xml:space="preserve"> SEQ Table \* ARABIC </w:instrText>
      </w:r>
      <w:r w:rsidR="00567EAC">
        <w:fldChar w:fldCharType="separate"/>
      </w:r>
      <w:r w:rsidR="00701DEF">
        <w:rPr>
          <w:noProof/>
        </w:rPr>
        <w:t>16</w:t>
      </w:r>
      <w:r w:rsidR="00567EAC">
        <w:rPr>
          <w:noProof/>
        </w:rPr>
        <w:fldChar w:fldCharType="end"/>
      </w:r>
      <w:bookmarkEnd w:id="94"/>
      <w:r w:rsidRPr="00C13E80">
        <w:t>:</w:t>
      </w:r>
      <w:r w:rsidRPr="00C13E80">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811"/>
        <w:gridCol w:w="3493"/>
      </w:tblGrid>
      <w:tr w:rsidR="004F0751" w:rsidRPr="00C13E80" w14:paraId="2AC939C2" w14:textId="77777777" w:rsidTr="006441F7">
        <w:trPr>
          <w:tblHeader/>
        </w:trPr>
        <w:tc>
          <w:tcPr>
            <w:tcW w:w="950" w:type="pct"/>
            <w:shd w:val="clear" w:color="auto" w:fill="D9D9D9" w:themeFill="background1" w:themeFillShade="D9"/>
            <w:vAlign w:val="center"/>
          </w:tcPr>
          <w:p w14:paraId="01914523" w14:textId="77777777" w:rsidR="00D55A10" w:rsidRPr="00C13E80" w:rsidRDefault="00D55A10" w:rsidP="00A4490C">
            <w:pPr>
              <w:pStyle w:val="In-tableHeading"/>
              <w:rPr>
                <w:lang w:val="en-AU"/>
              </w:rPr>
            </w:pPr>
            <w:r w:rsidRPr="00C13E80">
              <w:rPr>
                <w:lang w:val="en-AU"/>
              </w:rPr>
              <w:t>Parameter</w:t>
            </w:r>
          </w:p>
        </w:tc>
        <w:tc>
          <w:tcPr>
            <w:tcW w:w="2113" w:type="pct"/>
            <w:shd w:val="clear" w:color="auto" w:fill="D9D9D9" w:themeFill="background1" w:themeFillShade="D9"/>
            <w:vAlign w:val="center"/>
          </w:tcPr>
          <w:p w14:paraId="3D15FD7F" w14:textId="77777777" w:rsidR="00D55A10" w:rsidRPr="00C13E80" w:rsidRDefault="00D55A10" w:rsidP="00A4490C">
            <w:pPr>
              <w:pStyle w:val="In-tableHeading"/>
              <w:rPr>
                <w:lang w:val="en-AU"/>
              </w:rPr>
            </w:pPr>
            <w:r w:rsidRPr="00C13E80">
              <w:rPr>
                <w:lang w:val="en-AU"/>
              </w:rPr>
              <w:t>Value applied and source</w:t>
            </w:r>
          </w:p>
        </w:tc>
        <w:tc>
          <w:tcPr>
            <w:tcW w:w="1937" w:type="pct"/>
            <w:shd w:val="clear" w:color="auto" w:fill="D9D9D9" w:themeFill="background1" w:themeFillShade="D9"/>
            <w:vAlign w:val="center"/>
          </w:tcPr>
          <w:p w14:paraId="0FAACA4E" w14:textId="77777777" w:rsidR="00D55A10" w:rsidRPr="00C13E80" w:rsidRDefault="00D55A10" w:rsidP="00A4490C">
            <w:pPr>
              <w:pStyle w:val="In-tableHeading"/>
              <w:rPr>
                <w:lang w:val="en-AU"/>
              </w:rPr>
            </w:pPr>
            <w:r w:rsidRPr="00C13E80">
              <w:rPr>
                <w:lang w:val="en-AU"/>
              </w:rPr>
              <w:t>Comment</w:t>
            </w:r>
          </w:p>
        </w:tc>
      </w:tr>
      <w:tr w:rsidR="004F0751" w:rsidRPr="00C13E80" w14:paraId="3B220EA4" w14:textId="77777777" w:rsidTr="006441F7">
        <w:tc>
          <w:tcPr>
            <w:tcW w:w="950" w:type="pct"/>
            <w:shd w:val="clear" w:color="auto" w:fill="auto"/>
            <w:vAlign w:val="center"/>
          </w:tcPr>
          <w:p w14:paraId="2E8C905D" w14:textId="77777777" w:rsidR="00D55A10" w:rsidRPr="00C13E80" w:rsidRDefault="00D55A10" w:rsidP="00A4490C">
            <w:pPr>
              <w:pStyle w:val="TableText0"/>
            </w:pPr>
            <w:r w:rsidRPr="00C13E80">
              <w:t xml:space="preserve">Incident population diagnosed with </w:t>
            </w:r>
            <w:r w:rsidRPr="00C13E80">
              <w:rPr>
                <w:rStyle w:val="normaltextrun"/>
              </w:rPr>
              <w:t>COVID</w:t>
            </w:r>
            <w:r w:rsidRPr="00C13E80">
              <w:rPr>
                <w:rStyle w:val="normaltextrun"/>
              </w:rPr>
              <w:noBreakHyphen/>
              <w:t>19</w:t>
            </w:r>
          </w:p>
        </w:tc>
        <w:tc>
          <w:tcPr>
            <w:tcW w:w="2113" w:type="pct"/>
            <w:shd w:val="clear" w:color="auto" w:fill="auto"/>
            <w:vAlign w:val="center"/>
          </w:tcPr>
          <w:p w14:paraId="618AF9EE" w14:textId="17F16596" w:rsidR="00D55A10" w:rsidRPr="00C13E80" w:rsidRDefault="00D55A10" w:rsidP="00A4490C">
            <w:pPr>
              <w:pStyle w:val="TableText0"/>
            </w:pPr>
            <w:r w:rsidRPr="00C13E80">
              <w:t xml:space="preserve">Assumption of 4 waves of </w:t>
            </w:r>
            <w:r w:rsidRPr="00C13E80">
              <w:rPr>
                <w:rStyle w:val="normaltextrun"/>
              </w:rPr>
              <w:t>COVID</w:t>
            </w:r>
            <w:r w:rsidRPr="00C13E80">
              <w:rPr>
                <w:rStyle w:val="normaltextrun"/>
              </w:rPr>
              <w:noBreakHyphen/>
              <w:t xml:space="preserve">19 per year, each with a median duration of 14 weeks. The peak of each wave is assumed to occur at 7 </w:t>
            </w:r>
            <w:proofErr w:type="gramStart"/>
            <w:r w:rsidRPr="00C13E80">
              <w:rPr>
                <w:rStyle w:val="normaltextrun"/>
              </w:rPr>
              <w:t>weeks</w:t>
            </w:r>
            <w:proofErr w:type="gramEnd"/>
            <w:r w:rsidRPr="00C13E80">
              <w:rPr>
                <w:rStyle w:val="normaltextrun"/>
              </w:rPr>
              <w:t xml:space="preserve"> and it is assumed the amplitude of the wave is 3.65 times the pre-wave case numbers. The source of these estimates </w:t>
            </w:r>
            <w:r w:rsidR="00F870EA" w:rsidRPr="00C13E80">
              <w:rPr>
                <w:rStyle w:val="normaltextrun"/>
              </w:rPr>
              <w:t>is</w:t>
            </w:r>
            <w:r w:rsidRPr="00C13E80">
              <w:rPr>
                <w:rStyle w:val="normaltextrun"/>
              </w:rPr>
              <w:t xml:space="preserve"> modelling of COVID</w:t>
            </w:r>
            <w:r w:rsidRPr="00C13E80">
              <w:rPr>
                <w:rStyle w:val="normaltextrun"/>
              </w:rPr>
              <w:noBreakHyphen/>
              <w:t>19 cases in 15 countries as reported by the WHO.</w:t>
            </w:r>
          </w:p>
        </w:tc>
        <w:tc>
          <w:tcPr>
            <w:tcW w:w="1937" w:type="pct"/>
            <w:shd w:val="clear" w:color="auto" w:fill="auto"/>
            <w:vAlign w:val="center"/>
          </w:tcPr>
          <w:p w14:paraId="2BA2F781" w14:textId="66A46510" w:rsidR="00D55A10" w:rsidRPr="00C13E80" w:rsidRDefault="00D55A10" w:rsidP="00B160C0">
            <w:pPr>
              <w:pStyle w:val="TableText0"/>
              <w:rPr>
                <w:color w:val="000000" w:themeColor="text1"/>
              </w:rPr>
            </w:pPr>
            <w:r w:rsidRPr="00C13E80">
              <w:rPr>
                <w:rStyle w:val="normaltextrun"/>
              </w:rPr>
              <w:t>Potentially overestimated – if utilisation of the oral antivirals is correlated with number of cases of COVID</w:t>
            </w:r>
            <w:r w:rsidRPr="00C13E80">
              <w:rPr>
                <w:rStyle w:val="normaltextrun"/>
              </w:rPr>
              <w:noBreakHyphen/>
              <w:t xml:space="preserve">19 in the community, then </w:t>
            </w:r>
            <w:r w:rsidRPr="00C13E80">
              <w:rPr>
                <w:color w:val="000000" w:themeColor="text1"/>
              </w:rPr>
              <w:fldChar w:fldCharType="begin" w:fldLock="1"/>
            </w:r>
            <w:r w:rsidRPr="00C13E80">
              <w:rPr>
                <w:color w:val="000000" w:themeColor="text1"/>
              </w:rPr>
              <w:instrText xml:space="preserve"> REF _Ref134308795 \h  \* MERGEFORMAT </w:instrText>
            </w:r>
            <w:r w:rsidRPr="00C13E80">
              <w:rPr>
                <w:color w:val="000000" w:themeColor="text1"/>
              </w:rPr>
            </w:r>
            <w:r w:rsidRPr="00C13E80">
              <w:rPr>
                <w:color w:val="000000" w:themeColor="text1"/>
              </w:rPr>
              <w:fldChar w:fldCharType="separate"/>
            </w:r>
            <w:r w:rsidR="00701DEF" w:rsidRPr="00C13E80">
              <w:t xml:space="preserve">Figure </w:t>
            </w:r>
            <w:r w:rsidR="00701DEF">
              <w:t>1</w:t>
            </w:r>
            <w:r w:rsidRPr="00C13E80">
              <w:rPr>
                <w:color w:val="000000" w:themeColor="text1"/>
              </w:rPr>
              <w:fldChar w:fldCharType="end"/>
            </w:r>
            <w:r w:rsidRPr="00C13E80">
              <w:rPr>
                <w:color w:val="000000" w:themeColor="text1"/>
              </w:rPr>
              <w:t xml:space="preserve"> suggests that Australia experienced 2 major waves over this period. The validity of the assumption of 4 waves per year every year is uncertain</w:t>
            </w:r>
            <w:r w:rsidR="00B160C0" w:rsidRPr="00C13E80">
              <w:rPr>
                <w:color w:val="000000" w:themeColor="text1"/>
              </w:rPr>
              <w:t xml:space="preserve"> and results in a high utilisation estimate per year (56 weeks; 4 waves x 14 weeks)</w:t>
            </w:r>
            <w:r w:rsidR="00F870EA" w:rsidRPr="00C13E80">
              <w:rPr>
                <w:color w:val="000000" w:themeColor="text1"/>
              </w:rPr>
              <w:t xml:space="preserve">. </w:t>
            </w:r>
            <w:r w:rsidRPr="00C13E80">
              <w:rPr>
                <w:color w:val="000000" w:themeColor="text1"/>
              </w:rPr>
              <w:t xml:space="preserve">The assumption that the peak of the wave is approximately 3.65 times the pre-wave case numbers </w:t>
            </w:r>
            <w:proofErr w:type="gramStart"/>
            <w:r w:rsidRPr="00C13E80">
              <w:rPr>
                <w:color w:val="000000" w:themeColor="text1"/>
              </w:rPr>
              <w:t>appears</w:t>
            </w:r>
            <w:proofErr w:type="gramEnd"/>
            <w:r w:rsidRPr="00C13E80">
              <w:rPr>
                <w:color w:val="000000" w:themeColor="text1"/>
              </w:rPr>
              <w:t xml:space="preserve"> to be reasonable.</w:t>
            </w:r>
            <w:r w:rsidR="00212282" w:rsidRPr="00C13E80">
              <w:rPr>
                <w:color w:val="000000" w:themeColor="text1"/>
              </w:rPr>
              <w:t xml:space="preserve"> </w:t>
            </w:r>
            <w:r w:rsidR="00631FFA" w:rsidRPr="00C13E80">
              <w:rPr>
                <w:rFonts w:eastAsia="MS Gothic" w:cs="Times New Roman"/>
              </w:rPr>
              <w:t xml:space="preserve">DUSC agreed with the commentary that this parameter </w:t>
            </w:r>
            <w:r w:rsidR="00B160C0" w:rsidRPr="00C13E80">
              <w:rPr>
                <w:rFonts w:eastAsia="MS Gothic" w:cs="Times New Roman"/>
              </w:rPr>
              <w:t>wa</w:t>
            </w:r>
            <w:r w:rsidR="00631FFA" w:rsidRPr="00C13E80">
              <w:rPr>
                <w:rFonts w:eastAsia="MS Gothic" w:cs="Times New Roman"/>
              </w:rPr>
              <w:t>s overestimated. DUSC considered whether modelling based on influenza could be used.</w:t>
            </w:r>
          </w:p>
        </w:tc>
      </w:tr>
      <w:tr w:rsidR="004F0751" w:rsidRPr="00C13E80" w14:paraId="4D67D320" w14:textId="77777777" w:rsidTr="006441F7">
        <w:tc>
          <w:tcPr>
            <w:tcW w:w="950" w:type="pct"/>
            <w:shd w:val="clear" w:color="auto" w:fill="auto"/>
            <w:vAlign w:val="center"/>
          </w:tcPr>
          <w:p w14:paraId="15B135F5" w14:textId="77777777" w:rsidR="00D55A10" w:rsidRPr="00C13E80" w:rsidRDefault="00D55A10" w:rsidP="00A4490C">
            <w:pPr>
              <w:pStyle w:val="TableText0"/>
            </w:pPr>
            <w:r w:rsidRPr="00C13E80">
              <w:t>Proportion dispensed oral antivirals</w:t>
            </w:r>
          </w:p>
        </w:tc>
        <w:tc>
          <w:tcPr>
            <w:tcW w:w="2113" w:type="pct"/>
            <w:shd w:val="clear" w:color="auto" w:fill="auto"/>
            <w:vAlign w:val="center"/>
          </w:tcPr>
          <w:p w14:paraId="4A6FBD3D" w14:textId="77777777" w:rsidR="00D55A10" w:rsidRPr="00C13E80" w:rsidRDefault="00D55A10" w:rsidP="00A4490C">
            <w:pPr>
              <w:pStyle w:val="TableText0"/>
            </w:pPr>
            <w:r w:rsidRPr="00C13E80">
              <w:t xml:space="preserve">Assumption - 18% of all patients diagnosed with </w:t>
            </w:r>
            <w:r w:rsidRPr="00C13E80">
              <w:rPr>
                <w:rStyle w:val="normaltextrun"/>
              </w:rPr>
              <w:t>COVID</w:t>
            </w:r>
            <w:r w:rsidRPr="00C13E80">
              <w:rPr>
                <w:rStyle w:val="normaltextrun"/>
              </w:rPr>
              <w:noBreakHyphen/>
              <w:t>19 would be dispensed an oral antiviral. The source of this estimate is derived based on utilisation of oral antivirals between July 2022 and September 2022. July 2022 was selected because availability of the antivirals was expanded at this time and September 2022 was selected as the end of the period because it was the last month of mandatory reporting of COVID</w:t>
            </w:r>
            <w:r w:rsidRPr="00C13E80">
              <w:rPr>
                <w:rStyle w:val="normaltextrun"/>
              </w:rPr>
              <w:noBreakHyphen/>
              <w:t>19.</w:t>
            </w:r>
          </w:p>
        </w:tc>
        <w:tc>
          <w:tcPr>
            <w:tcW w:w="1937" w:type="pct"/>
            <w:shd w:val="clear" w:color="auto" w:fill="auto"/>
            <w:vAlign w:val="center"/>
          </w:tcPr>
          <w:p w14:paraId="3BBBA0B5" w14:textId="04BE8386" w:rsidR="00631FFA" w:rsidRPr="00C13E80" w:rsidRDefault="00D55A10" w:rsidP="00A4490C">
            <w:pPr>
              <w:pStyle w:val="TableText0"/>
            </w:pPr>
            <w:r w:rsidRPr="00C13E80">
              <w:t>Potentially overestimated. As noted by the submission, the actual proportion of cases dispensed an oral antiviral over this period was 14%. The submission increases this estimate to 18% (i.e., a 28.6% increase on the observed estimate) on the basis of GP and patient familiarity with antivirals and impact of campaigns on the availability of antivirals.</w:t>
            </w:r>
            <w:r w:rsidR="00212282" w:rsidRPr="00C13E80">
              <w:t xml:space="preserve"> </w:t>
            </w:r>
            <w:r w:rsidR="00631FFA" w:rsidRPr="00C13E80">
              <w:rPr>
                <w:rFonts w:eastAsia="MS Gothic" w:cs="Times New Roman"/>
              </w:rPr>
              <w:t>DUSC agreed with the commentary.</w:t>
            </w:r>
          </w:p>
        </w:tc>
      </w:tr>
      <w:tr w:rsidR="004F0751" w:rsidRPr="00C13E80" w14:paraId="5A65A01E" w14:textId="77777777" w:rsidTr="006441F7">
        <w:tc>
          <w:tcPr>
            <w:tcW w:w="950" w:type="pct"/>
            <w:shd w:val="clear" w:color="auto" w:fill="auto"/>
            <w:vAlign w:val="center"/>
          </w:tcPr>
          <w:p w14:paraId="305AED0F" w14:textId="77777777" w:rsidR="00D55A10" w:rsidRPr="00C13E80" w:rsidRDefault="00D55A10" w:rsidP="0052511B">
            <w:pPr>
              <w:pStyle w:val="TableText0"/>
              <w:keepNext w:val="0"/>
            </w:pPr>
            <w:r w:rsidRPr="00C13E80">
              <w:t>Market share</w:t>
            </w:r>
          </w:p>
        </w:tc>
        <w:tc>
          <w:tcPr>
            <w:tcW w:w="2113" w:type="pct"/>
            <w:shd w:val="clear" w:color="auto" w:fill="auto"/>
            <w:vAlign w:val="center"/>
          </w:tcPr>
          <w:p w14:paraId="2B452D92" w14:textId="09E1DA12" w:rsidR="00D55A10" w:rsidRPr="00C13E80" w:rsidRDefault="00D55A10" w:rsidP="0052511B">
            <w:pPr>
              <w:pStyle w:val="TableText0"/>
              <w:keepNext w:val="0"/>
            </w:pPr>
            <w:r w:rsidRPr="00C13E80">
              <w:t xml:space="preserve">Molnupiravir is assumed to capture </w:t>
            </w:r>
            <w:r w:rsidR="00573190" w:rsidRPr="00573190">
              <w:rPr>
                <w:color w:val="000000"/>
                <w:spacing w:val="51"/>
                <w:shd w:val="solid" w:color="000000" w:fill="000000"/>
                <w:fitText w:val="326" w:id="-1168357886"/>
                <w14:textFill>
                  <w14:solidFill>
                    <w14:srgbClr w14:val="000000">
                      <w14:alpha w14:val="100000"/>
                    </w14:srgbClr>
                  </w14:solidFill>
                </w14:textFill>
              </w:rPr>
              <w:t>|||</w:t>
            </w:r>
            <w:r w:rsidR="00573190" w:rsidRPr="00573190">
              <w:rPr>
                <w:color w:val="000000"/>
                <w:spacing w:val="3"/>
                <w:shd w:val="solid" w:color="000000" w:fill="000000"/>
                <w:fitText w:val="326" w:id="-1168357886"/>
                <w14:textFill>
                  <w14:solidFill>
                    <w14:srgbClr w14:val="000000">
                      <w14:alpha w14:val="100000"/>
                    </w14:srgbClr>
                  </w14:solidFill>
                </w14:textFill>
              </w:rPr>
              <w:t>|</w:t>
            </w:r>
            <w:r w:rsidRPr="00FD755C">
              <w:t>%</w:t>
            </w:r>
            <w:r w:rsidRPr="001F59EF">
              <w:t xml:space="preserve"> of</w:t>
            </w:r>
            <w:r w:rsidRPr="00C13E80">
              <w:t xml:space="preserve"> the oral antiviral market.</w:t>
            </w:r>
          </w:p>
        </w:tc>
        <w:tc>
          <w:tcPr>
            <w:tcW w:w="1937" w:type="pct"/>
            <w:shd w:val="clear" w:color="auto" w:fill="auto"/>
            <w:vAlign w:val="center"/>
          </w:tcPr>
          <w:p w14:paraId="17F1FAB4" w14:textId="443BDB9B" w:rsidR="00631FFA" w:rsidRPr="00C13E80" w:rsidRDefault="00631FFA" w:rsidP="0052511B">
            <w:pPr>
              <w:pStyle w:val="TableText0"/>
              <w:keepNext w:val="0"/>
            </w:pPr>
            <w:r w:rsidRPr="00C13E80">
              <w:rPr>
                <w:rFonts w:eastAsia="MS Gothic"/>
              </w:rPr>
              <w:t xml:space="preserve">DUSC considered this assumption would be overestimated if treatment guidelines are followed, as contraindicated medicines can be withheld during treatment with </w:t>
            </w:r>
            <w:r w:rsidR="008C6C0D" w:rsidRPr="00C13E80">
              <w:rPr>
                <w:rFonts w:eastAsia="MS Gothic"/>
              </w:rPr>
              <w:t>nirmatrelvir and ritonavir</w:t>
            </w:r>
            <w:r w:rsidRPr="00C13E80">
              <w:rPr>
                <w:rFonts w:eastAsia="MS Gothic"/>
              </w:rPr>
              <w:t xml:space="preserve">. </w:t>
            </w:r>
            <w:r w:rsidRPr="00C13E80">
              <w:rPr>
                <w:color w:val="000000" w:themeColor="text1"/>
                <w:szCs w:val="20"/>
              </w:rPr>
              <w:t xml:space="preserve">DUSC considered other administrative changes could be attributed to the change in market share. DUSC noted in February 2023, the PBS listing of </w:t>
            </w:r>
            <w:r w:rsidR="008C6C0D" w:rsidRPr="00C13E80">
              <w:rPr>
                <w:rFonts w:eastAsia="MS Gothic"/>
              </w:rPr>
              <w:t>nirmatrelvir and ritonavir</w:t>
            </w:r>
            <w:r w:rsidR="00212282" w:rsidRPr="00C13E80">
              <w:rPr>
                <w:color w:val="000000" w:themeColor="text1"/>
                <w:szCs w:val="20"/>
              </w:rPr>
              <w:t xml:space="preserve"> </w:t>
            </w:r>
            <w:r w:rsidRPr="00C13E80">
              <w:rPr>
                <w:color w:val="000000" w:themeColor="text1"/>
                <w:szCs w:val="20"/>
              </w:rPr>
              <w:t xml:space="preserve">was extended to include patients aged 60-69 years with mild to moderate COVID-19 and one additional risk </w:t>
            </w:r>
            <w:r w:rsidRPr="00C13E80">
              <w:rPr>
                <w:rFonts w:eastAsia="MS Gothic"/>
              </w:rPr>
              <w:t>factor until Commonwealth purchased stock is exhausted or has expired. Additionally, DUSC noted utilisation data to be immature in a dynamic disease market</w:t>
            </w:r>
            <w:r w:rsidR="00F870EA" w:rsidRPr="00C13E80">
              <w:rPr>
                <w:rFonts w:eastAsia="MS Gothic"/>
              </w:rPr>
              <w:t xml:space="preserve">. </w:t>
            </w:r>
          </w:p>
        </w:tc>
      </w:tr>
      <w:tr w:rsidR="004F0751" w:rsidRPr="00C13E80" w14:paraId="32801943" w14:textId="77777777" w:rsidTr="006441F7">
        <w:tc>
          <w:tcPr>
            <w:tcW w:w="950" w:type="pct"/>
            <w:shd w:val="clear" w:color="auto" w:fill="auto"/>
            <w:vAlign w:val="center"/>
          </w:tcPr>
          <w:p w14:paraId="59074A45" w14:textId="77777777" w:rsidR="00D55A10" w:rsidRPr="00C13E80" w:rsidRDefault="00D55A10" w:rsidP="006441F7">
            <w:pPr>
              <w:pStyle w:val="TableText0"/>
            </w:pPr>
            <w:r w:rsidRPr="00C13E80">
              <w:lastRenderedPageBreak/>
              <w:t>Supply for Prescriber bags</w:t>
            </w:r>
          </w:p>
        </w:tc>
        <w:tc>
          <w:tcPr>
            <w:tcW w:w="2113" w:type="pct"/>
            <w:shd w:val="clear" w:color="auto" w:fill="auto"/>
            <w:vAlign w:val="center"/>
          </w:tcPr>
          <w:p w14:paraId="07B922DE" w14:textId="77777777" w:rsidR="00D55A10" w:rsidRPr="00C13E80" w:rsidRDefault="00D55A10" w:rsidP="006441F7">
            <w:pPr>
              <w:pStyle w:val="TableText0"/>
            </w:pPr>
            <w:r w:rsidRPr="00C13E80">
              <w:t>The submission assumes the prescriptions for molnupiravir for prescriber bags will represent 2.9% of all prescriptions for molnupiravir in each of the forward years. The source for this estimate is the split of prescriptions from November and December 2022 (given that molnupiravir has only been able to be prescribed for inclusion in prescriber bags since November 2022).</w:t>
            </w:r>
          </w:p>
        </w:tc>
        <w:tc>
          <w:tcPr>
            <w:tcW w:w="1937" w:type="pct"/>
            <w:shd w:val="clear" w:color="auto" w:fill="auto"/>
            <w:vAlign w:val="center"/>
          </w:tcPr>
          <w:p w14:paraId="647B6468" w14:textId="3FD3691E" w:rsidR="00631FFA" w:rsidRPr="00C13E80" w:rsidRDefault="00D81ABE" w:rsidP="006441F7">
            <w:pPr>
              <w:pStyle w:val="TableText0"/>
            </w:pPr>
            <w:r w:rsidRPr="00C13E80">
              <w:t>This may be an over-estimate as the proposed percentage may include initial uptake to stock prescriber’s bags, rather than treating presenting patients.</w:t>
            </w:r>
            <w:r w:rsidR="00DD467C">
              <w:t xml:space="preserve"> </w:t>
            </w:r>
            <w:r w:rsidRPr="00C13E80">
              <w:t>This will diminish to a level which is replacement of used/expired units in the future.</w:t>
            </w:r>
          </w:p>
        </w:tc>
      </w:tr>
      <w:tr w:rsidR="004F0751" w:rsidRPr="00C13E80" w14:paraId="78A2C63F" w14:textId="77777777" w:rsidTr="006441F7">
        <w:tc>
          <w:tcPr>
            <w:tcW w:w="950" w:type="pct"/>
            <w:shd w:val="clear" w:color="auto" w:fill="auto"/>
            <w:vAlign w:val="center"/>
          </w:tcPr>
          <w:p w14:paraId="47469552" w14:textId="77777777" w:rsidR="00D55A10" w:rsidRPr="00C13E80" w:rsidRDefault="00D55A10" w:rsidP="00A4490C">
            <w:pPr>
              <w:pStyle w:val="TableText0"/>
            </w:pPr>
            <w:r w:rsidRPr="00C13E80">
              <w:t>PBS utilisation approach</w:t>
            </w:r>
          </w:p>
        </w:tc>
        <w:tc>
          <w:tcPr>
            <w:tcW w:w="2113" w:type="pct"/>
            <w:shd w:val="clear" w:color="auto" w:fill="auto"/>
            <w:vAlign w:val="center"/>
          </w:tcPr>
          <w:p w14:paraId="79DB47C6" w14:textId="4ABCFCBE" w:rsidR="00D55A10" w:rsidRPr="00C13E80" w:rsidRDefault="00D55A10" w:rsidP="00A4490C">
            <w:pPr>
              <w:pStyle w:val="TableText0"/>
            </w:pPr>
            <w:r w:rsidRPr="00C13E80">
              <w:t xml:space="preserve">The submission assumes utilisation of oral antivirals, as observed from July 2022 (where the restrictions for access to the antivirals was expanded) through to December 2022 could be a basis for estimating utilisation in the future. It </w:t>
            </w:r>
            <w:r w:rsidR="00212282" w:rsidRPr="00C13E80">
              <w:t>was</w:t>
            </w:r>
            <w:r w:rsidRPr="00C13E80">
              <w:t xml:space="preserve"> assumed that utilisation will be double the observed utilisation observed over these six months. In addition, population growth at 1.3%, consistent with ABS statistics is applied.</w:t>
            </w:r>
          </w:p>
        </w:tc>
        <w:tc>
          <w:tcPr>
            <w:tcW w:w="1937" w:type="pct"/>
            <w:shd w:val="clear" w:color="auto" w:fill="auto"/>
            <w:vAlign w:val="center"/>
          </w:tcPr>
          <w:p w14:paraId="0E654421" w14:textId="44C39794" w:rsidR="00D55A10" w:rsidRPr="00C13E80" w:rsidRDefault="00D55A10" w:rsidP="00A4490C">
            <w:pPr>
              <w:pStyle w:val="TableText0"/>
              <w:rPr>
                <w:rStyle w:val="normaltextrun"/>
              </w:rPr>
            </w:pPr>
            <w:r w:rsidRPr="00C13E80">
              <w:t xml:space="preserve">Likely overestimated. As can be seen from </w:t>
            </w:r>
            <w:r w:rsidRPr="00C13E80">
              <w:fldChar w:fldCharType="begin" w:fldLock="1"/>
            </w:r>
            <w:r w:rsidRPr="00C13E80">
              <w:instrText xml:space="preserve"> REF _Ref134308795 \h  \* MERGEFORMAT </w:instrText>
            </w:r>
            <w:r w:rsidRPr="00C13E80">
              <w:fldChar w:fldCharType="separate"/>
            </w:r>
            <w:r w:rsidR="00701DEF" w:rsidRPr="00C13E80">
              <w:t xml:space="preserve">Figure </w:t>
            </w:r>
            <w:r w:rsidR="00701DEF">
              <w:t>1</w:t>
            </w:r>
            <w:r w:rsidRPr="00C13E80">
              <w:fldChar w:fldCharType="end"/>
            </w:r>
            <w:r w:rsidRPr="00C13E80">
              <w:t xml:space="preserve">, most of the period between July and December 2022, Australia was in the peak of a wave of </w:t>
            </w:r>
            <w:r w:rsidRPr="00C13E80">
              <w:rPr>
                <w:rStyle w:val="normaltextrun"/>
              </w:rPr>
              <w:t>COVID</w:t>
            </w:r>
            <w:r w:rsidRPr="00C13E80">
              <w:rPr>
                <w:rStyle w:val="normaltextrun"/>
              </w:rPr>
              <w:noBreakHyphen/>
              <w:t>19.</w:t>
            </w:r>
          </w:p>
          <w:p w14:paraId="5EE9774D" w14:textId="77777777" w:rsidR="00631FFA" w:rsidRPr="00C13E80" w:rsidRDefault="00631FFA" w:rsidP="00A4490C">
            <w:pPr>
              <w:pStyle w:val="TableText0"/>
              <w:rPr>
                <w:rStyle w:val="normaltextrun"/>
              </w:rPr>
            </w:pPr>
          </w:p>
          <w:p w14:paraId="6C5D60BA" w14:textId="0CF162DC" w:rsidR="00631FFA" w:rsidRPr="00C13E80" w:rsidRDefault="00631FFA" w:rsidP="00A4490C">
            <w:pPr>
              <w:pStyle w:val="TableText0"/>
            </w:pPr>
            <w:r w:rsidRPr="00C13E80">
              <w:rPr>
                <w:rFonts w:eastAsia="MS Gothic" w:cs="Times New Roman"/>
              </w:rPr>
              <w:t>DUSC noted the population growth assumption of 1.3%</w:t>
            </w:r>
            <w:r w:rsidR="00DD467C">
              <w:rPr>
                <w:rFonts w:eastAsia="MS Gothic" w:cs="Times New Roman"/>
              </w:rPr>
              <w:t xml:space="preserve"> </w:t>
            </w:r>
            <w:r w:rsidRPr="00C13E80">
              <w:rPr>
                <w:rFonts w:eastAsia="MS Gothic" w:cs="Times New Roman"/>
              </w:rPr>
              <w:t xml:space="preserve">is based on the total general population and commented that this figure </w:t>
            </w:r>
            <w:r w:rsidR="00212282" w:rsidRPr="00C13E80">
              <w:rPr>
                <w:rFonts w:eastAsia="MS Gothic" w:cs="Times New Roman"/>
              </w:rPr>
              <w:t>was</w:t>
            </w:r>
            <w:r w:rsidRPr="00C13E80">
              <w:rPr>
                <w:rFonts w:eastAsia="MS Gothic" w:cs="Times New Roman"/>
              </w:rPr>
              <w:t xml:space="preserve"> likely underestimated as molnupiravir would likely be used in older patients. </w:t>
            </w:r>
          </w:p>
        </w:tc>
      </w:tr>
    </w:tbl>
    <w:p w14:paraId="2C4B8356" w14:textId="77777777" w:rsidR="00D55A10" w:rsidRPr="00C13E80" w:rsidRDefault="00D55A10" w:rsidP="00D55A10">
      <w:pPr>
        <w:pStyle w:val="FooterTableFigure"/>
      </w:pPr>
      <w:r w:rsidRPr="00C13E80">
        <w:t>Abbreviations: WHO = World Health Organization</w:t>
      </w:r>
    </w:p>
    <w:p w14:paraId="67FA5281" w14:textId="5050A214" w:rsidR="00D55A10" w:rsidRPr="00C13E80" w:rsidRDefault="00D55A10" w:rsidP="00D55A10">
      <w:pPr>
        <w:pStyle w:val="FooterTableFigure"/>
      </w:pPr>
      <w:r w:rsidRPr="00C13E80">
        <w:t>Source: Section 4.2 of the submission</w:t>
      </w:r>
    </w:p>
    <w:p w14:paraId="093C1E05" w14:textId="7DD6BA8D" w:rsidR="00D55A10" w:rsidRPr="00C13E80" w:rsidRDefault="00D55A10" w:rsidP="00B46FE9">
      <w:pPr>
        <w:pStyle w:val="3-BodyText"/>
      </w:pPr>
      <w:r w:rsidRPr="00C13E80">
        <w:fldChar w:fldCharType="begin" w:fldLock="1"/>
      </w:r>
      <w:r w:rsidRPr="00C13E80">
        <w:instrText xml:space="preserve"> REF _Ref104805295 \h </w:instrText>
      </w:r>
      <w:r w:rsidRPr="00C13E80">
        <w:fldChar w:fldCharType="separate"/>
      </w:r>
      <w:r w:rsidR="00701DEF" w:rsidRPr="00C13E80">
        <w:t xml:space="preserve">Table </w:t>
      </w:r>
      <w:r w:rsidR="00701DEF">
        <w:rPr>
          <w:noProof/>
        </w:rPr>
        <w:t>17</w:t>
      </w:r>
      <w:r w:rsidRPr="00C13E80">
        <w:fldChar w:fldCharType="end"/>
      </w:r>
      <w:r w:rsidRPr="00C13E80">
        <w:t xml:space="preserve"> summarises the estimated extent of use of molnupiravir from 2024 to 2029 (inclusive) and the associated financial implications. For reference, the number of PBS/RPBS prescriptions dispensed for molnupiravir in the year ending 31</w:t>
      </w:r>
      <w:r w:rsidR="00F74A5A">
        <w:t> </w:t>
      </w:r>
      <w:r w:rsidRPr="00C13E80">
        <w:t>March</w:t>
      </w:r>
      <w:r w:rsidR="00F74A5A">
        <w:t> </w:t>
      </w:r>
      <w:r w:rsidRPr="00C13E80">
        <w:t>2023 was 502,858 and total expenditure on molnupiravir over the same period was approximately $564 million. For the majority of this time, no administrative note suggesting that molnupiravir should be considered for use only if nirmatrelvir and ritonavir is contraindicated or otherwise unsuitable was in place (the administrative note was added in January 2023). However, the restrictions applying through to July</w:t>
      </w:r>
      <w:r w:rsidR="00F74A5A">
        <w:t> </w:t>
      </w:r>
      <w:r w:rsidRPr="00C13E80">
        <w:t>2022 were also more stringent than the current restrictions. Although it is acknowledged that it is difficult to predict utilisation of oral antivirals in the future, the estimates projected by the submission are likely to be overestimates.</w:t>
      </w:r>
    </w:p>
    <w:p w14:paraId="625862A8" w14:textId="3ADECD88" w:rsidR="00D55A10" w:rsidRPr="00C13E80" w:rsidRDefault="00D55A10" w:rsidP="00D55A10">
      <w:pPr>
        <w:pStyle w:val="Caption"/>
      </w:pPr>
      <w:bookmarkStart w:id="95" w:name="_Ref104805295"/>
      <w:r w:rsidRPr="00C13E80">
        <w:t xml:space="preserve">Table </w:t>
      </w:r>
      <w:r w:rsidR="00567EAC">
        <w:fldChar w:fldCharType="begin" w:fldLock="1"/>
      </w:r>
      <w:r w:rsidR="00567EAC">
        <w:instrText xml:space="preserve"> SEQ Table \* ARABIC </w:instrText>
      </w:r>
      <w:r w:rsidR="00567EAC">
        <w:fldChar w:fldCharType="separate"/>
      </w:r>
      <w:r w:rsidR="00701DEF">
        <w:rPr>
          <w:noProof/>
        </w:rPr>
        <w:t>17</w:t>
      </w:r>
      <w:r w:rsidR="00567EAC">
        <w:rPr>
          <w:noProof/>
        </w:rPr>
        <w:fldChar w:fldCharType="end"/>
      </w:r>
      <w:bookmarkEnd w:id="95"/>
      <w:r w:rsidRPr="00C13E80">
        <w:t>:</w:t>
      </w:r>
      <w:r w:rsidRPr="00C13E80">
        <w:rPr>
          <w:rStyle w:val="CommentReference"/>
          <w:b/>
          <w:szCs w:val="24"/>
        </w:rPr>
        <w:t xml:space="preserve"> Estimated use and financial implications based on the proposed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A0C6E" w:rsidRPr="00C13E80" w14:paraId="7D99BAFF" w14:textId="77777777" w:rsidTr="00A4490C">
        <w:trPr>
          <w:tblHeader/>
        </w:trPr>
        <w:tc>
          <w:tcPr>
            <w:tcW w:w="1334" w:type="pct"/>
            <w:shd w:val="clear" w:color="auto" w:fill="auto"/>
            <w:vAlign w:val="center"/>
          </w:tcPr>
          <w:p w14:paraId="73CDB3C0" w14:textId="77777777" w:rsidR="00D55A10" w:rsidRPr="00C13E80" w:rsidRDefault="00D55A10" w:rsidP="00A4490C">
            <w:pPr>
              <w:pStyle w:val="In-tableHeading"/>
              <w:jc w:val="center"/>
              <w:rPr>
                <w:lang w:val="en-AU"/>
              </w:rPr>
            </w:pPr>
          </w:p>
        </w:tc>
        <w:tc>
          <w:tcPr>
            <w:tcW w:w="611" w:type="pct"/>
            <w:shd w:val="clear" w:color="auto" w:fill="auto"/>
            <w:vAlign w:val="center"/>
          </w:tcPr>
          <w:p w14:paraId="3575BC18" w14:textId="77777777" w:rsidR="00D55A10" w:rsidRPr="00C13E80" w:rsidRDefault="00D55A10" w:rsidP="00A4490C">
            <w:pPr>
              <w:pStyle w:val="In-tableHeading"/>
              <w:jc w:val="center"/>
              <w:rPr>
                <w:lang w:val="en-AU"/>
              </w:rPr>
            </w:pPr>
            <w:r w:rsidRPr="00C13E80">
              <w:rPr>
                <w:lang w:val="en-AU"/>
              </w:rPr>
              <w:t>Year 1</w:t>
            </w:r>
          </w:p>
        </w:tc>
        <w:tc>
          <w:tcPr>
            <w:tcW w:w="611" w:type="pct"/>
            <w:shd w:val="clear" w:color="auto" w:fill="auto"/>
            <w:vAlign w:val="center"/>
          </w:tcPr>
          <w:p w14:paraId="00BDBB91" w14:textId="77777777" w:rsidR="00D55A10" w:rsidRPr="00C13E80" w:rsidRDefault="00D55A10" w:rsidP="00A4490C">
            <w:pPr>
              <w:pStyle w:val="In-tableHeading"/>
              <w:jc w:val="center"/>
              <w:rPr>
                <w:lang w:val="en-AU"/>
              </w:rPr>
            </w:pPr>
            <w:r w:rsidRPr="00C13E80">
              <w:rPr>
                <w:lang w:val="en-AU"/>
              </w:rPr>
              <w:t>Year 2</w:t>
            </w:r>
          </w:p>
        </w:tc>
        <w:tc>
          <w:tcPr>
            <w:tcW w:w="611" w:type="pct"/>
            <w:shd w:val="clear" w:color="auto" w:fill="auto"/>
            <w:vAlign w:val="center"/>
          </w:tcPr>
          <w:p w14:paraId="09D14ACC" w14:textId="77777777" w:rsidR="00D55A10" w:rsidRPr="00C13E80" w:rsidRDefault="00D55A10" w:rsidP="00A4490C">
            <w:pPr>
              <w:pStyle w:val="In-tableHeading"/>
              <w:jc w:val="center"/>
              <w:rPr>
                <w:lang w:val="en-AU"/>
              </w:rPr>
            </w:pPr>
            <w:r w:rsidRPr="00C13E80">
              <w:rPr>
                <w:lang w:val="en-AU"/>
              </w:rPr>
              <w:t>Year 3</w:t>
            </w:r>
          </w:p>
        </w:tc>
        <w:tc>
          <w:tcPr>
            <w:tcW w:w="611" w:type="pct"/>
            <w:shd w:val="clear" w:color="auto" w:fill="auto"/>
            <w:vAlign w:val="center"/>
          </w:tcPr>
          <w:p w14:paraId="3D2F3287" w14:textId="77777777" w:rsidR="00D55A10" w:rsidRPr="00C13E80" w:rsidRDefault="00D55A10" w:rsidP="00A4490C">
            <w:pPr>
              <w:pStyle w:val="In-tableHeading"/>
              <w:jc w:val="center"/>
              <w:rPr>
                <w:lang w:val="en-AU"/>
              </w:rPr>
            </w:pPr>
            <w:r w:rsidRPr="00C13E80">
              <w:rPr>
                <w:lang w:val="en-AU"/>
              </w:rPr>
              <w:t>Year 4</w:t>
            </w:r>
          </w:p>
        </w:tc>
        <w:tc>
          <w:tcPr>
            <w:tcW w:w="611" w:type="pct"/>
            <w:shd w:val="clear" w:color="auto" w:fill="auto"/>
            <w:vAlign w:val="center"/>
          </w:tcPr>
          <w:p w14:paraId="56B22FC8" w14:textId="77777777" w:rsidR="00D55A10" w:rsidRPr="00C13E80" w:rsidRDefault="00D55A10" w:rsidP="00A4490C">
            <w:pPr>
              <w:pStyle w:val="In-tableHeading"/>
              <w:jc w:val="center"/>
              <w:rPr>
                <w:lang w:val="en-AU"/>
              </w:rPr>
            </w:pPr>
            <w:r w:rsidRPr="00C13E80">
              <w:rPr>
                <w:lang w:val="en-AU"/>
              </w:rPr>
              <w:t>Year 5</w:t>
            </w:r>
          </w:p>
        </w:tc>
        <w:tc>
          <w:tcPr>
            <w:tcW w:w="611" w:type="pct"/>
          </w:tcPr>
          <w:p w14:paraId="0CDFFFCC" w14:textId="77777777" w:rsidR="00D55A10" w:rsidRPr="00C13E80" w:rsidRDefault="00D55A10" w:rsidP="00A4490C">
            <w:pPr>
              <w:pStyle w:val="In-tableHeading"/>
              <w:jc w:val="center"/>
              <w:rPr>
                <w:lang w:val="en-AU"/>
              </w:rPr>
            </w:pPr>
            <w:r w:rsidRPr="00C13E80">
              <w:rPr>
                <w:lang w:val="en-AU"/>
              </w:rPr>
              <w:t>Year 6</w:t>
            </w:r>
          </w:p>
        </w:tc>
      </w:tr>
      <w:tr w:rsidR="003A0C6E" w:rsidRPr="00C13E80" w14:paraId="78D0B1D9" w14:textId="77777777" w:rsidTr="00A4490C">
        <w:tc>
          <w:tcPr>
            <w:tcW w:w="5000" w:type="pct"/>
            <w:gridSpan w:val="7"/>
            <w:shd w:val="clear" w:color="auto" w:fill="auto"/>
            <w:vAlign w:val="center"/>
          </w:tcPr>
          <w:p w14:paraId="255AB037" w14:textId="77777777" w:rsidR="00D55A10" w:rsidRPr="00C13E80" w:rsidRDefault="00D55A10" w:rsidP="00A4490C">
            <w:pPr>
              <w:pStyle w:val="In-tableHeading"/>
              <w:rPr>
                <w:bCs/>
                <w:color w:val="000000"/>
                <w:lang w:val="en-AU"/>
              </w:rPr>
            </w:pPr>
            <w:r w:rsidRPr="00C13E80">
              <w:rPr>
                <w:bCs/>
                <w:color w:val="000000"/>
                <w:lang w:val="en-AU"/>
              </w:rPr>
              <w:t>Estimated extent of use</w:t>
            </w:r>
          </w:p>
        </w:tc>
      </w:tr>
      <w:tr w:rsidR="003A0C6E" w:rsidRPr="00C13E80" w14:paraId="774D5712" w14:textId="77777777" w:rsidTr="00485C29">
        <w:tc>
          <w:tcPr>
            <w:tcW w:w="1334" w:type="pct"/>
            <w:shd w:val="clear" w:color="auto" w:fill="auto"/>
            <w:vAlign w:val="center"/>
          </w:tcPr>
          <w:p w14:paraId="265C0EE7" w14:textId="77777777" w:rsidR="00D55A10" w:rsidRPr="00C13E80" w:rsidRDefault="00D55A10" w:rsidP="00A4490C">
            <w:pPr>
              <w:pStyle w:val="TableText0"/>
              <w:rPr>
                <w:rFonts w:ascii="Times" w:hAnsi="Times"/>
              </w:rPr>
            </w:pPr>
            <w:r w:rsidRPr="00C13E80">
              <w:t>Number of PBS/RPBS prescriptions</w:t>
            </w:r>
          </w:p>
        </w:tc>
        <w:tc>
          <w:tcPr>
            <w:tcW w:w="611" w:type="pct"/>
            <w:shd w:val="clear" w:color="auto" w:fill="auto"/>
            <w:vAlign w:val="center"/>
          </w:tcPr>
          <w:p w14:paraId="34B46BBE" w14:textId="3F745E0A" w:rsidR="00D55A10" w:rsidRPr="00485C29" w:rsidRDefault="00573190" w:rsidP="00485C29">
            <w:pPr>
              <w:pStyle w:val="TableText0"/>
              <w:jc w:val="center"/>
              <w:rPr>
                <w:color w:val="000000"/>
                <w:vertAlign w:val="superscript"/>
              </w:rPr>
            </w:pPr>
            <w:r w:rsidRPr="00573190">
              <w:rPr>
                <w:rFonts w:hint="eastAsia"/>
                <w:color w:val="000000"/>
                <w:w w:val="15"/>
                <w:shd w:val="solid" w:color="000000" w:fill="000000"/>
                <w:fitText w:val="68" w:id="-1168357885"/>
                <w14:textFill>
                  <w14:solidFill>
                    <w14:srgbClr w14:val="000000">
                      <w14:alpha w14:val="100000"/>
                    </w14:srgbClr>
                  </w14:solidFill>
                </w14:textFill>
              </w:rPr>
              <w:t xml:space="preserve">　</w:t>
            </w:r>
            <w:r w:rsidRPr="00573190">
              <w:rPr>
                <w:color w:val="000000"/>
                <w:w w:val="15"/>
                <w:shd w:val="solid" w:color="000000" w:fill="000000"/>
                <w:fitText w:val="68" w:id="-1168357885"/>
                <w14:textFill>
                  <w14:solidFill>
                    <w14:srgbClr w14:val="000000">
                      <w14:alpha w14:val="100000"/>
                    </w14:srgbClr>
                  </w14:solidFill>
                </w14:textFill>
              </w:rPr>
              <w:t>|</w:t>
            </w:r>
            <w:r w:rsidRPr="00573190">
              <w:rPr>
                <w:rFonts w:hint="eastAsia"/>
                <w:color w:val="000000"/>
                <w:spacing w:val="2"/>
                <w:w w:val="15"/>
                <w:shd w:val="solid" w:color="000000" w:fill="000000"/>
                <w:fitText w:val="68" w:id="-1168357885"/>
                <w14:textFill>
                  <w14:solidFill>
                    <w14:srgbClr w14:val="000000">
                      <w14:alpha w14:val="100000"/>
                    </w14:srgbClr>
                  </w14:solidFill>
                </w14:textFill>
              </w:rPr>
              <w:t xml:space="preserve">　</w:t>
            </w:r>
            <w:r w:rsidR="00485C29">
              <w:t xml:space="preserve"> </w:t>
            </w:r>
            <w:r w:rsidR="00485C29">
              <w:rPr>
                <w:vertAlign w:val="superscript"/>
              </w:rPr>
              <w:t>1</w:t>
            </w:r>
          </w:p>
        </w:tc>
        <w:tc>
          <w:tcPr>
            <w:tcW w:w="611" w:type="pct"/>
            <w:shd w:val="clear" w:color="auto" w:fill="auto"/>
            <w:vAlign w:val="center"/>
          </w:tcPr>
          <w:p w14:paraId="089617DE" w14:textId="77A2B463"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84"/>
                <w14:textFill>
                  <w14:solidFill>
                    <w14:srgbClr w14:val="000000">
                      <w14:alpha w14:val="100000"/>
                    </w14:srgbClr>
                  </w14:solidFill>
                </w14:textFill>
              </w:rPr>
              <w:t xml:space="preserve">　</w:t>
            </w:r>
            <w:r w:rsidRPr="00573190">
              <w:rPr>
                <w:color w:val="000000"/>
                <w:w w:val="15"/>
                <w:shd w:val="solid" w:color="000000" w:fill="000000"/>
                <w:fitText w:val="68" w:id="-1168357884"/>
                <w14:textFill>
                  <w14:solidFill>
                    <w14:srgbClr w14:val="000000">
                      <w14:alpha w14:val="100000"/>
                    </w14:srgbClr>
                  </w14:solidFill>
                </w14:textFill>
              </w:rPr>
              <w:t>|</w:t>
            </w:r>
            <w:r w:rsidRPr="00573190">
              <w:rPr>
                <w:rFonts w:hint="eastAsia"/>
                <w:color w:val="000000"/>
                <w:spacing w:val="2"/>
                <w:w w:val="15"/>
                <w:shd w:val="solid" w:color="000000" w:fill="000000"/>
                <w:fitText w:val="68" w:id="-1168357884"/>
                <w14:textFill>
                  <w14:solidFill>
                    <w14:srgbClr w14:val="000000">
                      <w14:alpha w14:val="100000"/>
                    </w14:srgbClr>
                  </w14:solidFill>
                </w14:textFill>
              </w:rPr>
              <w:t xml:space="preserve">　</w:t>
            </w:r>
            <w:r w:rsidR="00485C29">
              <w:t xml:space="preserve"> </w:t>
            </w:r>
            <w:r w:rsidR="00485C29">
              <w:rPr>
                <w:vertAlign w:val="superscript"/>
              </w:rPr>
              <w:t>1</w:t>
            </w:r>
          </w:p>
        </w:tc>
        <w:tc>
          <w:tcPr>
            <w:tcW w:w="611" w:type="pct"/>
            <w:shd w:val="clear" w:color="auto" w:fill="auto"/>
            <w:vAlign w:val="center"/>
          </w:tcPr>
          <w:p w14:paraId="011E49D6" w14:textId="40957CF0"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83"/>
                <w14:textFill>
                  <w14:solidFill>
                    <w14:srgbClr w14:val="000000">
                      <w14:alpha w14:val="100000"/>
                    </w14:srgbClr>
                  </w14:solidFill>
                </w14:textFill>
              </w:rPr>
              <w:t xml:space="preserve">　</w:t>
            </w:r>
            <w:r w:rsidRPr="00573190">
              <w:rPr>
                <w:color w:val="000000"/>
                <w:w w:val="15"/>
                <w:shd w:val="solid" w:color="000000" w:fill="000000"/>
                <w:fitText w:val="68" w:id="-1168357883"/>
                <w14:textFill>
                  <w14:solidFill>
                    <w14:srgbClr w14:val="000000">
                      <w14:alpha w14:val="100000"/>
                    </w14:srgbClr>
                  </w14:solidFill>
                </w14:textFill>
              </w:rPr>
              <w:t>|</w:t>
            </w:r>
            <w:r w:rsidRPr="00573190">
              <w:rPr>
                <w:rFonts w:hint="eastAsia"/>
                <w:color w:val="000000"/>
                <w:spacing w:val="2"/>
                <w:w w:val="15"/>
                <w:shd w:val="solid" w:color="000000" w:fill="000000"/>
                <w:fitText w:val="68" w:id="-1168357883"/>
                <w14:textFill>
                  <w14:solidFill>
                    <w14:srgbClr w14:val="000000">
                      <w14:alpha w14:val="100000"/>
                    </w14:srgbClr>
                  </w14:solidFill>
                </w14:textFill>
              </w:rPr>
              <w:t xml:space="preserve">　</w:t>
            </w:r>
            <w:r w:rsidR="00485C29">
              <w:t xml:space="preserve"> </w:t>
            </w:r>
            <w:r w:rsidR="00485C29">
              <w:rPr>
                <w:vertAlign w:val="superscript"/>
              </w:rPr>
              <w:t>1</w:t>
            </w:r>
          </w:p>
        </w:tc>
        <w:tc>
          <w:tcPr>
            <w:tcW w:w="611" w:type="pct"/>
            <w:shd w:val="clear" w:color="auto" w:fill="auto"/>
            <w:vAlign w:val="center"/>
          </w:tcPr>
          <w:p w14:paraId="02035456" w14:textId="2907E583"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82"/>
                <w14:textFill>
                  <w14:solidFill>
                    <w14:srgbClr w14:val="000000">
                      <w14:alpha w14:val="100000"/>
                    </w14:srgbClr>
                  </w14:solidFill>
                </w14:textFill>
              </w:rPr>
              <w:t xml:space="preserve">　</w:t>
            </w:r>
            <w:r w:rsidRPr="00573190">
              <w:rPr>
                <w:color w:val="000000"/>
                <w:w w:val="15"/>
                <w:shd w:val="solid" w:color="000000" w:fill="000000"/>
                <w:fitText w:val="68" w:id="-1168357882"/>
                <w14:textFill>
                  <w14:solidFill>
                    <w14:srgbClr w14:val="000000">
                      <w14:alpha w14:val="100000"/>
                    </w14:srgbClr>
                  </w14:solidFill>
                </w14:textFill>
              </w:rPr>
              <w:t>|</w:t>
            </w:r>
            <w:r w:rsidRPr="00573190">
              <w:rPr>
                <w:rFonts w:hint="eastAsia"/>
                <w:color w:val="000000"/>
                <w:spacing w:val="2"/>
                <w:w w:val="15"/>
                <w:shd w:val="solid" w:color="000000" w:fill="000000"/>
                <w:fitText w:val="68" w:id="-1168357882"/>
                <w14:textFill>
                  <w14:solidFill>
                    <w14:srgbClr w14:val="000000">
                      <w14:alpha w14:val="100000"/>
                    </w14:srgbClr>
                  </w14:solidFill>
                </w14:textFill>
              </w:rPr>
              <w:t xml:space="preserve">　</w:t>
            </w:r>
            <w:r w:rsidR="00485C29">
              <w:t xml:space="preserve"> </w:t>
            </w:r>
            <w:r w:rsidR="00485C29">
              <w:rPr>
                <w:vertAlign w:val="superscript"/>
              </w:rPr>
              <w:t>1</w:t>
            </w:r>
          </w:p>
        </w:tc>
        <w:tc>
          <w:tcPr>
            <w:tcW w:w="611" w:type="pct"/>
            <w:shd w:val="clear" w:color="auto" w:fill="auto"/>
            <w:vAlign w:val="center"/>
          </w:tcPr>
          <w:p w14:paraId="54C7268F" w14:textId="079C5F96"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81"/>
                <w14:textFill>
                  <w14:solidFill>
                    <w14:srgbClr w14:val="000000">
                      <w14:alpha w14:val="100000"/>
                    </w14:srgbClr>
                  </w14:solidFill>
                </w14:textFill>
              </w:rPr>
              <w:t xml:space="preserve">　</w:t>
            </w:r>
            <w:r w:rsidRPr="00573190">
              <w:rPr>
                <w:color w:val="000000"/>
                <w:w w:val="15"/>
                <w:shd w:val="solid" w:color="000000" w:fill="000000"/>
                <w:fitText w:val="68" w:id="-1168357881"/>
                <w14:textFill>
                  <w14:solidFill>
                    <w14:srgbClr w14:val="000000">
                      <w14:alpha w14:val="100000"/>
                    </w14:srgbClr>
                  </w14:solidFill>
                </w14:textFill>
              </w:rPr>
              <w:t>|</w:t>
            </w:r>
            <w:r w:rsidRPr="00573190">
              <w:rPr>
                <w:rFonts w:hint="eastAsia"/>
                <w:color w:val="000000"/>
                <w:spacing w:val="2"/>
                <w:w w:val="15"/>
                <w:shd w:val="solid" w:color="000000" w:fill="000000"/>
                <w:fitText w:val="68" w:id="-1168357881"/>
                <w14:textFill>
                  <w14:solidFill>
                    <w14:srgbClr w14:val="000000">
                      <w14:alpha w14:val="100000"/>
                    </w14:srgbClr>
                  </w14:solidFill>
                </w14:textFill>
              </w:rPr>
              <w:t xml:space="preserve">　</w:t>
            </w:r>
            <w:r w:rsidR="00485C29">
              <w:t xml:space="preserve"> </w:t>
            </w:r>
            <w:r w:rsidR="00485C29">
              <w:rPr>
                <w:vertAlign w:val="superscript"/>
              </w:rPr>
              <w:t>1</w:t>
            </w:r>
          </w:p>
        </w:tc>
        <w:tc>
          <w:tcPr>
            <w:tcW w:w="611" w:type="pct"/>
            <w:vAlign w:val="center"/>
          </w:tcPr>
          <w:p w14:paraId="771F0D94" w14:textId="46ED8B90"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80"/>
                <w14:textFill>
                  <w14:solidFill>
                    <w14:srgbClr w14:val="000000">
                      <w14:alpha w14:val="100000"/>
                    </w14:srgbClr>
                  </w14:solidFill>
                </w14:textFill>
              </w:rPr>
              <w:t xml:space="preserve">　</w:t>
            </w:r>
            <w:r w:rsidRPr="00573190">
              <w:rPr>
                <w:color w:val="000000"/>
                <w:w w:val="15"/>
                <w:shd w:val="solid" w:color="000000" w:fill="000000"/>
                <w:fitText w:val="68" w:id="-1168357880"/>
                <w14:textFill>
                  <w14:solidFill>
                    <w14:srgbClr w14:val="000000">
                      <w14:alpha w14:val="100000"/>
                    </w14:srgbClr>
                  </w14:solidFill>
                </w14:textFill>
              </w:rPr>
              <w:t>|</w:t>
            </w:r>
            <w:r w:rsidRPr="00573190">
              <w:rPr>
                <w:rFonts w:hint="eastAsia"/>
                <w:color w:val="000000"/>
                <w:spacing w:val="2"/>
                <w:w w:val="15"/>
                <w:shd w:val="solid" w:color="000000" w:fill="000000"/>
                <w:fitText w:val="68" w:id="-1168357880"/>
                <w14:textFill>
                  <w14:solidFill>
                    <w14:srgbClr w14:val="000000">
                      <w14:alpha w14:val="100000"/>
                    </w14:srgbClr>
                  </w14:solidFill>
                </w14:textFill>
              </w:rPr>
              <w:t xml:space="preserve">　</w:t>
            </w:r>
            <w:r w:rsidR="00485C29">
              <w:t xml:space="preserve"> </w:t>
            </w:r>
            <w:r w:rsidR="00485C29">
              <w:rPr>
                <w:vertAlign w:val="superscript"/>
              </w:rPr>
              <w:t>1</w:t>
            </w:r>
          </w:p>
        </w:tc>
      </w:tr>
      <w:tr w:rsidR="003A0C6E" w:rsidRPr="00C13E80" w14:paraId="38394A63" w14:textId="77777777" w:rsidTr="00485C29">
        <w:tc>
          <w:tcPr>
            <w:tcW w:w="1334" w:type="pct"/>
            <w:shd w:val="clear" w:color="auto" w:fill="auto"/>
            <w:vAlign w:val="center"/>
          </w:tcPr>
          <w:p w14:paraId="55797716" w14:textId="77777777" w:rsidR="00D55A10" w:rsidRPr="00C13E80" w:rsidRDefault="00D55A10" w:rsidP="00A4490C">
            <w:pPr>
              <w:pStyle w:val="TableText0"/>
              <w:rPr>
                <w:rFonts w:ascii="Times" w:hAnsi="Times"/>
              </w:rPr>
            </w:pPr>
            <w:r w:rsidRPr="00C13E80">
              <w:t>Number of prescriber bag prescriptions</w:t>
            </w:r>
          </w:p>
        </w:tc>
        <w:tc>
          <w:tcPr>
            <w:tcW w:w="611" w:type="pct"/>
            <w:shd w:val="clear" w:color="auto" w:fill="auto"/>
            <w:vAlign w:val="center"/>
          </w:tcPr>
          <w:p w14:paraId="2FDA62EE" w14:textId="156E32D0"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79"/>
                <w14:textFill>
                  <w14:solidFill>
                    <w14:srgbClr w14:val="000000">
                      <w14:alpha w14:val="100000"/>
                    </w14:srgbClr>
                  </w14:solidFill>
                </w14:textFill>
              </w:rPr>
              <w:t xml:space="preserve">　</w:t>
            </w:r>
            <w:r w:rsidRPr="00573190">
              <w:rPr>
                <w:color w:val="000000"/>
                <w:w w:val="15"/>
                <w:shd w:val="solid" w:color="000000" w:fill="000000"/>
                <w:fitText w:val="68" w:id="-1168357879"/>
                <w14:textFill>
                  <w14:solidFill>
                    <w14:srgbClr w14:val="000000">
                      <w14:alpha w14:val="100000"/>
                    </w14:srgbClr>
                  </w14:solidFill>
                </w14:textFill>
              </w:rPr>
              <w:t>|</w:t>
            </w:r>
            <w:r w:rsidRPr="00573190">
              <w:rPr>
                <w:rFonts w:hint="eastAsia"/>
                <w:color w:val="000000"/>
                <w:spacing w:val="2"/>
                <w:w w:val="15"/>
                <w:shd w:val="solid" w:color="000000" w:fill="000000"/>
                <w:fitText w:val="68" w:id="-1168357879"/>
                <w14:textFill>
                  <w14:solidFill>
                    <w14:srgbClr w14:val="000000">
                      <w14:alpha w14:val="100000"/>
                    </w14:srgbClr>
                  </w14:solidFill>
                </w14:textFill>
              </w:rPr>
              <w:t xml:space="preserve">　</w:t>
            </w:r>
            <w:r w:rsidR="00485C29">
              <w:t xml:space="preserve"> </w:t>
            </w:r>
            <w:r w:rsidR="00485C29">
              <w:rPr>
                <w:vertAlign w:val="superscript"/>
              </w:rPr>
              <w:t>2</w:t>
            </w:r>
          </w:p>
        </w:tc>
        <w:tc>
          <w:tcPr>
            <w:tcW w:w="611" w:type="pct"/>
            <w:shd w:val="clear" w:color="auto" w:fill="auto"/>
            <w:vAlign w:val="center"/>
          </w:tcPr>
          <w:p w14:paraId="6812196D" w14:textId="32976800"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78"/>
                <w14:textFill>
                  <w14:solidFill>
                    <w14:srgbClr w14:val="000000">
                      <w14:alpha w14:val="100000"/>
                    </w14:srgbClr>
                  </w14:solidFill>
                </w14:textFill>
              </w:rPr>
              <w:t xml:space="preserve">　</w:t>
            </w:r>
            <w:r w:rsidRPr="00573190">
              <w:rPr>
                <w:color w:val="000000"/>
                <w:w w:val="15"/>
                <w:shd w:val="solid" w:color="000000" w:fill="000000"/>
                <w:fitText w:val="68" w:id="-1168357878"/>
                <w14:textFill>
                  <w14:solidFill>
                    <w14:srgbClr w14:val="000000">
                      <w14:alpha w14:val="100000"/>
                    </w14:srgbClr>
                  </w14:solidFill>
                </w14:textFill>
              </w:rPr>
              <w:t>|</w:t>
            </w:r>
            <w:r w:rsidRPr="00573190">
              <w:rPr>
                <w:rFonts w:hint="eastAsia"/>
                <w:color w:val="000000"/>
                <w:spacing w:val="2"/>
                <w:w w:val="15"/>
                <w:shd w:val="solid" w:color="000000" w:fill="000000"/>
                <w:fitText w:val="68" w:id="-1168357878"/>
                <w14:textFill>
                  <w14:solidFill>
                    <w14:srgbClr w14:val="000000">
                      <w14:alpha w14:val="100000"/>
                    </w14:srgbClr>
                  </w14:solidFill>
                </w14:textFill>
              </w:rPr>
              <w:t xml:space="preserve">　</w:t>
            </w:r>
            <w:r w:rsidR="00485C29">
              <w:t xml:space="preserve"> </w:t>
            </w:r>
            <w:r w:rsidR="00485C29">
              <w:rPr>
                <w:vertAlign w:val="superscript"/>
              </w:rPr>
              <w:t>2</w:t>
            </w:r>
          </w:p>
        </w:tc>
        <w:tc>
          <w:tcPr>
            <w:tcW w:w="611" w:type="pct"/>
            <w:shd w:val="clear" w:color="auto" w:fill="auto"/>
            <w:vAlign w:val="center"/>
          </w:tcPr>
          <w:p w14:paraId="19666A0E" w14:textId="353966B4"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77"/>
                <w14:textFill>
                  <w14:solidFill>
                    <w14:srgbClr w14:val="000000">
                      <w14:alpha w14:val="100000"/>
                    </w14:srgbClr>
                  </w14:solidFill>
                </w14:textFill>
              </w:rPr>
              <w:t xml:space="preserve">　</w:t>
            </w:r>
            <w:r w:rsidRPr="00573190">
              <w:rPr>
                <w:color w:val="000000"/>
                <w:w w:val="15"/>
                <w:shd w:val="solid" w:color="000000" w:fill="000000"/>
                <w:fitText w:val="68" w:id="-1168357877"/>
                <w14:textFill>
                  <w14:solidFill>
                    <w14:srgbClr w14:val="000000">
                      <w14:alpha w14:val="100000"/>
                    </w14:srgbClr>
                  </w14:solidFill>
                </w14:textFill>
              </w:rPr>
              <w:t>|</w:t>
            </w:r>
            <w:r w:rsidRPr="00573190">
              <w:rPr>
                <w:rFonts w:hint="eastAsia"/>
                <w:color w:val="000000"/>
                <w:spacing w:val="2"/>
                <w:w w:val="15"/>
                <w:shd w:val="solid" w:color="000000" w:fill="000000"/>
                <w:fitText w:val="68" w:id="-1168357877"/>
                <w14:textFill>
                  <w14:solidFill>
                    <w14:srgbClr w14:val="000000">
                      <w14:alpha w14:val="100000"/>
                    </w14:srgbClr>
                  </w14:solidFill>
                </w14:textFill>
              </w:rPr>
              <w:t xml:space="preserve">　</w:t>
            </w:r>
            <w:r w:rsidR="00485C29">
              <w:t xml:space="preserve"> </w:t>
            </w:r>
            <w:r w:rsidR="00485C29">
              <w:rPr>
                <w:vertAlign w:val="superscript"/>
              </w:rPr>
              <w:t>2</w:t>
            </w:r>
          </w:p>
        </w:tc>
        <w:tc>
          <w:tcPr>
            <w:tcW w:w="611" w:type="pct"/>
            <w:shd w:val="clear" w:color="auto" w:fill="auto"/>
            <w:vAlign w:val="center"/>
          </w:tcPr>
          <w:p w14:paraId="08FF4D71" w14:textId="4B19C4AF"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76"/>
                <w14:textFill>
                  <w14:solidFill>
                    <w14:srgbClr w14:val="000000">
                      <w14:alpha w14:val="100000"/>
                    </w14:srgbClr>
                  </w14:solidFill>
                </w14:textFill>
              </w:rPr>
              <w:t xml:space="preserve">　</w:t>
            </w:r>
            <w:r w:rsidRPr="00573190">
              <w:rPr>
                <w:color w:val="000000"/>
                <w:w w:val="15"/>
                <w:shd w:val="solid" w:color="000000" w:fill="000000"/>
                <w:fitText w:val="68" w:id="-1168357876"/>
                <w14:textFill>
                  <w14:solidFill>
                    <w14:srgbClr w14:val="000000">
                      <w14:alpha w14:val="100000"/>
                    </w14:srgbClr>
                  </w14:solidFill>
                </w14:textFill>
              </w:rPr>
              <w:t>|</w:t>
            </w:r>
            <w:r w:rsidRPr="00573190">
              <w:rPr>
                <w:rFonts w:hint="eastAsia"/>
                <w:color w:val="000000"/>
                <w:spacing w:val="2"/>
                <w:w w:val="15"/>
                <w:shd w:val="solid" w:color="000000" w:fill="000000"/>
                <w:fitText w:val="68" w:id="-1168357876"/>
                <w14:textFill>
                  <w14:solidFill>
                    <w14:srgbClr w14:val="000000">
                      <w14:alpha w14:val="100000"/>
                    </w14:srgbClr>
                  </w14:solidFill>
                </w14:textFill>
              </w:rPr>
              <w:t xml:space="preserve">　</w:t>
            </w:r>
            <w:r w:rsidR="00485C29">
              <w:t xml:space="preserve"> </w:t>
            </w:r>
            <w:r w:rsidR="00485C29">
              <w:rPr>
                <w:vertAlign w:val="superscript"/>
              </w:rPr>
              <w:t>2</w:t>
            </w:r>
          </w:p>
        </w:tc>
        <w:tc>
          <w:tcPr>
            <w:tcW w:w="611" w:type="pct"/>
            <w:shd w:val="clear" w:color="auto" w:fill="auto"/>
            <w:vAlign w:val="center"/>
          </w:tcPr>
          <w:p w14:paraId="454A9DED" w14:textId="06BDB51E"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75"/>
                <w14:textFill>
                  <w14:solidFill>
                    <w14:srgbClr w14:val="000000">
                      <w14:alpha w14:val="100000"/>
                    </w14:srgbClr>
                  </w14:solidFill>
                </w14:textFill>
              </w:rPr>
              <w:t xml:space="preserve">　</w:t>
            </w:r>
            <w:r w:rsidRPr="00573190">
              <w:rPr>
                <w:color w:val="000000"/>
                <w:w w:val="15"/>
                <w:shd w:val="solid" w:color="000000" w:fill="000000"/>
                <w:fitText w:val="68" w:id="-1168357875"/>
                <w14:textFill>
                  <w14:solidFill>
                    <w14:srgbClr w14:val="000000">
                      <w14:alpha w14:val="100000"/>
                    </w14:srgbClr>
                  </w14:solidFill>
                </w14:textFill>
              </w:rPr>
              <w:t>|</w:t>
            </w:r>
            <w:r w:rsidRPr="00573190">
              <w:rPr>
                <w:rFonts w:hint="eastAsia"/>
                <w:color w:val="000000"/>
                <w:spacing w:val="2"/>
                <w:w w:val="15"/>
                <w:shd w:val="solid" w:color="000000" w:fill="000000"/>
                <w:fitText w:val="68" w:id="-1168357875"/>
                <w14:textFill>
                  <w14:solidFill>
                    <w14:srgbClr w14:val="000000">
                      <w14:alpha w14:val="100000"/>
                    </w14:srgbClr>
                  </w14:solidFill>
                </w14:textFill>
              </w:rPr>
              <w:t xml:space="preserve">　</w:t>
            </w:r>
            <w:r w:rsidR="00485C29">
              <w:t xml:space="preserve"> </w:t>
            </w:r>
            <w:r w:rsidR="00485C29">
              <w:rPr>
                <w:vertAlign w:val="superscript"/>
              </w:rPr>
              <w:t>2</w:t>
            </w:r>
          </w:p>
        </w:tc>
        <w:tc>
          <w:tcPr>
            <w:tcW w:w="611" w:type="pct"/>
            <w:vAlign w:val="center"/>
          </w:tcPr>
          <w:p w14:paraId="5A995793" w14:textId="1A9D17F9" w:rsidR="00D55A10" w:rsidRPr="00C13E80" w:rsidRDefault="00573190" w:rsidP="00485C29">
            <w:pPr>
              <w:pStyle w:val="TableText0"/>
              <w:jc w:val="center"/>
              <w:rPr>
                <w:color w:val="000000"/>
              </w:rPr>
            </w:pPr>
            <w:r w:rsidRPr="00573190">
              <w:rPr>
                <w:rFonts w:hint="eastAsia"/>
                <w:color w:val="000000"/>
                <w:w w:val="15"/>
                <w:shd w:val="solid" w:color="000000" w:fill="000000"/>
                <w:fitText w:val="68" w:id="-1168357874"/>
                <w14:textFill>
                  <w14:solidFill>
                    <w14:srgbClr w14:val="000000">
                      <w14:alpha w14:val="100000"/>
                    </w14:srgbClr>
                  </w14:solidFill>
                </w14:textFill>
              </w:rPr>
              <w:t xml:space="preserve">　</w:t>
            </w:r>
            <w:r w:rsidRPr="00573190">
              <w:rPr>
                <w:color w:val="000000"/>
                <w:w w:val="15"/>
                <w:shd w:val="solid" w:color="000000" w:fill="000000"/>
                <w:fitText w:val="68" w:id="-1168357874"/>
                <w14:textFill>
                  <w14:solidFill>
                    <w14:srgbClr w14:val="000000">
                      <w14:alpha w14:val="100000"/>
                    </w14:srgbClr>
                  </w14:solidFill>
                </w14:textFill>
              </w:rPr>
              <w:t>|</w:t>
            </w:r>
            <w:r w:rsidRPr="00573190">
              <w:rPr>
                <w:rFonts w:hint="eastAsia"/>
                <w:color w:val="000000"/>
                <w:spacing w:val="2"/>
                <w:w w:val="15"/>
                <w:shd w:val="solid" w:color="000000" w:fill="000000"/>
                <w:fitText w:val="68" w:id="-1168357874"/>
                <w14:textFill>
                  <w14:solidFill>
                    <w14:srgbClr w14:val="000000">
                      <w14:alpha w14:val="100000"/>
                    </w14:srgbClr>
                  </w14:solidFill>
                </w14:textFill>
              </w:rPr>
              <w:t xml:space="preserve">　</w:t>
            </w:r>
            <w:r w:rsidR="00485C29">
              <w:t xml:space="preserve"> </w:t>
            </w:r>
            <w:r w:rsidR="00485C29">
              <w:rPr>
                <w:vertAlign w:val="superscript"/>
              </w:rPr>
              <w:t>2</w:t>
            </w:r>
          </w:p>
        </w:tc>
      </w:tr>
      <w:tr w:rsidR="003A0C6E" w:rsidRPr="00C13E80" w14:paraId="32CC4BCF" w14:textId="77777777" w:rsidTr="00A4490C">
        <w:trPr>
          <w:trHeight w:val="170"/>
        </w:trPr>
        <w:tc>
          <w:tcPr>
            <w:tcW w:w="5000" w:type="pct"/>
            <w:gridSpan w:val="7"/>
            <w:shd w:val="clear" w:color="auto" w:fill="auto"/>
            <w:vAlign w:val="center"/>
          </w:tcPr>
          <w:p w14:paraId="67F2C3B9" w14:textId="77777777" w:rsidR="00D55A10" w:rsidRPr="00C13E80" w:rsidRDefault="00D55A10" w:rsidP="00A4490C">
            <w:pPr>
              <w:pStyle w:val="In-tableHeading"/>
              <w:rPr>
                <w:lang w:val="en-AU"/>
              </w:rPr>
            </w:pPr>
            <w:r w:rsidRPr="00C13E80">
              <w:rPr>
                <w:lang w:val="en-AU"/>
              </w:rPr>
              <w:t>Estimated financial implications of molnupiravir</w:t>
            </w:r>
          </w:p>
        </w:tc>
      </w:tr>
      <w:tr w:rsidR="003A0C6E" w:rsidRPr="00C13E80" w14:paraId="5CC2A3E1" w14:textId="77777777" w:rsidTr="00485C29">
        <w:tc>
          <w:tcPr>
            <w:tcW w:w="1334" w:type="pct"/>
            <w:shd w:val="clear" w:color="auto" w:fill="auto"/>
            <w:vAlign w:val="center"/>
          </w:tcPr>
          <w:p w14:paraId="572F71FD" w14:textId="15CE1847" w:rsidR="00D55A10" w:rsidRPr="00F74A5A" w:rsidRDefault="00D55A10" w:rsidP="00A4490C">
            <w:pPr>
              <w:pStyle w:val="TableText0"/>
              <w:rPr>
                <w:szCs w:val="20"/>
              </w:rPr>
            </w:pPr>
            <w:r w:rsidRPr="00F74A5A">
              <w:rPr>
                <w:szCs w:val="20"/>
              </w:rPr>
              <w:t xml:space="preserve">Net cost to PBS/RPBS (i.e., </w:t>
            </w:r>
            <w:r w:rsidR="004C7B28" w:rsidRPr="00F74A5A">
              <w:rPr>
                <w:szCs w:val="20"/>
              </w:rPr>
              <w:t xml:space="preserve">less </w:t>
            </w:r>
            <w:r w:rsidRPr="00F74A5A">
              <w:rPr>
                <w:szCs w:val="20"/>
              </w:rPr>
              <w:t>copayments)</w:t>
            </w:r>
          </w:p>
        </w:tc>
        <w:tc>
          <w:tcPr>
            <w:tcW w:w="611" w:type="pct"/>
            <w:shd w:val="clear" w:color="auto" w:fill="auto"/>
            <w:vAlign w:val="center"/>
          </w:tcPr>
          <w:p w14:paraId="5234ED5F" w14:textId="72620827" w:rsidR="00D55A10" w:rsidRPr="00F74A5A" w:rsidRDefault="00D55A10" w:rsidP="00485C29">
            <w:pPr>
              <w:pStyle w:val="TableText0"/>
              <w:jc w:val="center"/>
              <w:rPr>
                <w:szCs w:val="20"/>
              </w:rPr>
            </w:pPr>
            <w:r w:rsidRPr="00F74A5A">
              <w:rPr>
                <w:rFonts w:cs="Arial"/>
                <w:bCs w:val="0"/>
                <w:color w:val="000000"/>
                <w:szCs w:val="20"/>
              </w:rPr>
              <w:t>$</w:t>
            </w:r>
            <w:r w:rsidR="00573190" w:rsidRPr="00573190">
              <w:rPr>
                <w:rFonts w:cs="Arial" w:hint="eastAsia"/>
                <w:bCs w:val="0"/>
                <w:color w:val="000000"/>
                <w:w w:val="27"/>
                <w:szCs w:val="20"/>
                <w:shd w:val="solid" w:color="000000" w:fill="000000"/>
                <w:fitText w:val="123" w:id="-1168357873"/>
                <w14:textFill>
                  <w14:solidFill>
                    <w14:srgbClr w14:val="000000">
                      <w14:alpha w14:val="100000"/>
                    </w14:srgbClr>
                  </w14:solidFill>
                </w14:textFill>
              </w:rPr>
              <w:t xml:space="preserve">　</w:t>
            </w:r>
            <w:r w:rsidR="00573190" w:rsidRPr="00573190">
              <w:rPr>
                <w:rFonts w:cs="Arial"/>
                <w:bCs w:val="0"/>
                <w:color w:val="000000"/>
                <w:w w:val="27"/>
                <w:szCs w:val="20"/>
                <w:shd w:val="solid" w:color="000000" w:fill="000000"/>
                <w:fitText w:val="123" w:id="-1168357873"/>
                <w14:textFill>
                  <w14:solidFill>
                    <w14:srgbClr w14:val="000000">
                      <w14:alpha w14:val="100000"/>
                    </w14:srgbClr>
                  </w14:solidFill>
                </w14:textFill>
              </w:rPr>
              <w:t>|</w:t>
            </w:r>
            <w:r w:rsidR="00573190" w:rsidRPr="00573190">
              <w:rPr>
                <w:rFonts w:cs="Arial" w:hint="eastAsia"/>
                <w:bCs w:val="0"/>
                <w:color w:val="000000"/>
                <w:spacing w:val="5"/>
                <w:w w:val="27"/>
                <w:szCs w:val="20"/>
                <w:shd w:val="solid" w:color="000000" w:fill="000000"/>
                <w:fitText w:val="123" w:id="-1168357873"/>
                <w14:textFill>
                  <w14:solidFill>
                    <w14:srgbClr w14:val="000000">
                      <w14:alpha w14:val="100000"/>
                    </w14:srgbClr>
                  </w14:solidFill>
                </w14:textFill>
              </w:rPr>
              <w:t xml:space="preserve">　</w:t>
            </w:r>
            <w:r w:rsidR="00485C29">
              <w:t xml:space="preserve"> </w:t>
            </w:r>
            <w:r w:rsidR="00485C29">
              <w:rPr>
                <w:vertAlign w:val="superscript"/>
              </w:rPr>
              <w:t>3</w:t>
            </w:r>
          </w:p>
        </w:tc>
        <w:tc>
          <w:tcPr>
            <w:tcW w:w="611" w:type="pct"/>
            <w:shd w:val="clear" w:color="auto" w:fill="auto"/>
            <w:vAlign w:val="center"/>
          </w:tcPr>
          <w:p w14:paraId="53833605" w14:textId="74B9EACF" w:rsidR="00D55A10" w:rsidRPr="00F74A5A" w:rsidRDefault="00D55A10" w:rsidP="00485C29">
            <w:pPr>
              <w:pStyle w:val="TableText0"/>
              <w:jc w:val="center"/>
              <w:rPr>
                <w:szCs w:val="20"/>
              </w:rPr>
            </w:pPr>
            <w:r w:rsidRPr="00F74A5A">
              <w:rPr>
                <w:rFonts w:cs="Arial"/>
                <w:bCs w:val="0"/>
                <w:color w:val="000000"/>
                <w:szCs w:val="20"/>
              </w:rPr>
              <w:t>$</w:t>
            </w:r>
            <w:r w:rsidR="00573190" w:rsidRPr="00573190">
              <w:rPr>
                <w:rFonts w:cs="Arial" w:hint="eastAsia"/>
                <w:bCs w:val="0"/>
                <w:color w:val="000000"/>
                <w:w w:val="27"/>
                <w:szCs w:val="20"/>
                <w:shd w:val="solid" w:color="000000" w:fill="000000"/>
                <w:fitText w:val="122" w:id="-1168357872"/>
                <w14:textFill>
                  <w14:solidFill>
                    <w14:srgbClr w14:val="000000">
                      <w14:alpha w14:val="100000"/>
                    </w14:srgbClr>
                  </w14:solidFill>
                </w14:textFill>
              </w:rPr>
              <w:t xml:space="preserve">　</w:t>
            </w:r>
            <w:r w:rsidR="00573190" w:rsidRPr="00573190">
              <w:rPr>
                <w:rFonts w:cs="Arial"/>
                <w:bCs w:val="0"/>
                <w:color w:val="000000"/>
                <w:w w:val="27"/>
                <w:szCs w:val="20"/>
                <w:shd w:val="solid" w:color="000000" w:fill="000000"/>
                <w:fitText w:val="122" w:id="-1168357872"/>
                <w14:textFill>
                  <w14:solidFill>
                    <w14:srgbClr w14:val="000000">
                      <w14:alpha w14:val="100000"/>
                    </w14:srgbClr>
                  </w14:solidFill>
                </w14:textFill>
              </w:rPr>
              <w:t>|</w:t>
            </w:r>
            <w:r w:rsidR="00573190" w:rsidRPr="00573190">
              <w:rPr>
                <w:rFonts w:cs="Arial" w:hint="eastAsia"/>
                <w:bCs w:val="0"/>
                <w:color w:val="000000"/>
                <w:spacing w:val="4"/>
                <w:w w:val="27"/>
                <w:szCs w:val="20"/>
                <w:shd w:val="solid" w:color="000000" w:fill="000000"/>
                <w:fitText w:val="122" w:id="-1168357872"/>
                <w14:textFill>
                  <w14:solidFill>
                    <w14:srgbClr w14:val="000000">
                      <w14:alpha w14:val="100000"/>
                    </w14:srgbClr>
                  </w14:solidFill>
                </w14:textFill>
              </w:rPr>
              <w:t xml:space="preserve">　</w:t>
            </w:r>
            <w:r w:rsidR="00485C29">
              <w:t xml:space="preserve"> </w:t>
            </w:r>
            <w:r w:rsidR="00485C29">
              <w:rPr>
                <w:vertAlign w:val="superscript"/>
              </w:rPr>
              <w:t>3</w:t>
            </w:r>
          </w:p>
        </w:tc>
        <w:tc>
          <w:tcPr>
            <w:tcW w:w="611" w:type="pct"/>
            <w:shd w:val="clear" w:color="auto" w:fill="auto"/>
            <w:vAlign w:val="center"/>
          </w:tcPr>
          <w:p w14:paraId="6BBC35DB" w14:textId="53EC526F" w:rsidR="00D55A10" w:rsidRPr="00F74A5A" w:rsidRDefault="00D55A10" w:rsidP="00485C29">
            <w:pPr>
              <w:pStyle w:val="TableText0"/>
              <w:jc w:val="center"/>
              <w:rPr>
                <w:szCs w:val="20"/>
              </w:rPr>
            </w:pPr>
            <w:r w:rsidRPr="00F74A5A">
              <w:rPr>
                <w:rFonts w:cs="Arial"/>
                <w:bCs w:val="0"/>
                <w:color w:val="000000"/>
                <w:szCs w:val="20"/>
              </w:rPr>
              <w:t>$</w:t>
            </w:r>
            <w:r w:rsidR="00573190" w:rsidRPr="00573190">
              <w:rPr>
                <w:rFonts w:cs="Arial" w:hint="eastAsia"/>
                <w:bCs w:val="0"/>
                <w:color w:val="000000"/>
                <w:w w:val="27"/>
                <w:szCs w:val="20"/>
                <w:shd w:val="solid" w:color="000000" w:fill="000000"/>
                <w:fitText w:val="122" w:id="-1168357888"/>
                <w14:textFill>
                  <w14:solidFill>
                    <w14:srgbClr w14:val="000000">
                      <w14:alpha w14:val="100000"/>
                    </w14:srgbClr>
                  </w14:solidFill>
                </w14:textFill>
              </w:rPr>
              <w:t xml:space="preserve">　</w:t>
            </w:r>
            <w:r w:rsidR="00573190" w:rsidRPr="00573190">
              <w:rPr>
                <w:rFonts w:cs="Arial"/>
                <w:bCs w:val="0"/>
                <w:color w:val="000000"/>
                <w:w w:val="27"/>
                <w:szCs w:val="20"/>
                <w:shd w:val="solid" w:color="000000" w:fill="000000"/>
                <w:fitText w:val="122" w:id="-1168357888"/>
                <w14:textFill>
                  <w14:solidFill>
                    <w14:srgbClr w14:val="000000">
                      <w14:alpha w14:val="100000"/>
                    </w14:srgbClr>
                  </w14:solidFill>
                </w14:textFill>
              </w:rPr>
              <w:t>|</w:t>
            </w:r>
            <w:r w:rsidR="00573190" w:rsidRPr="00573190">
              <w:rPr>
                <w:rFonts w:cs="Arial" w:hint="eastAsia"/>
                <w:bCs w:val="0"/>
                <w:color w:val="000000"/>
                <w:spacing w:val="4"/>
                <w:w w:val="27"/>
                <w:szCs w:val="20"/>
                <w:shd w:val="solid" w:color="000000" w:fill="000000"/>
                <w:fitText w:val="122" w:id="-1168357888"/>
                <w14:textFill>
                  <w14:solidFill>
                    <w14:srgbClr w14:val="000000">
                      <w14:alpha w14:val="100000"/>
                    </w14:srgbClr>
                  </w14:solidFill>
                </w14:textFill>
              </w:rPr>
              <w:t xml:space="preserve">　</w:t>
            </w:r>
            <w:r w:rsidR="00485C29">
              <w:t xml:space="preserve"> </w:t>
            </w:r>
            <w:r w:rsidR="00485C29">
              <w:rPr>
                <w:vertAlign w:val="superscript"/>
              </w:rPr>
              <w:t>3</w:t>
            </w:r>
          </w:p>
        </w:tc>
        <w:tc>
          <w:tcPr>
            <w:tcW w:w="611" w:type="pct"/>
            <w:shd w:val="clear" w:color="auto" w:fill="auto"/>
            <w:vAlign w:val="center"/>
          </w:tcPr>
          <w:p w14:paraId="2E6AFCCF" w14:textId="594611B7" w:rsidR="00D55A10" w:rsidRPr="00F74A5A" w:rsidRDefault="00D55A10" w:rsidP="00485C29">
            <w:pPr>
              <w:pStyle w:val="TableText0"/>
              <w:jc w:val="center"/>
              <w:rPr>
                <w:szCs w:val="20"/>
              </w:rPr>
            </w:pPr>
            <w:r w:rsidRPr="00F74A5A">
              <w:rPr>
                <w:rFonts w:cs="Arial"/>
                <w:bCs w:val="0"/>
                <w:color w:val="000000"/>
                <w:szCs w:val="20"/>
              </w:rPr>
              <w:t>$</w:t>
            </w:r>
            <w:r w:rsidR="00573190" w:rsidRPr="00573190">
              <w:rPr>
                <w:rFonts w:cs="Arial" w:hint="eastAsia"/>
                <w:bCs w:val="0"/>
                <w:color w:val="000000"/>
                <w:w w:val="27"/>
                <w:szCs w:val="20"/>
                <w:shd w:val="solid" w:color="000000" w:fill="000000"/>
                <w:fitText w:val="122" w:id="-1168357887"/>
                <w14:textFill>
                  <w14:solidFill>
                    <w14:srgbClr w14:val="000000">
                      <w14:alpha w14:val="100000"/>
                    </w14:srgbClr>
                  </w14:solidFill>
                </w14:textFill>
              </w:rPr>
              <w:t xml:space="preserve">　</w:t>
            </w:r>
            <w:r w:rsidR="00573190" w:rsidRPr="00573190">
              <w:rPr>
                <w:rFonts w:cs="Arial"/>
                <w:bCs w:val="0"/>
                <w:color w:val="000000"/>
                <w:w w:val="27"/>
                <w:szCs w:val="20"/>
                <w:shd w:val="solid" w:color="000000" w:fill="000000"/>
                <w:fitText w:val="122" w:id="-1168357887"/>
                <w14:textFill>
                  <w14:solidFill>
                    <w14:srgbClr w14:val="000000">
                      <w14:alpha w14:val="100000"/>
                    </w14:srgbClr>
                  </w14:solidFill>
                </w14:textFill>
              </w:rPr>
              <w:t>|</w:t>
            </w:r>
            <w:r w:rsidR="00573190" w:rsidRPr="00573190">
              <w:rPr>
                <w:rFonts w:cs="Arial" w:hint="eastAsia"/>
                <w:bCs w:val="0"/>
                <w:color w:val="000000"/>
                <w:spacing w:val="4"/>
                <w:w w:val="27"/>
                <w:szCs w:val="20"/>
                <w:shd w:val="solid" w:color="000000" w:fill="000000"/>
                <w:fitText w:val="122" w:id="-1168357887"/>
                <w14:textFill>
                  <w14:solidFill>
                    <w14:srgbClr w14:val="000000">
                      <w14:alpha w14:val="100000"/>
                    </w14:srgbClr>
                  </w14:solidFill>
                </w14:textFill>
              </w:rPr>
              <w:t xml:space="preserve">　</w:t>
            </w:r>
            <w:r w:rsidR="00485C29">
              <w:t xml:space="preserve"> </w:t>
            </w:r>
            <w:r w:rsidR="00485C29">
              <w:rPr>
                <w:vertAlign w:val="superscript"/>
              </w:rPr>
              <w:t>3</w:t>
            </w:r>
          </w:p>
        </w:tc>
        <w:tc>
          <w:tcPr>
            <w:tcW w:w="611" w:type="pct"/>
            <w:shd w:val="clear" w:color="auto" w:fill="auto"/>
            <w:vAlign w:val="center"/>
          </w:tcPr>
          <w:p w14:paraId="59715A8E" w14:textId="238E95B6" w:rsidR="00D55A10" w:rsidRPr="00F74A5A" w:rsidRDefault="00D55A10" w:rsidP="00485C29">
            <w:pPr>
              <w:pStyle w:val="TableText0"/>
              <w:jc w:val="center"/>
              <w:rPr>
                <w:szCs w:val="20"/>
              </w:rPr>
            </w:pPr>
            <w:r w:rsidRPr="00F74A5A">
              <w:rPr>
                <w:rFonts w:cs="Arial"/>
                <w:bCs w:val="0"/>
                <w:color w:val="000000"/>
                <w:szCs w:val="20"/>
              </w:rPr>
              <w:t>$</w:t>
            </w:r>
            <w:r w:rsidR="00573190" w:rsidRPr="00573190">
              <w:rPr>
                <w:rFonts w:cs="Arial" w:hint="eastAsia"/>
                <w:bCs w:val="0"/>
                <w:color w:val="000000"/>
                <w:w w:val="27"/>
                <w:szCs w:val="20"/>
                <w:shd w:val="solid" w:color="000000" w:fill="000000"/>
                <w:fitText w:val="123" w:id="-1168357886"/>
                <w14:textFill>
                  <w14:solidFill>
                    <w14:srgbClr w14:val="000000">
                      <w14:alpha w14:val="100000"/>
                    </w14:srgbClr>
                  </w14:solidFill>
                </w14:textFill>
              </w:rPr>
              <w:t xml:space="preserve">　</w:t>
            </w:r>
            <w:r w:rsidR="00573190" w:rsidRPr="00573190">
              <w:rPr>
                <w:rFonts w:cs="Arial"/>
                <w:bCs w:val="0"/>
                <w:color w:val="000000"/>
                <w:w w:val="27"/>
                <w:szCs w:val="20"/>
                <w:shd w:val="solid" w:color="000000" w:fill="000000"/>
                <w:fitText w:val="123" w:id="-1168357886"/>
                <w14:textFill>
                  <w14:solidFill>
                    <w14:srgbClr w14:val="000000">
                      <w14:alpha w14:val="100000"/>
                    </w14:srgbClr>
                  </w14:solidFill>
                </w14:textFill>
              </w:rPr>
              <w:t>|</w:t>
            </w:r>
            <w:r w:rsidR="00573190" w:rsidRPr="00573190">
              <w:rPr>
                <w:rFonts w:cs="Arial" w:hint="eastAsia"/>
                <w:bCs w:val="0"/>
                <w:color w:val="000000"/>
                <w:spacing w:val="5"/>
                <w:w w:val="27"/>
                <w:szCs w:val="20"/>
                <w:shd w:val="solid" w:color="000000" w:fill="000000"/>
                <w:fitText w:val="123" w:id="-1168357886"/>
                <w14:textFill>
                  <w14:solidFill>
                    <w14:srgbClr w14:val="000000">
                      <w14:alpha w14:val="100000"/>
                    </w14:srgbClr>
                  </w14:solidFill>
                </w14:textFill>
              </w:rPr>
              <w:t xml:space="preserve">　</w:t>
            </w:r>
            <w:r w:rsidR="00485C29">
              <w:t xml:space="preserve"> </w:t>
            </w:r>
            <w:r w:rsidR="00485C29">
              <w:rPr>
                <w:vertAlign w:val="superscript"/>
              </w:rPr>
              <w:t>3</w:t>
            </w:r>
          </w:p>
        </w:tc>
        <w:tc>
          <w:tcPr>
            <w:tcW w:w="611" w:type="pct"/>
            <w:vAlign w:val="center"/>
          </w:tcPr>
          <w:p w14:paraId="6CABCCC1" w14:textId="3C0A3209" w:rsidR="00D55A10" w:rsidRPr="00F74A5A" w:rsidRDefault="00D55A10" w:rsidP="00485C29">
            <w:pPr>
              <w:pStyle w:val="TableText0"/>
              <w:jc w:val="center"/>
              <w:rPr>
                <w:szCs w:val="20"/>
              </w:rPr>
            </w:pPr>
            <w:r w:rsidRPr="00F74A5A">
              <w:rPr>
                <w:rFonts w:cs="Arial"/>
                <w:bCs w:val="0"/>
                <w:color w:val="000000"/>
                <w:szCs w:val="20"/>
              </w:rPr>
              <w:t>$</w:t>
            </w:r>
            <w:r w:rsidR="00573190" w:rsidRPr="00573190">
              <w:rPr>
                <w:rFonts w:cs="Arial" w:hint="eastAsia"/>
                <w:bCs w:val="0"/>
                <w:color w:val="000000"/>
                <w:w w:val="27"/>
                <w:szCs w:val="20"/>
                <w:shd w:val="solid" w:color="000000" w:fill="000000"/>
                <w:fitText w:val="122" w:id="-1168357885"/>
                <w14:textFill>
                  <w14:solidFill>
                    <w14:srgbClr w14:val="000000">
                      <w14:alpha w14:val="100000"/>
                    </w14:srgbClr>
                  </w14:solidFill>
                </w14:textFill>
              </w:rPr>
              <w:t xml:space="preserve">　</w:t>
            </w:r>
            <w:r w:rsidR="00573190" w:rsidRPr="00573190">
              <w:rPr>
                <w:rFonts w:cs="Arial"/>
                <w:bCs w:val="0"/>
                <w:color w:val="000000"/>
                <w:w w:val="27"/>
                <w:szCs w:val="20"/>
                <w:shd w:val="solid" w:color="000000" w:fill="000000"/>
                <w:fitText w:val="122" w:id="-1168357885"/>
                <w14:textFill>
                  <w14:solidFill>
                    <w14:srgbClr w14:val="000000">
                      <w14:alpha w14:val="100000"/>
                    </w14:srgbClr>
                  </w14:solidFill>
                </w14:textFill>
              </w:rPr>
              <w:t>|</w:t>
            </w:r>
            <w:r w:rsidR="00573190" w:rsidRPr="00573190">
              <w:rPr>
                <w:rFonts w:cs="Arial" w:hint="eastAsia"/>
                <w:bCs w:val="0"/>
                <w:color w:val="000000"/>
                <w:spacing w:val="4"/>
                <w:w w:val="27"/>
                <w:szCs w:val="20"/>
                <w:shd w:val="solid" w:color="000000" w:fill="000000"/>
                <w:fitText w:val="122" w:id="-1168357885"/>
                <w14:textFill>
                  <w14:solidFill>
                    <w14:srgbClr w14:val="000000">
                      <w14:alpha w14:val="100000"/>
                    </w14:srgbClr>
                  </w14:solidFill>
                </w14:textFill>
              </w:rPr>
              <w:t xml:space="preserve">　</w:t>
            </w:r>
            <w:r w:rsidR="00485C29">
              <w:t xml:space="preserve"> </w:t>
            </w:r>
            <w:r w:rsidR="00485C29">
              <w:rPr>
                <w:vertAlign w:val="superscript"/>
              </w:rPr>
              <w:t>3</w:t>
            </w:r>
          </w:p>
        </w:tc>
      </w:tr>
    </w:tbl>
    <w:p w14:paraId="0CAD3644" w14:textId="54ECFFA9" w:rsidR="00D55A10" w:rsidRDefault="00D55A10" w:rsidP="00485C29">
      <w:pPr>
        <w:pStyle w:val="FooterTableFigure"/>
        <w:spacing w:after="0"/>
      </w:pPr>
      <w:r w:rsidRPr="00C13E80">
        <w:t>Source: Tables 4.2-4 and 4.4-1 of the submission.</w:t>
      </w:r>
    </w:p>
    <w:p w14:paraId="1A5DA35C" w14:textId="77777777" w:rsidR="00485C29" w:rsidRPr="009A6D58" w:rsidRDefault="00485C29" w:rsidP="00485C2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550BDCB" w14:textId="15029083" w:rsidR="00485C29" w:rsidRPr="009A6D58" w:rsidRDefault="00485C29" w:rsidP="00485C2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85C29">
        <w:rPr>
          <w:rFonts w:ascii="Arial Narrow" w:hAnsi="Arial Narrow"/>
          <w:i/>
          <w:sz w:val="18"/>
          <w:szCs w:val="18"/>
        </w:rPr>
        <w:t>600,000 to &lt; 700,000</w:t>
      </w:r>
    </w:p>
    <w:p w14:paraId="558DBF28" w14:textId="52D7EBA7" w:rsidR="00485C29" w:rsidRPr="009A6D58" w:rsidRDefault="00485C29" w:rsidP="00485C2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485C29">
        <w:rPr>
          <w:rFonts w:ascii="Arial Narrow" w:hAnsi="Arial Narrow"/>
          <w:i/>
          <w:sz w:val="18"/>
          <w:szCs w:val="18"/>
        </w:rPr>
        <w:t>10,000 to &lt; 20,000</w:t>
      </w:r>
    </w:p>
    <w:p w14:paraId="2318D2C9" w14:textId="7F6A702A" w:rsidR="00485C29" w:rsidRPr="00485C29" w:rsidRDefault="00485C29" w:rsidP="00485C29">
      <w:pPr>
        <w:spacing w:after="120"/>
        <w:rPr>
          <w:rStyle w:val="CommentReference"/>
          <w:b w:val="0"/>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485C29">
        <w:rPr>
          <w:rFonts w:ascii="Arial Narrow" w:hAnsi="Arial Narrow"/>
          <w:i/>
          <w:sz w:val="18"/>
          <w:szCs w:val="18"/>
        </w:rPr>
        <w:t>$600 million to &lt; $700 million</w:t>
      </w:r>
    </w:p>
    <w:p w14:paraId="6C07828D" w14:textId="7C80D51E" w:rsidR="00D55A10" w:rsidRPr="00C13E80" w:rsidRDefault="00D55A10" w:rsidP="00B46FE9">
      <w:pPr>
        <w:pStyle w:val="3-BodyText"/>
      </w:pPr>
      <w:r w:rsidRPr="00C13E80">
        <w:t xml:space="preserve">The total cost to the PBS/RPBS of listing molnupiravir was estimated to be </w:t>
      </w:r>
      <w:r w:rsidR="00485C29" w:rsidRPr="00485C29">
        <w:t>$600 million to &lt; $700 million</w:t>
      </w:r>
      <w:r w:rsidR="00485C29" w:rsidRPr="00485C29" w:rsidDel="00485C29">
        <w:t xml:space="preserve"> </w:t>
      </w:r>
      <w:r w:rsidRPr="00C13E80">
        <w:t xml:space="preserve">in 2029 (Year 6), and a total of </w:t>
      </w:r>
      <w:r w:rsidR="00485C29" w:rsidRPr="00485C29">
        <w:t>&gt; $1 billion</w:t>
      </w:r>
      <w:r w:rsidR="00485C29" w:rsidRPr="00485C29" w:rsidDel="00485C29">
        <w:t xml:space="preserve"> </w:t>
      </w:r>
      <w:r w:rsidRPr="00C13E80">
        <w:t xml:space="preserve">in the next </w:t>
      </w:r>
      <w:r w:rsidRPr="00C13E80">
        <w:lastRenderedPageBreak/>
        <w:t>6</w:t>
      </w:r>
      <w:r w:rsidR="00485C29">
        <w:t> </w:t>
      </w:r>
      <w:r w:rsidRPr="00C13E80">
        <w:t xml:space="preserve">years of listing (from 2024 to 2029). As noted in </w:t>
      </w:r>
      <w:r w:rsidRPr="00C13E80">
        <w:fldChar w:fldCharType="begin" w:fldLock="1"/>
      </w:r>
      <w:r w:rsidRPr="00C13E80">
        <w:instrText xml:space="preserve"> REF _Ref104805262 \h </w:instrText>
      </w:r>
      <w:r w:rsidRPr="00C13E80">
        <w:fldChar w:fldCharType="separate"/>
      </w:r>
      <w:r w:rsidR="00701DEF" w:rsidRPr="00C13E80">
        <w:t xml:space="preserve">Table </w:t>
      </w:r>
      <w:r w:rsidR="00701DEF">
        <w:rPr>
          <w:noProof/>
        </w:rPr>
        <w:t>16</w:t>
      </w:r>
      <w:r w:rsidRPr="00C13E80">
        <w:fldChar w:fldCharType="end"/>
      </w:r>
      <w:r w:rsidRPr="00C13E80">
        <w:t xml:space="preserve">, the submission assumed </w:t>
      </w:r>
      <w:r w:rsidR="00573190" w:rsidRPr="0007631D">
        <w:rPr>
          <w:color w:val="000000"/>
          <w:w w:val="15"/>
          <w:shd w:val="solid" w:color="000000" w:fill="000000"/>
          <w:fitText w:val="-20" w:id="-1168357884"/>
          <w14:textFill>
            <w14:solidFill>
              <w14:srgbClr w14:val="000000">
                <w14:alpha w14:val="100000"/>
              </w14:srgbClr>
            </w14:solidFill>
          </w14:textFill>
        </w:rPr>
        <w:t xml:space="preserve">|  </w:t>
      </w:r>
      <w:r w:rsidR="00573190" w:rsidRPr="0007631D">
        <w:rPr>
          <w:color w:val="000000"/>
          <w:spacing w:val="-69"/>
          <w:w w:val="15"/>
          <w:shd w:val="solid" w:color="000000" w:fill="000000"/>
          <w:fitText w:val="-20" w:id="-1168357884"/>
          <w14:textFill>
            <w14:solidFill>
              <w14:srgbClr w14:val="000000">
                <w14:alpha w14:val="100000"/>
              </w14:srgbClr>
            </w14:solidFill>
          </w14:textFill>
        </w:rPr>
        <w:t>|</w:t>
      </w:r>
      <w:r w:rsidRPr="00C13E80">
        <w:t>% market share for molnupiravir.</w:t>
      </w:r>
    </w:p>
    <w:p w14:paraId="77284FBC" w14:textId="1B071FB4" w:rsidR="00D55A10" w:rsidRPr="00C13E80" w:rsidRDefault="00D55A10" w:rsidP="00B46FE9">
      <w:pPr>
        <w:pStyle w:val="3-BodyText"/>
      </w:pPr>
      <w:r w:rsidRPr="00C13E80">
        <w:t xml:space="preserve">In the year ending 31 March 2023, total government expenditure on antivirals for COVID-19, based on items processed, totalled $798 million. Total government expenditure based on all PBS/RPBS items processed was $16,113 million. </w:t>
      </w:r>
      <w:r w:rsidR="004C7B28" w:rsidRPr="00C13E80">
        <w:t>Thus,</w:t>
      </w:r>
      <w:r w:rsidRPr="00C13E80">
        <w:t xml:space="preserve"> expenditure on oral antivirals represented approximately 5% of total spending on the PBS (before rebates). The opportunity cost of expenditure on oral antivirals is substantial, given that current expenditure on these agents currently accounts for 5% of the total PBS budget (before rebates). This significant allocation of resources to oral antivirals for </w:t>
      </w:r>
      <w:r w:rsidRPr="00C13E80">
        <w:rPr>
          <w:rStyle w:val="normaltextrun"/>
        </w:rPr>
        <w:t>COVID</w:t>
      </w:r>
      <w:r w:rsidRPr="00C13E80">
        <w:rPr>
          <w:rStyle w:val="normaltextrun"/>
        </w:rPr>
        <w:noBreakHyphen/>
        <w:t>19</w:t>
      </w:r>
      <w:r w:rsidRPr="00C13E80">
        <w:t xml:space="preserve"> has the potential to limit the ability of the government to fund other potentially beneficial treatments.</w:t>
      </w:r>
    </w:p>
    <w:p w14:paraId="726C34EA" w14:textId="7E9141ED" w:rsidR="00D61D97" w:rsidRPr="00C13E80" w:rsidRDefault="00D61D97" w:rsidP="00B46FE9">
      <w:pPr>
        <w:pStyle w:val="3-BodyText"/>
      </w:pPr>
      <w:r w:rsidRPr="00C13E80">
        <w:t xml:space="preserve">The DUSC considered that submission’s approach of estimating future use of molnupiravir based on six months of data from July to December 2022, where the two waves of COVID 19 occurred, was likely to result in an overestimate of likely extent of use in the future. Furthermore, the approach did not adjust for the addition of the administrative note in January 2023 which states that molnupiravir should be considered for use only if nirmatrelvir and ritonavir is contraindicated or otherwise unsuitable. </w:t>
      </w:r>
      <w:r w:rsidR="00FD16FA" w:rsidRPr="00C13E80">
        <w:t>The DUSC considered m</w:t>
      </w:r>
      <w:r w:rsidRPr="00C13E80">
        <w:t xml:space="preserve">arket share of molnupiravir </w:t>
      </w:r>
      <w:r w:rsidR="00FD16FA" w:rsidRPr="00C13E80">
        <w:t>was</w:t>
      </w:r>
      <w:r w:rsidRPr="00C13E80">
        <w:t xml:space="preserve"> likely overestimated. </w:t>
      </w:r>
    </w:p>
    <w:p w14:paraId="1BE3103A" w14:textId="409BB8B7" w:rsidR="00A2661B" w:rsidRPr="00C13E80" w:rsidRDefault="00FD16FA" w:rsidP="00FD16FA">
      <w:pPr>
        <w:pStyle w:val="3-BodyText"/>
        <w:numPr>
          <w:ilvl w:val="1"/>
          <w:numId w:val="1"/>
        </w:numPr>
        <w:rPr>
          <w:iCs/>
        </w:rPr>
      </w:pPr>
      <w:r w:rsidRPr="00C13E80">
        <w:rPr>
          <w:iCs/>
        </w:rPr>
        <w:t>The p</w:t>
      </w:r>
      <w:r w:rsidR="00A2661B" w:rsidRPr="00C13E80">
        <w:rPr>
          <w:iCs/>
        </w:rPr>
        <w:t xml:space="preserve">re-PBAC </w:t>
      </w:r>
      <w:r w:rsidRPr="00C13E80">
        <w:rPr>
          <w:iCs/>
        </w:rPr>
        <w:t>response stated that w</w:t>
      </w:r>
      <w:r w:rsidR="00A2661B" w:rsidRPr="00C13E80">
        <w:rPr>
          <w:iCs/>
        </w:rPr>
        <w:t>hilst it is not possible to accurately predict the future of the pandemic, actual utilisation data from Jan-23 to Jun-23 indicates that a minimum 600</w:t>
      </w:r>
      <w:r w:rsidRPr="00C13E80">
        <w:rPr>
          <w:iCs/>
        </w:rPr>
        <w:t xml:space="preserve">,000 </w:t>
      </w:r>
      <w:r w:rsidR="00A2661B" w:rsidRPr="00C13E80">
        <w:rPr>
          <w:iCs/>
        </w:rPr>
        <w:t xml:space="preserve">units of </w:t>
      </w:r>
      <w:r w:rsidRPr="00C13E80">
        <w:rPr>
          <w:iCs/>
        </w:rPr>
        <w:t>oral antivirals</w:t>
      </w:r>
      <w:r w:rsidR="00A2661B" w:rsidRPr="00C13E80">
        <w:rPr>
          <w:iCs/>
        </w:rPr>
        <w:t xml:space="preserve"> would be required with up to approximately </w:t>
      </w:r>
      <w:r w:rsidRPr="00C13E80">
        <w:rPr>
          <w:iCs/>
        </w:rPr>
        <w:t>1 million</w:t>
      </w:r>
      <w:r w:rsidR="00A2661B" w:rsidRPr="00C13E80">
        <w:rPr>
          <w:iCs/>
        </w:rPr>
        <w:t xml:space="preserve"> doses should future waves mirror utilisation between Jul-22 to Dec-22. </w:t>
      </w:r>
      <w:r w:rsidRPr="00C13E80">
        <w:rPr>
          <w:iCs/>
        </w:rPr>
        <w:t xml:space="preserve">The sponsor </w:t>
      </w:r>
      <w:r w:rsidR="00A2661B" w:rsidRPr="00C13E80">
        <w:rPr>
          <w:iCs/>
        </w:rPr>
        <w:t>note</w:t>
      </w:r>
      <w:r w:rsidRPr="00C13E80">
        <w:rPr>
          <w:iCs/>
        </w:rPr>
        <w:t>d</w:t>
      </w:r>
      <w:r w:rsidR="00A2661B" w:rsidRPr="00C13E80">
        <w:rPr>
          <w:iCs/>
        </w:rPr>
        <w:t xml:space="preserve"> the comments regarding the molnupiravir market share and </w:t>
      </w:r>
      <w:r w:rsidRPr="00C13E80">
        <w:rPr>
          <w:iCs/>
        </w:rPr>
        <w:t>stated that</w:t>
      </w:r>
      <w:r w:rsidR="00A2661B" w:rsidRPr="00C13E80">
        <w:rPr>
          <w:iCs/>
        </w:rPr>
        <w:t xml:space="preserve"> the current share appropriately reflects the complex patient population that the PBS listing is for</w:t>
      </w:r>
      <w:r w:rsidR="00F870EA" w:rsidRPr="00C13E80">
        <w:rPr>
          <w:iCs/>
        </w:rPr>
        <w:t>.</w:t>
      </w:r>
      <w:r w:rsidR="00DD467C">
        <w:rPr>
          <w:iCs/>
        </w:rPr>
        <w:t xml:space="preserve"> </w:t>
      </w:r>
    </w:p>
    <w:p w14:paraId="2238DEE9" w14:textId="3E6A228B" w:rsidR="00576972" w:rsidRPr="00C13E80" w:rsidRDefault="00576972" w:rsidP="00606FBA">
      <w:pPr>
        <w:pStyle w:val="4-SubsectionHeading"/>
      </w:pPr>
      <w:bookmarkStart w:id="96" w:name="_Toc22897648"/>
      <w:bookmarkStart w:id="97" w:name="_Toc135232231"/>
      <w:r w:rsidRPr="00C13E80">
        <w:t>Quality Use of Medicines</w:t>
      </w:r>
      <w:bookmarkEnd w:id="96"/>
      <w:bookmarkEnd w:id="97"/>
    </w:p>
    <w:p w14:paraId="38BD0AEF" w14:textId="1F927BD7" w:rsidR="00576972" w:rsidRPr="00C13E80" w:rsidRDefault="00E44555" w:rsidP="00B46FE9">
      <w:pPr>
        <w:pStyle w:val="3-BodyText"/>
      </w:pPr>
      <w:r w:rsidRPr="00C13E80">
        <w:t xml:space="preserve">The submission </w:t>
      </w:r>
      <w:r w:rsidR="00ED4C42" w:rsidRPr="00C13E80">
        <w:t>states that antiviral treatments are an important tool for protecting</w:t>
      </w:r>
      <w:r w:rsidR="00701DEF">
        <w:t xml:space="preserve"> </w:t>
      </w:r>
      <w:r w:rsidR="00ED4C42" w:rsidRPr="00C13E80">
        <w:t>vulnerable Australians against the development of severe COVID-19 disease</w:t>
      </w:r>
      <w:r w:rsidR="0071411A" w:rsidRPr="00C13E80">
        <w:t>. MSD</w:t>
      </w:r>
      <w:r w:rsidR="00CE414C" w:rsidRPr="00C13E80">
        <w:t xml:space="preserve"> indicates that it will focus </w:t>
      </w:r>
      <w:r w:rsidR="0006523E" w:rsidRPr="00C13E80">
        <w:t>on the following quality use of medicine objectives:</w:t>
      </w:r>
    </w:p>
    <w:p w14:paraId="46CA2DF2" w14:textId="7A2D7B42" w:rsidR="00DA5D3B" w:rsidRPr="00C13E80" w:rsidRDefault="00DA5D3B" w:rsidP="00701DEF">
      <w:pPr>
        <w:pStyle w:val="ListParagraph"/>
        <w:numPr>
          <w:ilvl w:val="0"/>
          <w:numId w:val="15"/>
        </w:numPr>
        <w:ind w:left="1080"/>
      </w:pPr>
      <w:r w:rsidRPr="00C13E80">
        <w:t xml:space="preserve">Keeping prescribers up to date with clinical data and </w:t>
      </w:r>
      <w:r w:rsidR="000F4AB1" w:rsidRPr="000F4AB1">
        <w:t>oral antiviral</w:t>
      </w:r>
      <w:r w:rsidR="000F4AB1">
        <w:t xml:space="preserve"> (</w:t>
      </w:r>
      <w:r w:rsidRPr="00C13E80">
        <w:t>OAV</w:t>
      </w:r>
      <w:r w:rsidR="000F4AB1">
        <w:t>)</w:t>
      </w:r>
      <w:r w:rsidRPr="00C13E80">
        <w:t xml:space="preserve"> reimbursement criteria</w:t>
      </w:r>
    </w:p>
    <w:p w14:paraId="56DD8094" w14:textId="6398BFDF" w:rsidR="0006523E" w:rsidRPr="00C13E80" w:rsidRDefault="00CC4070" w:rsidP="00701DEF">
      <w:pPr>
        <w:pStyle w:val="3-BodyText"/>
        <w:numPr>
          <w:ilvl w:val="0"/>
          <w:numId w:val="15"/>
        </w:numPr>
        <w:ind w:left="1080"/>
      </w:pPr>
      <w:r w:rsidRPr="00C13E80">
        <w:t>Encouragement of high-risk patients to</w:t>
      </w:r>
      <w:r w:rsidR="00BB73FA" w:rsidRPr="00C13E80">
        <w:t xml:space="preserve"> seek early medical advice should they contract COVID-19</w:t>
      </w:r>
    </w:p>
    <w:p w14:paraId="4B7169CE" w14:textId="3E0FC670" w:rsidR="00D60A05" w:rsidRPr="00C13E80" w:rsidRDefault="00B03795" w:rsidP="00701DEF">
      <w:pPr>
        <w:pStyle w:val="3-BodyText"/>
        <w:numPr>
          <w:ilvl w:val="0"/>
          <w:numId w:val="15"/>
        </w:numPr>
        <w:ind w:left="1080"/>
      </w:pPr>
      <w:r w:rsidRPr="00C13E80">
        <w:t xml:space="preserve">Continued education of prescribers, pharmacists and patients to </w:t>
      </w:r>
      <w:r w:rsidR="00352AE0" w:rsidRPr="00C13E80">
        <w:t xml:space="preserve">ensure they </w:t>
      </w:r>
      <w:r w:rsidRPr="00C13E80">
        <w:t xml:space="preserve">are aware of risks </w:t>
      </w:r>
      <w:r w:rsidR="00352AE0" w:rsidRPr="00C13E80">
        <w:t>of development of resistance to antivirals</w:t>
      </w:r>
      <w:r w:rsidR="00D60A05" w:rsidRPr="00C13E80">
        <w:t xml:space="preserve"> and </w:t>
      </w:r>
      <w:r w:rsidRPr="00C13E80">
        <w:t xml:space="preserve">how best to mitigate </w:t>
      </w:r>
      <w:r w:rsidR="00D60A05" w:rsidRPr="00C13E80">
        <w:t>against these risks by reducing inappropriate use</w:t>
      </w:r>
    </w:p>
    <w:p w14:paraId="6015A395" w14:textId="2EDB6A4E" w:rsidR="00576972" w:rsidRPr="00C13E80" w:rsidRDefault="00576972" w:rsidP="00606FBA">
      <w:pPr>
        <w:pStyle w:val="4-SubsectionHeading"/>
      </w:pPr>
      <w:bookmarkStart w:id="98" w:name="_Toc22897649"/>
      <w:bookmarkStart w:id="99" w:name="_Toc135232232"/>
      <w:r w:rsidRPr="00C13E80">
        <w:lastRenderedPageBreak/>
        <w:t>Financial Management – Risk Sharing Arrangements</w:t>
      </w:r>
      <w:bookmarkEnd w:id="98"/>
      <w:bookmarkEnd w:id="99"/>
    </w:p>
    <w:p w14:paraId="0EBC8B54" w14:textId="05A3EE62" w:rsidR="00576972" w:rsidRPr="00C13E80" w:rsidRDefault="00FD16FA" w:rsidP="00B46FE9">
      <w:pPr>
        <w:pStyle w:val="3-BodyText"/>
      </w:pPr>
      <w:r w:rsidRPr="00C13E80">
        <w:t xml:space="preserve">The pre-PBAC response indicated a willingness to work </w:t>
      </w:r>
      <w:r w:rsidRPr="00C13E80">
        <w:rPr>
          <w:iCs/>
        </w:rPr>
        <w:t xml:space="preserve">collaboratively with the Department to ensure a suitable </w:t>
      </w:r>
      <w:r w:rsidRPr="00C13E80">
        <w:t>Risk Sharing Agreement (RSA)</w:t>
      </w:r>
      <w:r w:rsidRPr="00C13E80">
        <w:rPr>
          <w:iCs/>
        </w:rPr>
        <w:t xml:space="preserve"> structure can be developed that balances security of supply, appropriate use, and managed distribution.</w:t>
      </w:r>
    </w:p>
    <w:p w14:paraId="6E1B581B" w14:textId="592537EE" w:rsidR="00ED3AD9" w:rsidRPr="00C13E80" w:rsidRDefault="00ED3AD9" w:rsidP="00ED3AD9">
      <w:pPr>
        <w:pStyle w:val="3-BodyText"/>
        <w:numPr>
          <w:ilvl w:val="0"/>
          <w:numId w:val="0"/>
        </w:numPr>
        <w:ind w:left="720"/>
        <w:rPr>
          <w:iCs/>
          <w:color w:val="0066FF"/>
        </w:rPr>
      </w:pPr>
      <w:r w:rsidRPr="00C13E80">
        <w:rPr>
          <w:i/>
        </w:rPr>
        <w:t xml:space="preserve">For more detail on PBAC’s view, see section 7 PBAC </w:t>
      </w:r>
      <w:r w:rsidR="00701DEF">
        <w:rPr>
          <w:i/>
        </w:rPr>
        <w:t>O</w:t>
      </w:r>
      <w:r w:rsidRPr="00C13E80">
        <w:rPr>
          <w:i/>
        </w:rPr>
        <w:t>utcome.</w:t>
      </w:r>
    </w:p>
    <w:p w14:paraId="474CDC7A" w14:textId="77777777" w:rsidR="001335B4" w:rsidRPr="00C13E80" w:rsidRDefault="001335B4" w:rsidP="000D6CFA">
      <w:pPr>
        <w:pStyle w:val="2-SectionHeading"/>
      </w:pPr>
      <w:bookmarkStart w:id="100" w:name="_Hlk76381249"/>
      <w:bookmarkStart w:id="101" w:name="_Hlk76377955"/>
      <w:r w:rsidRPr="00C13E80">
        <w:t>PBAC Outcome</w:t>
      </w:r>
    </w:p>
    <w:p w14:paraId="4DB5BD9A" w14:textId="6D5C5466" w:rsidR="002510AA" w:rsidRPr="00C13E80" w:rsidRDefault="000E0DD5" w:rsidP="002525F5">
      <w:pPr>
        <w:pStyle w:val="3-BodyText"/>
      </w:pPr>
      <w:bookmarkStart w:id="102" w:name="_Hlk111543188"/>
      <w:r w:rsidRPr="00C13E80">
        <w:t>The PBAC provided advice regarding molnupiravir for the treatment of patients with mild to moderate Coronavirus disease (COVID-19) who are at high risk of developing severe disease requiring hospitalisation. The PBAC advised that the sponsor’s submission did not adequately support continuation of the current PBS listing of molnupiravir, and that additional information is required to inform further consideration</w:t>
      </w:r>
      <w:r w:rsidR="003A411F" w:rsidRPr="00C13E80">
        <w:t xml:space="preserve"> of this matter</w:t>
      </w:r>
      <w:r w:rsidRPr="00C13E80">
        <w:t>.</w:t>
      </w:r>
      <w:r w:rsidR="00DD467C">
        <w:t xml:space="preserve"> </w:t>
      </w:r>
      <w:r w:rsidRPr="00C13E80">
        <w:t xml:space="preserve">The PBAC noted the continued toll of the pandemic and the disproportionate effects on older Australians despite vaccination, and the preference expressed by consumers, clinicians and public health experts to maintain molnupiravir on the PBS as an option for patients who could not use nirmatrelvir and ritonavir (Paxlovid). The PBAC considered all available evidence on the effectiveness and safety of molnupiravir including the randomised trials MOVe OUT and PANORAMIC and noted that the effectiveness in trials as measured by reductions in hospital admissions and mortality ranged between no effect and a modest benefit. The PBAC noted that observational trials showed results consistent with modest benefits, noting that the observational trials were subject to a range of biases. The PBAC considered that the cost-effectiveness of molnupiravir was highly uncertain due to the uncertainty of effectiveness. The PBAC noted that the estimated utilisation and therefore financial impact appeared to be very high relative to the current use (and given PBAC preference that this drug only be used where the more effective treatment (nirmatrelvir and ritonavir) is not suitable). Further clarification was also needed in the restriction regarding the limited patient groups where molnupiravir should be used. </w:t>
      </w:r>
      <w:r w:rsidR="002160C9" w:rsidRPr="00C13E80">
        <w:t xml:space="preserve">The PBAC </w:t>
      </w:r>
      <w:r w:rsidR="002160C9">
        <w:t>noted that the current PBS listing would be maintained pending further consideration</w:t>
      </w:r>
      <w:r w:rsidR="002160C9" w:rsidRPr="00C13E80">
        <w:t>.</w:t>
      </w:r>
    </w:p>
    <w:p w14:paraId="07A5C70E" w14:textId="37E12CC9" w:rsidR="00F3604C" w:rsidRPr="00C13E80" w:rsidRDefault="00F3604C" w:rsidP="00B46FE9">
      <w:pPr>
        <w:pStyle w:val="3-BodyText"/>
      </w:pPr>
      <w:r w:rsidRPr="00C13E80">
        <w:t>The PBAC recalled its previous advice</w:t>
      </w:r>
      <w:r w:rsidR="00652ED9" w:rsidRPr="00C13E80">
        <w:t xml:space="preserve"> in November 2022,</w:t>
      </w:r>
      <w:r w:rsidRPr="00C13E80">
        <w:t xml:space="preserve"> that the preferred anti-viral based on clinical trial data was </w:t>
      </w:r>
      <w:r w:rsidR="008C6C0D" w:rsidRPr="00C13E80">
        <w:t>nirmatrelvir and ritonavir</w:t>
      </w:r>
      <w:r w:rsidRPr="00C13E80">
        <w:t xml:space="preserve"> and </w:t>
      </w:r>
      <w:r w:rsidR="009374D5">
        <w:t>that more recent publication</w:t>
      </w:r>
      <w:r w:rsidR="002525F5">
        <w:t>s</w:t>
      </w:r>
      <w:r w:rsidR="009374D5">
        <w:t xml:space="preserve"> of indirect comparisons supported the role of nirmatrelvir/ritonavir over molnupiravir. Furthermore, PBAC </w:t>
      </w:r>
      <w:r w:rsidRPr="00C13E80">
        <w:t xml:space="preserve">considered that while there had been an increase in the relative use of </w:t>
      </w:r>
      <w:r w:rsidR="008C6C0D" w:rsidRPr="00C13E80">
        <w:t>nirmatrelvir and ritonavir</w:t>
      </w:r>
      <w:r w:rsidRPr="00C13E80">
        <w:t xml:space="preserve"> compared to molnupiravir, further efforts </w:t>
      </w:r>
      <w:r w:rsidR="009374D5">
        <w:t>are</w:t>
      </w:r>
      <w:r w:rsidR="009374D5" w:rsidRPr="00C13E80">
        <w:t xml:space="preserve"> </w:t>
      </w:r>
      <w:r w:rsidRPr="00C13E80">
        <w:t>required to promote the use of the more effective agent and </w:t>
      </w:r>
      <w:r w:rsidR="009374D5">
        <w:t>limit</w:t>
      </w:r>
      <w:r w:rsidR="009374D5" w:rsidRPr="00C13E80">
        <w:t xml:space="preserve"> </w:t>
      </w:r>
      <w:r w:rsidRPr="00C13E80">
        <w:t xml:space="preserve">use of the lesser effective agent to situations where </w:t>
      </w:r>
      <w:r w:rsidR="008C6C0D" w:rsidRPr="00C13E80">
        <w:t>nirmatrelvir and ritonavir</w:t>
      </w:r>
      <w:r w:rsidRPr="00C13E80">
        <w:t xml:space="preserve"> was </w:t>
      </w:r>
      <w:r w:rsidR="00A60E58" w:rsidRPr="00C13E80">
        <w:t>absolutely</w:t>
      </w:r>
      <w:r w:rsidRPr="00C13E80">
        <w:t xml:space="preserve"> contra</w:t>
      </w:r>
      <w:r w:rsidR="00A60E58" w:rsidRPr="00C13E80">
        <w:noBreakHyphen/>
      </w:r>
      <w:r w:rsidRPr="00C13E80">
        <w:t>indicated.</w:t>
      </w:r>
    </w:p>
    <w:p w14:paraId="745B52ED" w14:textId="0A42B258" w:rsidR="00652ED9" w:rsidRPr="00C13E80" w:rsidRDefault="00652ED9" w:rsidP="00B46FE9">
      <w:pPr>
        <w:pStyle w:val="3-BodyText"/>
      </w:pPr>
      <w:r w:rsidRPr="00C13E80">
        <w:t>The</w:t>
      </w:r>
      <w:bookmarkStart w:id="103" w:name="_Ref109859288"/>
      <w:r w:rsidRPr="00C13E80">
        <w:t xml:space="preserve"> PBAC considered there was a lack of clarity on the clinical place for molnupiravir, given that utilisation data showing majority market share for molnupiravir compared </w:t>
      </w:r>
      <w:r w:rsidRPr="00C13E80">
        <w:lastRenderedPageBreak/>
        <w:t xml:space="preserve">with </w:t>
      </w:r>
      <w:r w:rsidR="008C6C0D" w:rsidRPr="00C13E80">
        <w:t>nirmatrelvir and ritonavir</w:t>
      </w:r>
      <w:r w:rsidRPr="00C13E80">
        <w:t xml:space="preserve"> did not reflect clinical guidelines.</w:t>
      </w:r>
      <w:bookmarkEnd w:id="103"/>
      <w:r w:rsidR="00DD467C">
        <w:t xml:space="preserve"> </w:t>
      </w:r>
      <w:r w:rsidR="002525F5" w:rsidRPr="00C13E80">
        <w:rPr>
          <w:iCs/>
          <w:color w:val="000000" w:themeColor="text1"/>
        </w:rPr>
        <w:t xml:space="preserve">The </w:t>
      </w:r>
      <w:r w:rsidR="002525F5">
        <w:rPr>
          <w:iCs/>
          <w:color w:val="000000" w:themeColor="text1"/>
        </w:rPr>
        <w:t>PBAC</w:t>
      </w:r>
      <w:r w:rsidR="002525F5" w:rsidRPr="00C13E80">
        <w:rPr>
          <w:iCs/>
          <w:color w:val="000000" w:themeColor="text1"/>
        </w:rPr>
        <w:t xml:space="preserve"> noted that </w:t>
      </w:r>
      <w:r w:rsidR="002525F5">
        <w:rPr>
          <w:iCs/>
          <w:color w:val="000000" w:themeColor="text1"/>
        </w:rPr>
        <w:t xml:space="preserve">molnupiravir is no longer recommended for routine use in Australia (paragraph </w:t>
      </w:r>
      <w:r w:rsidR="002525F5">
        <w:rPr>
          <w:iCs/>
          <w:color w:val="000000" w:themeColor="text1"/>
        </w:rPr>
        <w:fldChar w:fldCharType="begin" w:fldLock="1"/>
      </w:r>
      <w:r w:rsidR="002525F5">
        <w:rPr>
          <w:iCs/>
          <w:color w:val="000000" w:themeColor="text1"/>
        </w:rPr>
        <w:instrText xml:space="preserve"> REF _Ref142402495 \r \h </w:instrText>
      </w:r>
      <w:r w:rsidR="002525F5">
        <w:rPr>
          <w:iCs/>
          <w:color w:val="000000" w:themeColor="text1"/>
        </w:rPr>
      </w:r>
      <w:r w:rsidR="002525F5">
        <w:rPr>
          <w:iCs/>
          <w:color w:val="000000" w:themeColor="text1"/>
        </w:rPr>
        <w:fldChar w:fldCharType="separate"/>
      </w:r>
      <w:r w:rsidR="00701DEF">
        <w:rPr>
          <w:iCs/>
          <w:color w:val="000000" w:themeColor="text1"/>
        </w:rPr>
        <w:t>5.9</w:t>
      </w:r>
      <w:r w:rsidR="002525F5">
        <w:rPr>
          <w:iCs/>
          <w:color w:val="000000" w:themeColor="text1"/>
        </w:rPr>
        <w:fldChar w:fldCharType="end"/>
      </w:r>
      <w:r w:rsidR="002525F5">
        <w:rPr>
          <w:iCs/>
          <w:color w:val="000000" w:themeColor="text1"/>
        </w:rPr>
        <w:t>).</w:t>
      </w:r>
    </w:p>
    <w:p w14:paraId="2205146B" w14:textId="220A575B" w:rsidR="00F3604C" w:rsidRPr="00C13E80" w:rsidRDefault="00F3604C" w:rsidP="00B46FE9">
      <w:pPr>
        <w:pStyle w:val="3-BodyText"/>
        <w:widowControl w:val="0"/>
      </w:pPr>
      <w:r w:rsidRPr="00C13E80">
        <w:t xml:space="preserve">The PBAC noted the preference expressed by consumers, clinicians and public health experts to maintain molnupiravir on the PBS as an option for patients who could not use </w:t>
      </w:r>
      <w:r w:rsidR="008C6C0D" w:rsidRPr="00C13E80">
        <w:t>nirmatrelvir and ritonavir</w:t>
      </w:r>
      <w:r w:rsidRPr="00C13E80">
        <w:t>.</w:t>
      </w:r>
    </w:p>
    <w:p w14:paraId="01E5DD5C" w14:textId="30B0584F" w:rsidR="005C7D8F" w:rsidRPr="00C13E80" w:rsidRDefault="005C7D8F" w:rsidP="005C7D8F">
      <w:pPr>
        <w:pStyle w:val="3-BodyText"/>
        <w:numPr>
          <w:ilvl w:val="1"/>
          <w:numId w:val="16"/>
        </w:numPr>
      </w:pPr>
      <w:r w:rsidRPr="00C13E80">
        <w:t>The PBAC noted that since the initial PBAC consideration of molnupiravir in February</w:t>
      </w:r>
      <w:r w:rsidR="00701DEF">
        <w:t> </w:t>
      </w:r>
      <w:r w:rsidRPr="00C13E80">
        <w:t>2022, one large, randomised study of molnupiravir has been published (PANORAMIC), which was considered by the PBAC in November 2022; the study was not considered fully generalisable to the PBS population.</w:t>
      </w:r>
    </w:p>
    <w:p w14:paraId="65621AF3" w14:textId="63C2EE4F" w:rsidR="00BC5E26" w:rsidRPr="00C13E80" w:rsidRDefault="00BC5E26" w:rsidP="00B46FE9">
      <w:pPr>
        <w:pStyle w:val="3-BodyText"/>
      </w:pPr>
      <w:r w:rsidRPr="00C13E80">
        <w:t xml:space="preserve">The PBAC noted that </w:t>
      </w:r>
      <w:r w:rsidR="00E25F94" w:rsidRPr="00C13E80">
        <w:t>a pre-print</w:t>
      </w:r>
      <w:r w:rsidRPr="00C13E80">
        <w:t xml:space="preserve"> manuscript for the Victorian dataset was available, however considered that the study carried a substantial risk of bias due to its observational design</w:t>
      </w:r>
      <w:r w:rsidR="002525F5">
        <w:t xml:space="preserve"> (paragraph </w:t>
      </w:r>
      <w:r w:rsidR="002525F5">
        <w:fldChar w:fldCharType="begin" w:fldLock="1"/>
      </w:r>
      <w:r w:rsidR="002525F5">
        <w:instrText xml:space="preserve"> REF _Ref142402783 \r \h </w:instrText>
      </w:r>
      <w:r w:rsidR="002525F5">
        <w:fldChar w:fldCharType="separate"/>
      </w:r>
      <w:r w:rsidR="00701DEF">
        <w:t>6.35</w:t>
      </w:r>
      <w:r w:rsidR="002525F5">
        <w:fldChar w:fldCharType="end"/>
      </w:r>
      <w:r w:rsidR="002525F5">
        <w:t>)</w:t>
      </w:r>
      <w:r w:rsidR="00F870EA" w:rsidRPr="00C13E80">
        <w:t xml:space="preserve">. </w:t>
      </w:r>
    </w:p>
    <w:p w14:paraId="746B4BC3" w14:textId="647AB729" w:rsidR="00C37F7F" w:rsidRPr="00C13E80" w:rsidRDefault="00C37F7F" w:rsidP="00B46FE9">
      <w:pPr>
        <w:pStyle w:val="3-BodyText"/>
        <w:widowControl w:val="0"/>
      </w:pPr>
      <w:r w:rsidRPr="00C13E80">
        <w:t>Based on the usual preference of PBAC for effectiveness to be based on randomised clinical trials</w:t>
      </w:r>
      <w:r w:rsidR="00780D89">
        <w:t xml:space="preserve"> </w:t>
      </w:r>
      <w:r w:rsidRPr="00C13E80">
        <w:t>the PBAC considered that molnupiravir would not be cost-effective at the requested price</w:t>
      </w:r>
      <w:r w:rsidR="00780D89">
        <w:t xml:space="preserve"> in light of the </w:t>
      </w:r>
      <w:r w:rsidR="009374D5">
        <w:t xml:space="preserve">clinical effectiveness reported in the </w:t>
      </w:r>
      <w:r w:rsidR="00780D89" w:rsidRPr="00C13E80">
        <w:t>PANORAMIC</w:t>
      </w:r>
      <w:r w:rsidR="00780D89">
        <w:t xml:space="preserve"> data</w:t>
      </w:r>
      <w:r w:rsidRPr="00C13E80">
        <w:t>.</w:t>
      </w:r>
      <w:r w:rsidR="00780D89">
        <w:t xml:space="preserve"> </w:t>
      </w:r>
    </w:p>
    <w:p w14:paraId="53466370" w14:textId="77777777" w:rsidR="00C37F7F" w:rsidRPr="00C13E80" w:rsidRDefault="00C37F7F" w:rsidP="00B46FE9">
      <w:pPr>
        <w:pStyle w:val="3-BodyText"/>
      </w:pPr>
      <w:r w:rsidRPr="00C13E80">
        <w:t>The PBAC maintained its previous advice that nirmatrelvir and ritonavir is preferred over molnupiravir in a scenario where both oral antivirals are able to be used. The PBAC considered that the claim of uncertain comparative efficacy was not adequately supported by the submission, and relative safety could not be reliably ascertained based on the available evidence.</w:t>
      </w:r>
    </w:p>
    <w:p w14:paraId="33C2514B" w14:textId="7E369C90" w:rsidR="005C7D8F" w:rsidRPr="00C13E80" w:rsidRDefault="005C7D8F" w:rsidP="00B46FE9">
      <w:pPr>
        <w:pStyle w:val="3-BodyText"/>
      </w:pPr>
      <w:r w:rsidRPr="00C13E80">
        <w:t>The PBAC considered that the cost-effectiveness of molnupiravir was highly uncertain due to the uncertainty of effectiveness</w:t>
      </w:r>
      <w:r w:rsidR="00F870EA" w:rsidRPr="00C13E80">
        <w:t xml:space="preserve">. </w:t>
      </w:r>
      <w:r w:rsidRPr="00C13E80">
        <w:t xml:space="preserve">The PBAC noted that the wide variation in ICERs generated for each of the subgroups presented in the submission, ranging from </w:t>
      </w:r>
      <w:r w:rsidR="00CD21C5" w:rsidRPr="00CD21C5">
        <w:t>$0 to &lt; $5,000</w:t>
      </w:r>
      <w:r w:rsidR="00CD21C5">
        <w:t xml:space="preserve"> </w:t>
      </w:r>
      <w:r w:rsidRPr="00C13E80">
        <w:t xml:space="preserve">per QALY gained in the IC subgroup to </w:t>
      </w:r>
      <w:r w:rsidR="00CD21C5" w:rsidRPr="00CD21C5">
        <w:t>$75,000 to &lt; $95,000</w:t>
      </w:r>
      <w:r w:rsidR="00CD21C5">
        <w:t xml:space="preserve"> </w:t>
      </w:r>
      <w:r w:rsidRPr="00C13E80">
        <w:t>per QALY gained in the 50-69 high risk subgroup (</w:t>
      </w:r>
      <w:r w:rsidRPr="00C13E80">
        <w:rPr>
          <w:highlight w:val="yellow"/>
        </w:rPr>
        <w:fldChar w:fldCharType="begin" w:fldLock="1"/>
      </w:r>
      <w:r w:rsidRPr="00C13E80">
        <w:instrText xml:space="preserve"> REF _Ref104805181 \h </w:instrText>
      </w:r>
      <w:r w:rsidRPr="00C13E80">
        <w:rPr>
          <w:highlight w:val="yellow"/>
        </w:rPr>
      </w:r>
      <w:r w:rsidRPr="00C13E80">
        <w:rPr>
          <w:highlight w:val="yellow"/>
        </w:rPr>
        <w:fldChar w:fldCharType="separate"/>
      </w:r>
      <w:r w:rsidR="00701DEF" w:rsidRPr="00C13E80">
        <w:t xml:space="preserve">Table </w:t>
      </w:r>
      <w:r w:rsidR="00701DEF">
        <w:rPr>
          <w:noProof/>
        </w:rPr>
        <w:t>13</w:t>
      </w:r>
      <w:r w:rsidRPr="00C13E80">
        <w:rPr>
          <w:highlight w:val="yellow"/>
        </w:rPr>
        <w:fldChar w:fldCharType="end"/>
      </w:r>
      <w:r w:rsidRPr="00C13E80">
        <w:t xml:space="preserve">). The largest group in the utilisation estimates was the 70+ subgroup, comprising 60.7% of antiviral prescriptions on the PBS from August 2022 to December 2022, therefore the cost-effectiveness of this group has the largest influence on the weighted results. The </w:t>
      </w:r>
      <w:r w:rsidRPr="00C13E80">
        <w:rPr>
          <w:iCs/>
        </w:rPr>
        <w:t xml:space="preserve">PBAC agreed with </w:t>
      </w:r>
      <w:r w:rsidR="00B57151" w:rsidRPr="00C13E80">
        <w:rPr>
          <w:iCs/>
        </w:rPr>
        <w:t xml:space="preserve">the </w:t>
      </w:r>
      <w:r w:rsidRPr="00C13E80">
        <w:rPr>
          <w:iCs/>
        </w:rPr>
        <w:t>ESC that it was theoretically appropriate to split the subgroups in the model, however the data used to populate the subgroups were inadequate to be able to do this in a robust way and therefore the results generated by the model were highly uncertain</w:t>
      </w:r>
      <w:r w:rsidR="00F870EA" w:rsidRPr="00C13E80">
        <w:rPr>
          <w:iCs/>
        </w:rPr>
        <w:t xml:space="preserve">. </w:t>
      </w:r>
      <w:r w:rsidRPr="00C13E80">
        <w:t>The PBAC noted that none of the evidence presented for molnupiravir was specific to patients with absolute contraindications to nirmatrelvir and ritonavir.</w:t>
      </w:r>
    </w:p>
    <w:p w14:paraId="0B41279B" w14:textId="360E01D1" w:rsidR="00A74309" w:rsidRPr="00C13E80" w:rsidRDefault="00A74309" w:rsidP="00B46FE9">
      <w:pPr>
        <w:pStyle w:val="3-BodyText"/>
      </w:pPr>
      <w:bookmarkStart w:id="104" w:name="_Ref141709913"/>
      <w:r w:rsidRPr="00C13E80">
        <w:t>Based on the available clinical evidence, the PBAC considered that a substantial reduction in price would be required to support continued listing</w:t>
      </w:r>
      <w:r w:rsidR="00F870EA" w:rsidRPr="00C13E80">
        <w:t xml:space="preserve">. </w:t>
      </w:r>
      <w:r w:rsidR="00C27BC7" w:rsidRPr="00C13E80">
        <w:t>The rationale for the requested price reduction was to overcome the uncertainty in cost</w:t>
      </w:r>
      <w:r w:rsidR="00C27BC7" w:rsidRPr="00C13E80">
        <w:noBreakHyphen/>
        <w:t>effectiveness arising from, in the main, uncertain extent of clinical benefit in the target populations</w:t>
      </w:r>
      <w:r w:rsidR="00F870EA" w:rsidRPr="00C13E80">
        <w:t xml:space="preserve">. </w:t>
      </w:r>
      <w:r w:rsidRPr="00C13E80">
        <w:t xml:space="preserve">The PBAC noted that </w:t>
      </w:r>
      <w:r w:rsidR="00B7676F" w:rsidRPr="00C13E80">
        <w:t xml:space="preserve">several publications reported significantly improved </w:t>
      </w:r>
      <w:r w:rsidR="002708ED" w:rsidRPr="00C13E80">
        <w:lastRenderedPageBreak/>
        <w:t>effectiveness</w:t>
      </w:r>
      <w:r w:rsidR="00B7676F" w:rsidRPr="00C13E80">
        <w:t xml:space="preserve"> with </w:t>
      </w:r>
      <w:r w:rsidR="008C6C0D" w:rsidRPr="00C13E80">
        <w:t>nirmatrelvir and ritonavir</w:t>
      </w:r>
      <w:r w:rsidR="006A6AEC" w:rsidRPr="00C13E80">
        <w:t>,</w:t>
      </w:r>
      <w:r w:rsidR="00B7676F" w:rsidRPr="00C13E80">
        <w:t xml:space="preserve"> compared with </w:t>
      </w:r>
      <w:r w:rsidR="00B7676F" w:rsidRPr="00CD21C5">
        <w:t>molnupiravir</w:t>
      </w:r>
      <w:r w:rsidR="00B7676F" w:rsidRPr="00CD21C5">
        <w:rPr>
          <w:rFonts w:cstheme="minorHAnsi"/>
        </w:rPr>
        <w:t xml:space="preserve"> (</w:t>
      </w:r>
      <w:r w:rsidR="00B7676F" w:rsidRPr="00CD21C5">
        <w:rPr>
          <w:rFonts w:cstheme="minorHAnsi"/>
          <w:b/>
          <w:bCs/>
        </w:rPr>
        <w:fldChar w:fldCharType="begin" w:fldLock="1"/>
      </w:r>
      <w:r w:rsidR="00B7676F" w:rsidRPr="00CD21C5">
        <w:rPr>
          <w:rFonts w:cstheme="minorHAnsi"/>
          <w:b/>
          <w:bCs/>
        </w:rPr>
        <w:instrText xml:space="preserve"> REF _Ref134387665 \h </w:instrText>
      </w:r>
      <w:r w:rsidR="00701DEF" w:rsidRPr="00CD21C5">
        <w:rPr>
          <w:rFonts w:cstheme="minorHAnsi"/>
          <w:b/>
          <w:bCs/>
        </w:rPr>
        <w:instrText xml:space="preserve"> \* MERGEFORMAT </w:instrText>
      </w:r>
      <w:r w:rsidR="00B7676F" w:rsidRPr="00CD21C5">
        <w:rPr>
          <w:rFonts w:cstheme="minorHAnsi"/>
          <w:b/>
          <w:bCs/>
        </w:rPr>
      </w:r>
      <w:r w:rsidR="00B7676F" w:rsidRPr="00CD21C5">
        <w:rPr>
          <w:rFonts w:cstheme="minorHAnsi"/>
          <w:b/>
          <w:bCs/>
        </w:rPr>
        <w:fldChar w:fldCharType="separate"/>
      </w:r>
      <w:r w:rsidR="00701DEF" w:rsidRPr="00CD21C5">
        <w:rPr>
          <w:rStyle w:val="CommentReference"/>
          <w:rFonts w:asciiTheme="minorHAnsi" w:hAnsiTheme="minorHAnsi" w:cstheme="minorHAnsi"/>
          <w:b w:val="0"/>
          <w:bCs/>
          <w:sz w:val="24"/>
          <w:szCs w:val="24"/>
        </w:rPr>
        <w:t xml:space="preserve">Table </w:t>
      </w:r>
      <w:r w:rsidR="00701DEF" w:rsidRPr="00CD21C5">
        <w:rPr>
          <w:rStyle w:val="CommentReference"/>
          <w:rFonts w:asciiTheme="minorHAnsi" w:hAnsiTheme="minorHAnsi" w:cstheme="minorHAnsi"/>
          <w:b w:val="0"/>
          <w:bCs/>
          <w:noProof/>
          <w:sz w:val="24"/>
          <w:szCs w:val="24"/>
        </w:rPr>
        <w:t>7</w:t>
      </w:r>
      <w:r w:rsidR="00B7676F" w:rsidRPr="00CD21C5">
        <w:rPr>
          <w:rFonts w:cstheme="minorHAnsi"/>
          <w:b/>
          <w:bCs/>
        </w:rPr>
        <w:fldChar w:fldCharType="end"/>
      </w:r>
      <w:r w:rsidR="00B7676F" w:rsidRPr="00CD21C5">
        <w:rPr>
          <w:rFonts w:cstheme="minorHAnsi"/>
        </w:rPr>
        <w:t>)</w:t>
      </w:r>
      <w:r w:rsidR="00E25F94" w:rsidRPr="00CD21C5">
        <w:rPr>
          <w:rFonts w:cstheme="minorHAnsi"/>
        </w:rPr>
        <w:t>.</w:t>
      </w:r>
      <w:bookmarkEnd w:id="104"/>
    </w:p>
    <w:p w14:paraId="183F5AC3" w14:textId="7A4D87B9" w:rsidR="00C81AA0" w:rsidRPr="00C13E80" w:rsidRDefault="000E51EA" w:rsidP="00B46FE9">
      <w:pPr>
        <w:pStyle w:val="3-BodyText"/>
        <w:widowControl w:val="0"/>
      </w:pPr>
      <w:bookmarkStart w:id="105" w:name="_Ref141710789"/>
      <w:r w:rsidRPr="00C13E80">
        <w:t xml:space="preserve">The PBAC noted that </w:t>
      </w:r>
      <w:r w:rsidR="00F3604C" w:rsidRPr="00C13E80">
        <w:t>the estimate</w:t>
      </w:r>
      <w:r w:rsidRPr="00C13E80">
        <w:t>d</w:t>
      </w:r>
      <w:r w:rsidR="00F3604C" w:rsidRPr="00C13E80">
        <w:t xml:space="preserve"> utilisation and therefore financial</w:t>
      </w:r>
      <w:r w:rsidR="00A9364A" w:rsidRPr="00C13E80">
        <w:t xml:space="preserve"> impact</w:t>
      </w:r>
      <w:r w:rsidR="00F3604C" w:rsidRPr="00C13E80">
        <w:t xml:space="preserve"> appeared to be very high relative to the current use (and PBAC </w:t>
      </w:r>
      <w:r w:rsidR="009D2979">
        <w:t>anticipated</w:t>
      </w:r>
      <w:r w:rsidR="00B452CC" w:rsidRPr="00C13E80">
        <w:t xml:space="preserve"> </w:t>
      </w:r>
      <w:r w:rsidR="00F3604C" w:rsidRPr="00C13E80">
        <w:t>utilisation</w:t>
      </w:r>
      <w:r w:rsidRPr="00C13E80">
        <w:t xml:space="preserve"> patterns </w:t>
      </w:r>
      <w:r w:rsidR="00B452CC">
        <w:t xml:space="preserve">with </w:t>
      </w:r>
      <w:r w:rsidRPr="00C13E80">
        <w:t xml:space="preserve">increased </w:t>
      </w:r>
      <w:r w:rsidR="00B452CC">
        <w:t xml:space="preserve">relative </w:t>
      </w:r>
      <w:r w:rsidRPr="00C13E80">
        <w:t>use of the more effective agent</w:t>
      </w:r>
      <w:r w:rsidR="00F3604C" w:rsidRPr="00C13E80">
        <w:t>)</w:t>
      </w:r>
      <w:bookmarkEnd w:id="102"/>
      <w:r w:rsidR="00F870EA" w:rsidRPr="00C13E80">
        <w:t xml:space="preserve">. </w:t>
      </w:r>
      <w:r w:rsidR="003A0C6E" w:rsidRPr="00C13E80">
        <w:t xml:space="preserve">The PBAC considered that the estimates should be revised to account for the concerns raised in </w:t>
      </w:r>
      <w:r w:rsidR="003A0C6E" w:rsidRPr="00C13E80">
        <w:fldChar w:fldCharType="begin" w:fldLock="1"/>
      </w:r>
      <w:r w:rsidR="003A0C6E" w:rsidRPr="00C13E80">
        <w:instrText xml:space="preserve"> REF _Ref104805262 \h </w:instrText>
      </w:r>
      <w:r w:rsidR="003A0C6E" w:rsidRPr="00C13E80">
        <w:fldChar w:fldCharType="separate"/>
      </w:r>
      <w:r w:rsidR="00701DEF" w:rsidRPr="00C13E80">
        <w:t xml:space="preserve">Table </w:t>
      </w:r>
      <w:r w:rsidR="00701DEF">
        <w:rPr>
          <w:noProof/>
        </w:rPr>
        <w:t>16</w:t>
      </w:r>
      <w:r w:rsidR="003A0C6E" w:rsidRPr="00C13E80">
        <w:fldChar w:fldCharType="end"/>
      </w:r>
      <w:r w:rsidR="00F870EA" w:rsidRPr="00C13E80">
        <w:t xml:space="preserve">. </w:t>
      </w:r>
      <w:r w:rsidR="00E25F94" w:rsidRPr="00C13E80">
        <w:t xml:space="preserve">Given uncertainty of the estimates, it may be appropriate to consider a </w:t>
      </w:r>
      <w:r w:rsidR="006A6AEC" w:rsidRPr="00C13E80">
        <w:t xml:space="preserve">Risk Sharing Arrangement </w:t>
      </w:r>
      <w:r w:rsidR="00E25F94" w:rsidRPr="00C13E80">
        <w:t xml:space="preserve">for a </w:t>
      </w:r>
      <w:r w:rsidR="006A6AEC" w:rsidRPr="00C13E80">
        <w:t>three-year</w:t>
      </w:r>
      <w:r w:rsidR="00E25F94" w:rsidRPr="00C13E80">
        <w:t xml:space="preserve"> period rather than the usual </w:t>
      </w:r>
      <w:r w:rsidR="006A6AEC" w:rsidRPr="00C13E80">
        <w:t>six-year</w:t>
      </w:r>
      <w:r w:rsidR="00E25F94" w:rsidRPr="00C13E80">
        <w:t xml:space="preserve"> period.</w:t>
      </w:r>
      <w:bookmarkEnd w:id="105"/>
    </w:p>
    <w:p w14:paraId="4020CC3A" w14:textId="0F3132E3" w:rsidR="001335B4" w:rsidRPr="00C13E80" w:rsidRDefault="00A9428B" w:rsidP="00701DEF">
      <w:pPr>
        <w:widowControl w:val="0"/>
        <w:numPr>
          <w:ilvl w:val="1"/>
          <w:numId w:val="16"/>
        </w:numPr>
        <w:spacing w:after="120"/>
        <w:contextualSpacing/>
        <w:rPr>
          <w:rFonts w:asciiTheme="minorHAnsi" w:hAnsiTheme="minorHAnsi"/>
        </w:rPr>
      </w:pPr>
      <w:bookmarkStart w:id="106" w:name="_Ref141709676"/>
      <w:r w:rsidRPr="00C13E80">
        <w:rPr>
          <w:rFonts w:asciiTheme="minorHAnsi" w:hAnsiTheme="minorHAnsi"/>
        </w:rPr>
        <w:t xml:space="preserve">The PBAC provided the following </w:t>
      </w:r>
      <w:r w:rsidR="00C27BC7" w:rsidRPr="00C13E80">
        <w:rPr>
          <w:rFonts w:asciiTheme="minorHAnsi" w:hAnsiTheme="minorHAnsi"/>
        </w:rPr>
        <w:t xml:space="preserve">comments </w:t>
      </w:r>
      <w:r w:rsidRPr="00C13E80">
        <w:rPr>
          <w:rFonts w:asciiTheme="minorHAnsi" w:hAnsiTheme="minorHAnsi"/>
        </w:rPr>
        <w:t>on the restriction:</w:t>
      </w:r>
      <w:bookmarkEnd w:id="106"/>
    </w:p>
    <w:p w14:paraId="246CF9E3" w14:textId="500ECF94" w:rsidR="00C37F7F" w:rsidRPr="00C13E80" w:rsidRDefault="00E25F94" w:rsidP="00701DEF">
      <w:pPr>
        <w:pStyle w:val="ListParagraph"/>
        <w:widowControl w:val="0"/>
        <w:numPr>
          <w:ilvl w:val="0"/>
          <w:numId w:val="17"/>
        </w:numPr>
        <w:ind w:left="1134" w:hanging="357"/>
      </w:pPr>
      <w:r w:rsidRPr="00C13E80">
        <w:t xml:space="preserve">The PBAC considered that the administrative note should be formalised in the restriction </w:t>
      </w:r>
      <w:r w:rsidR="00C27BC7" w:rsidRPr="00C13E80">
        <w:t xml:space="preserve">as a separate clinical criterion </w:t>
      </w:r>
      <w:r w:rsidRPr="00C13E80">
        <w:t>to provide greater clarity to prescribers on the appropriate population for molnupiravir</w:t>
      </w:r>
      <w:r w:rsidR="002708ED" w:rsidRPr="00C13E80">
        <w:t>.</w:t>
      </w:r>
      <w:r w:rsidRPr="00C13E80">
        <w:t xml:space="preserve"> </w:t>
      </w:r>
    </w:p>
    <w:p w14:paraId="3918E916" w14:textId="6FE3E106" w:rsidR="00086560" w:rsidRPr="00086560" w:rsidRDefault="00086560" w:rsidP="00701DEF">
      <w:pPr>
        <w:pStyle w:val="ListParagraph"/>
        <w:widowControl w:val="0"/>
        <w:numPr>
          <w:ilvl w:val="0"/>
          <w:numId w:val="17"/>
        </w:numPr>
        <w:ind w:left="1134" w:hanging="357"/>
      </w:pPr>
      <w:r w:rsidRPr="00C13E80">
        <w:t xml:space="preserve">An increase to the restriction level for molnupiravir may be considered, although the PBAC noted </w:t>
      </w:r>
      <w:r>
        <w:t xml:space="preserve">that it did not want administrative requirements to delay treatment initiation. The PBAC also acknowledged that substantial work had been undertaken to promote early use of antiviral therapy as a component of Australia’s pandemic response. The PBAC noted that greater adherence was required regarding the NCET guidance that </w:t>
      </w:r>
      <w:r>
        <w:rPr>
          <w:iCs/>
          <w:color w:val="000000" w:themeColor="text1"/>
        </w:rPr>
        <w:t>molnupiravir is no longer recommended for routine use in Australia.</w:t>
      </w:r>
    </w:p>
    <w:p w14:paraId="43537E4A" w14:textId="190554EA" w:rsidR="00B57151" w:rsidRPr="00C13E80" w:rsidRDefault="00B57151" w:rsidP="00701DEF">
      <w:pPr>
        <w:pStyle w:val="ListParagraph"/>
        <w:widowControl w:val="0"/>
        <w:numPr>
          <w:ilvl w:val="0"/>
          <w:numId w:val="17"/>
        </w:numPr>
        <w:ind w:left="1134" w:hanging="357"/>
      </w:pPr>
      <w:r w:rsidRPr="00C13E80">
        <w:t>Further clarification was needed to determine w</w:t>
      </w:r>
      <w:r w:rsidR="005C7D8F" w:rsidRPr="00C13E80">
        <w:t xml:space="preserve">hether the prescriber bag listing </w:t>
      </w:r>
      <w:r w:rsidRPr="00C13E80">
        <w:t>was</w:t>
      </w:r>
      <w:r w:rsidR="005C7D8F" w:rsidRPr="00C13E80">
        <w:t xml:space="preserve"> still fit for purpose.</w:t>
      </w:r>
    </w:p>
    <w:p w14:paraId="1F011592" w14:textId="2F8223D0" w:rsidR="002C2CF8" w:rsidRPr="00C13E80" w:rsidRDefault="002C2CF8" w:rsidP="002C2CF8">
      <w:pPr>
        <w:pStyle w:val="3-BodyText"/>
        <w:numPr>
          <w:ilvl w:val="1"/>
          <w:numId w:val="1"/>
        </w:numPr>
      </w:pPr>
      <w:bookmarkStart w:id="107" w:name="_Ref141708213"/>
      <w:r w:rsidRPr="00C13E80">
        <w:t>The PBAC considered that a substantial price reduction for molnupiravir would be required, noting that the sponsor’s submission did not adequately support that the current PBS listing is cost-effective.</w:t>
      </w:r>
      <w:r w:rsidR="00DD467C">
        <w:t xml:space="preserve"> </w:t>
      </w:r>
      <w:r w:rsidRPr="00C13E80">
        <w:t>The PBAC noted the reduced AEMP offered by the submission of $</w:t>
      </w:r>
      <w:r w:rsidR="00573190" w:rsidRPr="00567EAC">
        <w:rPr>
          <w:color w:val="000000"/>
          <w:w w:val="15"/>
          <w:shd w:val="solid" w:color="000000" w:fill="000000"/>
          <w:fitText w:val="-20" w:id="-1168357883"/>
          <w14:textFill>
            <w14:solidFill>
              <w14:srgbClr w14:val="000000">
                <w14:alpha w14:val="100000"/>
              </w14:srgbClr>
            </w14:solidFill>
          </w14:textFill>
        </w:rPr>
        <w:t xml:space="preserve">|  </w:t>
      </w:r>
      <w:r w:rsidR="00573190" w:rsidRPr="00567EAC">
        <w:rPr>
          <w:color w:val="000000"/>
          <w:spacing w:val="-69"/>
          <w:w w:val="15"/>
          <w:shd w:val="solid" w:color="000000" w:fill="000000"/>
          <w:fitText w:val="-20" w:id="-1168357883"/>
          <w14:textFill>
            <w14:solidFill>
              <w14:srgbClr w14:val="000000">
                <w14:alpha w14:val="100000"/>
              </w14:srgbClr>
            </w14:solidFill>
          </w14:textFill>
        </w:rPr>
        <w:t>|</w:t>
      </w:r>
      <w:r w:rsidRPr="00C13E80">
        <w:t xml:space="preserve"> for 40 capsules, as compared with the current AEMP of $988. The PBAC considered that the offered reduction was insufficient </w:t>
      </w:r>
      <w:r w:rsidR="00B452CC">
        <w:t>to</w:t>
      </w:r>
      <w:r w:rsidR="00B452CC" w:rsidRPr="00C13E80">
        <w:t xml:space="preserve"> </w:t>
      </w:r>
      <w:r w:rsidRPr="00C13E80">
        <w:t xml:space="preserve">address the uncertainties regarding the </w:t>
      </w:r>
      <w:r w:rsidR="00B87690">
        <w:t xml:space="preserve">effectiveness and </w:t>
      </w:r>
      <w:r w:rsidRPr="00C13E80">
        <w:t>cost-effectiveness, however advised it would be appropriate for the sponsor’s proposed reduced price to be implemented in the interim, while additional information is sought to inform further consideration of this matter.</w:t>
      </w:r>
      <w:r w:rsidRPr="00C13E80" w:rsidDel="00D957AD">
        <w:t xml:space="preserve"> </w:t>
      </w:r>
    </w:p>
    <w:p w14:paraId="4EBF229F" w14:textId="10213F8B" w:rsidR="006C54A2" w:rsidRPr="00C13E80" w:rsidRDefault="006C54A2" w:rsidP="00B20EBD">
      <w:pPr>
        <w:widowControl w:val="0"/>
        <w:numPr>
          <w:ilvl w:val="1"/>
          <w:numId w:val="1"/>
        </w:numPr>
        <w:spacing w:after="120"/>
      </w:pPr>
      <w:bookmarkStart w:id="108" w:name="_Ref142404298"/>
      <w:r w:rsidRPr="00C13E80">
        <w:t xml:space="preserve">The PBAC considered </w:t>
      </w:r>
      <w:r w:rsidR="00C37F7F" w:rsidRPr="00C13E80">
        <w:t xml:space="preserve">that </w:t>
      </w:r>
      <w:r w:rsidRPr="00C13E80">
        <w:t xml:space="preserve">the issues </w:t>
      </w:r>
      <w:r w:rsidR="00C37F7F" w:rsidRPr="00C13E80">
        <w:t xml:space="preserve">described in these minutes </w:t>
      </w:r>
      <w:r w:rsidR="000F4AB1">
        <w:t xml:space="preserve">would require </w:t>
      </w:r>
      <w:r w:rsidRPr="00C13E80">
        <w:t xml:space="preserve">a resubmission for </w:t>
      </w:r>
      <w:r w:rsidR="006D1C4F" w:rsidRPr="00C13E80">
        <w:t>molnupiravir</w:t>
      </w:r>
      <w:r w:rsidRPr="00C13E80">
        <w:t xml:space="preserve"> </w:t>
      </w:r>
      <w:r w:rsidR="002708ED" w:rsidRPr="00C13E80">
        <w:t xml:space="preserve">and requested that the sponsor lodge the resubmission </w:t>
      </w:r>
      <w:r w:rsidR="000F4AB1">
        <w:t>for consideration at the November 2023 PBAC meeting if possible, no later than 13</w:t>
      </w:r>
      <w:r w:rsidR="00CD21C5">
        <w:t> </w:t>
      </w:r>
      <w:r w:rsidR="000F4AB1">
        <w:t>September 2023.</w:t>
      </w:r>
      <w:r w:rsidR="00DD467C">
        <w:t xml:space="preserve"> </w:t>
      </w:r>
      <w:r w:rsidR="006D1C4F" w:rsidRPr="00C13E80">
        <w:t>T</w:t>
      </w:r>
      <w:r w:rsidRPr="00C13E80">
        <w:t>he following changes may address the outstanding issues:</w:t>
      </w:r>
      <w:bookmarkEnd w:id="107"/>
      <w:bookmarkEnd w:id="108"/>
    </w:p>
    <w:p w14:paraId="5EA47938" w14:textId="798C31CF" w:rsidR="005C7D8F" w:rsidRPr="00C13E80" w:rsidRDefault="00D7445D" w:rsidP="00701DEF">
      <w:pPr>
        <w:pStyle w:val="ListParagraph"/>
        <w:widowControl w:val="0"/>
        <w:numPr>
          <w:ilvl w:val="0"/>
          <w:numId w:val="17"/>
        </w:numPr>
        <w:ind w:left="1134" w:hanging="357"/>
      </w:pPr>
      <w:r w:rsidRPr="00C13E80">
        <w:t>Restriction</w:t>
      </w:r>
      <w:r w:rsidR="005C7D8F" w:rsidRPr="00C13E80">
        <w:t xml:space="preserve">: </w:t>
      </w:r>
      <w:r w:rsidR="002708ED" w:rsidRPr="00C13E80">
        <w:t xml:space="preserve">clarification of the appropriate population (see paragraph </w:t>
      </w:r>
      <w:r w:rsidR="002708ED" w:rsidRPr="00C13E80">
        <w:fldChar w:fldCharType="begin" w:fldLock="1"/>
      </w:r>
      <w:r w:rsidR="002708ED" w:rsidRPr="00C13E80">
        <w:instrText xml:space="preserve"> REF _Ref141709676 \r \h </w:instrText>
      </w:r>
      <w:r w:rsidR="00701DEF">
        <w:instrText xml:space="preserve"> \* MERGEFORMAT </w:instrText>
      </w:r>
      <w:r w:rsidR="002708ED" w:rsidRPr="00C13E80">
        <w:fldChar w:fldCharType="separate"/>
      </w:r>
      <w:r w:rsidR="00701DEF">
        <w:t>7.12</w:t>
      </w:r>
      <w:r w:rsidR="002708ED" w:rsidRPr="00C13E80">
        <w:fldChar w:fldCharType="end"/>
      </w:r>
      <w:r w:rsidR="002708ED" w:rsidRPr="00C13E80">
        <w:t>).</w:t>
      </w:r>
    </w:p>
    <w:p w14:paraId="57564D2E" w14:textId="125FC8AA" w:rsidR="005C7D8F" w:rsidRPr="00C13E80" w:rsidRDefault="00D7445D" w:rsidP="00701DEF">
      <w:pPr>
        <w:pStyle w:val="ListParagraph"/>
        <w:widowControl w:val="0"/>
        <w:numPr>
          <w:ilvl w:val="0"/>
          <w:numId w:val="17"/>
        </w:numPr>
        <w:ind w:left="1134" w:hanging="357"/>
      </w:pPr>
      <w:r w:rsidRPr="00C13E80">
        <w:t>Cost-effectiveness</w:t>
      </w:r>
      <w:r w:rsidR="005C7D8F" w:rsidRPr="00C13E80">
        <w:t xml:space="preserve">: </w:t>
      </w:r>
      <w:r w:rsidR="002708ED" w:rsidRPr="00C13E80">
        <w:t xml:space="preserve">a </w:t>
      </w:r>
      <w:r w:rsidR="00B452CC">
        <w:t xml:space="preserve">substantial </w:t>
      </w:r>
      <w:r w:rsidR="002708ED" w:rsidRPr="00C13E80">
        <w:t xml:space="preserve">reduction in price </w:t>
      </w:r>
      <w:r w:rsidR="005C7D8F" w:rsidRPr="00C13E80">
        <w:t>to support continued listing</w:t>
      </w:r>
      <w:r w:rsidR="002708ED" w:rsidRPr="00C13E80">
        <w:t xml:space="preserve"> (see paragraph </w:t>
      </w:r>
      <w:r w:rsidR="002708ED" w:rsidRPr="00C13E80">
        <w:fldChar w:fldCharType="begin" w:fldLock="1"/>
      </w:r>
      <w:r w:rsidR="002708ED" w:rsidRPr="00C13E80">
        <w:instrText xml:space="preserve"> REF _Ref141709913 \r \h </w:instrText>
      </w:r>
      <w:r w:rsidR="00701DEF">
        <w:instrText xml:space="preserve"> \* MERGEFORMAT </w:instrText>
      </w:r>
      <w:r w:rsidR="002708ED" w:rsidRPr="00C13E80">
        <w:fldChar w:fldCharType="separate"/>
      </w:r>
      <w:r w:rsidR="00701DEF">
        <w:t>7.10</w:t>
      </w:r>
      <w:r w:rsidR="002708ED" w:rsidRPr="00C13E80">
        <w:fldChar w:fldCharType="end"/>
      </w:r>
      <w:r w:rsidR="002708ED" w:rsidRPr="00C13E80">
        <w:t>)</w:t>
      </w:r>
      <w:r w:rsidR="0052511B">
        <w:t xml:space="preserve"> in a population </w:t>
      </w:r>
      <w:r w:rsidR="0052511B">
        <w:lastRenderedPageBreak/>
        <w:t xml:space="preserve">ineligible for </w:t>
      </w:r>
      <w:r w:rsidR="0052511B" w:rsidRPr="00C13E80">
        <w:t>nirmatrelvir and ritonavir</w:t>
      </w:r>
      <w:r w:rsidR="005C7D8F" w:rsidRPr="00C13E80">
        <w:t>.</w:t>
      </w:r>
    </w:p>
    <w:p w14:paraId="0A39B671" w14:textId="7FA1DBF9" w:rsidR="006C54A2" w:rsidRPr="00C13E80" w:rsidRDefault="006C54A2" w:rsidP="00701DEF">
      <w:pPr>
        <w:pStyle w:val="ListParagraph"/>
        <w:widowControl w:val="0"/>
        <w:numPr>
          <w:ilvl w:val="0"/>
          <w:numId w:val="17"/>
        </w:numPr>
        <w:ind w:left="1134" w:hanging="357"/>
      </w:pPr>
      <w:r w:rsidRPr="00C13E80">
        <w:t xml:space="preserve">Recalculation of the financial implications using revised inputs as discussed in paragraph </w:t>
      </w:r>
      <w:r w:rsidR="003A0C6E" w:rsidRPr="00C13E80">
        <w:fldChar w:fldCharType="begin" w:fldLock="1"/>
      </w:r>
      <w:r w:rsidR="003A0C6E" w:rsidRPr="00C13E80">
        <w:instrText xml:space="preserve"> REF _Ref141710789 \r \h </w:instrText>
      </w:r>
      <w:r w:rsidR="00701DEF">
        <w:instrText xml:space="preserve"> \* MERGEFORMAT </w:instrText>
      </w:r>
      <w:r w:rsidR="003A0C6E" w:rsidRPr="00C13E80">
        <w:fldChar w:fldCharType="separate"/>
      </w:r>
      <w:r w:rsidR="00701DEF">
        <w:t>7.11</w:t>
      </w:r>
      <w:r w:rsidR="003A0C6E" w:rsidRPr="00C13E80">
        <w:fldChar w:fldCharType="end"/>
      </w:r>
      <w:r w:rsidR="003A0C6E" w:rsidRPr="00C13E80">
        <w:t xml:space="preserve"> </w:t>
      </w:r>
      <w:r w:rsidRPr="00C13E80">
        <w:t>and revised price.</w:t>
      </w:r>
    </w:p>
    <w:p w14:paraId="56210C34" w14:textId="4DC03457" w:rsidR="001C1689" w:rsidRPr="001C1689" w:rsidRDefault="001C1689" w:rsidP="001C1689">
      <w:pPr>
        <w:pStyle w:val="3-BodyText"/>
      </w:pPr>
      <w:r w:rsidRPr="001C1689">
        <w:t xml:space="preserve">The PBAC noted that timely access to OAV, including PBS listing to facilitate distribution through community pharmacy, had been an important component of Australia's pandemic response, based on the best evidence available at the time. The PBAC recognised the challenges that changes to the evidence base, and clinical guidance, have produced in that context. The PBAC considered that it was preferable for </w:t>
      </w:r>
      <w:r w:rsidR="0052511B">
        <w:t xml:space="preserve">issues </w:t>
      </w:r>
      <w:r w:rsidRPr="001C1689">
        <w:t xml:space="preserve">for the ongoing PBS listing of molnupiravir, if any, </w:t>
      </w:r>
      <w:r w:rsidR="00637DFE">
        <w:t xml:space="preserve">to </w:t>
      </w:r>
      <w:r w:rsidRPr="001C1689">
        <w:t>be resolved as expeditiously as possible. Noting this, and the tight timeframe for re-consideration by PBAC in the 2023 calendar year</w:t>
      </w:r>
      <w:r>
        <w:t xml:space="preserve"> (as outlined in paragraph </w:t>
      </w:r>
      <w:r>
        <w:fldChar w:fldCharType="begin" w:fldLock="1"/>
      </w:r>
      <w:r>
        <w:instrText xml:space="preserve"> REF _Ref142404298 \r \h </w:instrText>
      </w:r>
      <w:r>
        <w:fldChar w:fldCharType="separate"/>
      </w:r>
      <w:r w:rsidR="00701DEF">
        <w:t>7.14</w:t>
      </w:r>
      <w:r>
        <w:fldChar w:fldCharType="end"/>
      </w:r>
      <w:r>
        <w:t>)</w:t>
      </w:r>
      <w:r w:rsidRPr="001C1689">
        <w:t xml:space="preserve">, </w:t>
      </w:r>
      <w:r>
        <w:t xml:space="preserve">the </w:t>
      </w:r>
      <w:r w:rsidRPr="001C1689">
        <w:t>PBAC asked the Department to work closely with the sponsor to consider any options that may assist PBAC reconsideration in a timely manner.</w:t>
      </w:r>
    </w:p>
    <w:p w14:paraId="5485F2C9" w14:textId="72DB4DC8" w:rsidR="006C54A2" w:rsidRPr="00C13E80" w:rsidRDefault="006D1C4F" w:rsidP="006C54A2">
      <w:pPr>
        <w:pStyle w:val="3-BodyText"/>
      </w:pPr>
      <w:r w:rsidRPr="00C13E80">
        <w:t>The PBAC noted that this submission is not eligible for an Independent Review as it was not seeking an additional indication for molnupiravir on the PBS.</w:t>
      </w:r>
    </w:p>
    <w:p w14:paraId="11C46033" w14:textId="77777777" w:rsidR="001335B4" w:rsidRPr="00C13E80" w:rsidRDefault="001335B4" w:rsidP="001335B4">
      <w:pPr>
        <w:spacing w:before="240"/>
        <w:rPr>
          <w:rFonts w:asciiTheme="minorHAnsi" w:hAnsiTheme="minorHAnsi"/>
          <w:b/>
        </w:rPr>
      </w:pPr>
      <w:r w:rsidRPr="00C13E80">
        <w:rPr>
          <w:rFonts w:asciiTheme="minorHAnsi" w:hAnsiTheme="minorHAnsi"/>
          <w:b/>
        </w:rPr>
        <w:t>Outcome:</w:t>
      </w:r>
    </w:p>
    <w:p w14:paraId="0778CE8B" w14:textId="7FE570D0" w:rsidR="001335B4" w:rsidRPr="009769C8" w:rsidRDefault="00BB18EE" w:rsidP="009769C8">
      <w:pPr>
        <w:rPr>
          <w:rFonts w:asciiTheme="minorHAnsi" w:hAnsiTheme="minorHAnsi"/>
        </w:rPr>
      </w:pPr>
      <w:r w:rsidRPr="00C13E80">
        <w:rPr>
          <w:rFonts w:asciiTheme="minorHAnsi" w:hAnsiTheme="minorHAnsi"/>
        </w:rPr>
        <w:t>Advice Provided</w:t>
      </w:r>
    </w:p>
    <w:p w14:paraId="6CD9A6AD" w14:textId="670E46C2" w:rsidR="000E24E6" w:rsidRDefault="000E24E6" w:rsidP="000E24E6">
      <w:pPr>
        <w:pStyle w:val="2-SectionHeading"/>
        <w:rPr>
          <w:bCs/>
          <w:lang w:val="en-GB"/>
        </w:rPr>
      </w:pPr>
      <w:r w:rsidRPr="00C07617">
        <w:t>Context for Decision</w:t>
      </w:r>
    </w:p>
    <w:p w14:paraId="74DC1D3A" w14:textId="77777777" w:rsidR="000E24E6" w:rsidRPr="007129F2" w:rsidRDefault="000E24E6" w:rsidP="000E24E6">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3B5A26F1" w14:textId="0C6FC4BF" w:rsidR="000E24E6" w:rsidRPr="000E24E6" w:rsidRDefault="000E24E6" w:rsidP="000E24E6">
      <w:pPr>
        <w:pStyle w:val="2-SectionHeading"/>
      </w:pPr>
      <w:r>
        <w:t>Sponsor’s Comment</w:t>
      </w:r>
    </w:p>
    <w:p w14:paraId="40C07277" w14:textId="71505CC4" w:rsidR="00940332" w:rsidRDefault="002724F4" w:rsidP="00073100">
      <w:pPr>
        <w:widowControl w:val="0"/>
        <w:ind w:left="720"/>
        <w:rPr>
          <w:rFonts w:asciiTheme="minorHAnsi" w:hAnsiTheme="minorHAnsi"/>
          <w:bCs/>
          <w:lang w:val="en-GB"/>
        </w:rPr>
      </w:pPr>
      <w:r>
        <w:rPr>
          <w:rFonts w:asciiTheme="minorHAnsi" w:hAnsiTheme="minorHAnsi"/>
          <w:bCs/>
          <w:lang w:val="en-GB"/>
        </w:rPr>
        <w:t xml:space="preserve">MSD is disappointed that PBAC </w:t>
      </w:r>
      <w:r w:rsidR="005E6E9D" w:rsidRPr="005E6E9D">
        <w:rPr>
          <w:rFonts w:asciiTheme="minorHAnsi" w:hAnsiTheme="minorHAnsi"/>
          <w:bCs/>
        </w:rPr>
        <w:t>preferred the randomised clinical trials</w:t>
      </w:r>
      <w:r w:rsidR="005E6E9D" w:rsidRPr="005E6E9D">
        <w:rPr>
          <w:rFonts w:asciiTheme="minorHAnsi" w:hAnsiTheme="minorHAnsi"/>
          <w:bCs/>
          <w:lang w:val="en-GB"/>
        </w:rPr>
        <w:t xml:space="preserve"> </w:t>
      </w:r>
      <w:r w:rsidR="005E6E9D" w:rsidRPr="005E6E9D">
        <w:rPr>
          <w:rFonts w:asciiTheme="minorHAnsi" w:hAnsiTheme="minorHAnsi"/>
          <w:bCs/>
        </w:rPr>
        <w:t>and considered that the observational data had substantial risk of bias.</w:t>
      </w:r>
      <w:r w:rsidRPr="00A43DB9">
        <w:rPr>
          <w:rFonts w:asciiTheme="minorHAnsi" w:hAnsiTheme="minorHAnsi"/>
          <w:bCs/>
          <w:lang w:val="en-GB"/>
        </w:rPr>
        <w:t xml:space="preserve"> </w:t>
      </w:r>
      <w:r>
        <w:rPr>
          <w:rFonts w:asciiTheme="minorHAnsi" w:hAnsiTheme="minorHAnsi"/>
          <w:bCs/>
          <w:lang w:val="en-GB"/>
        </w:rPr>
        <w:t>MSD will endeavour to work with the PBAC to ensure molnupiravir continues to be available for vulnerable COVID</w:t>
      </w:r>
      <w:r w:rsidR="001F59EF">
        <w:rPr>
          <w:rFonts w:asciiTheme="minorHAnsi" w:hAnsiTheme="minorHAnsi"/>
          <w:bCs/>
          <w:lang w:val="en-GB"/>
        </w:rPr>
        <w:t> </w:t>
      </w:r>
      <w:r>
        <w:rPr>
          <w:rFonts w:asciiTheme="minorHAnsi" w:hAnsiTheme="minorHAnsi"/>
          <w:bCs/>
          <w:lang w:val="en-GB"/>
        </w:rPr>
        <w:t>-</w:t>
      </w:r>
      <w:r w:rsidR="001F59EF">
        <w:rPr>
          <w:rFonts w:asciiTheme="minorHAnsi" w:hAnsiTheme="minorHAnsi"/>
          <w:bCs/>
          <w:lang w:val="en-GB"/>
        </w:rPr>
        <w:t> </w:t>
      </w:r>
      <w:r>
        <w:rPr>
          <w:rFonts w:asciiTheme="minorHAnsi" w:hAnsiTheme="minorHAnsi"/>
          <w:bCs/>
          <w:lang w:val="en-GB"/>
        </w:rPr>
        <w:t xml:space="preserve">positive patients who are unable to take other antivirals. </w:t>
      </w:r>
    </w:p>
    <w:p w14:paraId="4F31C553" w14:textId="1AA9205D" w:rsidR="00940332" w:rsidRDefault="00940332" w:rsidP="00940332">
      <w:pPr>
        <w:jc w:val="left"/>
        <w:rPr>
          <w:rFonts w:asciiTheme="minorHAnsi" w:hAnsiTheme="minorHAnsi"/>
          <w:bCs/>
          <w:lang w:val="en-GB"/>
        </w:rPr>
      </w:pPr>
      <w:r>
        <w:rPr>
          <w:rFonts w:asciiTheme="minorHAnsi" w:hAnsiTheme="minorHAnsi"/>
          <w:bCs/>
          <w:lang w:val="en-GB"/>
        </w:rPr>
        <w:br w:type="page"/>
      </w:r>
    </w:p>
    <w:p w14:paraId="43060543" w14:textId="29A775E4" w:rsidR="00940332" w:rsidRPr="009709BB" w:rsidRDefault="00940332" w:rsidP="009709BB">
      <w:pPr>
        <w:pStyle w:val="1MainTitle"/>
        <w:pageBreakBefore/>
        <w:ind w:left="1134" w:hanging="1134"/>
        <w:jc w:val="left"/>
        <w:rPr>
          <w:rFonts w:eastAsia="Calibri"/>
          <w:color w:val="FF0000"/>
          <w:sz w:val="28"/>
          <w:szCs w:val="28"/>
        </w:rPr>
      </w:pPr>
      <w:r w:rsidRPr="00D16A97">
        <w:rPr>
          <w:rFonts w:eastAsia="Calibri"/>
          <w:color w:val="FF0000"/>
          <w:sz w:val="28"/>
          <w:szCs w:val="28"/>
        </w:rPr>
        <w:lastRenderedPageBreak/>
        <w:t>Addendum</w:t>
      </w:r>
      <w:bookmarkStart w:id="109" w:name="Addendum"/>
      <w:bookmarkEnd w:id="109"/>
      <w:r w:rsidRPr="00D16A97">
        <w:rPr>
          <w:rFonts w:eastAsia="Calibri"/>
          <w:color w:val="FF0000"/>
          <w:sz w:val="28"/>
          <w:szCs w:val="28"/>
        </w:rPr>
        <w:t xml:space="preserve"> to the July 2023 PBAC </w:t>
      </w:r>
      <w:r w:rsidR="002C544C" w:rsidRPr="002C544C">
        <w:rPr>
          <w:rFonts w:eastAsia="Calibri"/>
          <w:color w:val="FF0000"/>
          <w:sz w:val="28"/>
          <w:szCs w:val="28"/>
        </w:rPr>
        <w:t xml:space="preserve">Public Summary Document </w:t>
      </w:r>
      <w:r w:rsidR="002C544C">
        <w:rPr>
          <w:rFonts w:eastAsia="Calibri"/>
          <w:color w:val="FF0000"/>
          <w:sz w:val="28"/>
          <w:szCs w:val="28"/>
        </w:rPr>
        <w:t>(</w:t>
      </w:r>
      <w:r w:rsidR="009709BB">
        <w:rPr>
          <w:rFonts w:eastAsia="Calibri"/>
          <w:color w:val="FF0000"/>
          <w:sz w:val="28"/>
          <w:szCs w:val="28"/>
        </w:rPr>
        <w:t>PSD</w:t>
      </w:r>
      <w:r w:rsidR="002C544C">
        <w:rPr>
          <w:rFonts w:eastAsia="Calibri"/>
          <w:color w:val="FF0000"/>
          <w:sz w:val="28"/>
          <w:szCs w:val="28"/>
        </w:rPr>
        <w:t>)</w:t>
      </w:r>
    </w:p>
    <w:p w14:paraId="5904BFE4" w14:textId="77777777" w:rsidR="00940332" w:rsidRPr="00D16A97" w:rsidRDefault="00940332" w:rsidP="004E32B4">
      <w:pPr>
        <w:pStyle w:val="1-MainHeading"/>
        <w:ind w:left="851" w:hanging="851"/>
      </w:pPr>
      <w:r w:rsidRPr="00D16A97">
        <w:t>4.04</w:t>
      </w:r>
      <w:r w:rsidRPr="00D16A97">
        <w:tab/>
        <w:t xml:space="preserve">MOLNUPIRAVIR, </w:t>
      </w:r>
      <w:r w:rsidRPr="00D16A97">
        <w:br/>
        <w:t>Capsule 200 mg,</w:t>
      </w:r>
      <w:r w:rsidRPr="00D16A97">
        <w:br/>
        <w:t>Lagevrio</w:t>
      </w:r>
      <w:r w:rsidRPr="00D16A97">
        <w:rPr>
          <w:vertAlign w:val="superscript"/>
        </w:rPr>
        <w:t>®</w:t>
      </w:r>
      <w:r w:rsidRPr="00D16A97">
        <w:t>,</w:t>
      </w:r>
      <w:r w:rsidRPr="00D16A97">
        <w:br/>
        <w:t>Merck Sharp &amp; Dohme (Australia) Pty Ltd.</w:t>
      </w:r>
    </w:p>
    <w:p w14:paraId="264284E4" w14:textId="77777777" w:rsidR="00940332" w:rsidRPr="00D16A97" w:rsidRDefault="00940332" w:rsidP="00940332">
      <w:pPr>
        <w:pStyle w:val="2-SectionHeading"/>
        <w:numPr>
          <w:ilvl w:val="0"/>
          <w:numId w:val="1"/>
        </w:numPr>
      </w:pPr>
      <w:bookmarkStart w:id="110" w:name="_Ref150503411"/>
      <w:r w:rsidRPr="00D16A97">
        <w:t>Purpose of submission</w:t>
      </w:r>
      <w:bookmarkEnd w:id="110"/>
    </w:p>
    <w:p w14:paraId="60F0EA5B" w14:textId="4B5A1686" w:rsidR="00940332" w:rsidRPr="00D16A97" w:rsidRDefault="00940332" w:rsidP="00940332">
      <w:pPr>
        <w:pStyle w:val="3-BodyText"/>
        <w:numPr>
          <w:ilvl w:val="1"/>
          <w:numId w:val="1"/>
        </w:numPr>
      </w:pPr>
      <w:r w:rsidRPr="00D16A97">
        <w:t xml:space="preserve">The submission was lodged to address issues raised by the </w:t>
      </w:r>
      <w:r w:rsidR="00E14097">
        <w:t xml:space="preserve">PBAC </w:t>
      </w:r>
      <w:r w:rsidRPr="00D16A97">
        <w:t>in its consideration of molnupiravir at the July 2023 meeting.</w:t>
      </w:r>
    </w:p>
    <w:p w14:paraId="155B827F" w14:textId="77777777" w:rsidR="00940332" w:rsidRPr="00D16A97" w:rsidRDefault="00940332" w:rsidP="00940332">
      <w:pPr>
        <w:pStyle w:val="2-SectionHeading"/>
        <w:numPr>
          <w:ilvl w:val="0"/>
          <w:numId w:val="1"/>
        </w:numPr>
      </w:pPr>
      <w:r w:rsidRPr="00D16A97">
        <w:t>Background</w:t>
      </w:r>
    </w:p>
    <w:p w14:paraId="72AA0904" w14:textId="77777777" w:rsidR="00940332" w:rsidRPr="00D16A97" w:rsidRDefault="00940332" w:rsidP="00940332">
      <w:pPr>
        <w:pStyle w:val="4-SubsectionHeading"/>
      </w:pPr>
      <w:r w:rsidRPr="00D16A97">
        <w:t>Registration status</w:t>
      </w:r>
    </w:p>
    <w:p w14:paraId="0028D837" w14:textId="6AE9BE86" w:rsidR="00940332" w:rsidRPr="00D16A97" w:rsidRDefault="00940332" w:rsidP="00940332">
      <w:pPr>
        <w:pStyle w:val="3-BodyText"/>
        <w:numPr>
          <w:ilvl w:val="1"/>
          <w:numId w:val="1"/>
        </w:numPr>
        <w:rPr>
          <w:iCs/>
          <w:color w:val="000000" w:themeColor="text1"/>
        </w:rPr>
      </w:pPr>
      <w:r w:rsidRPr="00D16A97">
        <w:rPr>
          <w:color w:val="000000" w:themeColor="text1"/>
        </w:rPr>
        <w:t xml:space="preserve">Molnupiravir was granted provisional approval by the TGA on 20 January 2022 for </w:t>
      </w:r>
      <w:r w:rsidR="009709BB">
        <w:rPr>
          <w:color w:val="000000" w:themeColor="text1"/>
        </w:rPr>
        <w:t>‘</w:t>
      </w:r>
      <w:r w:rsidRPr="00D16A97">
        <w:rPr>
          <w:color w:val="000000" w:themeColor="text1"/>
        </w:rPr>
        <w:t>the treatment of adults with COVID-19 who do not require initiation of oxygen due to COVID-19 and who are at increased risk for hospitalisation or death</w:t>
      </w:r>
      <w:r w:rsidR="009709BB">
        <w:rPr>
          <w:color w:val="000000" w:themeColor="text1"/>
        </w:rPr>
        <w:t>’</w:t>
      </w:r>
      <w:r w:rsidRPr="00D16A97">
        <w:rPr>
          <w:color w:val="000000" w:themeColor="text1"/>
        </w:rPr>
        <w:t>. Provisional approval was granted for a two-year period, with the consent to import or supply molnupiravir effective until 18 January 2024. On 1 September 2023, the TGA granted a 2-year extension to the provisional registration of molnupiravir, to 18 January 2026.</w:t>
      </w:r>
    </w:p>
    <w:p w14:paraId="39FB6FE7" w14:textId="06E48E5B" w:rsidR="00940332" w:rsidRPr="00D16A97" w:rsidRDefault="00940332" w:rsidP="00940332">
      <w:pPr>
        <w:pStyle w:val="3-BodyText"/>
        <w:numPr>
          <w:ilvl w:val="1"/>
          <w:numId w:val="1"/>
        </w:numPr>
        <w:rPr>
          <w:iCs/>
          <w:color w:val="000000" w:themeColor="text1"/>
        </w:rPr>
      </w:pPr>
      <w:r w:rsidRPr="00D16A97">
        <w:rPr>
          <w:color w:val="000000" w:themeColor="text1"/>
        </w:rPr>
        <w:t xml:space="preserve">Additional information was requested from the sponsor regarding molnupiravir in other jurisdictions. A summary of </w:t>
      </w:r>
      <w:r w:rsidRPr="00D16A97">
        <w:rPr>
          <w:rFonts w:cstheme="minorHAnsi"/>
          <w:szCs w:val="20"/>
        </w:rPr>
        <w:t xml:space="preserve">overseas registration status was provided as shown in </w:t>
      </w:r>
      <w:r w:rsidRPr="00D16A97">
        <w:rPr>
          <w:rFonts w:cstheme="minorHAnsi"/>
          <w:szCs w:val="20"/>
        </w:rPr>
        <w:fldChar w:fldCharType="begin" w:fldLock="1"/>
      </w:r>
      <w:r w:rsidRPr="00D16A97">
        <w:rPr>
          <w:rFonts w:cstheme="minorHAnsi"/>
          <w:szCs w:val="20"/>
        </w:rPr>
        <w:instrText xml:space="preserve"> REF _Ref148101101 \h </w:instrText>
      </w:r>
      <w:r w:rsidRPr="00D16A97">
        <w:rPr>
          <w:rFonts w:cstheme="minorHAnsi"/>
          <w:szCs w:val="20"/>
        </w:rPr>
      </w:r>
      <w:r w:rsidRPr="00D16A97">
        <w:rPr>
          <w:rFonts w:cstheme="minorHAnsi"/>
          <w:szCs w:val="20"/>
        </w:rPr>
        <w:fldChar w:fldCharType="separate"/>
      </w:r>
      <w:r w:rsidRPr="00D16A97">
        <w:t>Table 18</w:t>
      </w:r>
      <w:r w:rsidRPr="00D16A97">
        <w:rPr>
          <w:rFonts w:cstheme="minorHAnsi"/>
          <w:szCs w:val="20"/>
        </w:rPr>
        <w:fldChar w:fldCharType="end"/>
      </w:r>
      <w:r w:rsidRPr="00D16A97">
        <w:rPr>
          <w:rFonts w:cstheme="minorHAnsi"/>
          <w:szCs w:val="20"/>
        </w:rPr>
        <w:t xml:space="preserve">. The correspondence stated that reimbursement status varies depending on the funding arrangements for </w:t>
      </w:r>
      <w:r w:rsidRPr="00D16A97">
        <w:t>oral antivirals (</w:t>
      </w:r>
      <w:r w:rsidRPr="00D16A97">
        <w:rPr>
          <w:rFonts w:cstheme="minorHAnsi"/>
          <w:szCs w:val="20"/>
        </w:rPr>
        <w:t xml:space="preserve">OAVs; whether in stockpile or on general schedule) and the patient population reimbursed, which varies across jurisdictions, and that utilisation metrics are not available to the local sponsor with respect to use of molnupiravir in other countries. </w:t>
      </w:r>
      <w:r w:rsidRPr="00D16A97">
        <w:rPr>
          <w:iCs/>
          <w:color w:val="000000" w:themeColor="text1"/>
        </w:rPr>
        <w:t xml:space="preserve">The PBAC noted that no status was provided for </w:t>
      </w:r>
      <w:r w:rsidRPr="00D16A97">
        <w:rPr>
          <w:color w:val="000000" w:themeColor="text1"/>
        </w:rPr>
        <w:t xml:space="preserve">the </w:t>
      </w:r>
      <w:r w:rsidR="00E14097">
        <w:rPr>
          <w:color w:val="000000" w:themeColor="text1"/>
        </w:rPr>
        <w:t>EMA</w:t>
      </w:r>
      <w:r w:rsidRPr="00D16A97">
        <w:rPr>
          <w:color w:val="000000" w:themeColor="text1"/>
        </w:rPr>
        <w:t xml:space="preserve">, however the sponsor had previously notified the Department of the withdrawal of the EU application for marketing authorisation of molnupiravir (see paragraph </w:t>
      </w:r>
      <w:r w:rsidR="00872953">
        <w:rPr>
          <w:color w:val="000000" w:themeColor="text1"/>
        </w:rPr>
        <w:t>2.3</w:t>
      </w:r>
      <w:r w:rsidRPr="00D16A97">
        <w:rPr>
          <w:color w:val="000000" w:themeColor="text1"/>
        </w:rPr>
        <w:t>).</w:t>
      </w:r>
    </w:p>
    <w:p w14:paraId="7E00B40D" w14:textId="77777777" w:rsidR="00940332" w:rsidRPr="00D16A97" w:rsidRDefault="00940332" w:rsidP="009769C8">
      <w:pPr>
        <w:pStyle w:val="Caption"/>
        <w:rPr>
          <w:rFonts w:cstheme="minorHAnsi"/>
          <w:b w:val="0"/>
          <w:bCs w:val="0"/>
          <w:szCs w:val="20"/>
        </w:rPr>
      </w:pPr>
      <w:bookmarkStart w:id="111" w:name="_Ref148101101"/>
      <w:r w:rsidRPr="00D16A97">
        <w:lastRenderedPageBreak/>
        <w:t xml:space="preserve">Table </w:t>
      </w:r>
      <w:r w:rsidR="00567EAC">
        <w:fldChar w:fldCharType="begin" w:fldLock="1"/>
      </w:r>
      <w:r w:rsidR="00567EAC">
        <w:instrText xml:space="preserve"> SEQ Table \* ARABIC </w:instrText>
      </w:r>
      <w:r w:rsidR="00567EAC">
        <w:fldChar w:fldCharType="separate"/>
      </w:r>
      <w:r w:rsidRPr="00D16A97">
        <w:t>18</w:t>
      </w:r>
      <w:r w:rsidR="00567EAC">
        <w:fldChar w:fldCharType="end"/>
      </w:r>
      <w:bookmarkEnd w:id="111"/>
      <w:r w:rsidRPr="00D16A97">
        <w:t>:</w:t>
      </w:r>
      <w:r w:rsidRPr="00D16A97">
        <w:tab/>
      </w:r>
      <w:r w:rsidRPr="00D16A97">
        <w:rPr>
          <w:rFonts w:cstheme="minorHAnsi"/>
          <w:szCs w:val="20"/>
        </w:rPr>
        <w:t>Overseas registration status for molnupiravir 200 mg capsules as of 21 June 2023</w:t>
      </w:r>
    </w:p>
    <w:tbl>
      <w:tblPr>
        <w:tblStyle w:val="TableGrid"/>
        <w:tblW w:w="0" w:type="auto"/>
        <w:tblLook w:val="04A0" w:firstRow="1" w:lastRow="0" w:firstColumn="1" w:lastColumn="0" w:noHBand="0" w:noVBand="1"/>
      </w:tblPr>
      <w:tblGrid>
        <w:gridCol w:w="4390"/>
        <w:gridCol w:w="2409"/>
        <w:gridCol w:w="2218"/>
      </w:tblGrid>
      <w:tr w:rsidR="00940332" w:rsidRPr="00D16A97" w14:paraId="48F46CF8" w14:textId="77777777" w:rsidTr="00192D14">
        <w:tc>
          <w:tcPr>
            <w:tcW w:w="4390" w:type="dxa"/>
          </w:tcPr>
          <w:p w14:paraId="7C085BB8" w14:textId="77777777" w:rsidR="00940332" w:rsidRPr="00D16A97" w:rsidRDefault="00940332" w:rsidP="009769C8">
            <w:pPr>
              <w:keepNext/>
              <w:rPr>
                <w:rFonts w:ascii="Arial Narrow" w:hAnsi="Arial Narrow"/>
                <w:b/>
                <w:bCs/>
                <w:sz w:val="20"/>
                <w:szCs w:val="20"/>
              </w:rPr>
            </w:pPr>
            <w:r w:rsidRPr="00D16A97">
              <w:rPr>
                <w:rFonts w:ascii="Arial Narrow" w:hAnsi="Arial Narrow"/>
                <w:b/>
                <w:bCs/>
                <w:sz w:val="20"/>
                <w:szCs w:val="20"/>
              </w:rPr>
              <w:t>Country/Region</w:t>
            </w:r>
          </w:p>
        </w:tc>
        <w:tc>
          <w:tcPr>
            <w:tcW w:w="2409" w:type="dxa"/>
            <w:vAlign w:val="center"/>
          </w:tcPr>
          <w:p w14:paraId="67B38B91" w14:textId="77777777" w:rsidR="00940332" w:rsidRPr="00D16A97" w:rsidRDefault="00940332" w:rsidP="009769C8">
            <w:pPr>
              <w:keepNext/>
              <w:jc w:val="center"/>
              <w:rPr>
                <w:rFonts w:ascii="Arial Narrow" w:hAnsi="Arial Narrow"/>
                <w:b/>
                <w:sz w:val="20"/>
              </w:rPr>
            </w:pPr>
            <w:r w:rsidRPr="00D16A97">
              <w:rPr>
                <w:rFonts w:ascii="Arial Narrow" w:hAnsi="Arial Narrow"/>
                <w:b/>
                <w:sz w:val="20"/>
              </w:rPr>
              <w:t>Authorisation/Approval</w:t>
            </w:r>
          </w:p>
        </w:tc>
        <w:tc>
          <w:tcPr>
            <w:tcW w:w="2218" w:type="dxa"/>
          </w:tcPr>
          <w:p w14:paraId="6DFE1EE7" w14:textId="77777777" w:rsidR="00940332" w:rsidRPr="00D16A97" w:rsidRDefault="00940332" w:rsidP="009769C8">
            <w:pPr>
              <w:keepNext/>
              <w:jc w:val="center"/>
              <w:rPr>
                <w:rFonts w:ascii="Arial Narrow" w:hAnsi="Arial Narrow"/>
                <w:b/>
                <w:sz w:val="20"/>
              </w:rPr>
            </w:pPr>
            <w:r w:rsidRPr="00D16A97">
              <w:rPr>
                <w:rFonts w:ascii="Arial Narrow" w:hAnsi="Arial Narrow"/>
                <w:b/>
                <w:sz w:val="20"/>
              </w:rPr>
              <w:t>Date</w:t>
            </w:r>
          </w:p>
        </w:tc>
      </w:tr>
      <w:tr w:rsidR="00940332" w:rsidRPr="00D16A97" w14:paraId="12F15065" w14:textId="77777777" w:rsidTr="00192D14">
        <w:tc>
          <w:tcPr>
            <w:tcW w:w="4390" w:type="dxa"/>
          </w:tcPr>
          <w:p w14:paraId="6405330B" w14:textId="77777777" w:rsidR="00940332" w:rsidRPr="00D16A97" w:rsidRDefault="00940332" w:rsidP="009769C8">
            <w:pPr>
              <w:keepNext/>
              <w:rPr>
                <w:rFonts w:ascii="Arial Narrow" w:hAnsi="Arial Narrow"/>
                <w:sz w:val="20"/>
              </w:rPr>
            </w:pPr>
            <w:r w:rsidRPr="00D16A97">
              <w:rPr>
                <w:rFonts w:ascii="Arial Narrow" w:hAnsi="Arial Narrow"/>
                <w:sz w:val="20"/>
              </w:rPr>
              <w:t>UK</w:t>
            </w:r>
          </w:p>
        </w:tc>
        <w:tc>
          <w:tcPr>
            <w:tcW w:w="2409" w:type="dxa"/>
            <w:vAlign w:val="center"/>
          </w:tcPr>
          <w:p w14:paraId="36841BBE" w14:textId="77777777" w:rsidR="00940332" w:rsidRPr="00D16A97" w:rsidRDefault="00940332" w:rsidP="009769C8">
            <w:pPr>
              <w:keepNext/>
              <w:jc w:val="center"/>
              <w:rPr>
                <w:rFonts w:ascii="Arial Narrow" w:hAnsi="Arial Narrow"/>
                <w:sz w:val="20"/>
              </w:rPr>
            </w:pPr>
            <w:r w:rsidRPr="00D16A97">
              <w:rPr>
                <w:rFonts w:ascii="Arial Narrow" w:hAnsi="Arial Narrow"/>
                <w:sz w:val="20"/>
              </w:rPr>
              <w:t>Conditional Marketing Authorisation (CMA)</w:t>
            </w:r>
          </w:p>
        </w:tc>
        <w:tc>
          <w:tcPr>
            <w:tcW w:w="2218" w:type="dxa"/>
          </w:tcPr>
          <w:p w14:paraId="05290D56"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04 Nov 2021</w:t>
            </w:r>
          </w:p>
        </w:tc>
      </w:tr>
      <w:tr w:rsidR="00940332" w:rsidRPr="00D16A97" w14:paraId="7D10FE3C" w14:textId="77777777" w:rsidTr="00192D14">
        <w:tc>
          <w:tcPr>
            <w:tcW w:w="4390" w:type="dxa"/>
          </w:tcPr>
          <w:p w14:paraId="4EA5F65A"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US</w:t>
            </w:r>
          </w:p>
        </w:tc>
        <w:tc>
          <w:tcPr>
            <w:tcW w:w="2409" w:type="dxa"/>
            <w:vAlign w:val="center"/>
          </w:tcPr>
          <w:p w14:paraId="4FE8B55C"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Emergency Use Authorisation</w:t>
            </w:r>
          </w:p>
        </w:tc>
        <w:tc>
          <w:tcPr>
            <w:tcW w:w="2218" w:type="dxa"/>
          </w:tcPr>
          <w:p w14:paraId="2D825C05"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23 Dec 2021</w:t>
            </w:r>
          </w:p>
        </w:tc>
      </w:tr>
      <w:tr w:rsidR="00940332" w:rsidRPr="00D16A97" w14:paraId="51847183" w14:textId="77777777" w:rsidTr="00192D14">
        <w:tc>
          <w:tcPr>
            <w:tcW w:w="4390" w:type="dxa"/>
          </w:tcPr>
          <w:p w14:paraId="0FF63C82"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Japan</w:t>
            </w:r>
          </w:p>
        </w:tc>
        <w:tc>
          <w:tcPr>
            <w:tcW w:w="2409" w:type="dxa"/>
            <w:vAlign w:val="center"/>
          </w:tcPr>
          <w:p w14:paraId="747C12AD"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Approval with conditions</w:t>
            </w:r>
          </w:p>
          <w:p w14:paraId="56E573AD"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Conditions fulfilled</w:t>
            </w:r>
          </w:p>
        </w:tc>
        <w:tc>
          <w:tcPr>
            <w:tcW w:w="2218" w:type="dxa"/>
          </w:tcPr>
          <w:p w14:paraId="3B93A55D"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 xml:space="preserve">24 Dec 2021 </w:t>
            </w:r>
          </w:p>
          <w:p w14:paraId="2A3BC1BE"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24 Apr 2023</w:t>
            </w:r>
          </w:p>
        </w:tc>
      </w:tr>
      <w:tr w:rsidR="00940332" w:rsidRPr="00D16A97" w14:paraId="2A680F3E" w14:textId="77777777" w:rsidTr="00192D14">
        <w:tc>
          <w:tcPr>
            <w:tcW w:w="4390" w:type="dxa"/>
          </w:tcPr>
          <w:p w14:paraId="6103801C"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Malaysia</w:t>
            </w:r>
          </w:p>
        </w:tc>
        <w:tc>
          <w:tcPr>
            <w:tcW w:w="2409" w:type="dxa"/>
            <w:vAlign w:val="center"/>
          </w:tcPr>
          <w:p w14:paraId="5E56A3FD"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Conditional Approval</w:t>
            </w:r>
          </w:p>
        </w:tc>
        <w:tc>
          <w:tcPr>
            <w:tcW w:w="2218" w:type="dxa"/>
          </w:tcPr>
          <w:p w14:paraId="3CDDF761"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07 Apr 2022</w:t>
            </w:r>
          </w:p>
        </w:tc>
      </w:tr>
      <w:tr w:rsidR="00940332" w:rsidRPr="00D16A97" w14:paraId="2F8B35D6" w14:textId="77777777" w:rsidTr="00192D14">
        <w:tc>
          <w:tcPr>
            <w:tcW w:w="4390" w:type="dxa"/>
          </w:tcPr>
          <w:p w14:paraId="751D908B"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New Zealand</w:t>
            </w:r>
          </w:p>
        </w:tc>
        <w:tc>
          <w:tcPr>
            <w:tcW w:w="2409" w:type="dxa"/>
            <w:vAlign w:val="center"/>
          </w:tcPr>
          <w:p w14:paraId="0A3F083B"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Provisional Consent</w:t>
            </w:r>
          </w:p>
        </w:tc>
        <w:tc>
          <w:tcPr>
            <w:tcW w:w="2218" w:type="dxa"/>
          </w:tcPr>
          <w:p w14:paraId="2F2B69EB"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14 Apr 2022</w:t>
            </w:r>
          </w:p>
        </w:tc>
      </w:tr>
      <w:tr w:rsidR="00940332" w:rsidRPr="00D16A97" w14:paraId="446715F0" w14:textId="77777777" w:rsidTr="00192D14">
        <w:tc>
          <w:tcPr>
            <w:tcW w:w="4390" w:type="dxa"/>
          </w:tcPr>
          <w:p w14:paraId="0A9D27F0"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China</w:t>
            </w:r>
          </w:p>
        </w:tc>
        <w:tc>
          <w:tcPr>
            <w:tcW w:w="2409" w:type="dxa"/>
            <w:vAlign w:val="center"/>
          </w:tcPr>
          <w:p w14:paraId="4A11E9D2"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Drug Marketing Registration -Conditional Approval</w:t>
            </w:r>
          </w:p>
        </w:tc>
        <w:tc>
          <w:tcPr>
            <w:tcW w:w="2218" w:type="dxa"/>
          </w:tcPr>
          <w:p w14:paraId="2C43E9A4"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29 Dec 2022</w:t>
            </w:r>
          </w:p>
        </w:tc>
      </w:tr>
      <w:tr w:rsidR="00940332" w:rsidRPr="00D16A97" w14:paraId="334AEF66" w14:textId="77777777" w:rsidTr="00192D14">
        <w:tc>
          <w:tcPr>
            <w:tcW w:w="4390" w:type="dxa"/>
          </w:tcPr>
          <w:p w14:paraId="41C17E77"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South Africa</w:t>
            </w:r>
          </w:p>
        </w:tc>
        <w:tc>
          <w:tcPr>
            <w:tcW w:w="2409" w:type="dxa"/>
            <w:vAlign w:val="center"/>
          </w:tcPr>
          <w:p w14:paraId="371D72BF"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Marketing Authorisation</w:t>
            </w:r>
          </w:p>
        </w:tc>
        <w:tc>
          <w:tcPr>
            <w:tcW w:w="2218" w:type="dxa"/>
          </w:tcPr>
          <w:p w14:paraId="7FC7E937"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 xml:space="preserve">06 Dec 2022 </w:t>
            </w:r>
          </w:p>
        </w:tc>
      </w:tr>
      <w:tr w:rsidR="00940332" w:rsidRPr="00D16A97" w14:paraId="4641729F" w14:textId="77777777" w:rsidTr="00192D14">
        <w:tc>
          <w:tcPr>
            <w:tcW w:w="4390" w:type="dxa"/>
          </w:tcPr>
          <w:p w14:paraId="5CCEDED0" w14:textId="77777777" w:rsidR="00940332" w:rsidRPr="00D16A97" w:rsidRDefault="00940332" w:rsidP="009769C8">
            <w:pPr>
              <w:keepNext/>
              <w:rPr>
                <w:rFonts w:ascii="Arial Narrow" w:hAnsi="Arial Narrow"/>
                <w:sz w:val="20"/>
                <w:szCs w:val="20"/>
              </w:rPr>
            </w:pPr>
            <w:r w:rsidRPr="00D16A97">
              <w:rPr>
                <w:rFonts w:ascii="Arial Narrow" w:hAnsi="Arial Narrow"/>
                <w:sz w:val="20"/>
                <w:szCs w:val="20"/>
              </w:rPr>
              <w:t>Colombia, Dominican Republic, Hong Kong, Kuwait, Mexico, Oman, Panama, Peru, Saudi Arabia, South Korea, Taiwan, Thailand, Ukraine, United Arab Emirates</w:t>
            </w:r>
          </w:p>
        </w:tc>
        <w:tc>
          <w:tcPr>
            <w:tcW w:w="2409" w:type="dxa"/>
            <w:vAlign w:val="center"/>
          </w:tcPr>
          <w:p w14:paraId="0746CBB3"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Emergency Use Authorisation</w:t>
            </w:r>
          </w:p>
        </w:tc>
        <w:tc>
          <w:tcPr>
            <w:tcW w:w="2218" w:type="dxa"/>
          </w:tcPr>
          <w:p w14:paraId="4201485A" w14:textId="77777777" w:rsidR="00940332" w:rsidRPr="00D16A97" w:rsidRDefault="00940332" w:rsidP="009769C8">
            <w:pPr>
              <w:keepNext/>
              <w:jc w:val="center"/>
              <w:rPr>
                <w:rFonts w:ascii="Arial Narrow" w:hAnsi="Arial Narrow"/>
                <w:sz w:val="20"/>
                <w:szCs w:val="20"/>
              </w:rPr>
            </w:pPr>
            <w:r w:rsidRPr="00D16A97">
              <w:rPr>
                <w:rFonts w:ascii="Arial Narrow" w:hAnsi="Arial Narrow"/>
                <w:sz w:val="20"/>
                <w:szCs w:val="20"/>
              </w:rPr>
              <w:t>Multiple dates (Dec 2021 through Jan 2023)</w:t>
            </w:r>
          </w:p>
        </w:tc>
      </w:tr>
    </w:tbl>
    <w:p w14:paraId="57D71401" w14:textId="77777777" w:rsidR="00940332" w:rsidRPr="009769C8" w:rsidRDefault="00940332" w:rsidP="009769C8">
      <w:pPr>
        <w:keepNext/>
        <w:spacing w:after="120"/>
        <w:rPr>
          <w:rFonts w:ascii="Arial Narrow" w:hAnsi="Arial Narrow"/>
          <w:sz w:val="18"/>
          <w:szCs w:val="18"/>
        </w:rPr>
      </w:pPr>
      <w:r w:rsidRPr="009769C8">
        <w:rPr>
          <w:rFonts w:ascii="Arial Narrow" w:hAnsi="Arial Narrow"/>
          <w:sz w:val="18"/>
          <w:szCs w:val="18"/>
        </w:rPr>
        <w:t>Source: Provided by sponsor via correspondence to Department on 3 Oct 2023.</w:t>
      </w:r>
    </w:p>
    <w:p w14:paraId="712746D2" w14:textId="77777777" w:rsidR="00940332" w:rsidRPr="00D16A97" w:rsidRDefault="00940332" w:rsidP="00940332">
      <w:pPr>
        <w:pStyle w:val="2-SectionHeading"/>
        <w:numPr>
          <w:ilvl w:val="0"/>
          <w:numId w:val="1"/>
        </w:numPr>
      </w:pPr>
      <w:r w:rsidRPr="00D16A97">
        <w:t>Requested listing</w:t>
      </w:r>
    </w:p>
    <w:p w14:paraId="0AD4EC0A" w14:textId="77777777" w:rsidR="00940332" w:rsidRPr="00D16A97" w:rsidRDefault="00940332" w:rsidP="00940332">
      <w:pPr>
        <w:pStyle w:val="4-SubsectionHeading"/>
      </w:pPr>
      <w:r w:rsidRPr="00D16A97">
        <w:t>Clarification of the appropriate population</w:t>
      </w:r>
    </w:p>
    <w:p w14:paraId="256FF7F4" w14:textId="77777777" w:rsidR="00940332" w:rsidRPr="00D16A97" w:rsidRDefault="00940332" w:rsidP="00940332">
      <w:pPr>
        <w:pStyle w:val="3-BodyText"/>
        <w:numPr>
          <w:ilvl w:val="1"/>
          <w:numId w:val="1"/>
        </w:numPr>
      </w:pPr>
      <w:r w:rsidRPr="00D16A97">
        <w:t>The submission stated that retention of the current molnupiravir listing is required to ensure equity of access to oral antivirals (OAVs), given that some vulnerable patients are contraindicated or otherwise unsuitable for nirmatrelvir and ritonavir. The pre-PBAC response stated that molnupiravir continues to be an important tool to protect vulnerable Australians from severe COVID-19, especially in light of recent data indicating only 53% of those aged ≥65 years have been vaccinated for COVID-19 in the last 6 months</w:t>
      </w:r>
      <w:r w:rsidRPr="00D16A97">
        <w:rPr>
          <w:rStyle w:val="FootnoteReference"/>
        </w:rPr>
        <w:footnoteReference w:id="21"/>
      </w:r>
      <w:r w:rsidRPr="00D16A97">
        <w:t>.</w:t>
      </w:r>
    </w:p>
    <w:p w14:paraId="53880795" w14:textId="13F13843" w:rsidR="00940332" w:rsidRPr="00D16A97" w:rsidRDefault="00940332" w:rsidP="00940332">
      <w:pPr>
        <w:pStyle w:val="3-BodyText"/>
        <w:numPr>
          <w:ilvl w:val="1"/>
          <w:numId w:val="1"/>
        </w:numPr>
      </w:pPr>
      <w:r w:rsidRPr="00D16A97">
        <w:rPr>
          <w:color w:val="000000" w:themeColor="text1"/>
        </w:rPr>
        <w:t xml:space="preserve">The wording of the PBS restrictions proposed by the sponsor was consistent with the July 2023 submission as set out in Section 3 above, except that the submission proposed that the administrative note be converted to a clinical criterion stating: </w:t>
      </w:r>
      <w:r w:rsidR="009709BB">
        <w:rPr>
          <w:color w:val="000000" w:themeColor="text1"/>
        </w:rPr>
        <w:t>‘</w:t>
      </w:r>
      <w:r w:rsidRPr="00D16A97">
        <w:rPr>
          <w:color w:val="000000" w:themeColor="text1"/>
        </w:rPr>
        <w:t>This drug should be considered for use only if nirmatrelvir (&amp;) ritonavir is contraindicated or otherwise unsuitable</w:t>
      </w:r>
      <w:r w:rsidR="009709BB">
        <w:rPr>
          <w:color w:val="000000" w:themeColor="text1"/>
        </w:rPr>
        <w:t>’</w:t>
      </w:r>
      <w:r w:rsidRPr="00D16A97">
        <w:rPr>
          <w:iCs/>
          <w:color w:val="000000" w:themeColor="text1"/>
        </w:rPr>
        <w:t>. The ESC noted</w:t>
      </w:r>
      <w:r w:rsidRPr="00D16A97">
        <w:t xml:space="preserve"> </w:t>
      </w:r>
      <w:r w:rsidRPr="00D16A97">
        <w:rPr>
          <w:iCs/>
          <w:color w:val="000000" w:themeColor="text1"/>
        </w:rPr>
        <w:t xml:space="preserve">that the absence of a definition for the phrase </w:t>
      </w:r>
      <w:r w:rsidR="009709BB">
        <w:rPr>
          <w:iCs/>
          <w:color w:val="000000" w:themeColor="text1"/>
        </w:rPr>
        <w:t>‘</w:t>
      </w:r>
      <w:r w:rsidRPr="00D16A97">
        <w:rPr>
          <w:iCs/>
          <w:color w:val="000000" w:themeColor="text1"/>
        </w:rPr>
        <w:t>contraindicated or otherwise unsuitable</w:t>
      </w:r>
      <w:r w:rsidR="009709BB">
        <w:rPr>
          <w:iCs/>
          <w:color w:val="000000" w:themeColor="text1"/>
        </w:rPr>
        <w:t>’</w:t>
      </w:r>
      <w:r w:rsidRPr="00D16A97">
        <w:rPr>
          <w:iCs/>
          <w:color w:val="000000" w:themeColor="text1"/>
        </w:rPr>
        <w:t xml:space="preserve"> leaves this restriction criterion open to a broad range of interpretations. The pre-PBAC response suggested that although the restriction is </w:t>
      </w:r>
      <w:r w:rsidR="009709BB">
        <w:rPr>
          <w:iCs/>
          <w:color w:val="000000" w:themeColor="text1"/>
        </w:rPr>
        <w:t>‘</w:t>
      </w:r>
      <w:r w:rsidRPr="00D16A97">
        <w:rPr>
          <w:iCs/>
          <w:color w:val="000000" w:themeColor="text1"/>
        </w:rPr>
        <w:t>open to interpretation</w:t>
      </w:r>
      <w:r w:rsidR="009709BB">
        <w:rPr>
          <w:iCs/>
          <w:color w:val="000000" w:themeColor="text1"/>
        </w:rPr>
        <w:t>’</w:t>
      </w:r>
      <w:r w:rsidRPr="00D16A97">
        <w:rPr>
          <w:iCs/>
          <w:color w:val="000000" w:themeColor="text1"/>
        </w:rPr>
        <w:t>, this is necessary to ensure appropriate clinical decision making by the treating clinician.</w:t>
      </w:r>
    </w:p>
    <w:p w14:paraId="2497C4F5" w14:textId="1F52AB79" w:rsidR="00940332" w:rsidRPr="00D16A97" w:rsidRDefault="00940332" w:rsidP="00940332">
      <w:pPr>
        <w:pStyle w:val="3-BodyText"/>
        <w:numPr>
          <w:ilvl w:val="1"/>
          <w:numId w:val="1"/>
        </w:numPr>
        <w:rPr>
          <w:iCs/>
        </w:rPr>
      </w:pPr>
      <w:r w:rsidRPr="00D16A97">
        <w:rPr>
          <w:rFonts w:cstheme="minorHAnsi"/>
          <w:iCs/>
        </w:rPr>
        <w:t xml:space="preserve">The submission stated that </w:t>
      </w:r>
      <w:r w:rsidRPr="00D16A97">
        <w:rPr>
          <w:iCs/>
        </w:rPr>
        <w:t xml:space="preserve">clinical considerations extend beyond whether a patient is on a drug where concomitant use with </w:t>
      </w:r>
      <w:r w:rsidRPr="00D16A97">
        <w:rPr>
          <w:rFonts w:cstheme="minorHAnsi"/>
          <w:iCs/>
        </w:rPr>
        <w:t>nirmatrelvir and ritonavir</w:t>
      </w:r>
      <w:r w:rsidRPr="00D16A97">
        <w:rPr>
          <w:iCs/>
        </w:rPr>
        <w:t xml:space="preserve"> is contraindicated. </w:t>
      </w:r>
      <w:r w:rsidRPr="00D16A97">
        <w:rPr>
          <w:rFonts w:cstheme="minorHAnsi"/>
          <w:iCs/>
        </w:rPr>
        <w:t xml:space="preserve">It was noted that clinician feedback indicated </w:t>
      </w:r>
      <w:r w:rsidRPr="00D16A97">
        <w:rPr>
          <w:iCs/>
        </w:rPr>
        <w:t xml:space="preserve">complexity and diversity of clinical presentations to GPs. Other stated reasons for prescribing molnupiravir included 1) safety concerns with cessation or dose titration of existing medications; 2) specialist </w:t>
      </w:r>
      <w:r w:rsidRPr="00D16A97">
        <w:rPr>
          <w:iCs/>
        </w:rPr>
        <w:lastRenderedPageBreak/>
        <w:t xml:space="preserve">advice that existing medications should not be stopped; 3) patient cognition issues which may impact ability to safely execute prescribed changes to concomitant medications; and 4) lack of patient consent to stop or alter existing medications. The submission stated that many elderly patients presenting to GPs are multi-morbid, on numerous medications, with additional considerations such as frailty, and poor cognitive status, and it is </w:t>
      </w:r>
      <w:r w:rsidR="009709BB">
        <w:rPr>
          <w:iCs/>
        </w:rPr>
        <w:t>‘</w:t>
      </w:r>
      <w:r w:rsidRPr="00D16A97">
        <w:rPr>
          <w:iCs/>
        </w:rPr>
        <w:t>overly simplistic</w:t>
      </w:r>
      <w:r w:rsidR="009709BB">
        <w:rPr>
          <w:iCs/>
        </w:rPr>
        <w:t>’</w:t>
      </w:r>
      <w:r w:rsidRPr="00D16A97">
        <w:rPr>
          <w:iCs/>
        </w:rPr>
        <w:t xml:space="preserve"> to consider medication changes straightforward for vulnerable patients presenting with COVID-19. </w:t>
      </w:r>
    </w:p>
    <w:p w14:paraId="6D6BBF12" w14:textId="08987A4B" w:rsidR="00940332" w:rsidRPr="00D16A97" w:rsidRDefault="00940332" w:rsidP="00940332">
      <w:pPr>
        <w:pStyle w:val="3-BodyText"/>
        <w:numPr>
          <w:ilvl w:val="1"/>
          <w:numId w:val="1"/>
        </w:numPr>
        <w:rPr>
          <w:rFonts w:cs="Calibri"/>
          <w:bCs/>
        </w:rPr>
      </w:pPr>
      <w:r w:rsidRPr="00D16A97">
        <w:rPr>
          <w:rFonts w:cs="Calibri"/>
          <w:bCs/>
        </w:rPr>
        <w:t>Consistent with previous PBAC advice, the ESC considered that molnupiravir is not as effective as nirmatrelvir and ritonavir, however there are a subset of people who cannot receive the latter. The ESC considered there is a role for molnupiravir in patients at high risk but cannot receive nirmatrelvir and ritonavir. The ESC noted that remdesivir is another alternative but as it is administered intravenously it is given in a hospital setting. The ESC noted that NCET guidelines</w:t>
      </w:r>
      <w:r w:rsidRPr="00D16A97">
        <w:rPr>
          <w:rStyle w:val="FootnoteReference"/>
          <w:rFonts w:cs="Calibri"/>
          <w:bCs/>
        </w:rPr>
        <w:footnoteReference w:id="22"/>
      </w:r>
      <w:r w:rsidRPr="00D16A97">
        <w:rPr>
          <w:rFonts w:cs="Calibri"/>
          <w:bCs/>
        </w:rPr>
        <w:t xml:space="preserve"> state </w:t>
      </w:r>
      <w:r w:rsidR="009709BB">
        <w:rPr>
          <w:rFonts w:cs="Calibri"/>
          <w:bCs/>
        </w:rPr>
        <w:t>‘</w:t>
      </w:r>
      <w:r w:rsidRPr="00D16A97">
        <w:rPr>
          <w:rFonts w:cs="Calibri"/>
          <w:bCs/>
        </w:rPr>
        <w:t>The efficacy of remdesivir in vaccinated adults and immunocompromised patients is unknown</w:t>
      </w:r>
      <w:r w:rsidR="009709BB">
        <w:rPr>
          <w:rFonts w:cs="Calibri"/>
          <w:bCs/>
        </w:rPr>
        <w:t>’</w:t>
      </w:r>
      <w:r w:rsidRPr="00D16A97">
        <w:rPr>
          <w:rFonts w:cs="Calibri"/>
          <w:bCs/>
        </w:rPr>
        <w:t>.</w:t>
      </w:r>
    </w:p>
    <w:p w14:paraId="598E0E19" w14:textId="77777777" w:rsidR="00940332" w:rsidRPr="00D16A97" w:rsidRDefault="00940332" w:rsidP="00940332">
      <w:pPr>
        <w:pStyle w:val="3-BodyText"/>
        <w:numPr>
          <w:ilvl w:val="1"/>
          <w:numId w:val="1"/>
        </w:numPr>
      </w:pPr>
      <w:r w:rsidRPr="00D16A97">
        <w:t xml:space="preserve">The submission indicated that the Prescriber Bag item number for </w:t>
      </w:r>
      <w:r w:rsidRPr="00D16A97">
        <w:rPr>
          <w:color w:val="000000" w:themeColor="text1"/>
        </w:rPr>
        <w:t xml:space="preserve">molnupiravir </w:t>
      </w:r>
      <w:r w:rsidRPr="00D16A97">
        <w:t xml:space="preserve">may no longer be necessary and did not raise any objections to removal of </w:t>
      </w:r>
      <w:r w:rsidRPr="00D16A97">
        <w:rPr>
          <w:color w:val="000000" w:themeColor="text1"/>
        </w:rPr>
        <w:t xml:space="preserve">molnupiravir prescriber bag code from the PBS. </w:t>
      </w:r>
    </w:p>
    <w:p w14:paraId="39BFB8F6" w14:textId="77777777" w:rsidR="00940332" w:rsidRPr="00D16A97" w:rsidRDefault="00940332" w:rsidP="00940332">
      <w:pPr>
        <w:pStyle w:val="4-SubsectionHeading"/>
      </w:pPr>
      <w:r w:rsidRPr="00D16A97">
        <w:t>Proposed price</w:t>
      </w:r>
    </w:p>
    <w:p w14:paraId="0B279415" w14:textId="77777777" w:rsidR="00940332" w:rsidRPr="00D16A97" w:rsidRDefault="00940332" w:rsidP="00940332">
      <w:pPr>
        <w:pStyle w:val="3-BodyText"/>
        <w:numPr>
          <w:ilvl w:val="1"/>
          <w:numId w:val="1"/>
        </w:numPr>
      </w:pPr>
      <w:r w:rsidRPr="00D16A97">
        <w:t xml:space="preserve">The submission requested no change to the published price per pack (DPMQ: $1,102.24; AEMP: $988). </w:t>
      </w:r>
    </w:p>
    <w:p w14:paraId="08688D86" w14:textId="501C1B1E" w:rsidR="00940332" w:rsidRPr="00D16A97" w:rsidRDefault="00940332" w:rsidP="00940332">
      <w:pPr>
        <w:pStyle w:val="3-BodyText"/>
        <w:numPr>
          <w:ilvl w:val="1"/>
          <w:numId w:val="1"/>
        </w:numPr>
      </w:pPr>
      <w:r w:rsidRPr="00D16A97">
        <w:t xml:space="preserve">The submission proposed tiered pricing for molnupiravir based on utilisation of all oral antivirals under a risk-sharing agreement (RSA) as shown in </w:t>
      </w:r>
      <w:r w:rsidRPr="00D16A97">
        <w:fldChar w:fldCharType="begin" w:fldLock="1"/>
      </w:r>
      <w:r w:rsidRPr="00D16A97">
        <w:instrText xml:space="preserve"> REF _Ref147504544 \h </w:instrText>
      </w:r>
      <w:r w:rsidRPr="00D16A97">
        <w:fldChar w:fldCharType="separate"/>
      </w:r>
      <w:r w:rsidRPr="00D16A97">
        <w:t>Table 19</w:t>
      </w:r>
      <w:r w:rsidRPr="00D16A97">
        <w:fldChar w:fldCharType="end"/>
      </w:r>
      <w:r w:rsidRPr="00D16A97">
        <w:t>. The submission stated that the price volume tiers (</w:t>
      </w:r>
      <w:r w:rsidRPr="00D16A97">
        <w:fldChar w:fldCharType="begin" w:fldLock="1"/>
      </w:r>
      <w:r w:rsidRPr="00D16A97">
        <w:instrText xml:space="preserve"> REF _Ref147504544 \h </w:instrText>
      </w:r>
      <w:r w:rsidRPr="00D16A97">
        <w:fldChar w:fldCharType="separate"/>
      </w:r>
      <w:r w:rsidRPr="00D16A97">
        <w:t>Table 19</w:t>
      </w:r>
      <w:r w:rsidRPr="00D16A97">
        <w:fldChar w:fldCharType="end"/>
      </w:r>
      <w:r w:rsidRPr="00D16A97">
        <w:t xml:space="preserve">) are </w:t>
      </w:r>
      <w:r w:rsidR="009709BB">
        <w:t>‘</w:t>
      </w:r>
      <w:r w:rsidRPr="00D16A97">
        <w:t>contingent on acceptance of the proposed restriction, no volume or expenditure cap and OAV usage in high risk patients with mild to moderate COVID-19, not lower risk patients that MOV is not PBS listed for</w:t>
      </w:r>
      <w:r w:rsidR="009709BB">
        <w:t>’</w:t>
      </w:r>
      <w:r w:rsidRPr="00D16A97">
        <w:t>.</w:t>
      </w:r>
    </w:p>
    <w:p w14:paraId="2E0A0162" w14:textId="5EA07322" w:rsidR="00940332" w:rsidRPr="00D16A97" w:rsidRDefault="00940332" w:rsidP="00940332">
      <w:pPr>
        <w:pStyle w:val="3-BodyText"/>
        <w:numPr>
          <w:ilvl w:val="1"/>
          <w:numId w:val="1"/>
        </w:numPr>
      </w:pPr>
      <w:r w:rsidRPr="00D16A97">
        <w:t>The effective approved ex-manufacturer price (AEMP) proposed in the submission, under a special pricing arrangement (SPA) was $</w:t>
      </w:r>
      <w:r w:rsidR="005C2556" w:rsidRPr="005C2556">
        <w:t xml:space="preserve"> </w:t>
      </w:r>
      <w:r w:rsidR="0003145F" w:rsidRPr="00567EAC">
        <w:rPr>
          <w:color w:val="000000"/>
          <w:w w:val="15"/>
          <w:shd w:val="solid" w:color="000000" w:fill="000000"/>
          <w:fitText w:val="-20" w:id="-1031606528"/>
          <w14:textFill>
            <w14:solidFill>
              <w14:srgbClr w14:val="000000">
                <w14:alpha w14:val="100000"/>
              </w14:srgbClr>
            </w14:solidFill>
          </w14:textFill>
        </w:rPr>
        <w:t xml:space="preserve">|  </w:t>
      </w:r>
      <w:r w:rsidR="0003145F" w:rsidRPr="00567EAC">
        <w:rPr>
          <w:color w:val="000000"/>
          <w:spacing w:val="-69"/>
          <w:w w:val="15"/>
          <w:shd w:val="solid" w:color="000000" w:fill="000000"/>
          <w:fitText w:val="-20" w:id="-1031606528"/>
          <w14:textFill>
            <w14:solidFill>
              <w14:srgbClr w14:val="000000">
                <w14:alpha w14:val="100000"/>
              </w14:srgbClr>
            </w14:solidFill>
          </w14:textFill>
        </w:rPr>
        <w:t>|</w:t>
      </w:r>
      <w:r w:rsidRPr="00D16A97">
        <w:t xml:space="preserve"> (based on estimates of average effective ex-manufacturer price over 3 years). </w:t>
      </w:r>
    </w:p>
    <w:p w14:paraId="50E3CCD0" w14:textId="77777777" w:rsidR="00940332" w:rsidRPr="00D16A97" w:rsidRDefault="00940332" w:rsidP="00940332">
      <w:pPr>
        <w:pStyle w:val="Caption"/>
        <w:rPr>
          <w:rFonts w:cstheme="minorHAnsi"/>
          <w:b w:val="0"/>
          <w:bCs w:val="0"/>
          <w:szCs w:val="20"/>
        </w:rPr>
      </w:pPr>
      <w:bookmarkStart w:id="112" w:name="_Ref147504544"/>
      <w:r w:rsidRPr="00D16A97">
        <w:t xml:space="preserve">Table </w:t>
      </w:r>
      <w:r w:rsidR="00567EAC">
        <w:fldChar w:fldCharType="begin" w:fldLock="1"/>
      </w:r>
      <w:r w:rsidR="00567EAC">
        <w:instrText xml:space="preserve"> SEQ Table \* ARABIC </w:instrText>
      </w:r>
      <w:r w:rsidR="00567EAC">
        <w:fldChar w:fldCharType="separate"/>
      </w:r>
      <w:r w:rsidRPr="00D16A97">
        <w:t>19</w:t>
      </w:r>
      <w:r w:rsidR="00567EAC">
        <w:fldChar w:fldCharType="end"/>
      </w:r>
      <w:bookmarkEnd w:id="112"/>
      <w:r w:rsidRPr="00D16A97">
        <w:t>:</w:t>
      </w:r>
      <w:r w:rsidRPr="00D16A97">
        <w:tab/>
      </w:r>
      <w:r w:rsidRPr="00D16A97">
        <w:rPr>
          <w:rFonts w:cstheme="minorHAnsi"/>
          <w:szCs w:val="20"/>
        </w:rPr>
        <w:t>Proposed molnupiravir price tiers based on utilisation of oral antivirals</w:t>
      </w:r>
    </w:p>
    <w:tbl>
      <w:tblPr>
        <w:tblStyle w:val="TableGrid"/>
        <w:tblW w:w="0" w:type="auto"/>
        <w:tblInd w:w="-5" w:type="dxa"/>
        <w:tblLook w:val="04A0" w:firstRow="1" w:lastRow="0" w:firstColumn="1" w:lastColumn="0" w:noHBand="0" w:noVBand="1"/>
      </w:tblPr>
      <w:tblGrid>
        <w:gridCol w:w="2410"/>
        <w:gridCol w:w="2869"/>
        <w:gridCol w:w="2003"/>
        <w:gridCol w:w="1740"/>
      </w:tblGrid>
      <w:tr w:rsidR="00940332" w:rsidRPr="00D16A97" w14:paraId="36C9A55B" w14:textId="77777777" w:rsidTr="00192D14">
        <w:tc>
          <w:tcPr>
            <w:tcW w:w="2410" w:type="dxa"/>
          </w:tcPr>
          <w:p w14:paraId="4E353AF4" w14:textId="77777777" w:rsidR="00940332" w:rsidRPr="00D16A97" w:rsidRDefault="00940332" w:rsidP="00192D14">
            <w:pPr>
              <w:keepNext/>
              <w:rPr>
                <w:rFonts w:ascii="Arial Narrow" w:hAnsi="Arial Narrow"/>
                <w:b/>
                <w:bCs/>
                <w:sz w:val="20"/>
                <w:szCs w:val="20"/>
              </w:rPr>
            </w:pPr>
            <w:r w:rsidRPr="00D16A97">
              <w:rPr>
                <w:rFonts w:ascii="Arial Narrow" w:hAnsi="Arial Narrow"/>
                <w:b/>
                <w:bCs/>
                <w:sz w:val="20"/>
                <w:szCs w:val="20"/>
              </w:rPr>
              <w:t>Utilisation of oral antivirals</w:t>
            </w:r>
          </w:p>
        </w:tc>
        <w:tc>
          <w:tcPr>
            <w:tcW w:w="2869" w:type="dxa"/>
            <w:vAlign w:val="center"/>
          </w:tcPr>
          <w:p w14:paraId="6B2371FD" w14:textId="77777777" w:rsidR="00940332" w:rsidRPr="00D16A97" w:rsidRDefault="00940332" w:rsidP="00192D14">
            <w:pPr>
              <w:keepNext/>
              <w:jc w:val="center"/>
              <w:rPr>
                <w:rFonts w:ascii="Arial Narrow" w:hAnsi="Arial Narrow"/>
                <w:b/>
                <w:sz w:val="20"/>
              </w:rPr>
            </w:pPr>
            <w:r w:rsidRPr="00D16A97">
              <w:rPr>
                <w:rFonts w:ascii="Arial Narrow" w:hAnsi="Arial Narrow"/>
                <w:b/>
                <w:sz w:val="20"/>
              </w:rPr>
              <w:t>Proposed molnupiravir effective ex-manufacturer price</w:t>
            </w:r>
          </w:p>
        </w:tc>
        <w:tc>
          <w:tcPr>
            <w:tcW w:w="0" w:type="auto"/>
          </w:tcPr>
          <w:p w14:paraId="49D8DE76" w14:textId="77777777" w:rsidR="00940332" w:rsidRPr="00D16A97" w:rsidRDefault="00940332" w:rsidP="00192D14">
            <w:pPr>
              <w:keepNext/>
              <w:jc w:val="center"/>
              <w:rPr>
                <w:rFonts w:ascii="Arial Narrow" w:hAnsi="Arial Narrow"/>
                <w:b/>
                <w:sz w:val="20"/>
              </w:rPr>
            </w:pPr>
            <w:r w:rsidRPr="00D16A97">
              <w:rPr>
                <w:rFonts w:ascii="Arial Narrow" w:hAnsi="Arial Narrow"/>
                <w:b/>
                <w:sz w:val="20"/>
              </w:rPr>
              <w:t>Effective DPMQ in submission</w:t>
            </w:r>
          </w:p>
        </w:tc>
        <w:tc>
          <w:tcPr>
            <w:tcW w:w="0" w:type="auto"/>
          </w:tcPr>
          <w:p w14:paraId="1FDB2FE8" w14:textId="77777777" w:rsidR="00940332" w:rsidRPr="00D16A97" w:rsidRDefault="00940332" w:rsidP="00192D14">
            <w:pPr>
              <w:keepNext/>
              <w:jc w:val="center"/>
              <w:rPr>
                <w:rFonts w:ascii="Arial Narrow" w:hAnsi="Arial Narrow"/>
                <w:b/>
                <w:sz w:val="20"/>
              </w:rPr>
            </w:pPr>
            <w:r w:rsidRPr="00D16A97">
              <w:rPr>
                <w:rFonts w:ascii="Arial Narrow" w:hAnsi="Arial Narrow"/>
                <w:b/>
                <w:sz w:val="20"/>
              </w:rPr>
              <w:t>Corrected</w:t>
            </w:r>
            <w:r w:rsidRPr="00D16A97">
              <w:rPr>
                <w:rFonts w:ascii="Arial Narrow" w:hAnsi="Arial Narrow"/>
                <w:b/>
                <w:bCs/>
                <w:iCs/>
                <w:sz w:val="20"/>
                <w:szCs w:val="20"/>
              </w:rPr>
              <w:t xml:space="preserve"> effective DPMQ </w:t>
            </w:r>
          </w:p>
        </w:tc>
      </w:tr>
      <w:tr w:rsidR="00940332" w:rsidRPr="00D16A97" w14:paraId="0F82AA65" w14:textId="77777777" w:rsidTr="00192D14">
        <w:tc>
          <w:tcPr>
            <w:tcW w:w="2410" w:type="dxa"/>
          </w:tcPr>
          <w:p w14:paraId="70D9783C" w14:textId="77777777" w:rsidR="00940332" w:rsidRPr="00D16A97" w:rsidRDefault="00940332" w:rsidP="00192D14">
            <w:pPr>
              <w:rPr>
                <w:rFonts w:ascii="Arial Narrow" w:hAnsi="Arial Narrow"/>
                <w:sz w:val="20"/>
              </w:rPr>
            </w:pPr>
            <w:r w:rsidRPr="00D16A97">
              <w:rPr>
                <w:rFonts w:ascii="Arial Narrow" w:hAnsi="Arial Narrow"/>
                <w:sz w:val="20"/>
                <w:szCs w:val="20"/>
              </w:rPr>
              <w:t>0 – 200,000</w:t>
            </w:r>
          </w:p>
        </w:tc>
        <w:tc>
          <w:tcPr>
            <w:tcW w:w="2869" w:type="dxa"/>
            <w:vAlign w:val="center"/>
          </w:tcPr>
          <w:p w14:paraId="61E69061" w14:textId="140AE930" w:rsidR="00940332" w:rsidRPr="00E14097" w:rsidRDefault="005C2556" w:rsidP="00192D14">
            <w:pPr>
              <w:jc w:val="center"/>
              <w:rPr>
                <w:rFonts w:ascii="Arial Narrow" w:hAnsi="Arial Narrow"/>
                <w:sz w:val="20"/>
                <w:highlight w:val="darkGray"/>
              </w:rPr>
            </w:pPr>
            <w:r w:rsidRPr="005C2556">
              <w:rPr>
                <w:rFonts w:ascii="Arial Narrow" w:hAnsi="Arial Narrow"/>
                <w:sz w:val="20"/>
              </w:rPr>
              <w:t xml:space="preserve"> </w:t>
            </w:r>
            <w:r w:rsidR="0003145F" w:rsidRPr="0003145F">
              <w:rPr>
                <w:rFonts w:ascii="Arial Narrow" w:hAnsi="Arial Narrow"/>
                <w:color w:val="000000"/>
                <w:sz w:val="20"/>
                <w:shd w:val="solid" w:color="000000" w:fill="000000"/>
                <w14:textFill>
                  <w14:solidFill>
                    <w14:srgbClr w14:val="000000">
                      <w14:alpha w14:val="100000"/>
                    </w14:srgbClr>
                  </w14:solidFill>
                </w14:textFill>
              </w:rPr>
              <w:t>|</w:t>
            </w:r>
          </w:p>
        </w:tc>
        <w:tc>
          <w:tcPr>
            <w:tcW w:w="0" w:type="auto"/>
          </w:tcPr>
          <w:p w14:paraId="653DB95F" w14:textId="3FAB5A9A"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0BFD4D14" w14:textId="0A6B3006" w:rsidR="00940332" w:rsidRPr="00E14097" w:rsidRDefault="005C2556" w:rsidP="00192D14">
            <w:pPr>
              <w:jc w:val="center"/>
              <w:rPr>
                <w:rFonts w:ascii="Arial Narrow" w:hAnsi="Arial Narrow"/>
                <w:sz w:val="20"/>
                <w:highlight w:val="darkGray"/>
              </w:rPr>
            </w:pPr>
            <w:r w:rsidRPr="005C2556">
              <w:rPr>
                <w:rFonts w:ascii="Arial Narrow" w:hAnsi="Arial Narrow"/>
                <w:sz w:val="20"/>
              </w:rPr>
              <w:t xml:space="preserve"> </w:t>
            </w:r>
            <w:r w:rsidR="0003145F" w:rsidRPr="0003145F">
              <w:rPr>
                <w:rFonts w:ascii="Arial Narrow" w:hAnsi="Arial Narrow"/>
                <w:color w:val="000000"/>
                <w:sz w:val="20"/>
                <w:shd w:val="solid" w:color="000000" w:fill="000000"/>
                <w14:textFill>
                  <w14:solidFill>
                    <w14:srgbClr w14:val="000000">
                      <w14:alpha w14:val="100000"/>
                    </w14:srgbClr>
                  </w14:solidFill>
                </w14:textFill>
              </w:rPr>
              <w:t>|</w:t>
            </w:r>
          </w:p>
        </w:tc>
      </w:tr>
      <w:tr w:rsidR="00940332" w:rsidRPr="00D16A97" w14:paraId="1167C7AA" w14:textId="77777777" w:rsidTr="00192D14">
        <w:tc>
          <w:tcPr>
            <w:tcW w:w="2410" w:type="dxa"/>
          </w:tcPr>
          <w:p w14:paraId="22CFAC06" w14:textId="77777777" w:rsidR="00940332" w:rsidRPr="00D16A97" w:rsidRDefault="00940332" w:rsidP="00192D14">
            <w:pPr>
              <w:rPr>
                <w:rFonts w:ascii="Arial Narrow" w:hAnsi="Arial Narrow"/>
                <w:sz w:val="20"/>
                <w:szCs w:val="20"/>
              </w:rPr>
            </w:pPr>
            <w:r w:rsidRPr="00D16A97">
              <w:rPr>
                <w:rFonts w:ascii="Arial Narrow" w:hAnsi="Arial Narrow"/>
                <w:sz w:val="20"/>
                <w:szCs w:val="20"/>
              </w:rPr>
              <w:t>200,001 -400,000</w:t>
            </w:r>
          </w:p>
        </w:tc>
        <w:tc>
          <w:tcPr>
            <w:tcW w:w="2869" w:type="dxa"/>
            <w:vAlign w:val="center"/>
          </w:tcPr>
          <w:p w14:paraId="14073906" w14:textId="608CCAF5"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742362A9" w14:textId="32E5DB22"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0C8CD22D" w14:textId="22A997B2" w:rsidR="00940332" w:rsidRPr="00E14097" w:rsidRDefault="005C2556" w:rsidP="00192D14">
            <w:pPr>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z w:val="20"/>
                <w:szCs w:val="20"/>
                <w:shd w:val="solid" w:color="000000" w:fill="000000"/>
                <w14:textFill>
                  <w14:solidFill>
                    <w14:srgbClr w14:val="000000">
                      <w14:alpha w14:val="100000"/>
                    </w14:srgbClr>
                  </w14:solidFill>
                </w14:textFill>
              </w:rPr>
              <w:t>|</w:t>
            </w:r>
          </w:p>
        </w:tc>
      </w:tr>
      <w:tr w:rsidR="00940332" w:rsidRPr="00D16A97" w14:paraId="13DB16A4" w14:textId="77777777" w:rsidTr="00192D14">
        <w:tc>
          <w:tcPr>
            <w:tcW w:w="2410" w:type="dxa"/>
          </w:tcPr>
          <w:p w14:paraId="55638AE4" w14:textId="77777777" w:rsidR="00940332" w:rsidRPr="00D16A97" w:rsidRDefault="00940332" w:rsidP="00192D14">
            <w:pPr>
              <w:rPr>
                <w:rFonts w:ascii="Arial Narrow" w:hAnsi="Arial Narrow"/>
                <w:sz w:val="20"/>
                <w:szCs w:val="20"/>
              </w:rPr>
            </w:pPr>
            <w:r w:rsidRPr="00D16A97">
              <w:rPr>
                <w:rFonts w:ascii="Arial Narrow" w:hAnsi="Arial Narrow"/>
                <w:sz w:val="20"/>
                <w:szCs w:val="20"/>
              </w:rPr>
              <w:t>400,001 – 600,000</w:t>
            </w:r>
          </w:p>
        </w:tc>
        <w:tc>
          <w:tcPr>
            <w:tcW w:w="2869" w:type="dxa"/>
            <w:vAlign w:val="center"/>
          </w:tcPr>
          <w:p w14:paraId="66D42744" w14:textId="4CCC01C1"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73F33EC1" w14:textId="29D8D782"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55BB7743" w14:textId="1D254657" w:rsidR="00940332" w:rsidRPr="00E14097" w:rsidRDefault="005C2556" w:rsidP="00192D14">
            <w:pPr>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z w:val="20"/>
                <w:szCs w:val="20"/>
                <w:shd w:val="solid" w:color="000000" w:fill="000000"/>
                <w14:textFill>
                  <w14:solidFill>
                    <w14:srgbClr w14:val="000000">
                      <w14:alpha w14:val="100000"/>
                    </w14:srgbClr>
                  </w14:solidFill>
                </w14:textFill>
              </w:rPr>
              <w:t>|</w:t>
            </w:r>
          </w:p>
        </w:tc>
      </w:tr>
      <w:tr w:rsidR="00940332" w:rsidRPr="00D16A97" w14:paraId="4BD7CF42" w14:textId="77777777" w:rsidTr="00192D14">
        <w:tc>
          <w:tcPr>
            <w:tcW w:w="2410" w:type="dxa"/>
          </w:tcPr>
          <w:p w14:paraId="57004820" w14:textId="77777777" w:rsidR="00940332" w:rsidRPr="00D16A97" w:rsidRDefault="00940332" w:rsidP="00192D14">
            <w:pPr>
              <w:rPr>
                <w:rFonts w:ascii="Arial Narrow" w:hAnsi="Arial Narrow"/>
                <w:sz w:val="20"/>
                <w:szCs w:val="20"/>
              </w:rPr>
            </w:pPr>
            <w:r w:rsidRPr="00D16A97">
              <w:rPr>
                <w:rFonts w:ascii="Arial Narrow" w:hAnsi="Arial Narrow"/>
                <w:sz w:val="20"/>
                <w:szCs w:val="20"/>
              </w:rPr>
              <w:t>600,001 – 800,000</w:t>
            </w:r>
          </w:p>
        </w:tc>
        <w:tc>
          <w:tcPr>
            <w:tcW w:w="2869" w:type="dxa"/>
            <w:vAlign w:val="center"/>
          </w:tcPr>
          <w:p w14:paraId="40DBD675" w14:textId="7EB220A8"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4CBF1062" w14:textId="28B76DB3"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58E45D30" w14:textId="18CF515F" w:rsidR="00940332" w:rsidRPr="00E14097" w:rsidRDefault="005C2556" w:rsidP="00192D14">
            <w:pPr>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z w:val="20"/>
                <w:szCs w:val="20"/>
                <w:shd w:val="solid" w:color="000000" w:fill="000000"/>
                <w14:textFill>
                  <w14:solidFill>
                    <w14:srgbClr w14:val="000000">
                      <w14:alpha w14:val="100000"/>
                    </w14:srgbClr>
                  </w14:solidFill>
                </w14:textFill>
              </w:rPr>
              <w:t>|</w:t>
            </w:r>
          </w:p>
        </w:tc>
      </w:tr>
      <w:tr w:rsidR="00940332" w:rsidRPr="00D16A97" w14:paraId="708E1C00" w14:textId="77777777" w:rsidTr="00192D14">
        <w:tc>
          <w:tcPr>
            <w:tcW w:w="2410" w:type="dxa"/>
          </w:tcPr>
          <w:p w14:paraId="3136E222" w14:textId="77777777" w:rsidR="00940332" w:rsidRPr="00D16A97" w:rsidRDefault="00940332" w:rsidP="00192D14">
            <w:pPr>
              <w:rPr>
                <w:rFonts w:ascii="Arial Narrow" w:hAnsi="Arial Narrow"/>
                <w:sz w:val="20"/>
                <w:szCs w:val="20"/>
              </w:rPr>
            </w:pPr>
            <w:r w:rsidRPr="00D16A97">
              <w:rPr>
                <w:rFonts w:ascii="Arial Narrow" w:hAnsi="Arial Narrow"/>
                <w:sz w:val="20"/>
                <w:szCs w:val="20"/>
              </w:rPr>
              <w:t>&gt; 800,001</w:t>
            </w:r>
          </w:p>
        </w:tc>
        <w:tc>
          <w:tcPr>
            <w:tcW w:w="2869" w:type="dxa"/>
            <w:vAlign w:val="center"/>
          </w:tcPr>
          <w:p w14:paraId="218DECF3" w14:textId="284D3E5D"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5CC7DB66" w14:textId="7CC54F1D"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0" w:type="auto"/>
          </w:tcPr>
          <w:p w14:paraId="7A38CFF0" w14:textId="24F23CFF" w:rsidR="00940332" w:rsidRPr="00E14097" w:rsidRDefault="005C2556" w:rsidP="00192D14">
            <w:pPr>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z w:val="20"/>
                <w:szCs w:val="20"/>
                <w:shd w:val="solid" w:color="000000" w:fill="000000"/>
                <w14:textFill>
                  <w14:solidFill>
                    <w14:srgbClr w14:val="000000">
                      <w14:alpha w14:val="100000"/>
                    </w14:srgbClr>
                  </w14:solidFill>
                </w14:textFill>
              </w:rPr>
              <w:t>|</w:t>
            </w:r>
          </w:p>
        </w:tc>
      </w:tr>
    </w:tbl>
    <w:p w14:paraId="0A8F1E55" w14:textId="3D933A1B" w:rsidR="00940332" w:rsidRPr="009769C8" w:rsidRDefault="00940332" w:rsidP="009769C8">
      <w:pPr>
        <w:spacing w:after="120"/>
        <w:rPr>
          <w:rFonts w:ascii="Arial Narrow" w:hAnsi="Arial Narrow"/>
          <w:sz w:val="20"/>
          <w:szCs w:val="20"/>
        </w:rPr>
      </w:pPr>
      <w:r w:rsidRPr="009769C8">
        <w:rPr>
          <w:rFonts w:ascii="Arial Narrow" w:hAnsi="Arial Narrow"/>
          <w:sz w:val="18"/>
          <w:szCs w:val="18"/>
        </w:rPr>
        <w:t>Source: Molnupiravir submission 22 September 2023 and corrected DPMQ calculation during evaluation.</w:t>
      </w:r>
    </w:p>
    <w:p w14:paraId="2F8B5263" w14:textId="5E96BF6C" w:rsidR="00940332" w:rsidRPr="00D16A97" w:rsidRDefault="00940332" w:rsidP="00940332">
      <w:pPr>
        <w:pStyle w:val="3-BodyText"/>
        <w:numPr>
          <w:ilvl w:val="1"/>
          <w:numId w:val="1"/>
        </w:numPr>
      </w:pPr>
      <w:r w:rsidRPr="00D16A97">
        <w:rPr>
          <w:iCs/>
        </w:rPr>
        <w:lastRenderedPageBreak/>
        <w:t xml:space="preserve">The ESC noted that tiered pricing shown in </w:t>
      </w:r>
      <w:r w:rsidRPr="00D16A97">
        <w:rPr>
          <w:iCs/>
        </w:rPr>
        <w:fldChar w:fldCharType="begin" w:fldLock="1"/>
      </w:r>
      <w:r w:rsidRPr="00D16A97">
        <w:rPr>
          <w:iCs/>
        </w:rPr>
        <w:instrText xml:space="preserve"> REF _Ref147504544 \h  \* MERGEFORMAT </w:instrText>
      </w:r>
      <w:r w:rsidRPr="00D16A97">
        <w:rPr>
          <w:iCs/>
        </w:rPr>
      </w:r>
      <w:r w:rsidRPr="00D16A97">
        <w:rPr>
          <w:iCs/>
        </w:rPr>
        <w:fldChar w:fldCharType="separate"/>
      </w:r>
      <w:r w:rsidRPr="00D16A97">
        <w:rPr>
          <w:iCs/>
        </w:rPr>
        <w:t>Table 19</w:t>
      </w:r>
      <w:r w:rsidRPr="00D16A97">
        <w:rPr>
          <w:iCs/>
        </w:rPr>
        <w:fldChar w:fldCharType="end"/>
      </w:r>
      <w:r w:rsidRPr="00D16A97">
        <w:rPr>
          <w:iCs/>
        </w:rPr>
        <w:t xml:space="preserve"> results in progressively reduced effective ex-manufacturer price and effective DPMQ for </w:t>
      </w:r>
      <w:r w:rsidRPr="00D16A97">
        <w:rPr>
          <w:iCs/>
          <w:color w:val="000000" w:themeColor="text1"/>
        </w:rPr>
        <w:t xml:space="preserve">molnupiravir </w:t>
      </w:r>
      <w:r w:rsidRPr="00D16A97">
        <w:rPr>
          <w:iCs/>
        </w:rPr>
        <w:t xml:space="preserve">by volume of OAVs dispensed as shown in </w:t>
      </w:r>
      <w:r w:rsidRPr="00D16A97">
        <w:rPr>
          <w:iCs/>
        </w:rPr>
        <w:fldChar w:fldCharType="begin" w:fldLock="1"/>
      </w:r>
      <w:r w:rsidRPr="00D16A97">
        <w:rPr>
          <w:iCs/>
        </w:rPr>
        <w:instrText xml:space="preserve"> REF _Ref147505239 \h  \* MERGEFORMAT </w:instrText>
      </w:r>
      <w:r w:rsidRPr="00D16A97">
        <w:rPr>
          <w:iCs/>
        </w:rPr>
      </w:r>
      <w:r w:rsidRPr="00D16A97">
        <w:rPr>
          <w:iCs/>
        </w:rPr>
        <w:fldChar w:fldCharType="separate"/>
      </w:r>
      <w:r w:rsidRPr="00D16A97">
        <w:rPr>
          <w:iCs/>
        </w:rPr>
        <w:t>Figure 5</w:t>
      </w:r>
      <w:r w:rsidRPr="00D16A97">
        <w:rPr>
          <w:iCs/>
        </w:rPr>
        <w:fldChar w:fldCharType="end"/>
      </w:r>
      <w:r w:rsidRPr="00D16A97">
        <w:rPr>
          <w:iCs/>
        </w:rPr>
        <w:t xml:space="preserve"> and </w:t>
      </w:r>
      <w:r w:rsidRPr="00D16A97">
        <w:rPr>
          <w:iCs/>
        </w:rPr>
        <w:fldChar w:fldCharType="begin" w:fldLock="1"/>
      </w:r>
      <w:r w:rsidRPr="00D16A97">
        <w:rPr>
          <w:iCs/>
        </w:rPr>
        <w:instrText xml:space="preserve"> REF _Ref147505725 \h  \* MERGEFORMAT </w:instrText>
      </w:r>
      <w:r w:rsidRPr="00D16A97">
        <w:rPr>
          <w:iCs/>
        </w:rPr>
      </w:r>
      <w:r w:rsidRPr="00D16A97">
        <w:rPr>
          <w:iCs/>
        </w:rPr>
        <w:fldChar w:fldCharType="separate"/>
      </w:r>
      <w:r w:rsidRPr="00D16A97">
        <w:rPr>
          <w:iCs/>
        </w:rPr>
        <w:t>Table 20</w:t>
      </w:r>
      <w:r w:rsidRPr="00D16A97">
        <w:rPr>
          <w:iCs/>
        </w:rPr>
        <w:fldChar w:fldCharType="end"/>
      </w:r>
      <w:r w:rsidRPr="00D16A97">
        <w:rPr>
          <w:iCs/>
        </w:rPr>
        <w:t xml:space="preserve">. Although the pricing for a </w:t>
      </w:r>
      <w:proofErr w:type="spellStart"/>
      <w:r w:rsidRPr="00D16A97">
        <w:rPr>
          <w:iCs/>
        </w:rPr>
        <w:t>tier</w:t>
      </w:r>
      <w:proofErr w:type="spellEnd"/>
      <w:r w:rsidRPr="00D16A97">
        <w:rPr>
          <w:iCs/>
        </w:rPr>
        <w:t xml:space="preserve"> drops significantly by tiers, the average DPMQ reduces slowly with increasing utilisation of the oral antivirals (e.g., the DPMQ for additional units of </w:t>
      </w:r>
      <w:r w:rsidRPr="00D16A97">
        <w:rPr>
          <w:iCs/>
          <w:color w:val="000000" w:themeColor="text1"/>
        </w:rPr>
        <w:t>molnupiravir</w:t>
      </w:r>
      <w:r w:rsidRPr="00D16A97">
        <w:rPr>
          <w:iCs/>
        </w:rPr>
        <w:t xml:space="preserve"> supplied after 800,000 units of oral antivirals have been dispensed is $</w:t>
      </w:r>
      <w:r w:rsidR="005C2556" w:rsidRPr="005C2556">
        <w:rPr>
          <w:iCs/>
        </w:rPr>
        <w:t xml:space="preserve"> </w:t>
      </w:r>
      <w:r w:rsidR="0003145F" w:rsidRPr="00567EAC">
        <w:rPr>
          <w:iCs/>
          <w:color w:val="000000"/>
          <w:w w:val="15"/>
          <w:shd w:val="solid" w:color="000000" w:fill="000000"/>
          <w:fitText w:val="-20" w:id="-1031606527"/>
          <w14:textFill>
            <w14:solidFill>
              <w14:srgbClr w14:val="000000">
                <w14:alpha w14:val="100000"/>
              </w14:srgbClr>
            </w14:solidFill>
          </w14:textFill>
        </w:rPr>
        <w:t xml:space="preserve">|  </w:t>
      </w:r>
      <w:r w:rsidR="0003145F" w:rsidRPr="00567EAC">
        <w:rPr>
          <w:iCs/>
          <w:color w:val="000000"/>
          <w:spacing w:val="-69"/>
          <w:w w:val="15"/>
          <w:shd w:val="solid" w:color="000000" w:fill="000000"/>
          <w:fitText w:val="-20" w:id="-1031606527"/>
          <w14:textFill>
            <w14:solidFill>
              <w14:srgbClr w14:val="000000">
                <w14:alpha w14:val="100000"/>
              </w14:srgbClr>
            </w14:solidFill>
          </w14:textFill>
        </w:rPr>
        <w:t>|</w:t>
      </w:r>
      <w:r w:rsidRPr="00D16A97">
        <w:rPr>
          <w:iCs/>
        </w:rPr>
        <w:t xml:space="preserve">, but the average DPMQ of </w:t>
      </w:r>
      <w:r w:rsidRPr="00D16A97">
        <w:rPr>
          <w:iCs/>
          <w:color w:val="000000" w:themeColor="text1"/>
        </w:rPr>
        <w:t xml:space="preserve">molnupiravir </w:t>
      </w:r>
      <w:r w:rsidRPr="00D16A97">
        <w:rPr>
          <w:iCs/>
        </w:rPr>
        <w:t>when 820,000 units of oral antivirals have been dispensed is $</w:t>
      </w:r>
      <w:r w:rsidR="005C2556" w:rsidRPr="005C2556">
        <w:rPr>
          <w:iCs/>
        </w:rPr>
        <w:t xml:space="preserve"> </w:t>
      </w:r>
      <w:r w:rsidR="0003145F" w:rsidRPr="00567EAC">
        <w:rPr>
          <w:iCs/>
          <w:color w:val="000000"/>
          <w:w w:val="15"/>
          <w:shd w:val="solid" w:color="000000" w:fill="000000"/>
          <w:fitText w:val="-20" w:id="-1031606526"/>
          <w14:textFill>
            <w14:solidFill>
              <w14:srgbClr w14:val="000000">
                <w14:alpha w14:val="100000"/>
              </w14:srgbClr>
            </w14:solidFill>
          </w14:textFill>
        </w:rPr>
        <w:t xml:space="preserve">|  </w:t>
      </w:r>
      <w:r w:rsidR="0003145F" w:rsidRPr="00567EAC">
        <w:rPr>
          <w:iCs/>
          <w:color w:val="000000"/>
          <w:spacing w:val="-69"/>
          <w:w w:val="15"/>
          <w:shd w:val="solid" w:color="000000" w:fill="000000"/>
          <w:fitText w:val="-20" w:id="-1031606526"/>
          <w14:textFill>
            <w14:solidFill>
              <w14:srgbClr w14:val="000000">
                <w14:alpha w14:val="100000"/>
              </w14:srgbClr>
            </w14:solidFill>
          </w14:textFill>
        </w:rPr>
        <w:t>|</w:t>
      </w:r>
      <w:r w:rsidRPr="00D16A97">
        <w:rPr>
          <w:iCs/>
        </w:rPr>
        <w:t>.</w:t>
      </w:r>
    </w:p>
    <w:p w14:paraId="0EE45997" w14:textId="26CBE0D5" w:rsidR="00940332" w:rsidRPr="00D16A97" w:rsidRDefault="00940332" w:rsidP="00940332">
      <w:pPr>
        <w:pStyle w:val="Caption"/>
      </w:pPr>
      <w:bookmarkStart w:id="113" w:name="_Ref147505239"/>
      <w:r w:rsidRPr="00D16A97">
        <w:t xml:space="preserve">Figure </w:t>
      </w:r>
      <w:r w:rsidR="00567EAC">
        <w:fldChar w:fldCharType="begin" w:fldLock="1"/>
      </w:r>
      <w:r w:rsidR="00567EAC">
        <w:instrText xml:space="preserve"> SEQ Figure \* ARABIC </w:instrText>
      </w:r>
      <w:r w:rsidR="00567EAC">
        <w:fldChar w:fldCharType="separate"/>
      </w:r>
      <w:r w:rsidRPr="00D16A97">
        <w:t>5</w:t>
      </w:r>
      <w:r w:rsidR="00567EAC">
        <w:fldChar w:fldCharType="end"/>
      </w:r>
      <w:bookmarkEnd w:id="113"/>
      <w:r w:rsidRPr="00D16A97">
        <w:t>: Molnupiravir average effective ex-manufacturer price and DPMQ by volume of oral antivirals for COVID</w:t>
      </w:r>
      <w:r w:rsidRPr="00D16A97">
        <w:noBreakHyphen/>
        <w:t>19</w:t>
      </w:r>
      <w:r w:rsidR="00CA6C68">
        <w:rPr>
          <w:noProof/>
        </w:rPr>
        <w:drawing>
          <wp:inline distT="0" distB="0" distL="0" distR="0" wp14:anchorId="767D2152" wp14:editId="6D30D97E">
            <wp:extent cx="5290820" cy="407999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839"/>
                    <a:stretch/>
                  </pic:blipFill>
                  <pic:spPr bwMode="auto">
                    <a:xfrm>
                      <a:off x="0" y="0"/>
                      <a:ext cx="5301712" cy="4088389"/>
                    </a:xfrm>
                    <a:prstGeom prst="rect">
                      <a:avLst/>
                    </a:prstGeom>
                    <a:ln>
                      <a:noFill/>
                    </a:ln>
                    <a:extLst>
                      <a:ext uri="{53640926-AAD7-44D8-BBD7-CCE9431645EC}">
                        <a14:shadowObscured xmlns:a14="http://schemas.microsoft.com/office/drawing/2010/main"/>
                      </a:ext>
                    </a:extLst>
                  </pic:spPr>
                </pic:pic>
              </a:graphicData>
            </a:graphic>
          </wp:inline>
        </w:drawing>
      </w:r>
    </w:p>
    <w:p w14:paraId="2267D570" w14:textId="5428F420" w:rsidR="00940332" w:rsidRPr="009769C8" w:rsidRDefault="00940332" w:rsidP="009769C8">
      <w:pPr>
        <w:spacing w:after="120"/>
        <w:rPr>
          <w:rFonts w:ascii="Arial Narrow" w:hAnsi="Arial Narrow"/>
          <w:sz w:val="20"/>
          <w:szCs w:val="20"/>
        </w:rPr>
      </w:pPr>
      <w:r w:rsidRPr="009769C8">
        <w:rPr>
          <w:rFonts w:ascii="Arial Narrow" w:hAnsi="Arial Narrow"/>
          <w:sz w:val="18"/>
          <w:szCs w:val="18"/>
        </w:rPr>
        <w:t>Source: Prepared during evaluation.</w:t>
      </w:r>
    </w:p>
    <w:p w14:paraId="0473E137" w14:textId="77777777" w:rsidR="00940332" w:rsidRPr="00D16A97" w:rsidRDefault="00940332" w:rsidP="00940332">
      <w:pPr>
        <w:pStyle w:val="Caption"/>
      </w:pPr>
      <w:bookmarkStart w:id="114" w:name="_Ref147505725"/>
      <w:r w:rsidRPr="00D16A97">
        <w:t xml:space="preserve">Table </w:t>
      </w:r>
      <w:r w:rsidR="00567EAC">
        <w:fldChar w:fldCharType="begin" w:fldLock="1"/>
      </w:r>
      <w:r w:rsidR="00567EAC">
        <w:instrText xml:space="preserve"> SEQ Table \* ARABIC </w:instrText>
      </w:r>
      <w:r w:rsidR="00567EAC">
        <w:fldChar w:fldCharType="separate"/>
      </w:r>
      <w:r w:rsidRPr="00D16A97">
        <w:t>20</w:t>
      </w:r>
      <w:r w:rsidR="00567EAC">
        <w:fldChar w:fldCharType="end"/>
      </w:r>
      <w:bookmarkEnd w:id="114"/>
      <w:r w:rsidRPr="00D16A97">
        <w:t>:</w:t>
      </w:r>
      <w:r w:rsidRPr="00D16A97">
        <w:tab/>
        <w:t>Effective average ex-manufacturer price and effective average DPMQ by utilisation of OAVs for COVID</w:t>
      </w:r>
      <w:r w:rsidRPr="00D16A97">
        <w:noBreakHyphen/>
        <w:t>19</w:t>
      </w:r>
    </w:p>
    <w:tbl>
      <w:tblPr>
        <w:tblStyle w:val="TableGrid"/>
        <w:tblW w:w="9072" w:type="dxa"/>
        <w:tblInd w:w="-5" w:type="dxa"/>
        <w:tblLook w:val="04A0" w:firstRow="1" w:lastRow="0" w:firstColumn="1" w:lastColumn="0" w:noHBand="0" w:noVBand="1"/>
      </w:tblPr>
      <w:tblGrid>
        <w:gridCol w:w="2410"/>
        <w:gridCol w:w="3260"/>
        <w:gridCol w:w="3402"/>
      </w:tblGrid>
      <w:tr w:rsidR="00940332" w:rsidRPr="00D16A97" w14:paraId="711811DB" w14:textId="77777777" w:rsidTr="00192D14">
        <w:trPr>
          <w:tblHeader/>
        </w:trPr>
        <w:tc>
          <w:tcPr>
            <w:tcW w:w="2410" w:type="dxa"/>
          </w:tcPr>
          <w:p w14:paraId="6C939EF2" w14:textId="77777777" w:rsidR="00940332" w:rsidRPr="00D16A97" w:rsidRDefault="00940332" w:rsidP="00192D14">
            <w:pPr>
              <w:keepNext/>
              <w:rPr>
                <w:rFonts w:ascii="Arial Narrow" w:hAnsi="Arial Narrow"/>
                <w:b/>
                <w:bCs/>
                <w:sz w:val="20"/>
                <w:szCs w:val="20"/>
              </w:rPr>
            </w:pPr>
            <w:r w:rsidRPr="00D16A97">
              <w:rPr>
                <w:rFonts w:ascii="Arial Narrow" w:hAnsi="Arial Narrow"/>
                <w:b/>
                <w:bCs/>
                <w:sz w:val="20"/>
                <w:szCs w:val="20"/>
              </w:rPr>
              <w:t xml:space="preserve">Total utilisation of oral antivirals for </w:t>
            </w:r>
            <w:r w:rsidRPr="00D16A97">
              <w:rPr>
                <w:rStyle w:val="normaltextrun"/>
                <w:rFonts w:ascii="Arial Narrow" w:hAnsi="Arial Narrow"/>
                <w:b/>
                <w:bCs/>
                <w:sz w:val="20"/>
                <w:szCs w:val="20"/>
              </w:rPr>
              <w:t>COVID</w:t>
            </w:r>
            <w:r w:rsidRPr="00D16A97">
              <w:rPr>
                <w:rStyle w:val="normaltextrun"/>
                <w:rFonts w:ascii="Arial Narrow" w:hAnsi="Arial Narrow"/>
                <w:b/>
                <w:bCs/>
                <w:sz w:val="20"/>
                <w:szCs w:val="20"/>
              </w:rPr>
              <w:noBreakHyphen/>
              <w:t>19</w:t>
            </w:r>
          </w:p>
        </w:tc>
        <w:tc>
          <w:tcPr>
            <w:tcW w:w="3260" w:type="dxa"/>
            <w:vAlign w:val="center"/>
          </w:tcPr>
          <w:p w14:paraId="76458AF1" w14:textId="77777777" w:rsidR="00940332" w:rsidRPr="00D16A97" w:rsidRDefault="00940332" w:rsidP="00192D14">
            <w:pPr>
              <w:keepNext/>
              <w:jc w:val="center"/>
              <w:rPr>
                <w:rFonts w:ascii="Arial Narrow" w:hAnsi="Arial Narrow"/>
                <w:b/>
                <w:bCs/>
                <w:sz w:val="20"/>
                <w:szCs w:val="20"/>
              </w:rPr>
            </w:pPr>
            <w:r w:rsidRPr="00D16A97">
              <w:rPr>
                <w:rFonts w:ascii="Arial Narrow" w:hAnsi="Arial Narrow"/>
                <w:b/>
                <w:bCs/>
                <w:sz w:val="20"/>
                <w:szCs w:val="20"/>
              </w:rPr>
              <w:t>Average effective ex-manufacturer price of molnupiravir</w:t>
            </w:r>
          </w:p>
        </w:tc>
        <w:tc>
          <w:tcPr>
            <w:tcW w:w="3402" w:type="dxa"/>
          </w:tcPr>
          <w:p w14:paraId="64F04871" w14:textId="77777777" w:rsidR="00940332" w:rsidRPr="00D16A97" w:rsidRDefault="00940332" w:rsidP="00192D14">
            <w:pPr>
              <w:keepNext/>
              <w:jc w:val="center"/>
              <w:rPr>
                <w:rFonts w:ascii="Arial Narrow" w:hAnsi="Arial Narrow"/>
                <w:b/>
                <w:bCs/>
                <w:iCs/>
                <w:sz w:val="20"/>
                <w:szCs w:val="20"/>
              </w:rPr>
            </w:pPr>
            <w:r w:rsidRPr="00D16A97">
              <w:rPr>
                <w:rFonts w:ascii="Arial Narrow" w:hAnsi="Arial Narrow"/>
                <w:b/>
                <w:bCs/>
                <w:iCs/>
                <w:sz w:val="20"/>
                <w:szCs w:val="20"/>
              </w:rPr>
              <w:t xml:space="preserve">Average effective DPMQ </w:t>
            </w:r>
          </w:p>
        </w:tc>
      </w:tr>
      <w:tr w:rsidR="00940332" w:rsidRPr="00D16A97" w14:paraId="464AB2FA" w14:textId="77777777" w:rsidTr="00192D14">
        <w:tc>
          <w:tcPr>
            <w:tcW w:w="2410" w:type="dxa"/>
          </w:tcPr>
          <w:p w14:paraId="4371F399" w14:textId="77777777" w:rsidR="00940332" w:rsidRPr="00D16A97" w:rsidRDefault="00940332" w:rsidP="00192D14">
            <w:pPr>
              <w:keepNext/>
              <w:jc w:val="center"/>
              <w:rPr>
                <w:rFonts w:ascii="Arial Narrow" w:hAnsi="Arial Narrow"/>
                <w:sz w:val="20"/>
                <w:szCs w:val="20"/>
              </w:rPr>
            </w:pPr>
            <w:r w:rsidRPr="00D16A97">
              <w:rPr>
                <w:rFonts w:ascii="Arial Narrow" w:hAnsi="Arial Narrow"/>
                <w:sz w:val="20"/>
                <w:szCs w:val="20"/>
              </w:rPr>
              <w:t>1</w:t>
            </w:r>
          </w:p>
        </w:tc>
        <w:tc>
          <w:tcPr>
            <w:tcW w:w="3260" w:type="dxa"/>
          </w:tcPr>
          <w:p w14:paraId="059B03EF" w14:textId="7DBFAFE7" w:rsidR="00940332" w:rsidRPr="00E14097"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26F2A904" w14:textId="39B63858" w:rsidR="00940332" w:rsidRPr="00E14097" w:rsidRDefault="005C2556" w:rsidP="00192D14">
            <w:pPr>
              <w:keepNext/>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72721B2A" w14:textId="77777777" w:rsidTr="00192D14">
        <w:tc>
          <w:tcPr>
            <w:tcW w:w="2410" w:type="dxa"/>
          </w:tcPr>
          <w:p w14:paraId="3AC10753" w14:textId="77777777" w:rsidR="00940332" w:rsidRPr="00D16A97" w:rsidRDefault="00940332" w:rsidP="00192D14">
            <w:pPr>
              <w:keepNext/>
              <w:jc w:val="center"/>
              <w:rPr>
                <w:rFonts w:ascii="Arial Narrow" w:hAnsi="Arial Narrow"/>
                <w:sz w:val="20"/>
                <w:szCs w:val="20"/>
              </w:rPr>
            </w:pPr>
            <w:r w:rsidRPr="00D16A97">
              <w:rPr>
                <w:rFonts w:ascii="Arial Narrow" w:hAnsi="Arial Narrow"/>
                <w:sz w:val="20"/>
                <w:szCs w:val="20"/>
              </w:rPr>
              <w:t>200,000</w:t>
            </w:r>
          </w:p>
        </w:tc>
        <w:tc>
          <w:tcPr>
            <w:tcW w:w="3260" w:type="dxa"/>
          </w:tcPr>
          <w:p w14:paraId="1A42C137" w14:textId="3555ABD6" w:rsidR="00940332" w:rsidRPr="00E14097"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0DFB0817" w14:textId="5F859C70" w:rsidR="00940332" w:rsidRPr="00E14097" w:rsidRDefault="005C2556" w:rsidP="00192D14">
            <w:pPr>
              <w:keepNext/>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2BF80C46" w14:textId="77777777" w:rsidTr="00192D14">
        <w:tc>
          <w:tcPr>
            <w:tcW w:w="2410" w:type="dxa"/>
          </w:tcPr>
          <w:p w14:paraId="1E891F08" w14:textId="77777777" w:rsidR="00940332" w:rsidRPr="00D16A97" w:rsidRDefault="00940332" w:rsidP="00192D14">
            <w:pPr>
              <w:keepNext/>
              <w:jc w:val="center"/>
              <w:rPr>
                <w:rFonts w:ascii="Arial Narrow" w:hAnsi="Arial Narrow"/>
                <w:sz w:val="20"/>
                <w:szCs w:val="20"/>
              </w:rPr>
            </w:pPr>
            <w:r w:rsidRPr="00D16A97">
              <w:rPr>
                <w:rFonts w:ascii="Arial Narrow" w:hAnsi="Arial Narrow"/>
                <w:sz w:val="20"/>
                <w:szCs w:val="20"/>
              </w:rPr>
              <w:t>300,000</w:t>
            </w:r>
          </w:p>
        </w:tc>
        <w:tc>
          <w:tcPr>
            <w:tcW w:w="3260" w:type="dxa"/>
          </w:tcPr>
          <w:p w14:paraId="0D784AA7" w14:textId="3882E24E" w:rsidR="00940332" w:rsidRPr="00E14097"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5AD4ACDA" w14:textId="15CF1C16" w:rsidR="00940332" w:rsidRPr="00E14097" w:rsidRDefault="005C2556" w:rsidP="00192D14">
            <w:pPr>
              <w:keepNext/>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2E15F765" w14:textId="77777777" w:rsidTr="00192D14">
        <w:tc>
          <w:tcPr>
            <w:tcW w:w="2410" w:type="dxa"/>
          </w:tcPr>
          <w:p w14:paraId="65FBB48A" w14:textId="77777777" w:rsidR="00940332" w:rsidRPr="00D16A97" w:rsidRDefault="00940332" w:rsidP="00192D14">
            <w:pPr>
              <w:keepNext/>
              <w:jc w:val="center"/>
              <w:rPr>
                <w:rFonts w:ascii="Arial Narrow" w:hAnsi="Arial Narrow"/>
                <w:sz w:val="20"/>
                <w:szCs w:val="20"/>
              </w:rPr>
            </w:pPr>
            <w:r w:rsidRPr="00D16A97">
              <w:rPr>
                <w:rFonts w:ascii="Arial Narrow" w:hAnsi="Arial Narrow"/>
                <w:sz w:val="20"/>
                <w:szCs w:val="20"/>
              </w:rPr>
              <w:t>400,000</w:t>
            </w:r>
          </w:p>
        </w:tc>
        <w:tc>
          <w:tcPr>
            <w:tcW w:w="3260" w:type="dxa"/>
          </w:tcPr>
          <w:p w14:paraId="044A0D8B" w14:textId="0EC4106E" w:rsidR="00940332" w:rsidRPr="00E14097"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27F64731" w14:textId="2954FE76" w:rsidR="00940332" w:rsidRPr="00E14097" w:rsidRDefault="005C2556" w:rsidP="00192D14">
            <w:pPr>
              <w:keepNext/>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0F72A8C3" w14:textId="77777777" w:rsidTr="00192D14">
        <w:tc>
          <w:tcPr>
            <w:tcW w:w="2410" w:type="dxa"/>
          </w:tcPr>
          <w:p w14:paraId="1BC0BA4E" w14:textId="77777777" w:rsidR="00940332" w:rsidRPr="00D16A97" w:rsidRDefault="00940332" w:rsidP="00192D14">
            <w:pPr>
              <w:keepNext/>
              <w:jc w:val="center"/>
              <w:rPr>
                <w:rFonts w:ascii="Arial Narrow" w:hAnsi="Arial Narrow"/>
                <w:sz w:val="20"/>
                <w:szCs w:val="20"/>
              </w:rPr>
            </w:pPr>
            <w:r w:rsidRPr="00D16A97">
              <w:rPr>
                <w:rFonts w:ascii="Arial Narrow" w:hAnsi="Arial Narrow"/>
                <w:sz w:val="20"/>
                <w:szCs w:val="20"/>
              </w:rPr>
              <w:t>500,000</w:t>
            </w:r>
          </w:p>
        </w:tc>
        <w:tc>
          <w:tcPr>
            <w:tcW w:w="3260" w:type="dxa"/>
          </w:tcPr>
          <w:p w14:paraId="4BB8094B" w14:textId="78F5F134" w:rsidR="00940332" w:rsidRPr="00E14097"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6E495C9B" w14:textId="48733854" w:rsidR="00940332" w:rsidRPr="00E14097" w:rsidRDefault="005C2556" w:rsidP="00192D14">
            <w:pPr>
              <w:keepNext/>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01F281EC" w14:textId="77777777" w:rsidTr="00192D14">
        <w:tc>
          <w:tcPr>
            <w:tcW w:w="2410" w:type="dxa"/>
          </w:tcPr>
          <w:p w14:paraId="3CC0FD75" w14:textId="77777777" w:rsidR="00940332" w:rsidRPr="00D16A97" w:rsidRDefault="00940332" w:rsidP="00192D14">
            <w:pPr>
              <w:keepNext/>
              <w:jc w:val="center"/>
              <w:rPr>
                <w:rFonts w:ascii="Arial Narrow" w:hAnsi="Arial Narrow"/>
                <w:sz w:val="20"/>
                <w:szCs w:val="20"/>
              </w:rPr>
            </w:pPr>
            <w:r w:rsidRPr="00D16A97">
              <w:rPr>
                <w:rFonts w:ascii="Arial Narrow" w:hAnsi="Arial Narrow"/>
                <w:sz w:val="20"/>
                <w:szCs w:val="20"/>
              </w:rPr>
              <w:t>600,000</w:t>
            </w:r>
          </w:p>
        </w:tc>
        <w:tc>
          <w:tcPr>
            <w:tcW w:w="3260" w:type="dxa"/>
          </w:tcPr>
          <w:p w14:paraId="52C84952" w14:textId="78D22418" w:rsidR="00940332" w:rsidRPr="00E14097"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68B1A421" w14:textId="4FCA46F8" w:rsidR="00940332" w:rsidRPr="00E14097" w:rsidRDefault="005C2556" w:rsidP="00192D14">
            <w:pPr>
              <w:keepNext/>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4B94181E" w14:textId="77777777" w:rsidTr="00192D14">
        <w:tc>
          <w:tcPr>
            <w:tcW w:w="2410" w:type="dxa"/>
          </w:tcPr>
          <w:p w14:paraId="4F6EFED8"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700,000</w:t>
            </w:r>
          </w:p>
        </w:tc>
        <w:tc>
          <w:tcPr>
            <w:tcW w:w="3260" w:type="dxa"/>
          </w:tcPr>
          <w:p w14:paraId="70338294" w14:textId="6215A42F"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03255E02" w14:textId="6C23ED93"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10793E37" w14:textId="77777777" w:rsidTr="00192D14">
        <w:tc>
          <w:tcPr>
            <w:tcW w:w="2410" w:type="dxa"/>
          </w:tcPr>
          <w:p w14:paraId="0B6E02E2"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lastRenderedPageBreak/>
              <w:t>800,000</w:t>
            </w:r>
          </w:p>
        </w:tc>
        <w:tc>
          <w:tcPr>
            <w:tcW w:w="3260" w:type="dxa"/>
          </w:tcPr>
          <w:p w14:paraId="16714343" w14:textId="653EE16C"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122E2CCC" w14:textId="308D21B4"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4030588E" w14:textId="77777777" w:rsidTr="00192D14">
        <w:tc>
          <w:tcPr>
            <w:tcW w:w="2410" w:type="dxa"/>
          </w:tcPr>
          <w:p w14:paraId="16548EFD"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900,000</w:t>
            </w:r>
          </w:p>
        </w:tc>
        <w:tc>
          <w:tcPr>
            <w:tcW w:w="3260" w:type="dxa"/>
          </w:tcPr>
          <w:p w14:paraId="44FE2C91" w14:textId="6AA89297"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66009A67" w14:textId="45BCB137" w:rsidR="00940332" w:rsidRPr="00E14097" w:rsidRDefault="005C2556" w:rsidP="00192D14">
            <w:pPr>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48752EDC" w14:textId="77777777" w:rsidTr="00192D14">
        <w:tc>
          <w:tcPr>
            <w:tcW w:w="2410" w:type="dxa"/>
          </w:tcPr>
          <w:p w14:paraId="19C21216"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1,000,000</w:t>
            </w:r>
          </w:p>
        </w:tc>
        <w:tc>
          <w:tcPr>
            <w:tcW w:w="3260" w:type="dxa"/>
          </w:tcPr>
          <w:p w14:paraId="453C88F2" w14:textId="1C0361FB" w:rsidR="00940332" w:rsidRPr="00E14097"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3402" w:type="dxa"/>
          </w:tcPr>
          <w:p w14:paraId="3E5E732C" w14:textId="3438F0BF" w:rsidR="00940332" w:rsidRPr="00E14097" w:rsidRDefault="005C2556" w:rsidP="00192D14">
            <w:pPr>
              <w:jc w:val="center"/>
              <w:rPr>
                <w:rFonts w:ascii="Arial Narrow" w:hAnsi="Arial Narrow"/>
                <w:i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7EA9EE15" w14:textId="6CC11B59" w:rsidR="00940332" w:rsidRPr="00D16A97" w:rsidRDefault="00940332" w:rsidP="009769C8">
      <w:pPr>
        <w:spacing w:after="120"/>
        <w:rPr>
          <w:rFonts w:ascii="Arial Narrow" w:hAnsi="Arial Narrow"/>
          <w:sz w:val="20"/>
          <w:szCs w:val="20"/>
        </w:rPr>
      </w:pPr>
      <w:r w:rsidRPr="009769C8">
        <w:rPr>
          <w:rFonts w:ascii="Arial Narrow" w:hAnsi="Arial Narrow"/>
          <w:sz w:val="18"/>
          <w:szCs w:val="18"/>
        </w:rPr>
        <w:t>Source: Prepared during evaluation</w:t>
      </w:r>
    </w:p>
    <w:p w14:paraId="581F84C1" w14:textId="41F898DF" w:rsidR="00940332" w:rsidRPr="00D16A97" w:rsidRDefault="00940332" w:rsidP="00940332">
      <w:pPr>
        <w:pStyle w:val="3-BodyText"/>
        <w:numPr>
          <w:ilvl w:val="1"/>
          <w:numId w:val="1"/>
        </w:numPr>
        <w:rPr>
          <w:iCs/>
        </w:rPr>
      </w:pPr>
      <w:r w:rsidRPr="00D16A97">
        <w:t>The submission stated that the AEMP of $</w:t>
      </w:r>
      <w:r w:rsidR="005C2556" w:rsidRPr="005C2556">
        <w:t xml:space="preserve"> </w:t>
      </w:r>
      <w:r w:rsidR="0003145F" w:rsidRPr="0003145F">
        <w:rPr>
          <w:color w:val="000000"/>
          <w:w w:val="60"/>
          <w:shd w:val="solid" w:color="000000" w:fill="000000"/>
          <w:fitText w:val="469" w:id="-1031606525"/>
          <w14:textFill>
            <w14:solidFill>
              <w14:srgbClr w14:val="000000">
                <w14:alpha w14:val="100000"/>
              </w14:srgbClr>
            </w14:solidFill>
          </w14:textFill>
        </w:rPr>
        <w:t>|||  ||</w:t>
      </w:r>
      <w:r w:rsidR="0003145F" w:rsidRPr="0003145F">
        <w:rPr>
          <w:color w:val="000000"/>
          <w:spacing w:val="5"/>
          <w:w w:val="60"/>
          <w:shd w:val="solid" w:color="000000" w:fill="000000"/>
          <w:fitText w:val="469" w:id="-1031606525"/>
          <w14:textFill>
            <w14:solidFill>
              <w14:srgbClr w14:val="000000">
                <w14:alpha w14:val="100000"/>
              </w14:srgbClr>
            </w14:solidFill>
          </w14:textFill>
        </w:rPr>
        <w:t>|</w:t>
      </w:r>
      <w:r w:rsidRPr="00D16A97">
        <w:t xml:space="preserve"> is a three year average price for the duration of the RSA on a base case OAV volume of approximately 400,000 OAV units per year, calculated as per the proposed MOV price OAV volume tiers (see </w:t>
      </w:r>
      <w:r w:rsidR="009709BB">
        <w:t>‘</w:t>
      </w:r>
      <w:r w:rsidRPr="00D16A97">
        <w:t>AEMP calculation</w:t>
      </w:r>
      <w:r w:rsidR="009709BB">
        <w:t>’</w:t>
      </w:r>
      <w:r w:rsidRPr="00D16A97">
        <w:t xml:space="preserve">, MOV RSA Structure Workbook). </w:t>
      </w:r>
      <w:r w:rsidRPr="00D16A97">
        <w:rPr>
          <w:iCs/>
        </w:rPr>
        <w:t xml:space="preserve">The ESC noted that approximately 796,000 prescriptions for an oral antiviral were dispensed in the year ending 31July 2023 as shown in </w:t>
      </w:r>
      <w:r w:rsidRPr="00D16A97">
        <w:rPr>
          <w:iCs/>
        </w:rPr>
        <w:fldChar w:fldCharType="begin" w:fldLock="1"/>
      </w:r>
      <w:r w:rsidRPr="00D16A97">
        <w:rPr>
          <w:iCs/>
        </w:rPr>
        <w:instrText xml:space="preserve"> REF _Ref148176839 \h  \* MERGEFORMAT </w:instrText>
      </w:r>
      <w:r w:rsidRPr="00D16A97">
        <w:rPr>
          <w:iCs/>
        </w:rPr>
      </w:r>
      <w:r w:rsidRPr="00D16A97">
        <w:rPr>
          <w:iCs/>
        </w:rPr>
        <w:fldChar w:fldCharType="separate"/>
      </w:r>
      <w:r w:rsidRPr="00D16A97">
        <w:rPr>
          <w:iCs/>
        </w:rPr>
        <w:t>Figure 6</w:t>
      </w:r>
      <w:r w:rsidRPr="00D16A97">
        <w:rPr>
          <w:iCs/>
        </w:rPr>
        <w:fldChar w:fldCharType="end"/>
      </w:r>
      <w:r w:rsidRPr="00D16A97">
        <w:rPr>
          <w:iCs/>
        </w:rPr>
        <w:t>. The lowest rate of prescribing was seen in March</w:t>
      </w:r>
      <w:r w:rsidR="00E87A21">
        <w:rPr>
          <w:iCs/>
        </w:rPr>
        <w:t> </w:t>
      </w:r>
      <w:r w:rsidRPr="00D16A97">
        <w:rPr>
          <w:iCs/>
        </w:rPr>
        <w:t>2023 (approximately 34,000 units); at this baseline level of use, 408,000 prescriptions for oral antivirals per year can be anticipated.</w:t>
      </w:r>
    </w:p>
    <w:p w14:paraId="4C34B3F5" w14:textId="77777777" w:rsidR="00940332" w:rsidRPr="00D16A97" w:rsidRDefault="00940332" w:rsidP="00940332">
      <w:pPr>
        <w:pStyle w:val="Caption"/>
      </w:pPr>
      <w:bookmarkStart w:id="115" w:name="_Ref148176839"/>
      <w:r w:rsidRPr="00D16A97">
        <w:t xml:space="preserve">Figure </w:t>
      </w:r>
      <w:r w:rsidR="00567EAC">
        <w:fldChar w:fldCharType="begin" w:fldLock="1"/>
      </w:r>
      <w:r w:rsidR="00567EAC">
        <w:instrText xml:space="preserve"> SEQ Figure \* ARABIC </w:instrText>
      </w:r>
      <w:r w:rsidR="00567EAC">
        <w:fldChar w:fldCharType="separate"/>
      </w:r>
      <w:r w:rsidRPr="00D16A97">
        <w:t>6</w:t>
      </w:r>
      <w:r w:rsidR="00567EAC">
        <w:fldChar w:fldCharType="end"/>
      </w:r>
      <w:bookmarkEnd w:id="115"/>
      <w:r w:rsidRPr="00D16A97">
        <w:t>: Total prescriptions dispensed for nirmatrelvir and ritonavir and for molnupiravir by month</w:t>
      </w:r>
    </w:p>
    <w:p w14:paraId="1CE8A1A9" w14:textId="77777777" w:rsidR="00940332" w:rsidRPr="00D16A97" w:rsidRDefault="00940332" w:rsidP="00940332">
      <w:r w:rsidRPr="00D16A97">
        <w:rPr>
          <w:noProof/>
        </w:rPr>
        <w:drawing>
          <wp:inline distT="0" distB="0" distL="0" distR="0" wp14:anchorId="32F9838A" wp14:editId="29381742">
            <wp:extent cx="5595582" cy="2915187"/>
            <wp:effectExtent l="0" t="0" r="5715" b="0"/>
            <wp:docPr id="701854299" name="Picture 70185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3509" cy="2919317"/>
                    </a:xfrm>
                    <a:prstGeom prst="rect">
                      <a:avLst/>
                    </a:prstGeom>
                    <a:noFill/>
                  </pic:spPr>
                </pic:pic>
              </a:graphicData>
            </a:graphic>
          </wp:inline>
        </w:drawing>
      </w:r>
    </w:p>
    <w:p w14:paraId="238E9A33" w14:textId="77777777" w:rsidR="00940332" w:rsidRPr="00D16A97" w:rsidRDefault="00940332" w:rsidP="00940332">
      <w:pPr>
        <w:pStyle w:val="FooterTableFigure"/>
      </w:pPr>
      <w:r w:rsidRPr="00D16A97">
        <w:t>Source: PBS data from 1 Aug 2022 to 31 July 2023</w:t>
      </w:r>
    </w:p>
    <w:p w14:paraId="30BE6D25" w14:textId="040F3241" w:rsidR="00940332" w:rsidRPr="00D16A97" w:rsidRDefault="00940332" w:rsidP="00940332">
      <w:pPr>
        <w:pStyle w:val="3-BodyText"/>
        <w:numPr>
          <w:ilvl w:val="1"/>
          <w:numId w:val="1"/>
        </w:numPr>
      </w:pPr>
      <w:r w:rsidRPr="00D16A97">
        <w:t>The ESC considered that future usage of OAVs was uncertain, and therefore did not support pricing tiers based on this approach. The ESC noted that the sponsor’s anticipated average price may not be realised in practice (</w:t>
      </w:r>
      <w:r w:rsidRPr="00D16A97">
        <w:rPr>
          <w:iCs/>
          <w:color w:val="000000" w:themeColor="text1"/>
        </w:rPr>
        <w:t>average ex-manufacturer price of $</w:t>
      </w:r>
      <w:r w:rsidR="005C2556" w:rsidRPr="005C2556">
        <w:rPr>
          <w:iCs/>
          <w:color w:val="000000" w:themeColor="text1"/>
        </w:rPr>
        <w:t xml:space="preserve"> </w:t>
      </w:r>
      <w:r w:rsidR="0003145F" w:rsidRPr="00567EAC">
        <w:rPr>
          <w:iCs/>
          <w:color w:val="000000" w:themeColor="text1"/>
          <w:w w:val="15"/>
          <w:shd w:val="solid" w:color="000000" w:fill="000000"/>
          <w:fitText w:val="-20" w:id="-1031606524"/>
          <w14:textFill>
            <w14:solidFill>
              <w14:schemeClr w14:val="tx1">
                <w14:alpha w14:val="100000"/>
              </w14:schemeClr>
            </w14:solidFill>
          </w14:textFill>
        </w:rPr>
        <w:t xml:space="preserve">|  </w:t>
      </w:r>
      <w:r w:rsidR="0003145F" w:rsidRPr="00567EAC">
        <w:rPr>
          <w:iCs/>
          <w:color w:val="000000" w:themeColor="text1"/>
          <w:spacing w:val="-69"/>
          <w:w w:val="15"/>
          <w:shd w:val="solid" w:color="000000" w:fill="000000"/>
          <w:fitText w:val="-20" w:id="-1031606524"/>
          <w14:textFill>
            <w14:solidFill>
              <w14:schemeClr w14:val="tx1">
                <w14:alpha w14:val="100000"/>
              </w14:schemeClr>
            </w14:solidFill>
          </w14:textFill>
        </w:rPr>
        <w:t>|</w:t>
      </w:r>
      <w:r w:rsidRPr="00D16A97">
        <w:rPr>
          <w:iCs/>
          <w:color w:val="000000" w:themeColor="text1"/>
        </w:rPr>
        <w:t xml:space="preserve"> over 3 years)</w:t>
      </w:r>
      <w:r w:rsidRPr="00D16A97">
        <w:t xml:space="preserve">. </w:t>
      </w:r>
    </w:p>
    <w:p w14:paraId="146DFD62" w14:textId="58314F68" w:rsidR="00940332" w:rsidRPr="00D16A97" w:rsidRDefault="00940332" w:rsidP="00940332">
      <w:pPr>
        <w:ind w:firstLine="709"/>
        <w:rPr>
          <w:rFonts w:asciiTheme="minorHAnsi" w:hAnsiTheme="minorHAnsi"/>
          <w:i/>
        </w:rPr>
      </w:pPr>
      <w:bookmarkStart w:id="116" w:name="_Hlk76375324"/>
      <w:r w:rsidRPr="00D16A97">
        <w:rPr>
          <w:rFonts w:asciiTheme="minorHAnsi" w:hAnsiTheme="minorHAnsi"/>
          <w:i/>
        </w:rPr>
        <w:t xml:space="preserve">For more detail on PBAC’s view, see section </w:t>
      </w:r>
      <w:r w:rsidR="00107485" w:rsidRPr="00D16A97">
        <w:rPr>
          <w:rFonts w:asciiTheme="minorHAnsi" w:hAnsiTheme="minorHAnsi"/>
          <w:i/>
        </w:rPr>
        <w:t>1</w:t>
      </w:r>
      <w:r w:rsidR="00107485">
        <w:rPr>
          <w:rFonts w:asciiTheme="minorHAnsi" w:hAnsiTheme="minorHAnsi"/>
          <w:i/>
        </w:rPr>
        <w:t>4</w:t>
      </w:r>
      <w:r w:rsidR="00107485" w:rsidRPr="00D16A97">
        <w:rPr>
          <w:rFonts w:asciiTheme="minorHAnsi" w:hAnsiTheme="minorHAnsi"/>
          <w:i/>
        </w:rPr>
        <w:t xml:space="preserve"> </w:t>
      </w:r>
      <w:r w:rsidRPr="00D16A97">
        <w:rPr>
          <w:rFonts w:asciiTheme="minorHAnsi" w:hAnsiTheme="minorHAnsi"/>
          <w:i/>
        </w:rPr>
        <w:t>PBAC outcome.</w:t>
      </w:r>
    </w:p>
    <w:bookmarkEnd w:id="116"/>
    <w:p w14:paraId="5A9E6361" w14:textId="77777777" w:rsidR="00940332" w:rsidRPr="00D16A97" w:rsidRDefault="00940332" w:rsidP="00940332">
      <w:pPr>
        <w:pStyle w:val="2-SectionHeading"/>
        <w:numPr>
          <w:ilvl w:val="0"/>
          <w:numId w:val="1"/>
        </w:numPr>
      </w:pPr>
      <w:r w:rsidRPr="00D16A97">
        <w:t>Consideration of the evidence</w:t>
      </w:r>
      <w:bookmarkStart w:id="117" w:name="_Toc144920966"/>
      <w:bookmarkStart w:id="118" w:name="_Toc145506594"/>
      <w:bookmarkStart w:id="119" w:name="_Hlk145429177"/>
    </w:p>
    <w:p w14:paraId="095764B9" w14:textId="77777777" w:rsidR="00940332" w:rsidRPr="00D16A97" w:rsidRDefault="00940332" w:rsidP="00940332">
      <w:pPr>
        <w:pStyle w:val="4-SubsectionHeading"/>
      </w:pPr>
      <w:bookmarkStart w:id="120" w:name="_Hlk150432441"/>
      <w:r w:rsidRPr="00D16A97">
        <w:t>Sponsor hearing</w:t>
      </w:r>
    </w:p>
    <w:p w14:paraId="78BFB092" w14:textId="77777777" w:rsidR="00940332" w:rsidRPr="00D16A97" w:rsidRDefault="00940332" w:rsidP="00940332">
      <w:pPr>
        <w:widowControl w:val="0"/>
        <w:numPr>
          <w:ilvl w:val="1"/>
          <w:numId w:val="1"/>
        </w:numPr>
        <w:spacing w:after="120"/>
        <w:rPr>
          <w:rFonts w:cs="Calibri"/>
          <w:bCs/>
          <w:snapToGrid w:val="0"/>
        </w:rPr>
      </w:pPr>
      <w:r w:rsidRPr="00D16A97">
        <w:rPr>
          <w:rFonts w:cs="Calibri"/>
          <w:bCs/>
          <w:snapToGrid w:val="0"/>
        </w:rPr>
        <w:t>There was no hearing for this item.</w:t>
      </w:r>
    </w:p>
    <w:p w14:paraId="6CE5C70C" w14:textId="77777777" w:rsidR="00940332" w:rsidRPr="00D16A97" w:rsidRDefault="00940332" w:rsidP="00940332">
      <w:pPr>
        <w:pStyle w:val="4-SubsectionHeading"/>
      </w:pPr>
      <w:r w:rsidRPr="00D16A97">
        <w:lastRenderedPageBreak/>
        <w:t>Consumer comments</w:t>
      </w:r>
    </w:p>
    <w:p w14:paraId="46121ADC" w14:textId="77777777" w:rsidR="00940332" w:rsidRPr="00D16A97" w:rsidRDefault="00940332" w:rsidP="00940332">
      <w:pPr>
        <w:widowControl w:val="0"/>
        <w:numPr>
          <w:ilvl w:val="1"/>
          <w:numId w:val="1"/>
        </w:numPr>
        <w:spacing w:after="120"/>
        <w:rPr>
          <w:rFonts w:asciiTheme="minorHAnsi" w:hAnsiTheme="minorHAnsi"/>
          <w:bCs/>
          <w:snapToGrid w:val="0"/>
        </w:rPr>
      </w:pPr>
      <w:r w:rsidRPr="00D16A97">
        <w:rPr>
          <w:rFonts w:asciiTheme="minorHAnsi" w:hAnsiTheme="minorHAnsi"/>
          <w:bCs/>
          <w:snapToGrid w:val="0"/>
        </w:rPr>
        <w:t xml:space="preserve">The PBAC noted that no consumer comments were received for this item. Previously the PBAC considered 18 comments from individuals and organisations in relation to molnupiravir at the July 2023 meeting (see paragraphs </w:t>
      </w:r>
      <w:r w:rsidRPr="00D16A97">
        <w:rPr>
          <w:rFonts w:asciiTheme="minorHAnsi" w:hAnsiTheme="minorHAnsi"/>
          <w:bCs/>
          <w:snapToGrid w:val="0"/>
        </w:rPr>
        <w:fldChar w:fldCharType="begin" w:fldLock="1"/>
      </w:r>
      <w:r w:rsidRPr="00D16A97">
        <w:rPr>
          <w:rFonts w:asciiTheme="minorHAnsi" w:hAnsiTheme="minorHAnsi"/>
          <w:bCs/>
          <w:snapToGrid w:val="0"/>
        </w:rPr>
        <w:instrText xml:space="preserve"> REF _Ref150512219 \r \h </w:instrText>
      </w:r>
      <w:r w:rsidRPr="00D16A97">
        <w:rPr>
          <w:rFonts w:asciiTheme="minorHAnsi" w:hAnsiTheme="minorHAnsi"/>
          <w:bCs/>
          <w:snapToGrid w:val="0"/>
        </w:rPr>
      </w:r>
      <w:r w:rsidRPr="00D16A97">
        <w:rPr>
          <w:rFonts w:asciiTheme="minorHAnsi" w:hAnsiTheme="minorHAnsi"/>
          <w:bCs/>
          <w:snapToGrid w:val="0"/>
        </w:rPr>
        <w:fldChar w:fldCharType="separate"/>
      </w:r>
      <w:r w:rsidRPr="00D16A97">
        <w:rPr>
          <w:rFonts w:asciiTheme="minorHAnsi" w:hAnsiTheme="minorHAnsi"/>
          <w:bCs/>
          <w:snapToGrid w:val="0"/>
        </w:rPr>
        <w:t>6.7</w:t>
      </w:r>
      <w:r w:rsidRPr="00D16A97">
        <w:rPr>
          <w:rFonts w:asciiTheme="minorHAnsi" w:hAnsiTheme="minorHAnsi"/>
          <w:bCs/>
          <w:snapToGrid w:val="0"/>
        </w:rPr>
        <w:fldChar w:fldCharType="end"/>
      </w:r>
      <w:r w:rsidRPr="00D16A97">
        <w:rPr>
          <w:rFonts w:asciiTheme="minorHAnsi" w:hAnsiTheme="minorHAnsi"/>
          <w:bCs/>
          <w:snapToGrid w:val="0"/>
        </w:rPr>
        <w:t xml:space="preserve"> to </w:t>
      </w:r>
      <w:r w:rsidRPr="00D16A97">
        <w:rPr>
          <w:rFonts w:asciiTheme="minorHAnsi" w:hAnsiTheme="minorHAnsi"/>
          <w:bCs/>
          <w:snapToGrid w:val="0"/>
        </w:rPr>
        <w:fldChar w:fldCharType="begin" w:fldLock="1"/>
      </w:r>
      <w:r w:rsidRPr="00D16A97">
        <w:rPr>
          <w:rFonts w:asciiTheme="minorHAnsi" w:hAnsiTheme="minorHAnsi"/>
          <w:bCs/>
          <w:snapToGrid w:val="0"/>
        </w:rPr>
        <w:instrText xml:space="preserve"> REF _Ref150512223 \r \h </w:instrText>
      </w:r>
      <w:r w:rsidRPr="00D16A97">
        <w:rPr>
          <w:rFonts w:asciiTheme="minorHAnsi" w:hAnsiTheme="minorHAnsi"/>
          <w:bCs/>
          <w:snapToGrid w:val="0"/>
        </w:rPr>
      </w:r>
      <w:r w:rsidRPr="00D16A97">
        <w:rPr>
          <w:rFonts w:asciiTheme="minorHAnsi" w:hAnsiTheme="minorHAnsi"/>
          <w:bCs/>
          <w:snapToGrid w:val="0"/>
        </w:rPr>
        <w:fldChar w:fldCharType="separate"/>
      </w:r>
      <w:r w:rsidRPr="00D16A97">
        <w:rPr>
          <w:rFonts w:asciiTheme="minorHAnsi" w:hAnsiTheme="minorHAnsi"/>
          <w:bCs/>
          <w:snapToGrid w:val="0"/>
        </w:rPr>
        <w:t>6.10</w:t>
      </w:r>
      <w:r w:rsidRPr="00D16A97">
        <w:rPr>
          <w:rFonts w:asciiTheme="minorHAnsi" w:hAnsiTheme="minorHAnsi"/>
          <w:bCs/>
          <w:snapToGrid w:val="0"/>
        </w:rPr>
        <w:fldChar w:fldCharType="end"/>
      </w:r>
      <w:r w:rsidRPr="00D16A97">
        <w:rPr>
          <w:rFonts w:asciiTheme="minorHAnsi" w:hAnsiTheme="minorHAnsi"/>
          <w:bCs/>
          <w:snapToGrid w:val="0"/>
        </w:rPr>
        <w:t>).</w:t>
      </w:r>
    </w:p>
    <w:bookmarkEnd w:id="120"/>
    <w:p w14:paraId="3F9D3B5F" w14:textId="77777777" w:rsidR="00940332" w:rsidRPr="00D16A97" w:rsidRDefault="00940332" w:rsidP="00940332">
      <w:pPr>
        <w:pStyle w:val="4-SubsectionHeading"/>
      </w:pPr>
      <w:r w:rsidRPr="00D16A97">
        <w:t xml:space="preserve">Clinical </w:t>
      </w:r>
      <w:bookmarkEnd w:id="117"/>
      <w:bookmarkEnd w:id="118"/>
      <w:r w:rsidRPr="00D16A97">
        <w:t>evidence</w:t>
      </w:r>
    </w:p>
    <w:bookmarkEnd w:id="119"/>
    <w:p w14:paraId="0DFB7000" w14:textId="1A8A87FA" w:rsidR="00940332" w:rsidRPr="00D16A97" w:rsidRDefault="00940332" w:rsidP="00940332">
      <w:pPr>
        <w:pStyle w:val="3-BodyText"/>
        <w:numPr>
          <w:ilvl w:val="1"/>
          <w:numId w:val="1"/>
        </w:numPr>
        <w:rPr>
          <w:iCs/>
          <w:color w:val="000000" w:themeColor="text1"/>
        </w:rPr>
      </w:pPr>
      <w:r w:rsidRPr="00D16A97">
        <w:rPr>
          <w:snapToGrid/>
        </w:rPr>
        <w:t xml:space="preserve">No changes were made to the evidence base presented in the previous submission (see </w:t>
      </w:r>
      <w:r w:rsidRPr="00D16A97">
        <w:rPr>
          <w:snapToGrid/>
        </w:rPr>
        <w:fldChar w:fldCharType="begin" w:fldLock="1"/>
      </w:r>
      <w:r w:rsidRPr="00D16A97">
        <w:rPr>
          <w:snapToGrid/>
        </w:rPr>
        <w:instrText xml:space="preserve"> REF _Ref104803956 \h </w:instrText>
      </w:r>
      <w:r w:rsidRPr="00D16A97">
        <w:rPr>
          <w:snapToGrid/>
        </w:rPr>
      </w:r>
      <w:r w:rsidRPr="00D16A97">
        <w:rPr>
          <w:snapToGrid/>
        </w:rPr>
        <w:fldChar w:fldCharType="separate"/>
      </w:r>
      <w:r w:rsidRPr="00D16A97">
        <w:rPr>
          <w:color w:val="000000" w:themeColor="text1"/>
        </w:rPr>
        <w:t>Table 5</w:t>
      </w:r>
      <w:r w:rsidRPr="00D16A97">
        <w:rPr>
          <w:snapToGrid/>
        </w:rPr>
        <w:fldChar w:fldCharType="end"/>
      </w:r>
      <w:r w:rsidRPr="00D16A97">
        <w:rPr>
          <w:snapToGrid/>
        </w:rPr>
        <w:t>). However, the submission applied the relative risk reduction from the ≥</w:t>
      </w:r>
      <w:r w:rsidR="00E87A21">
        <w:rPr>
          <w:snapToGrid/>
        </w:rPr>
        <w:t> </w:t>
      </w:r>
      <w:r w:rsidRPr="00D16A97">
        <w:rPr>
          <w:snapToGrid/>
        </w:rPr>
        <w:t>65 year subgroup in PANORAMIC for patients in the 70+ subgroup and the 50-69</w:t>
      </w:r>
      <w:r w:rsidR="00E87A21">
        <w:rPr>
          <w:snapToGrid/>
        </w:rPr>
        <w:t> </w:t>
      </w:r>
      <w:r w:rsidRPr="00D16A97">
        <w:rPr>
          <w:snapToGrid/>
        </w:rPr>
        <w:t xml:space="preserve">year subgroup of the economic model (see </w:t>
      </w:r>
      <w:r w:rsidRPr="00D16A97">
        <w:rPr>
          <w:snapToGrid/>
        </w:rPr>
        <w:fldChar w:fldCharType="begin" w:fldLock="1"/>
      </w:r>
      <w:r w:rsidRPr="00D16A97">
        <w:rPr>
          <w:snapToGrid/>
        </w:rPr>
        <w:instrText xml:space="preserve"> REF _Ref148106077 \h  \* MERGEFORMAT </w:instrText>
      </w:r>
      <w:r w:rsidRPr="00D16A97">
        <w:rPr>
          <w:snapToGrid/>
        </w:rPr>
      </w:r>
      <w:r w:rsidRPr="00D16A97">
        <w:rPr>
          <w:snapToGrid/>
        </w:rPr>
        <w:fldChar w:fldCharType="separate"/>
      </w:r>
      <w:r w:rsidRPr="00D16A97">
        <w:t>Table 21</w:t>
      </w:r>
      <w:r w:rsidRPr="00D16A97">
        <w:rPr>
          <w:snapToGrid/>
        </w:rPr>
        <w:fldChar w:fldCharType="end"/>
      </w:r>
      <w:r w:rsidRPr="00D16A97">
        <w:rPr>
          <w:snapToGrid/>
        </w:rPr>
        <w:t xml:space="preserve">). </w:t>
      </w:r>
      <w:r w:rsidRPr="00D16A97">
        <w:rPr>
          <w:iCs/>
          <w:snapToGrid/>
        </w:rPr>
        <w:t>The ESC considered that the uncertainties previously noted in regard to the magnitude of any benefit for molnupiravir in terms of effectiveness compared to no use of antivirals continue to apply.</w:t>
      </w:r>
    </w:p>
    <w:p w14:paraId="0204643B" w14:textId="77777777" w:rsidR="00940332" w:rsidRPr="00D16A97" w:rsidRDefault="00940332" w:rsidP="00940332">
      <w:pPr>
        <w:pStyle w:val="Caption"/>
        <w:rPr>
          <w:rFonts w:ascii="Proxima Nova" w:hAnsi="Proxima Nova"/>
        </w:rPr>
      </w:pPr>
      <w:bookmarkStart w:id="121" w:name="_Ref148106077"/>
      <w:bookmarkStart w:id="122" w:name="_Ref147219064"/>
      <w:r w:rsidRPr="00D16A97">
        <w:t xml:space="preserve">Table </w:t>
      </w:r>
      <w:r w:rsidR="00567EAC">
        <w:fldChar w:fldCharType="begin" w:fldLock="1"/>
      </w:r>
      <w:r w:rsidR="00567EAC">
        <w:instrText xml:space="preserve"> SEQ Table \* ARABIC </w:instrText>
      </w:r>
      <w:r w:rsidR="00567EAC">
        <w:fldChar w:fldCharType="separate"/>
      </w:r>
      <w:r w:rsidRPr="00D16A97">
        <w:t>21</w:t>
      </w:r>
      <w:r w:rsidR="00567EAC">
        <w:fldChar w:fldCharType="end"/>
      </w:r>
      <w:bookmarkEnd w:id="121"/>
      <w:r w:rsidRPr="00D16A97">
        <w:t>: Changes to evidence used to inform cost-effectiveness analyses</w:t>
      </w:r>
      <w:bookmarkEnd w:id="122"/>
    </w:p>
    <w:tbl>
      <w:tblPr>
        <w:tblStyle w:val="TableGrid"/>
        <w:tblW w:w="0" w:type="auto"/>
        <w:tblLook w:val="04A0" w:firstRow="1" w:lastRow="0" w:firstColumn="1" w:lastColumn="0" w:noHBand="0" w:noVBand="1"/>
      </w:tblPr>
      <w:tblGrid>
        <w:gridCol w:w="2880"/>
        <w:gridCol w:w="1661"/>
        <w:gridCol w:w="1516"/>
        <w:gridCol w:w="2960"/>
      </w:tblGrid>
      <w:tr w:rsidR="00940332" w:rsidRPr="00D16A97" w14:paraId="1DD53E73" w14:textId="77777777" w:rsidTr="00192D14">
        <w:tc>
          <w:tcPr>
            <w:tcW w:w="0" w:type="auto"/>
          </w:tcPr>
          <w:p w14:paraId="7D85CFB2" w14:textId="77777777" w:rsidR="00940332" w:rsidRPr="00D16A97" w:rsidRDefault="00940332" w:rsidP="00192D14">
            <w:pPr>
              <w:pStyle w:val="TableText0"/>
              <w:rPr>
                <w:b/>
                <w:bCs w:val="0"/>
              </w:rPr>
            </w:pPr>
            <w:r w:rsidRPr="00D16A97">
              <w:rPr>
                <w:b/>
                <w:bCs w:val="0"/>
              </w:rPr>
              <w:t>Population</w:t>
            </w:r>
          </w:p>
        </w:tc>
        <w:tc>
          <w:tcPr>
            <w:tcW w:w="0" w:type="auto"/>
          </w:tcPr>
          <w:p w14:paraId="117DDC93" w14:textId="77777777" w:rsidR="00940332" w:rsidRPr="00D16A97" w:rsidRDefault="00940332" w:rsidP="00192D14">
            <w:pPr>
              <w:pStyle w:val="TableText0"/>
              <w:rPr>
                <w:b/>
                <w:bCs w:val="0"/>
              </w:rPr>
            </w:pPr>
            <w:r w:rsidRPr="00D16A97">
              <w:rPr>
                <w:b/>
                <w:bCs w:val="0"/>
              </w:rPr>
              <w:t>Data source in previous submission</w:t>
            </w:r>
          </w:p>
        </w:tc>
        <w:tc>
          <w:tcPr>
            <w:tcW w:w="0" w:type="auto"/>
          </w:tcPr>
          <w:p w14:paraId="2483B604" w14:textId="77777777" w:rsidR="00940332" w:rsidRPr="00D16A97" w:rsidRDefault="00940332" w:rsidP="00192D14">
            <w:pPr>
              <w:pStyle w:val="TableText0"/>
              <w:rPr>
                <w:b/>
                <w:bCs w:val="0"/>
              </w:rPr>
            </w:pPr>
            <w:r w:rsidRPr="00D16A97">
              <w:rPr>
                <w:b/>
                <w:bCs w:val="0"/>
              </w:rPr>
              <w:t>Data source in submission</w:t>
            </w:r>
          </w:p>
        </w:tc>
        <w:tc>
          <w:tcPr>
            <w:tcW w:w="0" w:type="auto"/>
          </w:tcPr>
          <w:p w14:paraId="6BEA7D49" w14:textId="77777777" w:rsidR="00940332" w:rsidRPr="00D16A97" w:rsidRDefault="00940332" w:rsidP="00192D14">
            <w:pPr>
              <w:pStyle w:val="TableText0"/>
              <w:rPr>
                <w:b/>
                <w:bCs w:val="0"/>
              </w:rPr>
            </w:pPr>
            <w:r w:rsidRPr="00D16A97">
              <w:rPr>
                <w:b/>
                <w:bCs w:val="0"/>
              </w:rPr>
              <w:t>Key differences</w:t>
            </w:r>
          </w:p>
        </w:tc>
      </w:tr>
      <w:tr w:rsidR="00940332" w:rsidRPr="00D16A97" w14:paraId="33BB96B3" w14:textId="77777777" w:rsidTr="00192D14">
        <w:tc>
          <w:tcPr>
            <w:tcW w:w="0" w:type="auto"/>
            <w:vAlign w:val="center"/>
          </w:tcPr>
          <w:p w14:paraId="18C98F08" w14:textId="77777777" w:rsidR="00940332" w:rsidRPr="00D16A97" w:rsidRDefault="00940332" w:rsidP="00192D14">
            <w:pPr>
              <w:pStyle w:val="TableText0"/>
            </w:pPr>
            <w:r w:rsidRPr="00D16A97">
              <w:t>≥ 70 years</w:t>
            </w:r>
          </w:p>
        </w:tc>
        <w:tc>
          <w:tcPr>
            <w:tcW w:w="0" w:type="auto"/>
            <w:vAlign w:val="center"/>
          </w:tcPr>
          <w:p w14:paraId="0780E3CD" w14:textId="77777777" w:rsidR="00940332" w:rsidRPr="00D16A97" w:rsidRDefault="00940332" w:rsidP="00192D14">
            <w:pPr>
              <w:pStyle w:val="TableText0"/>
            </w:pPr>
            <w:r w:rsidRPr="00D16A97">
              <w:t>VIC data set</w:t>
            </w:r>
          </w:p>
        </w:tc>
        <w:tc>
          <w:tcPr>
            <w:tcW w:w="0" w:type="auto"/>
            <w:vAlign w:val="center"/>
          </w:tcPr>
          <w:p w14:paraId="76AFE44B" w14:textId="77777777" w:rsidR="00940332" w:rsidRPr="00D16A97" w:rsidRDefault="00940332" w:rsidP="00192D14">
            <w:pPr>
              <w:pStyle w:val="TableText0"/>
            </w:pPr>
            <w:r w:rsidRPr="00D16A97">
              <w:t>PANORAMIC</w:t>
            </w:r>
          </w:p>
        </w:tc>
        <w:tc>
          <w:tcPr>
            <w:tcW w:w="0" w:type="auto"/>
            <w:vAlign w:val="center"/>
          </w:tcPr>
          <w:p w14:paraId="54D6139F" w14:textId="77777777" w:rsidR="00940332" w:rsidRPr="00D16A97" w:rsidRDefault="00940332" w:rsidP="00192D14">
            <w:pPr>
              <w:pStyle w:val="TableText0"/>
            </w:pPr>
            <w:r w:rsidRPr="00D16A97">
              <w:t>Decrease in reduction of death associated with molnupiravir: From a 54% reduction to 24%* reduction</w:t>
            </w:r>
          </w:p>
        </w:tc>
      </w:tr>
      <w:tr w:rsidR="00940332" w:rsidRPr="00D16A97" w14:paraId="0900F109" w14:textId="77777777" w:rsidTr="00192D14">
        <w:tc>
          <w:tcPr>
            <w:tcW w:w="0" w:type="auto"/>
          </w:tcPr>
          <w:p w14:paraId="3E9125FF" w14:textId="77777777" w:rsidR="00940332" w:rsidRPr="00D16A97" w:rsidRDefault="00940332" w:rsidP="00192D14">
            <w:pPr>
              <w:pStyle w:val="TableText0"/>
            </w:pPr>
            <w:r w:rsidRPr="00D16A97">
              <w:t>≥ 18 years &amp; immunocompromised or previously hospitalised for COVID</w:t>
            </w:r>
            <w:r w:rsidRPr="00D16A97">
              <w:noBreakHyphen/>
              <w:t>19</w:t>
            </w:r>
          </w:p>
        </w:tc>
        <w:tc>
          <w:tcPr>
            <w:tcW w:w="0" w:type="auto"/>
            <w:vAlign w:val="center"/>
          </w:tcPr>
          <w:p w14:paraId="616B80BA" w14:textId="77777777" w:rsidR="00940332" w:rsidRPr="00D16A97" w:rsidRDefault="00940332" w:rsidP="00192D14">
            <w:pPr>
              <w:pStyle w:val="TableText0"/>
            </w:pPr>
            <w:r w:rsidRPr="00D16A97">
              <w:t>Evans et al. 2023</w:t>
            </w:r>
          </w:p>
        </w:tc>
        <w:tc>
          <w:tcPr>
            <w:tcW w:w="0" w:type="auto"/>
            <w:vAlign w:val="center"/>
          </w:tcPr>
          <w:p w14:paraId="74363848" w14:textId="77777777" w:rsidR="00940332" w:rsidRPr="00D16A97" w:rsidRDefault="00940332" w:rsidP="00192D14">
            <w:pPr>
              <w:pStyle w:val="TableText0"/>
            </w:pPr>
            <w:r w:rsidRPr="00D16A97">
              <w:t>Evans et al. 2023</w:t>
            </w:r>
          </w:p>
        </w:tc>
        <w:tc>
          <w:tcPr>
            <w:tcW w:w="0" w:type="auto"/>
            <w:vAlign w:val="center"/>
          </w:tcPr>
          <w:p w14:paraId="5F1A24C1" w14:textId="77777777" w:rsidR="00940332" w:rsidRPr="00D16A97" w:rsidRDefault="00940332" w:rsidP="00192D14">
            <w:pPr>
              <w:pStyle w:val="TableText0"/>
            </w:pPr>
            <w:r w:rsidRPr="00D16A97">
              <w:t>No difference</w:t>
            </w:r>
          </w:p>
        </w:tc>
      </w:tr>
      <w:tr w:rsidR="00940332" w:rsidRPr="00D16A97" w14:paraId="39649BD2" w14:textId="77777777" w:rsidTr="00192D14">
        <w:tc>
          <w:tcPr>
            <w:tcW w:w="0" w:type="auto"/>
          </w:tcPr>
          <w:p w14:paraId="042B8F7C" w14:textId="77777777" w:rsidR="00940332" w:rsidRPr="00D16A97" w:rsidRDefault="00940332" w:rsidP="00192D14">
            <w:pPr>
              <w:pStyle w:val="TableText0"/>
            </w:pPr>
            <w:r w:rsidRPr="00D16A97">
              <w:t>50-69 year olds with ≥ 2 risk factors</w:t>
            </w:r>
          </w:p>
        </w:tc>
        <w:tc>
          <w:tcPr>
            <w:tcW w:w="0" w:type="auto"/>
            <w:gridSpan w:val="3"/>
            <w:vAlign w:val="center"/>
          </w:tcPr>
          <w:p w14:paraId="162C37C7" w14:textId="77777777" w:rsidR="00940332" w:rsidRPr="00D16A97" w:rsidRDefault="00940332" w:rsidP="00192D14">
            <w:pPr>
              <w:pStyle w:val="TableText0"/>
            </w:pPr>
            <w:r w:rsidRPr="00D16A97">
              <w:t>Assumed the same as ≥ 70 years subgroup</w:t>
            </w:r>
          </w:p>
        </w:tc>
      </w:tr>
      <w:tr w:rsidR="00940332" w:rsidRPr="00D16A97" w14:paraId="7EB9C0A5" w14:textId="77777777" w:rsidTr="00192D14">
        <w:tc>
          <w:tcPr>
            <w:tcW w:w="0" w:type="auto"/>
          </w:tcPr>
          <w:p w14:paraId="63BA888D" w14:textId="77777777" w:rsidR="00940332" w:rsidRPr="00D16A97" w:rsidRDefault="00940332" w:rsidP="00192D14">
            <w:pPr>
              <w:pStyle w:val="TableText0"/>
            </w:pPr>
            <w:r w:rsidRPr="00D16A97">
              <w:t>Aboriginal and Torres Strait Islander people</w:t>
            </w:r>
          </w:p>
        </w:tc>
        <w:tc>
          <w:tcPr>
            <w:tcW w:w="0" w:type="auto"/>
            <w:gridSpan w:val="3"/>
            <w:vAlign w:val="center"/>
          </w:tcPr>
          <w:p w14:paraId="06156B15" w14:textId="77777777" w:rsidR="00940332" w:rsidRPr="00D16A97" w:rsidRDefault="00940332" w:rsidP="00192D14">
            <w:pPr>
              <w:pStyle w:val="TableText0"/>
            </w:pPr>
            <w:r w:rsidRPr="00D16A97">
              <w:t>Not explicitly modelled</w:t>
            </w:r>
          </w:p>
        </w:tc>
      </w:tr>
    </w:tbl>
    <w:p w14:paraId="7112309B" w14:textId="47430850" w:rsidR="00940332" w:rsidRPr="009769C8" w:rsidRDefault="00940332" w:rsidP="009769C8">
      <w:pPr>
        <w:spacing w:after="120"/>
        <w:rPr>
          <w:rFonts w:ascii="Arial Narrow" w:hAnsi="Arial Narrow"/>
          <w:sz w:val="18"/>
          <w:szCs w:val="18"/>
        </w:rPr>
      </w:pPr>
      <w:r w:rsidRPr="009769C8">
        <w:rPr>
          <w:rFonts w:ascii="Arial Narrow" w:hAnsi="Arial Narrow"/>
          <w:sz w:val="18"/>
          <w:szCs w:val="18"/>
        </w:rPr>
        <w:t>* VIC data set was based on risk reductions while PANORAMIC was based on odds ratios, so the risk reduction applied in the early re-entry model is actually ~23%</w:t>
      </w:r>
    </w:p>
    <w:p w14:paraId="61DFA33E" w14:textId="0A2A9C51" w:rsidR="00940332" w:rsidRPr="00D16A97" w:rsidRDefault="00940332" w:rsidP="00940332">
      <w:pPr>
        <w:pStyle w:val="3-BodyText"/>
        <w:numPr>
          <w:ilvl w:val="1"/>
          <w:numId w:val="1"/>
        </w:numPr>
        <w:rPr>
          <w:iCs/>
        </w:rPr>
      </w:pPr>
      <w:r w:rsidRPr="00D16A97">
        <w:rPr>
          <w:iCs/>
        </w:rPr>
        <w:t>The PBAC previously advised that the overall body of evidence sourced from both randomised and observational trials, suggested that nirmatrelvir and ritonavir was likely more effective than molnupiravir (</w:t>
      </w:r>
      <w:r w:rsidR="00DE353A">
        <w:rPr>
          <w:iCs/>
        </w:rPr>
        <w:t>see</w:t>
      </w:r>
      <w:r w:rsidRPr="00D16A97">
        <w:rPr>
          <w:iCs/>
        </w:rPr>
        <w:t xml:space="preserve"> paragraph 6.51). Although the submission claims advantages for molnupiravir in terms of safety versus nirmatrelvir and ritonavir, the limitations of the available data mean that the evidence cannot be considered sufficient to support such a claim.</w:t>
      </w:r>
    </w:p>
    <w:p w14:paraId="4D68C513" w14:textId="3EB42FC3" w:rsidR="00940332" w:rsidRPr="009769C8" w:rsidRDefault="00940332" w:rsidP="00940332">
      <w:pPr>
        <w:pStyle w:val="3-BodyText"/>
        <w:numPr>
          <w:ilvl w:val="1"/>
          <w:numId w:val="1"/>
        </w:numPr>
        <w:rPr>
          <w:iCs/>
        </w:rPr>
      </w:pPr>
      <w:bookmarkStart w:id="123" w:name="_Hlk150951283"/>
      <w:r w:rsidRPr="00D16A97">
        <w:rPr>
          <w:iCs/>
        </w:rPr>
        <w:t xml:space="preserve">A meta-analysis of results (odds ratios) for the composite endpoint of hospitalisation or death from the molnupiravir trials (MOVe-OUT and PANORAMIC) is presented in </w:t>
      </w:r>
      <w:r w:rsidRPr="00D16A97">
        <w:rPr>
          <w:iCs/>
        </w:rPr>
        <w:fldChar w:fldCharType="begin" w:fldLock="1"/>
      </w:r>
      <w:r w:rsidRPr="00D16A97">
        <w:rPr>
          <w:iCs/>
        </w:rPr>
        <w:instrText xml:space="preserve"> REF _Ref148451615 \h  \* MERGEFORMAT </w:instrText>
      </w:r>
      <w:r w:rsidRPr="00D16A97">
        <w:rPr>
          <w:iCs/>
        </w:rPr>
      </w:r>
      <w:r w:rsidRPr="00D16A97">
        <w:rPr>
          <w:iCs/>
        </w:rPr>
        <w:fldChar w:fldCharType="separate"/>
      </w:r>
      <w:r w:rsidRPr="00D16A97">
        <w:rPr>
          <w:iCs/>
        </w:rPr>
        <w:t>Figure 7</w:t>
      </w:r>
      <w:r w:rsidRPr="00D16A97">
        <w:rPr>
          <w:iCs/>
        </w:rPr>
        <w:fldChar w:fldCharType="end"/>
      </w:r>
      <w:r w:rsidRPr="00D16A97">
        <w:rPr>
          <w:iCs/>
        </w:rPr>
        <w:t xml:space="preserve"> (ITT populations). A second meta-analysis of results (odds ratios) is presented for MOVe-OUT and the ≥ 65 year subgroup from PANORAMIC in </w:t>
      </w:r>
      <w:r w:rsidRPr="00D16A97">
        <w:rPr>
          <w:iCs/>
        </w:rPr>
        <w:fldChar w:fldCharType="begin" w:fldLock="1"/>
      </w:r>
      <w:r w:rsidRPr="00D16A97">
        <w:rPr>
          <w:iCs/>
        </w:rPr>
        <w:instrText xml:space="preserve"> REF _Ref150873540 \h </w:instrText>
      </w:r>
      <w:r w:rsidRPr="00D16A97">
        <w:rPr>
          <w:iCs/>
        </w:rPr>
      </w:r>
      <w:r w:rsidRPr="00D16A97">
        <w:rPr>
          <w:iCs/>
        </w:rPr>
        <w:fldChar w:fldCharType="separate"/>
      </w:r>
      <w:r w:rsidRPr="00D16A97">
        <w:rPr>
          <w:iCs/>
        </w:rPr>
        <w:t>Figure 8</w:t>
      </w:r>
      <w:r w:rsidRPr="00D16A97">
        <w:rPr>
          <w:iCs/>
        </w:rPr>
        <w:fldChar w:fldCharType="end"/>
      </w:r>
      <w:r w:rsidRPr="00D16A97">
        <w:rPr>
          <w:iCs/>
        </w:rPr>
        <w:t xml:space="preserve"> (reflecting high-risk p</w:t>
      </w:r>
      <w:r w:rsidR="009769C8">
        <w:rPr>
          <w:iCs/>
        </w:rPr>
        <w:t>a</w:t>
      </w:r>
      <w:r w:rsidRPr="00D16A97">
        <w:rPr>
          <w:iCs/>
        </w:rPr>
        <w:t>tients in the RCTs).</w:t>
      </w:r>
      <w:bookmarkEnd w:id="123"/>
    </w:p>
    <w:bookmarkStart w:id="124" w:name="_Ref148451615"/>
    <w:p w14:paraId="475D5846" w14:textId="77777777" w:rsidR="00940332" w:rsidRPr="00D16A97" w:rsidRDefault="00940332" w:rsidP="00940332">
      <w:pPr>
        <w:pStyle w:val="TableFigureHeading"/>
      </w:pPr>
      <w:r w:rsidRPr="00D16A97">
        <w:rPr>
          <w:noProof/>
        </w:rPr>
        <w:lastRenderedPageBreak/>
        <mc:AlternateContent>
          <mc:Choice Requires="wps">
            <w:drawing>
              <wp:anchor distT="0" distB="0" distL="114300" distR="114300" simplePos="0" relativeHeight="251659264" behindDoc="0" locked="0" layoutInCell="1" allowOverlap="1" wp14:anchorId="67E0F573" wp14:editId="3C3518A4">
                <wp:simplePos x="0" y="0"/>
                <wp:positionH relativeFrom="margin">
                  <wp:posOffset>0</wp:posOffset>
                </wp:positionH>
                <wp:positionV relativeFrom="paragraph">
                  <wp:posOffset>1734348</wp:posOffset>
                </wp:positionV>
                <wp:extent cx="1206500" cy="233680"/>
                <wp:effectExtent l="0" t="0" r="12700" b="13970"/>
                <wp:wrapNone/>
                <wp:docPr id="144804044" name="Rectangle 144804044"/>
                <wp:cNvGraphicFramePr/>
                <a:graphic xmlns:a="http://schemas.openxmlformats.org/drawingml/2006/main">
                  <a:graphicData uri="http://schemas.microsoft.com/office/word/2010/wordprocessingShape">
                    <wps:wsp>
                      <wps:cNvSpPr/>
                      <wps:spPr>
                        <a:xfrm>
                          <a:off x="0" y="0"/>
                          <a:ext cx="1206500" cy="2336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A52BD" id="Rectangle 144804044" o:spid="_x0000_s1026" style="position:absolute;margin-left:0;margin-top:136.55pt;width:95pt;height:18.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" fillcolor="white [3212]" strokecolor="white [3212]" strokeweight="2pt">
                <w10:wrap anchorx="margin"/>
              </v:rect>
            </w:pict>
          </mc:Fallback>
        </mc:AlternateContent>
      </w:r>
      <w:r w:rsidRPr="00D16A97">
        <w:t xml:space="preserve">Figure </w:t>
      </w:r>
      <w:r w:rsidR="00567EAC">
        <w:fldChar w:fldCharType="begin" w:fldLock="1"/>
      </w:r>
      <w:r w:rsidR="00567EAC">
        <w:instrText xml:space="preserve"> SEQ Figure \* ARABIC </w:instrText>
      </w:r>
      <w:r w:rsidR="00567EAC">
        <w:fldChar w:fldCharType="separate"/>
      </w:r>
      <w:r w:rsidRPr="00D16A97">
        <w:t>7</w:t>
      </w:r>
      <w:r w:rsidR="00567EAC">
        <w:fldChar w:fldCharType="end"/>
      </w:r>
      <w:bookmarkEnd w:id="124"/>
      <w:r w:rsidRPr="00D16A97">
        <w:t>: Meta-analysis of results (odds ratios) for the composite endpoint of hospitalisation or death from the molnupiravir trials (MOVe-OUT and PANORAMIC)</w:t>
      </w:r>
      <w:r w:rsidRPr="00D16A97">
        <w:rPr>
          <w:noProof/>
        </w:rPr>
        <w:drawing>
          <wp:inline distT="0" distB="0" distL="0" distR="0" wp14:anchorId="5BFF1994" wp14:editId="64851FF9">
            <wp:extent cx="5732145" cy="2526030"/>
            <wp:effectExtent l="0" t="0" r="1905" b="7620"/>
            <wp:docPr id="1616012094" name="Picture 161601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12094" name=""/>
                    <pic:cNvPicPr/>
                  </pic:nvPicPr>
                  <pic:blipFill>
                    <a:blip r:embed="rId24"/>
                    <a:stretch>
                      <a:fillRect/>
                    </a:stretch>
                  </pic:blipFill>
                  <pic:spPr>
                    <a:xfrm>
                      <a:off x="0" y="0"/>
                      <a:ext cx="5732145" cy="2526030"/>
                    </a:xfrm>
                    <a:prstGeom prst="rect">
                      <a:avLst/>
                    </a:prstGeom>
                  </pic:spPr>
                </pic:pic>
              </a:graphicData>
            </a:graphic>
          </wp:inline>
        </w:drawing>
      </w:r>
    </w:p>
    <w:p w14:paraId="01315919" w14:textId="1FBB93EA" w:rsidR="00940332" w:rsidRPr="00DE353A" w:rsidRDefault="00940332" w:rsidP="00DE353A">
      <w:pPr>
        <w:spacing w:after="120"/>
        <w:rPr>
          <w:rFonts w:ascii="Arial Narrow" w:hAnsi="Arial Narrow"/>
          <w:sz w:val="18"/>
          <w:szCs w:val="18"/>
        </w:rPr>
      </w:pPr>
      <w:r w:rsidRPr="009769C8">
        <w:rPr>
          <w:rFonts w:ascii="Arial Narrow" w:hAnsi="Arial Narrow"/>
          <w:sz w:val="18"/>
          <w:szCs w:val="18"/>
        </w:rPr>
        <w:t>Data sources: Conducted during the evaluation. The results section of the published report (Jayk-Bernal 2021) provided raw numbers to permit derivation of the odds ratio in the MOVe-OUT trial (48/709 in the molnupiravir arm and 68/699 in the placebo arm), Table 2 of the published report (Butler 2023) of the PANORAMIC trial directly provided the adjusted odds ratio.</w:t>
      </w:r>
    </w:p>
    <w:p w14:paraId="5D33D5DE" w14:textId="77777777" w:rsidR="00940332" w:rsidRPr="00D16A97" w:rsidRDefault="00940332" w:rsidP="00940332">
      <w:pPr>
        <w:pStyle w:val="TableFigureHeading"/>
        <w:rPr>
          <w:iCs/>
        </w:rPr>
      </w:pPr>
      <w:bookmarkStart w:id="125" w:name="_Ref150873540"/>
      <w:r w:rsidRPr="00D16A97">
        <w:rPr>
          <w:iCs/>
        </w:rPr>
        <w:t xml:space="preserve">Figure </w:t>
      </w:r>
      <w:r w:rsidRPr="00D16A97">
        <w:rPr>
          <w:iCs/>
        </w:rPr>
        <w:fldChar w:fldCharType="begin" w:fldLock="1"/>
      </w:r>
      <w:r w:rsidRPr="00D16A97">
        <w:rPr>
          <w:iCs/>
        </w:rPr>
        <w:instrText xml:space="preserve"> SEQ Figure \* ARABIC </w:instrText>
      </w:r>
      <w:r w:rsidRPr="00D16A97">
        <w:rPr>
          <w:iCs/>
        </w:rPr>
        <w:fldChar w:fldCharType="separate"/>
      </w:r>
      <w:r w:rsidRPr="00D16A97">
        <w:rPr>
          <w:iCs/>
        </w:rPr>
        <w:t>8</w:t>
      </w:r>
      <w:r w:rsidRPr="00D16A97">
        <w:rPr>
          <w:iCs/>
        </w:rPr>
        <w:fldChar w:fldCharType="end"/>
      </w:r>
      <w:bookmarkEnd w:id="125"/>
      <w:r w:rsidRPr="00D16A97">
        <w:rPr>
          <w:iCs/>
        </w:rPr>
        <w:t>: Meta-analysis of results (odds ratios) for the composite endpoint of hospitalisation or death from the molnupiravir trials (MOVe-OUT and the ≥ 65 year subgroup from PANORAMIC)</w:t>
      </w:r>
    </w:p>
    <w:p w14:paraId="28A091EC" w14:textId="77777777" w:rsidR="00940332" w:rsidRPr="00D16A97" w:rsidRDefault="00940332" w:rsidP="00940332">
      <w:pPr>
        <w:rPr>
          <w:iCs/>
        </w:rPr>
      </w:pPr>
      <w:r w:rsidRPr="00D16A97">
        <w:rPr>
          <w:iCs/>
          <w:noProof/>
        </w:rPr>
        <mc:AlternateContent>
          <mc:Choice Requires="wps">
            <w:drawing>
              <wp:anchor distT="0" distB="0" distL="114300" distR="114300" simplePos="0" relativeHeight="251661312" behindDoc="0" locked="0" layoutInCell="1" allowOverlap="1" wp14:anchorId="62289229" wp14:editId="497C0EA7">
                <wp:simplePos x="0" y="0"/>
                <wp:positionH relativeFrom="column">
                  <wp:posOffset>88710</wp:posOffset>
                </wp:positionH>
                <wp:positionV relativeFrom="paragraph">
                  <wp:posOffset>1549846</wp:posOffset>
                </wp:positionV>
                <wp:extent cx="1207008" cy="234086"/>
                <wp:effectExtent l="0" t="0" r="12700" b="13970"/>
                <wp:wrapNone/>
                <wp:docPr id="4" name="Rectangle 4"/>
                <wp:cNvGraphicFramePr/>
                <a:graphic xmlns:a="http://schemas.openxmlformats.org/drawingml/2006/main">
                  <a:graphicData uri="http://schemas.microsoft.com/office/word/2010/wordprocessingShape">
                    <wps:wsp>
                      <wps:cNvSpPr/>
                      <wps:spPr>
                        <a:xfrm>
                          <a:off x="0" y="0"/>
                          <a:ext cx="1207008" cy="23408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C60B6" id="Rectangle 4" o:spid="_x0000_s1026" style="position:absolute;margin-left:7pt;margin-top:122.05pt;width:95.05pt;height:1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" fillcolor="white [3212]" strokecolor="white [3212]" strokeweight="2pt"/>
            </w:pict>
          </mc:Fallback>
        </mc:AlternateContent>
      </w:r>
      <w:r w:rsidRPr="00D16A97">
        <w:rPr>
          <w:iCs/>
          <w:noProof/>
        </w:rPr>
        <mc:AlternateContent>
          <mc:Choice Requires="wps">
            <w:drawing>
              <wp:anchor distT="0" distB="0" distL="114300" distR="114300" simplePos="0" relativeHeight="251660288" behindDoc="0" locked="0" layoutInCell="1" allowOverlap="1" wp14:anchorId="374AFBC1" wp14:editId="52A8E1D8">
                <wp:simplePos x="0" y="0"/>
                <wp:positionH relativeFrom="column">
                  <wp:posOffset>0</wp:posOffset>
                </wp:positionH>
                <wp:positionV relativeFrom="paragraph">
                  <wp:posOffset>1405560</wp:posOffset>
                </wp:positionV>
                <wp:extent cx="1207008" cy="234086"/>
                <wp:effectExtent l="0" t="0" r="12700" b="13970"/>
                <wp:wrapNone/>
                <wp:docPr id="5" name="Rectangle 5"/>
                <wp:cNvGraphicFramePr/>
                <a:graphic xmlns:a="http://schemas.openxmlformats.org/drawingml/2006/main">
                  <a:graphicData uri="http://schemas.microsoft.com/office/word/2010/wordprocessingShape">
                    <wps:wsp>
                      <wps:cNvSpPr/>
                      <wps:spPr>
                        <a:xfrm>
                          <a:off x="0" y="0"/>
                          <a:ext cx="1207008" cy="23408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328DC" id="Rectangle 5" o:spid="_x0000_s1026" style="position:absolute;margin-left:0;margin-top:110.65pt;width:95.05pt;height:1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" fillcolor="white [3212]" strokecolor="white [3212]" strokeweight="2pt"/>
            </w:pict>
          </mc:Fallback>
        </mc:AlternateContent>
      </w:r>
      <w:r w:rsidRPr="00D16A97">
        <w:rPr>
          <w:iCs/>
          <w:noProof/>
        </w:rPr>
        <w:drawing>
          <wp:inline distT="0" distB="0" distL="0" distR="0" wp14:anchorId="33ED074B" wp14:editId="273D8A56">
            <wp:extent cx="5732145" cy="248031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6640" name=""/>
                    <pic:cNvPicPr/>
                  </pic:nvPicPr>
                  <pic:blipFill>
                    <a:blip r:embed="rId25"/>
                    <a:stretch>
                      <a:fillRect/>
                    </a:stretch>
                  </pic:blipFill>
                  <pic:spPr>
                    <a:xfrm>
                      <a:off x="0" y="0"/>
                      <a:ext cx="5732145" cy="2480310"/>
                    </a:xfrm>
                    <a:prstGeom prst="rect">
                      <a:avLst/>
                    </a:prstGeom>
                  </pic:spPr>
                </pic:pic>
              </a:graphicData>
            </a:graphic>
          </wp:inline>
        </w:drawing>
      </w:r>
    </w:p>
    <w:p w14:paraId="429C7C56" w14:textId="219913B3" w:rsidR="00940332" w:rsidRPr="009769C8" w:rsidRDefault="00940332" w:rsidP="009769C8">
      <w:pPr>
        <w:spacing w:after="120"/>
        <w:rPr>
          <w:rFonts w:ascii="Arial Narrow" w:hAnsi="Arial Narrow"/>
          <w:iCs/>
          <w:sz w:val="18"/>
          <w:szCs w:val="18"/>
        </w:rPr>
      </w:pPr>
      <w:r w:rsidRPr="009769C8">
        <w:rPr>
          <w:rFonts w:ascii="Arial Narrow" w:hAnsi="Arial Narrow"/>
          <w:iCs/>
          <w:sz w:val="18"/>
          <w:szCs w:val="18"/>
        </w:rPr>
        <w:t xml:space="preserve">Data sources: </w:t>
      </w:r>
      <w:r w:rsidRPr="009769C8">
        <w:rPr>
          <w:rFonts w:ascii="Arial Narrow" w:hAnsi="Arial Narrow"/>
          <w:sz w:val="18"/>
          <w:szCs w:val="18"/>
        </w:rPr>
        <w:t>Conducted during the evaluation.</w:t>
      </w:r>
      <w:r w:rsidRPr="009769C8">
        <w:rPr>
          <w:rFonts w:ascii="Arial Narrow" w:hAnsi="Arial Narrow"/>
          <w:iCs/>
          <w:sz w:val="18"/>
          <w:szCs w:val="18"/>
        </w:rPr>
        <w:t xml:space="preserve"> The results section of the published report (Jayk-Bernal 2021) provided raw numbers to permit derivation of the odds ratio in the MOVe-OUT trial (48/709 in the molnupiravir arm and 68/699 in the placebo arm), Figure 2 of the published report (Butler 2023) of the PANORAMIC trial directly provided the adjusted odds ratio for the ≥ 65 year subgroup.</w:t>
      </w:r>
    </w:p>
    <w:p w14:paraId="085ABC33" w14:textId="720594DD" w:rsidR="00940332" w:rsidRPr="00D16A97" w:rsidRDefault="00940332" w:rsidP="00940332">
      <w:pPr>
        <w:pStyle w:val="3-BodyText"/>
        <w:numPr>
          <w:ilvl w:val="1"/>
          <w:numId w:val="1"/>
        </w:numPr>
        <w:rPr>
          <w:iCs/>
        </w:rPr>
      </w:pPr>
      <w:bookmarkStart w:id="126" w:name="_Hlk152770865"/>
      <w:r w:rsidRPr="00D16A97">
        <w:rPr>
          <w:iCs/>
        </w:rPr>
        <w:t>The ESC recalled that Evans 2023</w:t>
      </w:r>
      <w:r w:rsidRPr="00D16A97">
        <w:rPr>
          <w:rStyle w:val="FootnoteReference"/>
          <w:iCs/>
        </w:rPr>
        <w:footnoteReference w:id="23"/>
      </w:r>
      <w:r w:rsidRPr="00D16A97">
        <w:rPr>
          <w:iCs/>
        </w:rPr>
        <w:t xml:space="preserve"> was a retrospective cohort study of the effect of molnupiravir, nirmatrelvir and ritonavir, and sotrovimab on preventing hospital admission among higher-risk patients with COVID-19 in Wales, in which only 29.5% of </w:t>
      </w:r>
      <w:bookmarkEnd w:id="126"/>
      <w:r w:rsidRPr="00D16A97">
        <w:rPr>
          <w:iCs/>
        </w:rPr>
        <w:t xml:space="preserve">treated patients received molnupiravir. The ESC considered that evidence from Evans </w:t>
      </w:r>
      <w:r w:rsidRPr="00D16A97">
        <w:rPr>
          <w:iCs/>
        </w:rPr>
        <w:lastRenderedPageBreak/>
        <w:t xml:space="preserve">2023 was not robust enough to justify an assumption of more favourable treatment effect in the immunocompromised subgroup as proposed by the submission (see paragraph </w:t>
      </w:r>
      <w:r w:rsidRPr="00D16A97">
        <w:rPr>
          <w:iCs/>
        </w:rPr>
        <w:fldChar w:fldCharType="begin" w:fldLock="1"/>
      </w:r>
      <w:r w:rsidRPr="00D16A97">
        <w:rPr>
          <w:iCs/>
        </w:rPr>
        <w:instrText xml:space="preserve"> REF _Ref148174296 \r \h </w:instrText>
      </w:r>
      <w:r w:rsidRPr="00D16A97">
        <w:rPr>
          <w:iCs/>
        </w:rPr>
      </w:r>
      <w:r w:rsidRPr="00D16A97">
        <w:rPr>
          <w:iCs/>
        </w:rPr>
        <w:fldChar w:fldCharType="separate"/>
      </w:r>
      <w:r w:rsidR="00872953">
        <w:rPr>
          <w:iCs/>
        </w:rPr>
        <w:t>13.13</w:t>
      </w:r>
      <w:r w:rsidRPr="00D16A97">
        <w:rPr>
          <w:iCs/>
        </w:rPr>
        <w:fldChar w:fldCharType="end"/>
      </w:r>
      <w:r w:rsidRPr="00D16A97">
        <w:rPr>
          <w:iCs/>
        </w:rPr>
        <w:t>).</w:t>
      </w:r>
    </w:p>
    <w:p w14:paraId="1BF2928C" w14:textId="77777777" w:rsidR="00940332" w:rsidRPr="00D16A97" w:rsidRDefault="00940332" w:rsidP="000B527B">
      <w:pPr>
        <w:pStyle w:val="3-BodyText"/>
        <w:numPr>
          <w:ilvl w:val="1"/>
          <w:numId w:val="1"/>
        </w:numPr>
        <w:rPr>
          <w:iCs/>
          <w:color w:val="000000" w:themeColor="text1"/>
        </w:rPr>
      </w:pPr>
      <w:r w:rsidRPr="00D16A97">
        <w:rPr>
          <w:iCs/>
          <w:color w:val="000000" w:themeColor="text1"/>
        </w:rPr>
        <w:t>Two additional publications were discussed in the submission:</w:t>
      </w:r>
    </w:p>
    <w:p w14:paraId="43ECCA2B" w14:textId="77777777" w:rsidR="00940332" w:rsidRPr="00D16A97" w:rsidRDefault="00940332" w:rsidP="00940332">
      <w:pPr>
        <w:pStyle w:val="ListParagraph"/>
        <w:numPr>
          <w:ilvl w:val="0"/>
          <w:numId w:val="30"/>
        </w:numPr>
        <w:ind w:left="1003" w:hanging="283"/>
      </w:pPr>
      <w:r w:rsidRPr="00D16A97">
        <w:t>Cho et al, 2023</w:t>
      </w:r>
      <w:r w:rsidRPr="00D16A97">
        <w:rPr>
          <w:vertAlign w:val="superscript"/>
        </w:rPr>
        <w:footnoteReference w:id="24"/>
      </w:r>
      <w:r w:rsidRPr="00D16A97">
        <w:t>, a study assessing in vitro antiviral activity of remdesivir, molnupiravir, and nirmatrelvir against Omicron subvariants.</w:t>
      </w:r>
    </w:p>
    <w:p w14:paraId="6E14AE22" w14:textId="77777777" w:rsidR="00940332" w:rsidRPr="00D16A97" w:rsidRDefault="00940332" w:rsidP="00940332">
      <w:pPr>
        <w:pStyle w:val="ListParagraph"/>
        <w:numPr>
          <w:ilvl w:val="0"/>
          <w:numId w:val="30"/>
        </w:numPr>
        <w:ind w:left="1003" w:hanging="283"/>
      </w:pPr>
      <w:r w:rsidRPr="00D16A97">
        <w:t>Lin et al 2023</w:t>
      </w:r>
      <w:r w:rsidRPr="00D16A97">
        <w:rPr>
          <w:vertAlign w:val="superscript"/>
        </w:rPr>
        <w:footnoteReference w:id="25"/>
      </w:r>
      <w:r w:rsidRPr="00D16A97">
        <w:t>, a cohort study of patients who received a diagnosis of COVID-19 at the Cleveland Clinic between April 2022 and February 2023.</w:t>
      </w:r>
    </w:p>
    <w:p w14:paraId="21A4959E" w14:textId="3A56F12B" w:rsidR="00940332" w:rsidRPr="009769C8" w:rsidRDefault="00940332" w:rsidP="00940332">
      <w:pPr>
        <w:pStyle w:val="3-BodyText"/>
        <w:numPr>
          <w:ilvl w:val="1"/>
          <w:numId w:val="1"/>
        </w:numPr>
        <w:rPr>
          <w:iCs/>
        </w:rPr>
      </w:pPr>
      <w:r w:rsidRPr="00D16A97">
        <w:rPr>
          <w:iCs/>
        </w:rPr>
        <w:t xml:space="preserve">The PBAC recalled that in July 2023, </w:t>
      </w:r>
      <w:r w:rsidRPr="00D16A97">
        <w:t xml:space="preserve">a pre-print manuscript for the Victorian dataset was available (see paragraph </w:t>
      </w:r>
      <w:r w:rsidRPr="00D16A97">
        <w:rPr>
          <w:iCs/>
        </w:rPr>
        <w:fldChar w:fldCharType="begin" w:fldLock="1"/>
      </w:r>
      <w:r w:rsidRPr="00D16A97">
        <w:rPr>
          <w:iCs/>
        </w:rPr>
        <w:instrText xml:space="preserve"> REF _Ref152771249 \r \h </w:instrText>
      </w:r>
      <w:r w:rsidRPr="00D16A97">
        <w:rPr>
          <w:iCs/>
        </w:rPr>
      </w:r>
      <w:r w:rsidRPr="00D16A97">
        <w:rPr>
          <w:iCs/>
        </w:rPr>
        <w:fldChar w:fldCharType="separate"/>
      </w:r>
      <w:r w:rsidRPr="00D16A97">
        <w:rPr>
          <w:iCs/>
        </w:rPr>
        <w:t>7.6</w:t>
      </w:r>
      <w:r w:rsidRPr="00D16A97">
        <w:rPr>
          <w:iCs/>
        </w:rPr>
        <w:fldChar w:fldCharType="end"/>
      </w:r>
      <w:r w:rsidRPr="00D16A97">
        <w:rPr>
          <w:iCs/>
        </w:rPr>
        <w:t xml:space="preserve">), and noted that the final study publication had become available prior to the November 2023 PBAC meeting </w:t>
      </w:r>
      <w:r w:rsidRPr="00D16A97">
        <w:rPr>
          <w:snapToGrid/>
        </w:rPr>
        <w:t>(van Heer 2023</w:t>
      </w:r>
      <w:r w:rsidRPr="00D16A97">
        <w:rPr>
          <w:rStyle w:val="FootnoteReference"/>
          <w:snapToGrid/>
        </w:rPr>
        <w:footnoteReference w:id="26"/>
      </w:r>
      <w:r w:rsidRPr="00D16A97">
        <w:rPr>
          <w:snapToGrid/>
        </w:rPr>
        <w:t xml:space="preserve">). </w:t>
      </w:r>
    </w:p>
    <w:p w14:paraId="420C809A" w14:textId="77777777" w:rsidR="00940332" w:rsidRPr="00D16A97" w:rsidRDefault="00940332" w:rsidP="00940332">
      <w:pPr>
        <w:pStyle w:val="4-SubsectionHeading"/>
      </w:pPr>
      <w:r w:rsidRPr="00D16A97">
        <w:t xml:space="preserve">Economic analysis </w:t>
      </w:r>
    </w:p>
    <w:p w14:paraId="74AE623E" w14:textId="77777777" w:rsidR="00940332" w:rsidRPr="00D16A97" w:rsidRDefault="00940332" w:rsidP="00940332">
      <w:pPr>
        <w:pStyle w:val="3-BodyText"/>
        <w:numPr>
          <w:ilvl w:val="1"/>
          <w:numId w:val="1"/>
        </w:numPr>
        <w:rPr>
          <w:iCs/>
          <w:color w:val="000000" w:themeColor="text1"/>
        </w:rPr>
      </w:pPr>
      <w:r w:rsidRPr="00D16A97">
        <w:rPr>
          <w:color w:val="000000" w:themeColor="text1"/>
        </w:rPr>
        <w:t xml:space="preserve">The fundamental model structure was unchanged from the previous submission. </w:t>
      </w:r>
      <w:bookmarkStart w:id="127" w:name="_Ref148181820"/>
    </w:p>
    <w:p w14:paraId="60FBDD9B" w14:textId="77777777" w:rsidR="00940332" w:rsidRPr="00D16A97" w:rsidRDefault="00940332" w:rsidP="00940332">
      <w:pPr>
        <w:pStyle w:val="3-BodyText"/>
        <w:numPr>
          <w:ilvl w:val="1"/>
          <w:numId w:val="1"/>
        </w:numPr>
        <w:rPr>
          <w:iCs/>
          <w:color w:val="000000" w:themeColor="text1"/>
        </w:rPr>
      </w:pPr>
      <w:r w:rsidRPr="00D16A97">
        <w:rPr>
          <w:color w:val="000000" w:themeColor="text1"/>
        </w:rPr>
        <w:t xml:space="preserve">The main change to the modelling was the application of the relative risk reduction from the ≥ 65 year subgroup in PANORAMIC for patients in the 70+ subgroup and the 50-69 year subgroup. This estimate of treatment effect is slightly less favourable than the treatment effect applied from the retrospective cohort study conducted in Victoria, as originally applied. </w:t>
      </w:r>
      <w:r w:rsidRPr="00D16A97">
        <w:rPr>
          <w:iCs/>
          <w:color w:val="000000" w:themeColor="text1"/>
        </w:rPr>
        <w:t xml:space="preserve">However, the ESC noted that the impact of this change in the 70+ subgroup was mitigated by the application of an increased baseline risk of hospitalisation. Baseline risk of hospitalisation as observed in the Victorian data was applied. </w:t>
      </w:r>
    </w:p>
    <w:p w14:paraId="39717187" w14:textId="77777777" w:rsidR="00940332" w:rsidRPr="00D16A97" w:rsidRDefault="00940332" w:rsidP="00940332">
      <w:pPr>
        <w:pStyle w:val="3-BodyText"/>
        <w:numPr>
          <w:ilvl w:val="1"/>
          <w:numId w:val="1"/>
        </w:numPr>
        <w:rPr>
          <w:iCs/>
          <w:color w:val="000000" w:themeColor="text1"/>
        </w:rPr>
      </w:pPr>
      <w:bookmarkStart w:id="128" w:name="_Ref151027982"/>
      <w:r w:rsidRPr="00D16A97">
        <w:rPr>
          <w:iCs/>
          <w:color w:val="000000" w:themeColor="text1"/>
        </w:rPr>
        <w:t xml:space="preserve">The ESC considered that the baseline risks of hospitalisation and death applied in the model were potentially overestimated. The ESC noted that the risk of an admission to an ICU in hospitalised patients applied in the submission’s model was higher for the 50-69 year olds than the 70+ year olds. It thus considered that the risk of ICU admission was overestimated in the 50-69 year olds. The pre-PBAC response </w:t>
      </w:r>
      <w:r w:rsidRPr="00D16A97">
        <w:t>noted that that the risk of ICU admission in the submission was based on data from NSW COVID epidemiological reports, however the PBAC agreed with the ESC that the sponsor’s model lacked face validity with regard to the risk of ICU admissions.</w:t>
      </w:r>
      <w:bookmarkEnd w:id="128"/>
    </w:p>
    <w:p w14:paraId="501D294D" w14:textId="77777777" w:rsidR="00940332" w:rsidRPr="00D16A97" w:rsidRDefault="00940332" w:rsidP="00940332">
      <w:pPr>
        <w:pStyle w:val="3-BodyText"/>
        <w:numPr>
          <w:ilvl w:val="1"/>
          <w:numId w:val="1"/>
        </w:numPr>
        <w:rPr>
          <w:iCs/>
          <w:color w:val="000000" w:themeColor="text1"/>
        </w:rPr>
      </w:pPr>
      <w:r w:rsidRPr="00D16A97">
        <w:rPr>
          <w:iCs/>
          <w:color w:val="000000" w:themeColor="text1"/>
        </w:rPr>
        <w:t xml:space="preserve">In the case of the immune compromised group, the submission did not make any changes to inputs and both the baseline risk of hospitalisation or </w:t>
      </w:r>
      <w:proofErr w:type="gramStart"/>
      <w:r w:rsidRPr="00D16A97">
        <w:rPr>
          <w:iCs/>
          <w:color w:val="000000" w:themeColor="text1"/>
        </w:rPr>
        <w:t>death</w:t>
      </w:r>
      <w:proofErr w:type="gramEnd"/>
      <w:r w:rsidRPr="00D16A97">
        <w:rPr>
          <w:iCs/>
          <w:color w:val="000000" w:themeColor="text1"/>
        </w:rPr>
        <w:t xml:space="preserve"> and the </w:t>
      </w:r>
      <w:r w:rsidRPr="00D16A97">
        <w:rPr>
          <w:iCs/>
          <w:color w:val="000000" w:themeColor="text1"/>
        </w:rPr>
        <w:lastRenderedPageBreak/>
        <w:t>treatment effect were taken from a retrospective observational study conducted in Wales (Evans 2023). Thus, estimates of cost-effectiveness in this subgroup of patients were considered by the ESC to be associated with substantial uncertainty.</w:t>
      </w:r>
      <w:bookmarkEnd w:id="127"/>
    </w:p>
    <w:p w14:paraId="09C63FF9" w14:textId="77777777" w:rsidR="00940332" w:rsidRPr="00D16A97" w:rsidRDefault="00940332" w:rsidP="000B527B">
      <w:pPr>
        <w:pStyle w:val="3-BodyText"/>
        <w:numPr>
          <w:ilvl w:val="1"/>
          <w:numId w:val="1"/>
        </w:numPr>
      </w:pPr>
      <w:bookmarkStart w:id="129" w:name="_Ref148174296"/>
      <w:r w:rsidRPr="00D16A97">
        <w:rPr>
          <w:iCs/>
          <w:color w:val="000000" w:themeColor="text1"/>
        </w:rPr>
        <w:t>The ESC noted the key inputs to the model as follows:</w:t>
      </w:r>
      <w:bookmarkEnd w:id="129"/>
    </w:p>
    <w:p w14:paraId="1590F47F" w14:textId="77777777" w:rsidR="00940332" w:rsidRPr="00D16A97" w:rsidRDefault="00940332" w:rsidP="00940332">
      <w:pPr>
        <w:pStyle w:val="3-BodyText"/>
        <w:numPr>
          <w:ilvl w:val="1"/>
          <w:numId w:val="29"/>
        </w:numPr>
        <w:spacing w:after="0"/>
        <w:rPr>
          <w:iCs/>
          <w:color w:val="000000" w:themeColor="text1"/>
        </w:rPr>
      </w:pPr>
      <w:r w:rsidRPr="00D16A97">
        <w:rPr>
          <w:iCs/>
          <w:color w:val="000000" w:themeColor="text1"/>
        </w:rPr>
        <w:t>Baseline risk of hospitalisation</w:t>
      </w:r>
    </w:p>
    <w:p w14:paraId="75007916"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 70 years – increased to 11.9% (based on van Heer 2023 i.e., Victorian analysis) from 6.41%</w:t>
      </w:r>
    </w:p>
    <w:p w14:paraId="2E322FBD"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 18 years Immunocompromised or prior hospitalisation – unchanged at 10.9%</w:t>
      </w:r>
    </w:p>
    <w:p w14:paraId="565E2B1E"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Aboriginal and Torres Strait Islander people – not modelled explicitly</w:t>
      </w:r>
    </w:p>
    <w:p w14:paraId="75A90658"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50-69 year olds with ≥ 2 risk factors – unchanged at 1.77%</w:t>
      </w:r>
    </w:p>
    <w:p w14:paraId="7065661C" w14:textId="77777777" w:rsidR="00940332" w:rsidRPr="00D16A97" w:rsidRDefault="00940332" w:rsidP="00940332">
      <w:pPr>
        <w:pStyle w:val="3-BodyText"/>
        <w:numPr>
          <w:ilvl w:val="1"/>
          <w:numId w:val="29"/>
        </w:numPr>
        <w:spacing w:after="0"/>
        <w:rPr>
          <w:iCs/>
          <w:color w:val="000000" w:themeColor="text1"/>
        </w:rPr>
      </w:pPr>
      <w:r w:rsidRPr="00D16A97">
        <w:rPr>
          <w:iCs/>
          <w:color w:val="000000" w:themeColor="text1"/>
        </w:rPr>
        <w:t>Risk of ICU admission if hospitalised</w:t>
      </w:r>
    </w:p>
    <w:p w14:paraId="7D0B4205" w14:textId="389E218B"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7.5%</w:t>
      </w:r>
      <w:r w:rsidRPr="00D16A97">
        <w:rPr>
          <w:iCs/>
          <w:color w:val="000000" w:themeColor="text1"/>
          <w:vertAlign w:val="superscript"/>
        </w:rPr>
        <w:footnoteReference w:id="27"/>
      </w:r>
      <w:r w:rsidRPr="00D16A97">
        <w:rPr>
          <w:iCs/>
          <w:color w:val="000000" w:themeColor="text1"/>
        </w:rPr>
        <w:t xml:space="preserve"> for those aged ≥ 70 years and those ≥ 18 years &amp; immune compromised &amp; Aboriginal or Torres Strait Islander people aged ≥</w:t>
      </w:r>
      <w:r w:rsidR="00E87A21">
        <w:rPr>
          <w:iCs/>
          <w:color w:val="000000" w:themeColor="text1"/>
        </w:rPr>
        <w:t> </w:t>
      </w:r>
      <w:r w:rsidRPr="00D16A97">
        <w:rPr>
          <w:iCs/>
          <w:color w:val="000000" w:themeColor="text1"/>
        </w:rPr>
        <w:t>30</w:t>
      </w:r>
      <w:r w:rsidR="00E87A21">
        <w:rPr>
          <w:iCs/>
          <w:color w:val="000000" w:themeColor="text1"/>
        </w:rPr>
        <w:t> </w:t>
      </w:r>
      <w:r w:rsidRPr="00D16A97">
        <w:rPr>
          <w:iCs/>
          <w:color w:val="000000" w:themeColor="text1"/>
        </w:rPr>
        <w:t>years with ≥ 1 risk factor</w:t>
      </w:r>
    </w:p>
    <w:p w14:paraId="33F0B1C7"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14.3%</w:t>
      </w:r>
      <w:r w:rsidRPr="00D16A97">
        <w:rPr>
          <w:iCs/>
          <w:color w:val="000000" w:themeColor="text1"/>
          <w:vertAlign w:val="superscript"/>
        </w:rPr>
        <w:footnoteReference w:id="28"/>
      </w:r>
      <w:r w:rsidRPr="00D16A97">
        <w:rPr>
          <w:iCs/>
          <w:color w:val="000000" w:themeColor="text1"/>
        </w:rPr>
        <w:t xml:space="preserve"> for those aged 50-69 years with ≥ 2 risk factors for developing severe COVID 19 The application of a higher risk of ICU admission for the lower risk group appears to lack face validity.</w:t>
      </w:r>
    </w:p>
    <w:p w14:paraId="33E0F1CA" w14:textId="77777777" w:rsidR="00940332" w:rsidRPr="00D16A97" w:rsidRDefault="00940332" w:rsidP="00940332">
      <w:pPr>
        <w:pStyle w:val="3-BodyText"/>
        <w:numPr>
          <w:ilvl w:val="1"/>
          <w:numId w:val="29"/>
        </w:numPr>
        <w:spacing w:after="0"/>
        <w:rPr>
          <w:iCs/>
          <w:color w:val="000000" w:themeColor="text1"/>
        </w:rPr>
      </w:pPr>
      <w:r w:rsidRPr="00D16A97">
        <w:rPr>
          <w:iCs/>
          <w:color w:val="000000" w:themeColor="text1"/>
        </w:rPr>
        <w:t>Baseline risk of death</w:t>
      </w:r>
    </w:p>
    <w:p w14:paraId="57A8ABB2"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 70 years – 3.4% based on van Heer 2023 (i.e., Victorian analysis). This could be considered a high rate.</w:t>
      </w:r>
    </w:p>
    <w:p w14:paraId="7CCFB948"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 xml:space="preserve">≥ 18 years Immunocompromised or prior hospitalisation – 3.11% This could be considered a high rate. </w:t>
      </w:r>
    </w:p>
    <w:p w14:paraId="4803F565"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Aboriginal and Torres Strait Islander people – not modelled explicitly.</w:t>
      </w:r>
    </w:p>
    <w:p w14:paraId="5AE9EF71"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50-69 year olds with ≥ 2 risk factors – 0.07% based on NSW data.</w:t>
      </w:r>
    </w:p>
    <w:p w14:paraId="5B93B464" w14:textId="77777777" w:rsidR="00940332" w:rsidRPr="00D16A97" w:rsidRDefault="00940332" w:rsidP="00940332">
      <w:pPr>
        <w:pStyle w:val="3-BodyText"/>
        <w:numPr>
          <w:ilvl w:val="1"/>
          <w:numId w:val="29"/>
        </w:numPr>
        <w:spacing w:after="0"/>
        <w:rPr>
          <w:iCs/>
          <w:color w:val="000000" w:themeColor="text1"/>
        </w:rPr>
      </w:pPr>
      <w:r w:rsidRPr="00D16A97">
        <w:rPr>
          <w:iCs/>
          <w:color w:val="000000" w:themeColor="text1"/>
        </w:rPr>
        <w:t>Background discounted QALYs lost for fatal cases</w:t>
      </w:r>
    </w:p>
    <w:p w14:paraId="4C7C4136"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 70 years – 4.0</w:t>
      </w:r>
    </w:p>
    <w:p w14:paraId="55DE8923"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 18 years Immunocompromised or prior hospitalisation – 11.6</w:t>
      </w:r>
    </w:p>
    <w:p w14:paraId="553FD95B"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Aboriginal and Torres Strait Islander people – not modelled explicitly.</w:t>
      </w:r>
    </w:p>
    <w:p w14:paraId="0D826981"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50-69 year olds with ≥ 2 risk factors – 11.2</w:t>
      </w:r>
    </w:p>
    <w:p w14:paraId="5F162D7D" w14:textId="77777777" w:rsidR="00940332" w:rsidRPr="00D16A97" w:rsidRDefault="00940332" w:rsidP="00940332">
      <w:pPr>
        <w:pStyle w:val="3-BodyText"/>
        <w:numPr>
          <w:ilvl w:val="0"/>
          <w:numId w:val="29"/>
        </w:numPr>
        <w:spacing w:after="0"/>
        <w:rPr>
          <w:iCs/>
          <w:color w:val="000000" w:themeColor="text1"/>
        </w:rPr>
      </w:pPr>
      <w:r w:rsidRPr="00D16A97">
        <w:rPr>
          <w:iCs/>
          <w:color w:val="000000" w:themeColor="text1"/>
        </w:rPr>
        <w:t>Treatment effect</w:t>
      </w:r>
    </w:p>
    <w:p w14:paraId="70DBF404" w14:textId="77777777" w:rsidR="00940332" w:rsidRPr="00D16A97" w:rsidRDefault="00940332" w:rsidP="00940332">
      <w:pPr>
        <w:pStyle w:val="3-BodyText"/>
        <w:numPr>
          <w:ilvl w:val="1"/>
          <w:numId w:val="29"/>
        </w:numPr>
        <w:spacing w:after="0"/>
        <w:rPr>
          <w:iCs/>
          <w:color w:val="000000" w:themeColor="text1"/>
        </w:rPr>
      </w:pPr>
      <w:r w:rsidRPr="00D16A97">
        <w:rPr>
          <w:iCs/>
          <w:color w:val="000000" w:themeColor="text1"/>
        </w:rPr>
        <w:t>OR applied:</w:t>
      </w:r>
    </w:p>
    <w:p w14:paraId="412D34F7" w14:textId="77777777" w:rsidR="00940332" w:rsidRPr="00D16A97" w:rsidRDefault="00940332" w:rsidP="00940332">
      <w:pPr>
        <w:pStyle w:val="3-BodyText"/>
        <w:numPr>
          <w:ilvl w:val="2"/>
          <w:numId w:val="29"/>
        </w:numPr>
        <w:spacing w:after="0"/>
        <w:rPr>
          <w:iCs/>
          <w:color w:val="000000" w:themeColor="text1"/>
        </w:rPr>
      </w:pPr>
      <w:r w:rsidRPr="00D16A97">
        <w:rPr>
          <w:iCs/>
          <w:color w:val="000000" w:themeColor="text1"/>
        </w:rPr>
        <w:t>0.76 (based on PANORAMIC subgroup aged ≥ 65 years) applied for the ≥ 70 years subgroup and the 50-69 year olds with ≥ 2 risk factors;</w:t>
      </w:r>
    </w:p>
    <w:p w14:paraId="7E55B6C7" w14:textId="77777777" w:rsidR="00940332" w:rsidRPr="00D16A97" w:rsidRDefault="00940332" w:rsidP="00940332">
      <w:pPr>
        <w:pStyle w:val="3-BodyText"/>
        <w:numPr>
          <w:ilvl w:val="2"/>
          <w:numId w:val="29"/>
        </w:numPr>
        <w:ind w:left="2154" w:hanging="357"/>
        <w:rPr>
          <w:iCs/>
          <w:color w:val="000000" w:themeColor="text1"/>
        </w:rPr>
      </w:pPr>
      <w:r w:rsidRPr="00D16A97">
        <w:rPr>
          <w:iCs/>
          <w:color w:val="000000" w:themeColor="text1"/>
        </w:rPr>
        <w:t xml:space="preserve">0.65 for those aged ≥ 18 years &amp; immune compromised or prior hospitalisation for COVID 19 based on Evans 2023 (a retrospective cohort study conducted in Wales). </w:t>
      </w:r>
    </w:p>
    <w:p w14:paraId="1564C267" w14:textId="556D7F01" w:rsidR="00940332" w:rsidRPr="009769C8" w:rsidRDefault="00940332" w:rsidP="009769C8">
      <w:pPr>
        <w:pStyle w:val="3-BodyText"/>
        <w:numPr>
          <w:ilvl w:val="1"/>
          <w:numId w:val="1"/>
        </w:numPr>
        <w:rPr>
          <w:color w:val="000000" w:themeColor="text1"/>
        </w:rPr>
      </w:pPr>
      <w:bookmarkStart w:id="130" w:name="_Ref148181823"/>
      <w:r w:rsidRPr="00D16A97">
        <w:rPr>
          <w:color w:val="000000" w:themeColor="text1"/>
        </w:rPr>
        <w:lastRenderedPageBreak/>
        <w:t xml:space="preserve">Corrected weighted ICERs for scenarios by extent of utilisation are summarised in </w:t>
      </w:r>
      <w:r w:rsidRPr="00D16A97">
        <w:rPr>
          <w:color w:val="000000" w:themeColor="text1"/>
        </w:rPr>
        <w:fldChar w:fldCharType="begin" w:fldLock="1"/>
      </w:r>
      <w:r w:rsidRPr="00D16A97">
        <w:rPr>
          <w:color w:val="000000" w:themeColor="text1"/>
        </w:rPr>
        <w:instrText xml:space="preserve"> REF _Ref148114301 \h  \* MERGEFORMAT </w:instrText>
      </w:r>
      <w:r w:rsidRPr="00D16A97">
        <w:rPr>
          <w:color w:val="000000" w:themeColor="text1"/>
        </w:rPr>
      </w:r>
      <w:r w:rsidRPr="00D16A97">
        <w:rPr>
          <w:color w:val="000000" w:themeColor="text1"/>
        </w:rPr>
        <w:fldChar w:fldCharType="separate"/>
      </w:r>
      <w:r w:rsidRPr="00D16A97">
        <w:t>Table 22</w:t>
      </w:r>
      <w:r w:rsidRPr="00D16A97">
        <w:rPr>
          <w:color w:val="000000" w:themeColor="text1"/>
        </w:rPr>
        <w:fldChar w:fldCharType="end"/>
      </w:r>
      <w:r w:rsidRPr="00D16A97">
        <w:rPr>
          <w:color w:val="000000" w:themeColor="text1"/>
        </w:rPr>
        <w:t>. The effective price for molnupiravir based on the utilisation estimates in Year</w:t>
      </w:r>
      <w:r w:rsidR="00E87A21">
        <w:rPr>
          <w:color w:val="000000" w:themeColor="text1"/>
        </w:rPr>
        <w:t> </w:t>
      </w:r>
      <w:r w:rsidRPr="00D16A97">
        <w:rPr>
          <w:color w:val="000000" w:themeColor="text1"/>
        </w:rPr>
        <w:t>1, was applied for each of the utilisation scenarios. The ICER for molnupiravir in patients aged 50-69 years with 2 or more risk factors for severe COVID 19 necessitating hospitalisation was substantially higher than those calculated for the 70+ or immune compromised subgroups. No estimate of the ICER in the high risk Aboriginal and Torres Strait Islander population was presented</w:t>
      </w:r>
      <w:bookmarkStart w:id="131" w:name="_Hlk150951071"/>
      <w:r w:rsidRPr="00D16A97">
        <w:rPr>
          <w:color w:val="000000" w:themeColor="text1"/>
        </w:rPr>
        <w:t xml:space="preserve">. </w:t>
      </w:r>
      <w:r w:rsidRPr="00D16A97">
        <w:rPr>
          <w:iCs/>
          <w:color w:val="000000" w:themeColor="text1"/>
        </w:rPr>
        <w:t xml:space="preserve">The ESC noted that, although the weighted ICER was </w:t>
      </w:r>
      <w:r w:rsidR="00197AC1" w:rsidRPr="00197AC1">
        <w:rPr>
          <w:iCs/>
          <w:color w:val="000000" w:themeColor="text1"/>
        </w:rPr>
        <w:t>$5,000 to &lt; $15,000</w:t>
      </w:r>
      <w:r w:rsidRPr="00D16A97">
        <w:rPr>
          <w:iCs/>
          <w:color w:val="000000" w:themeColor="text1"/>
        </w:rPr>
        <w:t xml:space="preserve">/QALY gained with each of the modelled prices, the results varied widely for the </w:t>
      </w:r>
      <w:proofErr w:type="gramStart"/>
      <w:r w:rsidRPr="00D16A97">
        <w:rPr>
          <w:iCs/>
          <w:color w:val="000000" w:themeColor="text1"/>
        </w:rPr>
        <w:t>subpopulations</w:t>
      </w:r>
      <w:proofErr w:type="gramEnd"/>
      <w:r w:rsidRPr="00D16A97">
        <w:rPr>
          <w:iCs/>
          <w:color w:val="000000" w:themeColor="text1"/>
        </w:rPr>
        <w:t xml:space="preserve"> and it was uncertain whether the proposed inputs (paragraph </w:t>
      </w:r>
      <w:r w:rsidRPr="00D16A97">
        <w:rPr>
          <w:iCs/>
          <w:color w:val="000000" w:themeColor="text1"/>
        </w:rPr>
        <w:fldChar w:fldCharType="begin" w:fldLock="1"/>
      </w:r>
      <w:r w:rsidRPr="00D16A97">
        <w:rPr>
          <w:iCs/>
          <w:color w:val="000000" w:themeColor="text1"/>
        </w:rPr>
        <w:instrText xml:space="preserve"> REF _Ref148174296 \r \h  \* MERGEFORMAT </w:instrText>
      </w:r>
      <w:r w:rsidRPr="00D16A97">
        <w:rPr>
          <w:iCs/>
          <w:color w:val="000000" w:themeColor="text1"/>
        </w:rPr>
      </w:r>
      <w:r w:rsidRPr="00D16A97">
        <w:rPr>
          <w:iCs/>
          <w:color w:val="000000" w:themeColor="text1"/>
        </w:rPr>
        <w:fldChar w:fldCharType="separate"/>
      </w:r>
      <w:r w:rsidR="00872953">
        <w:rPr>
          <w:iCs/>
          <w:color w:val="000000" w:themeColor="text1"/>
        </w:rPr>
        <w:t>13.13</w:t>
      </w:r>
      <w:r w:rsidRPr="00D16A97">
        <w:rPr>
          <w:iCs/>
          <w:color w:val="000000" w:themeColor="text1"/>
        </w:rPr>
        <w:fldChar w:fldCharType="end"/>
      </w:r>
      <w:r w:rsidRPr="00D16A97">
        <w:rPr>
          <w:iCs/>
          <w:color w:val="000000" w:themeColor="text1"/>
        </w:rPr>
        <w:t>) were appropriate for estimating the cost-effectiveness of molnupiravir.</w:t>
      </w:r>
      <w:bookmarkEnd w:id="130"/>
    </w:p>
    <w:p w14:paraId="5582B5FE" w14:textId="77777777" w:rsidR="00940332" w:rsidRPr="00D16A97" w:rsidRDefault="00940332" w:rsidP="00940332">
      <w:pPr>
        <w:pStyle w:val="Caption"/>
        <w:rPr>
          <w:bCs w:val="0"/>
        </w:rPr>
      </w:pPr>
      <w:bookmarkStart w:id="132" w:name="_Ref148114301"/>
      <w:bookmarkEnd w:id="131"/>
      <w:r w:rsidRPr="00D16A97">
        <w:t xml:space="preserve">Table </w:t>
      </w:r>
      <w:r w:rsidR="00567EAC">
        <w:fldChar w:fldCharType="begin" w:fldLock="1"/>
      </w:r>
      <w:r w:rsidR="00567EAC">
        <w:instrText xml:space="preserve"> SEQ Table \* ARABIC </w:instrText>
      </w:r>
      <w:r w:rsidR="00567EAC">
        <w:fldChar w:fldCharType="separate"/>
      </w:r>
      <w:r w:rsidRPr="00D16A97">
        <w:t>22</w:t>
      </w:r>
      <w:r w:rsidR="00567EAC">
        <w:fldChar w:fldCharType="end"/>
      </w:r>
      <w:bookmarkEnd w:id="132"/>
      <w:r w:rsidRPr="00D16A97">
        <w:t>:</w:t>
      </w:r>
      <w:r w:rsidRPr="00D16A97">
        <w:tab/>
        <w:t>Results of cost-effectiveness analyses by extent of utilisation (prepared during the evaluation)</w:t>
      </w:r>
    </w:p>
    <w:tbl>
      <w:tblPr>
        <w:tblStyle w:val="TableGrid"/>
        <w:tblW w:w="0" w:type="auto"/>
        <w:tblLayout w:type="fixed"/>
        <w:tblLook w:val="04A0" w:firstRow="1" w:lastRow="0" w:firstColumn="1" w:lastColumn="0" w:noHBand="0" w:noVBand="1"/>
      </w:tblPr>
      <w:tblGrid>
        <w:gridCol w:w="1703"/>
        <w:gridCol w:w="1228"/>
        <w:gridCol w:w="1140"/>
        <w:gridCol w:w="1141"/>
        <w:gridCol w:w="1020"/>
        <w:gridCol w:w="882"/>
        <w:gridCol w:w="951"/>
        <w:gridCol w:w="952"/>
      </w:tblGrid>
      <w:tr w:rsidR="00940332" w:rsidRPr="00D16A97" w14:paraId="3E5D58BC" w14:textId="77777777" w:rsidTr="00192D14">
        <w:trPr>
          <w:trHeight w:val="600"/>
        </w:trPr>
        <w:tc>
          <w:tcPr>
            <w:tcW w:w="1703" w:type="dxa"/>
            <w:noWrap/>
            <w:vAlign w:val="center"/>
            <w:hideMark/>
          </w:tcPr>
          <w:p w14:paraId="128CC38B" w14:textId="77777777" w:rsidR="00940332" w:rsidRPr="00D16A97" w:rsidRDefault="00940332" w:rsidP="00192D14">
            <w:pPr>
              <w:keepNext/>
              <w:spacing w:line="259" w:lineRule="auto"/>
              <w:jc w:val="left"/>
              <w:rPr>
                <w:rFonts w:ascii="Arial Narrow" w:hAnsi="Arial Narrow"/>
                <w:b/>
                <w:bCs/>
                <w:sz w:val="20"/>
                <w:szCs w:val="20"/>
              </w:rPr>
            </w:pPr>
            <w:r w:rsidRPr="00D16A97">
              <w:rPr>
                <w:rFonts w:ascii="Arial Narrow" w:hAnsi="Arial Narrow"/>
                <w:b/>
                <w:bCs/>
                <w:sz w:val="20"/>
                <w:szCs w:val="20"/>
              </w:rPr>
              <w:t>Scenario</w:t>
            </w:r>
          </w:p>
          <w:p w14:paraId="3D365F0C" w14:textId="77777777" w:rsidR="00940332" w:rsidRPr="00D16A97" w:rsidRDefault="00940332" w:rsidP="00192D14">
            <w:pPr>
              <w:keepNext/>
              <w:jc w:val="left"/>
              <w:rPr>
                <w:rFonts w:ascii="Arial Narrow" w:hAnsi="Arial Narrow"/>
                <w:b/>
                <w:bCs/>
                <w:sz w:val="20"/>
                <w:szCs w:val="20"/>
              </w:rPr>
            </w:pPr>
            <w:r w:rsidRPr="00D16A97">
              <w:rPr>
                <w:rFonts w:ascii="Arial Narrow" w:hAnsi="Arial Narrow"/>
                <w:b/>
                <w:bCs/>
                <w:sz w:val="20"/>
                <w:szCs w:val="20"/>
              </w:rPr>
              <w:t>(utilisation in 2024)</w:t>
            </w:r>
          </w:p>
        </w:tc>
        <w:tc>
          <w:tcPr>
            <w:tcW w:w="1228" w:type="dxa"/>
          </w:tcPr>
          <w:p w14:paraId="69E927FF" w14:textId="6641F40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Assumed effective molnupiravir price (DPMQ)</w:t>
            </w:r>
            <w:r w:rsidR="00DE353A">
              <w:rPr>
                <w:rFonts w:ascii="Arial Narrow" w:hAnsi="Arial Narrow"/>
                <w:b/>
                <w:bCs/>
                <w:sz w:val="20"/>
                <w:szCs w:val="20"/>
              </w:rPr>
              <w:t xml:space="preserve"> ($)</w:t>
            </w:r>
          </w:p>
        </w:tc>
        <w:tc>
          <w:tcPr>
            <w:tcW w:w="1140" w:type="dxa"/>
            <w:vAlign w:val="center"/>
          </w:tcPr>
          <w:p w14:paraId="30B05D45" w14:textId="11300284"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Incremental costs</w:t>
            </w:r>
            <w:r w:rsidR="00DE353A">
              <w:rPr>
                <w:rFonts w:ascii="Arial Narrow" w:hAnsi="Arial Narrow"/>
                <w:b/>
                <w:bCs/>
                <w:sz w:val="20"/>
                <w:szCs w:val="20"/>
              </w:rPr>
              <w:t xml:space="preserve"> ($)</w:t>
            </w:r>
          </w:p>
        </w:tc>
        <w:tc>
          <w:tcPr>
            <w:tcW w:w="1141" w:type="dxa"/>
            <w:vAlign w:val="center"/>
          </w:tcPr>
          <w:p w14:paraId="78F6EEAA"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Incremental QALYs</w:t>
            </w:r>
          </w:p>
        </w:tc>
        <w:tc>
          <w:tcPr>
            <w:tcW w:w="1020" w:type="dxa"/>
            <w:noWrap/>
            <w:vAlign w:val="center"/>
            <w:hideMark/>
          </w:tcPr>
          <w:p w14:paraId="342EDE5A" w14:textId="425D9BF5" w:rsidR="00940332" w:rsidRPr="00DE353A" w:rsidRDefault="00940332" w:rsidP="00192D14">
            <w:pPr>
              <w:keepNext/>
              <w:jc w:val="center"/>
              <w:rPr>
                <w:rFonts w:ascii="Arial Narrow" w:hAnsi="Arial Narrow"/>
                <w:b/>
                <w:bCs/>
                <w:sz w:val="20"/>
                <w:szCs w:val="20"/>
              </w:rPr>
            </w:pPr>
            <w:r w:rsidRPr="00D16A97">
              <w:rPr>
                <w:rFonts w:ascii="Arial Narrow" w:hAnsi="Arial Narrow"/>
                <w:b/>
                <w:bCs/>
                <w:sz w:val="20"/>
                <w:szCs w:val="20"/>
              </w:rPr>
              <w:t>Weighted ICER</w:t>
            </w:r>
            <w:r w:rsidRPr="00D16A97">
              <w:rPr>
                <w:rFonts w:ascii="Arial Narrow" w:hAnsi="Arial Narrow"/>
                <w:b/>
                <w:bCs/>
                <w:sz w:val="20"/>
                <w:szCs w:val="20"/>
                <w:vertAlign w:val="superscript"/>
              </w:rPr>
              <w:t>a</w:t>
            </w:r>
            <w:r w:rsidR="00DE353A">
              <w:rPr>
                <w:rFonts w:ascii="Arial Narrow" w:hAnsi="Arial Narrow"/>
                <w:b/>
                <w:bCs/>
                <w:sz w:val="20"/>
                <w:szCs w:val="20"/>
                <w:vertAlign w:val="superscript"/>
              </w:rPr>
              <w:t xml:space="preserve"> </w:t>
            </w:r>
            <w:r w:rsidR="00DE353A">
              <w:rPr>
                <w:rFonts w:ascii="Arial Narrow" w:hAnsi="Arial Narrow"/>
                <w:b/>
                <w:bCs/>
                <w:sz w:val="20"/>
                <w:szCs w:val="20"/>
              </w:rPr>
              <w:t>($)</w:t>
            </w:r>
          </w:p>
        </w:tc>
        <w:tc>
          <w:tcPr>
            <w:tcW w:w="882" w:type="dxa"/>
            <w:noWrap/>
            <w:vAlign w:val="center"/>
            <w:hideMark/>
          </w:tcPr>
          <w:p w14:paraId="0515006F" w14:textId="7E4BD0CF" w:rsidR="00940332" w:rsidRPr="00D16A97" w:rsidRDefault="00940332" w:rsidP="00192D14">
            <w:pPr>
              <w:keepNext/>
              <w:spacing w:line="259" w:lineRule="auto"/>
              <w:jc w:val="center"/>
              <w:rPr>
                <w:rFonts w:ascii="Arial Narrow" w:hAnsi="Arial Narrow"/>
                <w:b/>
                <w:bCs/>
                <w:i/>
                <w:iCs/>
                <w:sz w:val="20"/>
                <w:szCs w:val="20"/>
              </w:rPr>
            </w:pPr>
            <w:r w:rsidRPr="00D16A97">
              <w:rPr>
                <w:rFonts w:ascii="Arial Narrow" w:hAnsi="Arial Narrow"/>
                <w:b/>
                <w:bCs/>
                <w:iCs/>
                <w:sz w:val="20"/>
                <w:szCs w:val="20"/>
              </w:rPr>
              <w:t>ICER 70+</w:t>
            </w:r>
            <w:r w:rsidR="00DE353A">
              <w:rPr>
                <w:rFonts w:ascii="Arial Narrow" w:hAnsi="Arial Narrow"/>
                <w:b/>
                <w:bCs/>
                <w:iCs/>
                <w:sz w:val="20"/>
                <w:szCs w:val="20"/>
              </w:rPr>
              <w:t xml:space="preserve"> </w:t>
            </w:r>
            <w:r w:rsidR="00DE353A">
              <w:rPr>
                <w:rFonts w:ascii="Arial Narrow" w:hAnsi="Arial Narrow"/>
                <w:b/>
                <w:bCs/>
                <w:sz w:val="20"/>
                <w:szCs w:val="20"/>
              </w:rPr>
              <w:t>($)</w:t>
            </w:r>
          </w:p>
        </w:tc>
        <w:tc>
          <w:tcPr>
            <w:tcW w:w="951" w:type="dxa"/>
            <w:vAlign w:val="center"/>
          </w:tcPr>
          <w:p w14:paraId="11BE5EB8" w14:textId="1A70821F" w:rsidR="00940332" w:rsidRPr="00D16A97" w:rsidRDefault="00940332" w:rsidP="00192D14">
            <w:pPr>
              <w:keepNext/>
              <w:spacing w:line="259" w:lineRule="auto"/>
              <w:jc w:val="center"/>
              <w:rPr>
                <w:rFonts w:ascii="Arial Narrow" w:hAnsi="Arial Narrow"/>
                <w:b/>
                <w:bCs/>
                <w:i/>
                <w:iCs/>
                <w:sz w:val="20"/>
                <w:szCs w:val="20"/>
              </w:rPr>
            </w:pPr>
            <w:r w:rsidRPr="00D16A97">
              <w:rPr>
                <w:rFonts w:ascii="Arial Narrow" w:hAnsi="Arial Narrow"/>
                <w:b/>
                <w:bCs/>
                <w:iCs/>
                <w:sz w:val="20"/>
                <w:szCs w:val="20"/>
              </w:rPr>
              <w:t>ICER 18+ IC</w:t>
            </w:r>
            <w:r w:rsidR="00DE353A">
              <w:rPr>
                <w:rFonts w:ascii="Arial Narrow" w:hAnsi="Arial Narrow"/>
                <w:b/>
                <w:bCs/>
                <w:iCs/>
                <w:sz w:val="20"/>
                <w:szCs w:val="20"/>
              </w:rPr>
              <w:t xml:space="preserve"> </w:t>
            </w:r>
            <w:r w:rsidR="00DE353A">
              <w:rPr>
                <w:rFonts w:ascii="Arial Narrow" w:hAnsi="Arial Narrow"/>
                <w:b/>
                <w:bCs/>
                <w:sz w:val="20"/>
                <w:szCs w:val="20"/>
              </w:rPr>
              <w:t>($)</w:t>
            </w:r>
          </w:p>
        </w:tc>
        <w:tc>
          <w:tcPr>
            <w:tcW w:w="952" w:type="dxa"/>
            <w:vAlign w:val="center"/>
            <w:hideMark/>
          </w:tcPr>
          <w:p w14:paraId="4F447BC1" w14:textId="77777777" w:rsidR="00940332" w:rsidRPr="00D16A97" w:rsidRDefault="00940332" w:rsidP="00192D14">
            <w:pPr>
              <w:keepNext/>
              <w:spacing w:line="259" w:lineRule="auto"/>
              <w:jc w:val="center"/>
              <w:rPr>
                <w:rFonts w:ascii="Arial Narrow" w:hAnsi="Arial Narrow"/>
                <w:b/>
                <w:bCs/>
                <w:iCs/>
                <w:sz w:val="20"/>
                <w:szCs w:val="20"/>
              </w:rPr>
            </w:pPr>
            <w:r w:rsidRPr="00D16A97">
              <w:rPr>
                <w:rFonts w:ascii="Arial Narrow" w:hAnsi="Arial Narrow"/>
                <w:b/>
                <w:bCs/>
                <w:iCs/>
                <w:sz w:val="20"/>
                <w:szCs w:val="20"/>
              </w:rPr>
              <w:t>ICER</w:t>
            </w:r>
          </w:p>
          <w:p w14:paraId="114C7CD3" w14:textId="677D34EF" w:rsidR="00940332" w:rsidRPr="00D16A97" w:rsidRDefault="00940332" w:rsidP="00192D14">
            <w:pPr>
              <w:keepNext/>
              <w:spacing w:line="259" w:lineRule="auto"/>
              <w:jc w:val="center"/>
              <w:rPr>
                <w:rFonts w:ascii="Arial Narrow" w:hAnsi="Arial Narrow"/>
                <w:b/>
                <w:bCs/>
                <w:iCs/>
                <w:sz w:val="20"/>
                <w:szCs w:val="20"/>
              </w:rPr>
            </w:pPr>
            <w:r w:rsidRPr="00D16A97">
              <w:rPr>
                <w:rFonts w:ascii="Arial Narrow" w:hAnsi="Arial Narrow"/>
                <w:b/>
                <w:bCs/>
                <w:iCs/>
                <w:sz w:val="20"/>
                <w:szCs w:val="20"/>
              </w:rPr>
              <w:t>50-69 2RF</w:t>
            </w:r>
            <w:r w:rsidR="00DE353A">
              <w:rPr>
                <w:rFonts w:ascii="Arial Narrow" w:hAnsi="Arial Narrow"/>
                <w:b/>
                <w:bCs/>
                <w:iCs/>
                <w:sz w:val="20"/>
                <w:szCs w:val="20"/>
              </w:rPr>
              <w:t xml:space="preserve"> </w:t>
            </w:r>
            <w:r w:rsidR="00DE353A">
              <w:rPr>
                <w:rFonts w:ascii="Arial Narrow" w:hAnsi="Arial Narrow"/>
                <w:b/>
                <w:bCs/>
                <w:sz w:val="20"/>
                <w:szCs w:val="20"/>
              </w:rPr>
              <w:t>($)</w:t>
            </w:r>
          </w:p>
        </w:tc>
      </w:tr>
      <w:tr w:rsidR="00940332" w:rsidRPr="00D16A97" w14:paraId="056F30EF" w14:textId="77777777" w:rsidTr="00192D14">
        <w:trPr>
          <w:trHeight w:val="300"/>
        </w:trPr>
        <w:tc>
          <w:tcPr>
            <w:tcW w:w="1703" w:type="dxa"/>
            <w:noWrap/>
            <w:hideMark/>
          </w:tcPr>
          <w:p w14:paraId="1E21F2F9"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Base case</w:t>
            </w:r>
          </w:p>
          <w:p w14:paraId="177309A9"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397,351 units</w:t>
            </w:r>
          </w:p>
        </w:tc>
        <w:tc>
          <w:tcPr>
            <w:tcW w:w="1228" w:type="dxa"/>
            <w:vAlign w:val="center"/>
          </w:tcPr>
          <w:p w14:paraId="33464BA6" w14:textId="695BF1F1"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6"/>
                <w:sz w:val="20"/>
                <w:szCs w:val="20"/>
                <w:shd w:val="solid" w:color="000000" w:fill="000000"/>
                <w:fitText w:val="75" w:id="-1031606523"/>
                <w14:textFill>
                  <w14:solidFill>
                    <w14:srgbClr w14:val="000000">
                      <w14:alpha w14:val="100000"/>
                    </w14:srgbClr>
                  </w14:solidFill>
                </w14:textFill>
              </w:rPr>
              <w:t xml:space="preserve">　</w:t>
            </w:r>
            <w:r w:rsidR="0003145F" w:rsidRPr="0003145F">
              <w:rPr>
                <w:rFonts w:ascii="Arial Narrow" w:hAnsi="Arial Narrow"/>
                <w:color w:val="000000"/>
                <w:w w:val="16"/>
                <w:sz w:val="20"/>
                <w:szCs w:val="20"/>
                <w:shd w:val="solid" w:color="000000" w:fill="000000"/>
                <w:fitText w:val="75" w:id="-1031606523"/>
                <w14:textFill>
                  <w14:solidFill>
                    <w14:srgbClr w14:val="000000">
                      <w14:alpha w14:val="100000"/>
                    </w14:srgbClr>
                  </w14:solidFill>
                </w14:textFill>
              </w:rPr>
              <w:t>|</w:t>
            </w:r>
            <w:r w:rsidR="0003145F" w:rsidRPr="0003145F">
              <w:rPr>
                <w:rFonts w:ascii="Arial Narrow" w:hAnsi="Arial Narrow" w:hint="eastAsia"/>
                <w:color w:val="000000"/>
                <w:spacing w:val="5"/>
                <w:w w:val="16"/>
                <w:sz w:val="20"/>
                <w:szCs w:val="20"/>
                <w:shd w:val="solid" w:color="000000" w:fill="000000"/>
                <w:fitText w:val="75" w:id="-1031606523"/>
                <w14:textFill>
                  <w14:solidFill>
                    <w14:srgbClr w14:val="000000">
                      <w14:alpha w14:val="100000"/>
                    </w14:srgbClr>
                  </w14:solidFill>
                </w14:textFill>
              </w:rPr>
              <w:t xml:space="preserve">　</w:t>
            </w:r>
          </w:p>
        </w:tc>
        <w:tc>
          <w:tcPr>
            <w:tcW w:w="1140" w:type="dxa"/>
            <w:vAlign w:val="center"/>
          </w:tcPr>
          <w:p w14:paraId="2AD0DC13" w14:textId="78196F76"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22"/>
                <w:sz w:val="20"/>
                <w:szCs w:val="20"/>
                <w:shd w:val="solid" w:color="000000" w:fill="000000"/>
                <w:fitText w:val="101" w:id="-1031606522"/>
                <w14:textFill>
                  <w14:solidFill>
                    <w14:srgbClr w14:val="000000">
                      <w14:alpha w14:val="100000"/>
                    </w14:srgbClr>
                  </w14:solidFill>
                </w14:textFill>
              </w:rPr>
              <w:t xml:space="preserve">　</w:t>
            </w:r>
            <w:r w:rsidR="0003145F" w:rsidRPr="0003145F">
              <w:rPr>
                <w:rFonts w:ascii="Arial Narrow" w:hAnsi="Arial Narrow"/>
                <w:color w:val="000000"/>
                <w:w w:val="22"/>
                <w:sz w:val="20"/>
                <w:szCs w:val="20"/>
                <w:shd w:val="solid" w:color="000000" w:fill="000000"/>
                <w:fitText w:val="101" w:id="-1031606522"/>
                <w14:textFill>
                  <w14:solidFill>
                    <w14:srgbClr w14:val="000000">
                      <w14:alpha w14:val="100000"/>
                    </w14:srgbClr>
                  </w14:solidFill>
                </w14:textFill>
              </w:rPr>
              <w:t>|</w:t>
            </w:r>
            <w:r w:rsidR="0003145F" w:rsidRPr="0003145F">
              <w:rPr>
                <w:rFonts w:ascii="Arial Narrow" w:hAnsi="Arial Narrow" w:hint="eastAsia"/>
                <w:color w:val="000000"/>
                <w:spacing w:val="4"/>
                <w:w w:val="22"/>
                <w:sz w:val="20"/>
                <w:szCs w:val="20"/>
                <w:shd w:val="solid" w:color="000000" w:fill="000000"/>
                <w:fitText w:val="101" w:id="-1031606522"/>
                <w14:textFill>
                  <w14:solidFill>
                    <w14:srgbClr w14:val="000000">
                      <w14:alpha w14:val="100000"/>
                    </w14:srgbClr>
                  </w14:solidFill>
                </w14:textFill>
              </w:rPr>
              <w:t xml:space="preserve">　</w:t>
            </w:r>
          </w:p>
        </w:tc>
        <w:tc>
          <w:tcPr>
            <w:tcW w:w="1141" w:type="dxa"/>
            <w:vAlign w:val="center"/>
          </w:tcPr>
          <w:p w14:paraId="2997844B" w14:textId="77777777" w:rsidR="00940332" w:rsidRPr="00D16A97" w:rsidRDefault="00940332" w:rsidP="00192D14">
            <w:pPr>
              <w:keepNext/>
              <w:spacing w:line="259" w:lineRule="auto"/>
              <w:jc w:val="center"/>
              <w:rPr>
                <w:rFonts w:ascii="Arial Narrow" w:hAnsi="Arial Narrow"/>
                <w:sz w:val="20"/>
                <w:szCs w:val="20"/>
              </w:rPr>
            </w:pPr>
            <w:r w:rsidRPr="00D16A97">
              <w:rPr>
                <w:rFonts w:ascii="Arial Narrow" w:hAnsi="Arial Narrow"/>
                <w:sz w:val="20"/>
                <w:szCs w:val="20"/>
              </w:rPr>
              <w:t>0.0545</w:t>
            </w:r>
          </w:p>
        </w:tc>
        <w:tc>
          <w:tcPr>
            <w:tcW w:w="1020" w:type="dxa"/>
            <w:noWrap/>
            <w:vAlign w:val="center"/>
            <w:hideMark/>
          </w:tcPr>
          <w:p w14:paraId="34BAFE59" w14:textId="3675BDBE" w:rsidR="00940332" w:rsidRPr="00DE353A" w:rsidRDefault="005C2556" w:rsidP="00192D14">
            <w:pPr>
              <w:keepNext/>
              <w:spacing w:line="259" w:lineRule="auto"/>
              <w:jc w:val="center"/>
              <w:rPr>
                <w:rFonts w:ascii="Arial Narrow" w:hAnsi="Arial Narrow"/>
                <w:sz w:val="20"/>
                <w:szCs w:val="20"/>
                <w:highlight w:val="darkGray"/>
                <w:vertAlign w:val="superscript"/>
              </w:rPr>
            </w:pPr>
            <w:r w:rsidRPr="005C2556">
              <w:rPr>
                <w:rFonts w:ascii="Arial Narrow" w:hAnsi="Arial Narrow"/>
                <w:sz w:val="20"/>
                <w:szCs w:val="20"/>
              </w:rPr>
              <w:t xml:space="preserve"> </w:t>
            </w:r>
            <w:r w:rsidR="0003145F" w:rsidRPr="0003145F">
              <w:rPr>
                <w:rFonts w:ascii="Arial Narrow" w:hAnsi="Arial Narrow"/>
                <w:color w:val="000000"/>
                <w:spacing w:val="114"/>
                <w:sz w:val="20"/>
                <w:szCs w:val="20"/>
                <w:shd w:val="solid" w:color="000000" w:fill="000000"/>
                <w:fitText w:val="200" w:id="-1031606521"/>
                <w14:textFill>
                  <w14:solidFill>
                    <w14:srgbClr w14:val="000000">
                      <w14:alpha w14:val="100000"/>
                    </w14:srgbClr>
                  </w14:solidFill>
                </w14:textFill>
              </w:rPr>
              <w:t>|</w:t>
            </w:r>
            <w:r w:rsidR="0003145F" w:rsidRPr="0003145F">
              <w:rPr>
                <w:rFonts w:ascii="Arial Narrow" w:hAnsi="Arial Narrow"/>
                <w:color w:val="000000"/>
                <w:spacing w:val="1"/>
                <w:sz w:val="20"/>
                <w:szCs w:val="20"/>
                <w:shd w:val="solid" w:color="000000" w:fill="000000"/>
                <w:fitText w:val="200" w:id="-1031606521"/>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882" w:type="dxa"/>
            <w:noWrap/>
            <w:vAlign w:val="center"/>
            <w:hideMark/>
          </w:tcPr>
          <w:p w14:paraId="04BC72A7" w14:textId="4E4C1236"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190"/>
                <w:sz w:val="20"/>
                <w:szCs w:val="20"/>
                <w:shd w:val="solid" w:color="000000" w:fill="000000"/>
                <w:fitText w:val="276" w:id="-1031606520"/>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76" w:id="-1031606520"/>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951" w:type="dxa"/>
            <w:vAlign w:val="center"/>
          </w:tcPr>
          <w:p w14:paraId="4C872DBC" w14:textId="6208A95B"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19"/>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19"/>
                <w14:textFill>
                  <w14:solidFill>
                    <w14:srgbClr w14:val="000000">
                      <w14:alpha w14:val="100000"/>
                    </w14:srgbClr>
                  </w14:solidFill>
                </w14:textFill>
              </w:rPr>
              <w:t>|</w:t>
            </w:r>
            <w:r w:rsidR="00DE353A">
              <w:rPr>
                <w:rFonts w:ascii="Arial Narrow" w:hAnsi="Arial Narrow"/>
                <w:sz w:val="20"/>
                <w:szCs w:val="20"/>
                <w:vertAlign w:val="superscript"/>
              </w:rPr>
              <w:t>2</w:t>
            </w:r>
          </w:p>
        </w:tc>
        <w:tc>
          <w:tcPr>
            <w:tcW w:w="952" w:type="dxa"/>
            <w:noWrap/>
            <w:vAlign w:val="center"/>
            <w:hideMark/>
          </w:tcPr>
          <w:p w14:paraId="78F2608E" w14:textId="46EA3F32" w:rsidR="00940332" w:rsidRPr="00DE353A" w:rsidRDefault="005C2556" w:rsidP="00192D14">
            <w:pPr>
              <w:keepNext/>
              <w:spacing w:line="259" w:lineRule="auto"/>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18"/>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18"/>
                <w14:textFill>
                  <w14:solidFill>
                    <w14:srgbClr w14:val="000000">
                      <w14:alpha w14:val="100000"/>
                    </w14:srgbClr>
                  </w14:solidFill>
                </w14:textFill>
              </w:rPr>
              <w:t>|</w:t>
            </w:r>
            <w:r w:rsidR="00DE353A">
              <w:rPr>
                <w:rFonts w:ascii="Arial Narrow" w:hAnsi="Arial Narrow"/>
                <w:sz w:val="20"/>
                <w:szCs w:val="20"/>
                <w:vertAlign w:val="superscript"/>
              </w:rPr>
              <w:t>3</w:t>
            </w:r>
          </w:p>
        </w:tc>
      </w:tr>
      <w:tr w:rsidR="00940332" w:rsidRPr="00D16A97" w14:paraId="724391E9" w14:textId="77777777" w:rsidTr="00192D14">
        <w:trPr>
          <w:trHeight w:val="315"/>
        </w:trPr>
        <w:tc>
          <w:tcPr>
            <w:tcW w:w="1703" w:type="dxa"/>
            <w:noWrap/>
            <w:hideMark/>
          </w:tcPr>
          <w:p w14:paraId="15B4F25B"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Low</w:t>
            </w:r>
          </w:p>
          <w:p w14:paraId="59C24301"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227,344 units</w:t>
            </w:r>
          </w:p>
        </w:tc>
        <w:tc>
          <w:tcPr>
            <w:tcW w:w="1228" w:type="dxa"/>
            <w:vAlign w:val="center"/>
          </w:tcPr>
          <w:p w14:paraId="0C91752D" w14:textId="7FAD8D54"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6"/>
                <w:sz w:val="20"/>
                <w:szCs w:val="20"/>
                <w:shd w:val="solid" w:color="000000" w:fill="000000"/>
                <w:fitText w:val="75" w:id="-1031606517"/>
                <w14:textFill>
                  <w14:solidFill>
                    <w14:srgbClr w14:val="000000">
                      <w14:alpha w14:val="100000"/>
                    </w14:srgbClr>
                  </w14:solidFill>
                </w14:textFill>
              </w:rPr>
              <w:t xml:space="preserve">　</w:t>
            </w:r>
            <w:r w:rsidR="0003145F" w:rsidRPr="0003145F">
              <w:rPr>
                <w:rFonts w:ascii="Arial Narrow" w:hAnsi="Arial Narrow"/>
                <w:color w:val="000000"/>
                <w:w w:val="16"/>
                <w:sz w:val="20"/>
                <w:szCs w:val="20"/>
                <w:shd w:val="solid" w:color="000000" w:fill="000000"/>
                <w:fitText w:val="75" w:id="-1031606517"/>
                <w14:textFill>
                  <w14:solidFill>
                    <w14:srgbClr w14:val="000000">
                      <w14:alpha w14:val="100000"/>
                    </w14:srgbClr>
                  </w14:solidFill>
                </w14:textFill>
              </w:rPr>
              <w:t>|</w:t>
            </w:r>
            <w:r w:rsidR="0003145F" w:rsidRPr="0003145F">
              <w:rPr>
                <w:rFonts w:ascii="Arial Narrow" w:hAnsi="Arial Narrow" w:hint="eastAsia"/>
                <w:color w:val="000000"/>
                <w:spacing w:val="5"/>
                <w:w w:val="16"/>
                <w:sz w:val="20"/>
                <w:szCs w:val="20"/>
                <w:shd w:val="solid" w:color="000000" w:fill="000000"/>
                <w:fitText w:val="75" w:id="-1031606517"/>
                <w14:textFill>
                  <w14:solidFill>
                    <w14:srgbClr w14:val="000000">
                      <w14:alpha w14:val="100000"/>
                    </w14:srgbClr>
                  </w14:solidFill>
                </w14:textFill>
              </w:rPr>
              <w:t xml:space="preserve">　</w:t>
            </w:r>
          </w:p>
        </w:tc>
        <w:tc>
          <w:tcPr>
            <w:tcW w:w="1140" w:type="dxa"/>
            <w:vAlign w:val="center"/>
          </w:tcPr>
          <w:p w14:paraId="434903D5" w14:textId="552230E3"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22"/>
                <w:sz w:val="20"/>
                <w:szCs w:val="20"/>
                <w:shd w:val="solid" w:color="000000" w:fill="000000"/>
                <w:fitText w:val="101" w:id="-1031606516"/>
                <w14:textFill>
                  <w14:solidFill>
                    <w14:srgbClr w14:val="000000">
                      <w14:alpha w14:val="100000"/>
                    </w14:srgbClr>
                  </w14:solidFill>
                </w14:textFill>
              </w:rPr>
              <w:t xml:space="preserve">　</w:t>
            </w:r>
            <w:r w:rsidR="0003145F" w:rsidRPr="0003145F">
              <w:rPr>
                <w:rFonts w:ascii="Arial Narrow" w:hAnsi="Arial Narrow"/>
                <w:color w:val="000000"/>
                <w:w w:val="22"/>
                <w:sz w:val="20"/>
                <w:szCs w:val="20"/>
                <w:shd w:val="solid" w:color="000000" w:fill="000000"/>
                <w:fitText w:val="101" w:id="-1031606516"/>
                <w14:textFill>
                  <w14:solidFill>
                    <w14:srgbClr w14:val="000000">
                      <w14:alpha w14:val="100000"/>
                    </w14:srgbClr>
                  </w14:solidFill>
                </w14:textFill>
              </w:rPr>
              <w:t>|</w:t>
            </w:r>
            <w:r w:rsidR="0003145F" w:rsidRPr="0003145F">
              <w:rPr>
                <w:rFonts w:ascii="Arial Narrow" w:hAnsi="Arial Narrow" w:hint="eastAsia"/>
                <w:color w:val="000000"/>
                <w:spacing w:val="4"/>
                <w:w w:val="22"/>
                <w:sz w:val="20"/>
                <w:szCs w:val="20"/>
                <w:shd w:val="solid" w:color="000000" w:fill="000000"/>
                <w:fitText w:val="101" w:id="-1031606516"/>
                <w14:textFill>
                  <w14:solidFill>
                    <w14:srgbClr w14:val="000000">
                      <w14:alpha w14:val="100000"/>
                    </w14:srgbClr>
                  </w14:solidFill>
                </w14:textFill>
              </w:rPr>
              <w:t xml:space="preserve">　</w:t>
            </w:r>
          </w:p>
        </w:tc>
        <w:tc>
          <w:tcPr>
            <w:tcW w:w="1141" w:type="dxa"/>
            <w:vAlign w:val="center"/>
          </w:tcPr>
          <w:p w14:paraId="6324DCF7" w14:textId="77777777" w:rsidR="00940332" w:rsidRPr="00D16A97" w:rsidRDefault="00940332" w:rsidP="00192D14">
            <w:pPr>
              <w:keepNext/>
              <w:spacing w:line="259" w:lineRule="auto"/>
              <w:jc w:val="center"/>
              <w:rPr>
                <w:rFonts w:ascii="Arial Narrow" w:hAnsi="Arial Narrow"/>
                <w:sz w:val="20"/>
                <w:szCs w:val="20"/>
              </w:rPr>
            </w:pPr>
            <w:r w:rsidRPr="00D16A97">
              <w:rPr>
                <w:rFonts w:ascii="Arial Narrow" w:hAnsi="Arial Narrow"/>
                <w:sz w:val="20"/>
                <w:szCs w:val="20"/>
              </w:rPr>
              <w:t>0.0545</w:t>
            </w:r>
          </w:p>
        </w:tc>
        <w:tc>
          <w:tcPr>
            <w:tcW w:w="1020" w:type="dxa"/>
            <w:noWrap/>
            <w:vAlign w:val="center"/>
            <w:hideMark/>
          </w:tcPr>
          <w:p w14:paraId="183DE0BA" w14:textId="5E8A7520"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pacing w:val="114"/>
                <w:sz w:val="20"/>
                <w:szCs w:val="20"/>
                <w:shd w:val="solid" w:color="000000" w:fill="000000"/>
                <w:fitText w:val="200" w:id="-1031606515"/>
                <w14:textFill>
                  <w14:solidFill>
                    <w14:srgbClr w14:val="000000">
                      <w14:alpha w14:val="100000"/>
                    </w14:srgbClr>
                  </w14:solidFill>
                </w14:textFill>
              </w:rPr>
              <w:t>|</w:t>
            </w:r>
            <w:r w:rsidR="0003145F" w:rsidRPr="0003145F">
              <w:rPr>
                <w:rFonts w:ascii="Arial Narrow" w:hAnsi="Arial Narrow"/>
                <w:color w:val="000000"/>
                <w:spacing w:val="1"/>
                <w:sz w:val="20"/>
                <w:szCs w:val="20"/>
                <w:shd w:val="solid" w:color="000000" w:fill="000000"/>
                <w:fitText w:val="200" w:id="-1031606515"/>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882" w:type="dxa"/>
            <w:noWrap/>
            <w:vAlign w:val="center"/>
            <w:hideMark/>
          </w:tcPr>
          <w:p w14:paraId="18E2EFC0" w14:textId="23931AA3"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190"/>
                <w:sz w:val="20"/>
                <w:szCs w:val="20"/>
                <w:shd w:val="solid" w:color="000000" w:fill="000000"/>
                <w:fitText w:val="276" w:id="-1031606514"/>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76" w:id="-1031606514"/>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951" w:type="dxa"/>
            <w:vAlign w:val="center"/>
          </w:tcPr>
          <w:p w14:paraId="55146AB8" w14:textId="21D90B08"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13"/>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13"/>
                <w14:textFill>
                  <w14:solidFill>
                    <w14:srgbClr w14:val="000000">
                      <w14:alpha w14:val="100000"/>
                    </w14:srgbClr>
                  </w14:solidFill>
                </w14:textFill>
              </w:rPr>
              <w:t>|</w:t>
            </w:r>
            <w:r w:rsidR="00DE353A">
              <w:rPr>
                <w:rFonts w:ascii="Arial Narrow" w:hAnsi="Arial Narrow"/>
                <w:sz w:val="20"/>
                <w:szCs w:val="20"/>
                <w:vertAlign w:val="superscript"/>
              </w:rPr>
              <w:t>2</w:t>
            </w:r>
          </w:p>
        </w:tc>
        <w:tc>
          <w:tcPr>
            <w:tcW w:w="952" w:type="dxa"/>
            <w:noWrap/>
            <w:vAlign w:val="center"/>
            <w:hideMark/>
          </w:tcPr>
          <w:p w14:paraId="0B4F0A1C" w14:textId="0320A897" w:rsidR="00940332" w:rsidRPr="00DE353A" w:rsidRDefault="005C2556" w:rsidP="00192D14">
            <w:pPr>
              <w:keepNext/>
              <w:spacing w:line="259" w:lineRule="auto"/>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12"/>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12"/>
                <w14:textFill>
                  <w14:solidFill>
                    <w14:srgbClr w14:val="000000">
                      <w14:alpha w14:val="100000"/>
                    </w14:srgbClr>
                  </w14:solidFill>
                </w14:textFill>
              </w:rPr>
              <w:t>|</w:t>
            </w:r>
            <w:r w:rsidR="00351901">
              <w:rPr>
                <w:rFonts w:ascii="Arial Narrow" w:hAnsi="Arial Narrow"/>
                <w:sz w:val="20"/>
                <w:szCs w:val="20"/>
                <w:vertAlign w:val="superscript"/>
              </w:rPr>
              <w:t>3</w:t>
            </w:r>
          </w:p>
        </w:tc>
      </w:tr>
      <w:tr w:rsidR="00940332" w:rsidRPr="00D16A97" w14:paraId="1B82E76F" w14:textId="77777777" w:rsidTr="00192D14">
        <w:trPr>
          <w:trHeight w:val="300"/>
        </w:trPr>
        <w:tc>
          <w:tcPr>
            <w:tcW w:w="1703" w:type="dxa"/>
            <w:noWrap/>
            <w:hideMark/>
          </w:tcPr>
          <w:p w14:paraId="25418B43"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Med</w:t>
            </w:r>
          </w:p>
          <w:p w14:paraId="5E88474E"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595,862 units</w:t>
            </w:r>
          </w:p>
        </w:tc>
        <w:tc>
          <w:tcPr>
            <w:tcW w:w="1228" w:type="dxa"/>
            <w:vAlign w:val="center"/>
          </w:tcPr>
          <w:p w14:paraId="2D245D7E" w14:textId="5D2DF5E2"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6"/>
                <w:sz w:val="20"/>
                <w:szCs w:val="20"/>
                <w:shd w:val="solid" w:color="000000" w:fill="000000"/>
                <w:fitText w:val="75" w:id="-1031606528"/>
                <w14:textFill>
                  <w14:solidFill>
                    <w14:srgbClr w14:val="000000">
                      <w14:alpha w14:val="100000"/>
                    </w14:srgbClr>
                  </w14:solidFill>
                </w14:textFill>
              </w:rPr>
              <w:t xml:space="preserve">　</w:t>
            </w:r>
            <w:r w:rsidR="0003145F" w:rsidRPr="0003145F">
              <w:rPr>
                <w:rFonts w:ascii="Arial Narrow" w:hAnsi="Arial Narrow"/>
                <w:color w:val="000000"/>
                <w:w w:val="16"/>
                <w:sz w:val="20"/>
                <w:szCs w:val="20"/>
                <w:shd w:val="solid" w:color="000000" w:fill="000000"/>
                <w:fitText w:val="75" w:id="-1031606528"/>
                <w14:textFill>
                  <w14:solidFill>
                    <w14:srgbClr w14:val="000000">
                      <w14:alpha w14:val="100000"/>
                    </w14:srgbClr>
                  </w14:solidFill>
                </w14:textFill>
              </w:rPr>
              <w:t>|</w:t>
            </w:r>
            <w:r w:rsidR="0003145F" w:rsidRPr="0003145F">
              <w:rPr>
                <w:rFonts w:ascii="Arial Narrow" w:hAnsi="Arial Narrow" w:hint="eastAsia"/>
                <w:color w:val="000000"/>
                <w:spacing w:val="5"/>
                <w:w w:val="16"/>
                <w:sz w:val="20"/>
                <w:szCs w:val="20"/>
                <w:shd w:val="solid" w:color="000000" w:fill="000000"/>
                <w:fitText w:val="75" w:id="-1031606528"/>
                <w14:textFill>
                  <w14:solidFill>
                    <w14:srgbClr w14:val="000000">
                      <w14:alpha w14:val="100000"/>
                    </w14:srgbClr>
                  </w14:solidFill>
                </w14:textFill>
              </w:rPr>
              <w:t xml:space="preserve">　</w:t>
            </w:r>
          </w:p>
        </w:tc>
        <w:tc>
          <w:tcPr>
            <w:tcW w:w="1140" w:type="dxa"/>
            <w:vAlign w:val="center"/>
          </w:tcPr>
          <w:p w14:paraId="672382AA" w14:textId="2F0B6B80"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22"/>
                <w:sz w:val="20"/>
                <w:szCs w:val="20"/>
                <w:shd w:val="solid" w:color="000000" w:fill="000000"/>
                <w:fitText w:val="101" w:id="-1031606527"/>
                <w14:textFill>
                  <w14:solidFill>
                    <w14:srgbClr w14:val="000000">
                      <w14:alpha w14:val="100000"/>
                    </w14:srgbClr>
                  </w14:solidFill>
                </w14:textFill>
              </w:rPr>
              <w:t xml:space="preserve">　</w:t>
            </w:r>
            <w:r w:rsidR="0003145F" w:rsidRPr="0003145F">
              <w:rPr>
                <w:rFonts w:ascii="Arial Narrow" w:hAnsi="Arial Narrow"/>
                <w:color w:val="000000"/>
                <w:w w:val="22"/>
                <w:sz w:val="20"/>
                <w:szCs w:val="20"/>
                <w:shd w:val="solid" w:color="000000" w:fill="000000"/>
                <w:fitText w:val="101" w:id="-1031606527"/>
                <w14:textFill>
                  <w14:solidFill>
                    <w14:srgbClr w14:val="000000">
                      <w14:alpha w14:val="100000"/>
                    </w14:srgbClr>
                  </w14:solidFill>
                </w14:textFill>
              </w:rPr>
              <w:t>|</w:t>
            </w:r>
            <w:r w:rsidR="0003145F" w:rsidRPr="0003145F">
              <w:rPr>
                <w:rFonts w:ascii="Arial Narrow" w:hAnsi="Arial Narrow" w:hint="eastAsia"/>
                <w:color w:val="000000"/>
                <w:spacing w:val="4"/>
                <w:w w:val="22"/>
                <w:sz w:val="20"/>
                <w:szCs w:val="20"/>
                <w:shd w:val="solid" w:color="000000" w:fill="000000"/>
                <w:fitText w:val="101" w:id="-1031606527"/>
                <w14:textFill>
                  <w14:solidFill>
                    <w14:srgbClr w14:val="000000">
                      <w14:alpha w14:val="100000"/>
                    </w14:srgbClr>
                  </w14:solidFill>
                </w14:textFill>
              </w:rPr>
              <w:t xml:space="preserve">　</w:t>
            </w:r>
          </w:p>
        </w:tc>
        <w:tc>
          <w:tcPr>
            <w:tcW w:w="1141" w:type="dxa"/>
            <w:vAlign w:val="center"/>
          </w:tcPr>
          <w:p w14:paraId="58589011" w14:textId="77777777" w:rsidR="00940332" w:rsidRPr="00D16A97" w:rsidRDefault="00940332" w:rsidP="00192D14">
            <w:pPr>
              <w:keepNext/>
              <w:spacing w:line="259" w:lineRule="auto"/>
              <w:jc w:val="center"/>
              <w:rPr>
                <w:rFonts w:ascii="Arial Narrow" w:hAnsi="Arial Narrow"/>
                <w:sz w:val="20"/>
                <w:szCs w:val="20"/>
              </w:rPr>
            </w:pPr>
            <w:r w:rsidRPr="00D16A97">
              <w:rPr>
                <w:rFonts w:ascii="Arial Narrow" w:hAnsi="Arial Narrow"/>
                <w:sz w:val="20"/>
                <w:szCs w:val="20"/>
              </w:rPr>
              <w:t>0.0545</w:t>
            </w:r>
          </w:p>
        </w:tc>
        <w:tc>
          <w:tcPr>
            <w:tcW w:w="1020" w:type="dxa"/>
            <w:noWrap/>
            <w:vAlign w:val="center"/>
            <w:hideMark/>
          </w:tcPr>
          <w:p w14:paraId="589BD3FC" w14:textId="34C31302"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pacing w:val="114"/>
                <w:sz w:val="20"/>
                <w:szCs w:val="20"/>
                <w:shd w:val="solid" w:color="000000" w:fill="000000"/>
                <w:fitText w:val="200" w:id="-1031606526"/>
                <w14:textFill>
                  <w14:solidFill>
                    <w14:srgbClr w14:val="000000">
                      <w14:alpha w14:val="100000"/>
                    </w14:srgbClr>
                  </w14:solidFill>
                </w14:textFill>
              </w:rPr>
              <w:t>|</w:t>
            </w:r>
            <w:r w:rsidR="0003145F" w:rsidRPr="0003145F">
              <w:rPr>
                <w:rFonts w:ascii="Arial Narrow" w:hAnsi="Arial Narrow"/>
                <w:color w:val="000000"/>
                <w:spacing w:val="1"/>
                <w:sz w:val="20"/>
                <w:szCs w:val="20"/>
                <w:shd w:val="solid" w:color="000000" w:fill="000000"/>
                <w:fitText w:val="200" w:id="-1031606526"/>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882" w:type="dxa"/>
            <w:noWrap/>
            <w:vAlign w:val="center"/>
            <w:hideMark/>
          </w:tcPr>
          <w:p w14:paraId="6D205564" w14:textId="75E6D636"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190"/>
                <w:sz w:val="20"/>
                <w:szCs w:val="20"/>
                <w:shd w:val="solid" w:color="000000" w:fill="000000"/>
                <w:fitText w:val="276" w:id="-1031606525"/>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76" w:id="-1031606525"/>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951" w:type="dxa"/>
            <w:vAlign w:val="center"/>
          </w:tcPr>
          <w:p w14:paraId="0C78DE48" w14:textId="77E349DD"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24"/>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24"/>
                <w14:textFill>
                  <w14:solidFill>
                    <w14:srgbClr w14:val="000000">
                      <w14:alpha w14:val="100000"/>
                    </w14:srgbClr>
                  </w14:solidFill>
                </w14:textFill>
              </w:rPr>
              <w:t>|</w:t>
            </w:r>
            <w:r w:rsidR="00DE353A">
              <w:rPr>
                <w:rFonts w:ascii="Arial Narrow" w:hAnsi="Arial Narrow"/>
                <w:sz w:val="20"/>
                <w:szCs w:val="20"/>
                <w:vertAlign w:val="superscript"/>
              </w:rPr>
              <w:t>2</w:t>
            </w:r>
          </w:p>
        </w:tc>
        <w:tc>
          <w:tcPr>
            <w:tcW w:w="952" w:type="dxa"/>
            <w:noWrap/>
            <w:vAlign w:val="center"/>
            <w:hideMark/>
          </w:tcPr>
          <w:p w14:paraId="13F43ADD" w14:textId="07564194" w:rsidR="00940332" w:rsidRPr="00DE353A" w:rsidRDefault="005C2556" w:rsidP="00192D14">
            <w:pPr>
              <w:keepNext/>
              <w:spacing w:line="259" w:lineRule="auto"/>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23"/>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23"/>
                <w14:textFill>
                  <w14:solidFill>
                    <w14:srgbClr w14:val="000000">
                      <w14:alpha w14:val="100000"/>
                    </w14:srgbClr>
                  </w14:solidFill>
                </w14:textFill>
              </w:rPr>
              <w:t>|</w:t>
            </w:r>
            <w:r w:rsidR="00351901">
              <w:rPr>
                <w:rFonts w:ascii="Arial Narrow" w:hAnsi="Arial Narrow"/>
                <w:sz w:val="20"/>
                <w:szCs w:val="20"/>
                <w:vertAlign w:val="superscript"/>
              </w:rPr>
              <w:t>4</w:t>
            </w:r>
          </w:p>
        </w:tc>
      </w:tr>
      <w:tr w:rsidR="00940332" w:rsidRPr="00D16A97" w14:paraId="736A21E0" w14:textId="77777777" w:rsidTr="00192D14">
        <w:trPr>
          <w:trHeight w:val="300"/>
        </w:trPr>
        <w:tc>
          <w:tcPr>
            <w:tcW w:w="1703" w:type="dxa"/>
            <w:noWrap/>
            <w:hideMark/>
          </w:tcPr>
          <w:p w14:paraId="07F55B2E"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High</w:t>
            </w:r>
          </w:p>
          <w:p w14:paraId="6AB79C9F" w14:textId="77777777" w:rsidR="00940332" w:rsidRPr="00D16A97" w:rsidRDefault="00940332" w:rsidP="00192D14">
            <w:pPr>
              <w:keepNext/>
              <w:spacing w:line="259" w:lineRule="auto"/>
              <w:rPr>
                <w:rFonts w:ascii="Arial Narrow" w:hAnsi="Arial Narrow"/>
                <w:b/>
                <w:bCs/>
                <w:sz w:val="20"/>
                <w:szCs w:val="20"/>
              </w:rPr>
            </w:pPr>
            <w:r w:rsidRPr="00D16A97">
              <w:rPr>
                <w:rFonts w:ascii="Arial Narrow" w:hAnsi="Arial Narrow"/>
                <w:b/>
                <w:bCs/>
                <w:sz w:val="20"/>
                <w:szCs w:val="20"/>
              </w:rPr>
              <w:t>784,658 units</w:t>
            </w:r>
          </w:p>
        </w:tc>
        <w:tc>
          <w:tcPr>
            <w:tcW w:w="1228" w:type="dxa"/>
            <w:vAlign w:val="center"/>
          </w:tcPr>
          <w:p w14:paraId="21006059" w14:textId="20A95CF4"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6"/>
                <w:sz w:val="20"/>
                <w:szCs w:val="20"/>
                <w:shd w:val="solid" w:color="000000" w:fill="000000"/>
                <w:fitText w:val="75" w:id="-1031606522"/>
                <w14:textFill>
                  <w14:solidFill>
                    <w14:srgbClr w14:val="000000">
                      <w14:alpha w14:val="100000"/>
                    </w14:srgbClr>
                  </w14:solidFill>
                </w14:textFill>
              </w:rPr>
              <w:t xml:space="preserve">　</w:t>
            </w:r>
            <w:r w:rsidR="0003145F" w:rsidRPr="0003145F">
              <w:rPr>
                <w:rFonts w:ascii="Arial Narrow" w:hAnsi="Arial Narrow"/>
                <w:color w:val="000000"/>
                <w:w w:val="16"/>
                <w:sz w:val="20"/>
                <w:szCs w:val="20"/>
                <w:shd w:val="solid" w:color="000000" w:fill="000000"/>
                <w:fitText w:val="75" w:id="-1031606522"/>
                <w14:textFill>
                  <w14:solidFill>
                    <w14:srgbClr w14:val="000000">
                      <w14:alpha w14:val="100000"/>
                    </w14:srgbClr>
                  </w14:solidFill>
                </w14:textFill>
              </w:rPr>
              <w:t>|</w:t>
            </w:r>
            <w:r w:rsidR="0003145F" w:rsidRPr="0003145F">
              <w:rPr>
                <w:rFonts w:ascii="Arial Narrow" w:hAnsi="Arial Narrow" w:hint="eastAsia"/>
                <w:color w:val="000000"/>
                <w:spacing w:val="5"/>
                <w:w w:val="16"/>
                <w:sz w:val="20"/>
                <w:szCs w:val="20"/>
                <w:shd w:val="solid" w:color="000000" w:fill="000000"/>
                <w:fitText w:val="75" w:id="-1031606522"/>
                <w14:textFill>
                  <w14:solidFill>
                    <w14:srgbClr w14:val="000000">
                      <w14:alpha w14:val="100000"/>
                    </w14:srgbClr>
                  </w14:solidFill>
                </w14:textFill>
              </w:rPr>
              <w:t xml:space="preserve">　</w:t>
            </w:r>
          </w:p>
        </w:tc>
        <w:tc>
          <w:tcPr>
            <w:tcW w:w="1140" w:type="dxa"/>
            <w:vAlign w:val="center"/>
          </w:tcPr>
          <w:p w14:paraId="267CEEFB" w14:textId="4FB041DF"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22"/>
                <w:sz w:val="20"/>
                <w:szCs w:val="20"/>
                <w:shd w:val="solid" w:color="000000" w:fill="000000"/>
                <w:fitText w:val="101" w:id="-1031606521"/>
                <w14:textFill>
                  <w14:solidFill>
                    <w14:srgbClr w14:val="000000">
                      <w14:alpha w14:val="100000"/>
                    </w14:srgbClr>
                  </w14:solidFill>
                </w14:textFill>
              </w:rPr>
              <w:t xml:space="preserve">　</w:t>
            </w:r>
            <w:r w:rsidR="0003145F" w:rsidRPr="0003145F">
              <w:rPr>
                <w:rFonts w:ascii="Arial Narrow" w:hAnsi="Arial Narrow"/>
                <w:color w:val="000000"/>
                <w:w w:val="22"/>
                <w:sz w:val="20"/>
                <w:szCs w:val="20"/>
                <w:shd w:val="solid" w:color="000000" w:fill="000000"/>
                <w:fitText w:val="101" w:id="-1031606521"/>
                <w14:textFill>
                  <w14:solidFill>
                    <w14:srgbClr w14:val="000000">
                      <w14:alpha w14:val="100000"/>
                    </w14:srgbClr>
                  </w14:solidFill>
                </w14:textFill>
              </w:rPr>
              <w:t>|</w:t>
            </w:r>
            <w:r w:rsidR="0003145F" w:rsidRPr="0003145F">
              <w:rPr>
                <w:rFonts w:ascii="Arial Narrow" w:hAnsi="Arial Narrow" w:hint="eastAsia"/>
                <w:color w:val="000000"/>
                <w:spacing w:val="4"/>
                <w:w w:val="22"/>
                <w:sz w:val="20"/>
                <w:szCs w:val="20"/>
                <w:shd w:val="solid" w:color="000000" w:fill="000000"/>
                <w:fitText w:val="101" w:id="-1031606521"/>
                <w14:textFill>
                  <w14:solidFill>
                    <w14:srgbClr w14:val="000000">
                      <w14:alpha w14:val="100000"/>
                    </w14:srgbClr>
                  </w14:solidFill>
                </w14:textFill>
              </w:rPr>
              <w:t xml:space="preserve">　</w:t>
            </w:r>
          </w:p>
        </w:tc>
        <w:tc>
          <w:tcPr>
            <w:tcW w:w="1141" w:type="dxa"/>
            <w:vAlign w:val="center"/>
          </w:tcPr>
          <w:p w14:paraId="21E8D2F3" w14:textId="77777777" w:rsidR="00940332" w:rsidRPr="00D16A97" w:rsidRDefault="00940332" w:rsidP="00192D14">
            <w:pPr>
              <w:keepNext/>
              <w:spacing w:line="259" w:lineRule="auto"/>
              <w:jc w:val="center"/>
              <w:rPr>
                <w:rFonts w:ascii="Arial Narrow" w:hAnsi="Arial Narrow"/>
                <w:sz w:val="20"/>
                <w:szCs w:val="20"/>
              </w:rPr>
            </w:pPr>
            <w:r w:rsidRPr="00D16A97">
              <w:rPr>
                <w:rFonts w:ascii="Arial Narrow" w:hAnsi="Arial Narrow"/>
                <w:sz w:val="20"/>
                <w:szCs w:val="20"/>
              </w:rPr>
              <w:t>0.0545</w:t>
            </w:r>
          </w:p>
        </w:tc>
        <w:tc>
          <w:tcPr>
            <w:tcW w:w="1020" w:type="dxa"/>
            <w:noWrap/>
            <w:vAlign w:val="center"/>
            <w:hideMark/>
          </w:tcPr>
          <w:p w14:paraId="7BF17DDB" w14:textId="7EC4D271" w:rsidR="00940332" w:rsidRPr="00DE353A"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pacing w:val="114"/>
                <w:sz w:val="20"/>
                <w:szCs w:val="20"/>
                <w:shd w:val="solid" w:color="000000" w:fill="000000"/>
                <w:fitText w:val="200" w:id="-1031606520"/>
                <w14:textFill>
                  <w14:solidFill>
                    <w14:srgbClr w14:val="000000">
                      <w14:alpha w14:val="100000"/>
                    </w14:srgbClr>
                  </w14:solidFill>
                </w14:textFill>
              </w:rPr>
              <w:t>|</w:t>
            </w:r>
            <w:r w:rsidR="0003145F" w:rsidRPr="0003145F">
              <w:rPr>
                <w:rFonts w:ascii="Arial Narrow" w:hAnsi="Arial Narrow"/>
                <w:color w:val="000000"/>
                <w:spacing w:val="1"/>
                <w:sz w:val="20"/>
                <w:szCs w:val="20"/>
                <w:shd w:val="solid" w:color="000000" w:fill="000000"/>
                <w:fitText w:val="200" w:id="-1031606520"/>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882" w:type="dxa"/>
            <w:noWrap/>
            <w:vAlign w:val="center"/>
            <w:hideMark/>
          </w:tcPr>
          <w:p w14:paraId="7A7622A1" w14:textId="69E0F857"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190"/>
                <w:sz w:val="20"/>
                <w:szCs w:val="20"/>
                <w:shd w:val="solid" w:color="000000" w:fill="000000"/>
                <w:fitText w:val="276" w:id="-1031606519"/>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76" w:id="-1031606519"/>
                <w14:textFill>
                  <w14:solidFill>
                    <w14:srgbClr w14:val="000000">
                      <w14:alpha w14:val="100000"/>
                    </w14:srgbClr>
                  </w14:solidFill>
                </w14:textFill>
              </w:rPr>
              <w:t>|</w:t>
            </w:r>
            <w:r w:rsidR="00DE353A" w:rsidRPr="00DE353A">
              <w:rPr>
                <w:rFonts w:ascii="Arial Narrow" w:hAnsi="Arial Narrow"/>
                <w:sz w:val="20"/>
                <w:szCs w:val="20"/>
                <w:vertAlign w:val="superscript"/>
              </w:rPr>
              <w:t>1</w:t>
            </w:r>
          </w:p>
        </w:tc>
        <w:tc>
          <w:tcPr>
            <w:tcW w:w="951" w:type="dxa"/>
            <w:vAlign w:val="center"/>
          </w:tcPr>
          <w:p w14:paraId="211B863B" w14:textId="7CBCE9DE" w:rsidR="00940332" w:rsidRPr="00DE353A" w:rsidRDefault="005C2556" w:rsidP="00192D14">
            <w:pPr>
              <w:keepNext/>
              <w:spacing w:line="259" w:lineRule="auto"/>
              <w:jc w:val="center"/>
              <w:rPr>
                <w:rFonts w:ascii="Arial Narrow" w:hAnsi="Arial Narrow"/>
                <w:i/>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18"/>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18"/>
                <w14:textFill>
                  <w14:solidFill>
                    <w14:srgbClr w14:val="000000">
                      <w14:alpha w14:val="100000"/>
                    </w14:srgbClr>
                  </w14:solidFill>
                </w14:textFill>
              </w:rPr>
              <w:t>|</w:t>
            </w:r>
            <w:r w:rsidR="00DE353A">
              <w:rPr>
                <w:rFonts w:ascii="Arial Narrow" w:hAnsi="Arial Narrow"/>
                <w:sz w:val="20"/>
                <w:szCs w:val="20"/>
                <w:vertAlign w:val="superscript"/>
              </w:rPr>
              <w:t>2</w:t>
            </w:r>
          </w:p>
        </w:tc>
        <w:tc>
          <w:tcPr>
            <w:tcW w:w="952" w:type="dxa"/>
            <w:noWrap/>
            <w:vAlign w:val="center"/>
            <w:hideMark/>
          </w:tcPr>
          <w:p w14:paraId="37F95622" w14:textId="5688E75D" w:rsidR="00940332" w:rsidRPr="00DE353A" w:rsidRDefault="005C2556" w:rsidP="00192D14">
            <w:pPr>
              <w:keepNext/>
              <w:spacing w:line="259" w:lineRule="auto"/>
              <w:jc w:val="center"/>
              <w:rPr>
                <w:rFonts w:ascii="Arial Narrow" w:hAnsi="Arial Narrow"/>
                <w:iCs/>
                <w:sz w:val="20"/>
                <w:szCs w:val="20"/>
                <w:highlight w:val="darkGray"/>
              </w:rPr>
            </w:pPr>
            <w:r w:rsidRPr="005C2556">
              <w:rPr>
                <w:rFonts w:ascii="Arial Narrow" w:hAnsi="Arial Narrow"/>
                <w:iCs/>
                <w:sz w:val="20"/>
                <w:szCs w:val="20"/>
              </w:rPr>
              <w:t xml:space="preserve"> </w:t>
            </w:r>
            <w:r w:rsidR="0003145F" w:rsidRPr="0003145F">
              <w:rPr>
                <w:rFonts w:ascii="Arial Narrow" w:hAnsi="Arial Narrow"/>
                <w:iCs/>
                <w:color w:val="000000"/>
                <w:spacing w:val="49"/>
                <w:sz w:val="20"/>
                <w:szCs w:val="20"/>
                <w:shd w:val="solid" w:color="000000" w:fill="000000"/>
                <w:fitText w:val="226" w:id="-1031606517"/>
                <w14:textFill>
                  <w14:solidFill>
                    <w14:srgbClr w14:val="000000">
                      <w14:alpha w14:val="100000"/>
                    </w14:srgbClr>
                  </w14:solidFill>
                </w14:textFill>
              </w:rPr>
              <w:t>||</w:t>
            </w:r>
            <w:r w:rsidR="0003145F" w:rsidRPr="0003145F">
              <w:rPr>
                <w:rFonts w:ascii="Arial Narrow" w:hAnsi="Arial Narrow"/>
                <w:iCs/>
                <w:color w:val="000000"/>
                <w:spacing w:val="1"/>
                <w:sz w:val="20"/>
                <w:szCs w:val="20"/>
                <w:shd w:val="solid" w:color="000000" w:fill="000000"/>
                <w:fitText w:val="226" w:id="-1031606517"/>
                <w14:textFill>
                  <w14:solidFill>
                    <w14:srgbClr w14:val="000000">
                      <w14:alpha w14:val="100000"/>
                    </w14:srgbClr>
                  </w14:solidFill>
                </w14:textFill>
              </w:rPr>
              <w:t>|</w:t>
            </w:r>
            <w:r w:rsidR="00351901">
              <w:rPr>
                <w:rFonts w:ascii="Arial Narrow" w:hAnsi="Arial Narrow"/>
                <w:sz w:val="20"/>
                <w:szCs w:val="20"/>
                <w:vertAlign w:val="superscript"/>
              </w:rPr>
              <w:t>4</w:t>
            </w:r>
          </w:p>
        </w:tc>
      </w:tr>
    </w:tbl>
    <w:p w14:paraId="7CCE8F4D" w14:textId="166DBEB8" w:rsidR="00940332" w:rsidRDefault="00940332" w:rsidP="00DE353A">
      <w:pPr>
        <w:rPr>
          <w:rFonts w:ascii="Arial Narrow" w:hAnsi="Arial Narrow"/>
          <w:sz w:val="18"/>
          <w:szCs w:val="18"/>
        </w:rPr>
      </w:pPr>
      <w:r w:rsidRPr="009769C8">
        <w:rPr>
          <w:rFonts w:ascii="Arial Narrow" w:hAnsi="Arial Narrow"/>
          <w:sz w:val="18"/>
          <w:szCs w:val="18"/>
        </w:rPr>
        <w:t>a. Proportion of each population: 70+ = 60.7%; 50-69 with RF=19.1%; 18-69 and immunocompromised; 20.2%</w:t>
      </w:r>
    </w:p>
    <w:p w14:paraId="49A0CEB1" w14:textId="77777777" w:rsidR="00351901" w:rsidRPr="009A6D58" w:rsidRDefault="00351901" w:rsidP="0035190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92626DB" w14:textId="77777777" w:rsidR="00351901" w:rsidRPr="009A6D58" w:rsidRDefault="00351901" w:rsidP="0035190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E353A">
        <w:rPr>
          <w:rFonts w:ascii="Arial Narrow" w:hAnsi="Arial Narrow"/>
          <w:i/>
          <w:sz w:val="18"/>
          <w:szCs w:val="18"/>
        </w:rPr>
        <w:t>$5,000 to &lt; $15,000</w:t>
      </w:r>
    </w:p>
    <w:p w14:paraId="07AD6F23" w14:textId="77777777" w:rsidR="00351901" w:rsidRPr="009A6D58" w:rsidRDefault="00351901" w:rsidP="0035190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E353A">
        <w:rPr>
          <w:rFonts w:ascii="Arial Narrow" w:hAnsi="Arial Narrow"/>
          <w:i/>
          <w:sz w:val="18"/>
          <w:szCs w:val="18"/>
        </w:rPr>
        <w:t>$0 to &lt; $5,000</w:t>
      </w:r>
    </w:p>
    <w:p w14:paraId="238D4172" w14:textId="77777777" w:rsidR="00351901" w:rsidRDefault="00351901" w:rsidP="0035190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DE353A">
        <w:rPr>
          <w:rFonts w:ascii="Arial Narrow" w:hAnsi="Arial Narrow"/>
          <w:i/>
          <w:sz w:val="18"/>
          <w:szCs w:val="18"/>
        </w:rPr>
        <w:t>$75,000 to &lt; $95,000</w:t>
      </w:r>
    </w:p>
    <w:p w14:paraId="0B3A4B0D" w14:textId="000B1F0D" w:rsidR="00351901" w:rsidRPr="00351901" w:rsidRDefault="00351901" w:rsidP="00351901">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DE353A">
        <w:rPr>
          <w:rFonts w:ascii="Arial Narrow" w:hAnsi="Arial Narrow"/>
          <w:i/>
          <w:sz w:val="18"/>
          <w:szCs w:val="18"/>
        </w:rPr>
        <w:t>$55,000 to &lt; $75,000</w:t>
      </w:r>
    </w:p>
    <w:p w14:paraId="1B5C7DB4" w14:textId="20C3E274" w:rsidR="00940332" w:rsidRPr="00351901" w:rsidRDefault="00940332" w:rsidP="00351901">
      <w:pPr>
        <w:pStyle w:val="3-BodyText"/>
        <w:numPr>
          <w:ilvl w:val="1"/>
          <w:numId w:val="1"/>
        </w:numPr>
      </w:pPr>
      <w:r w:rsidRPr="00D16A97">
        <w:rPr>
          <w:color w:val="000000" w:themeColor="text1"/>
        </w:rPr>
        <w:t xml:space="preserve">With reference to </w:t>
      </w:r>
      <w:r w:rsidRPr="00D16A97">
        <w:rPr>
          <w:color w:val="000000" w:themeColor="text1"/>
        </w:rPr>
        <w:fldChar w:fldCharType="begin" w:fldLock="1"/>
      </w:r>
      <w:r w:rsidRPr="00D16A97">
        <w:rPr>
          <w:color w:val="000000" w:themeColor="text1"/>
        </w:rPr>
        <w:instrText xml:space="preserve"> REF _Ref148114301 \h </w:instrText>
      </w:r>
      <w:r w:rsidRPr="00D16A97">
        <w:rPr>
          <w:color w:val="000000" w:themeColor="text1"/>
        </w:rPr>
      </w:r>
      <w:r w:rsidRPr="00D16A97">
        <w:rPr>
          <w:color w:val="000000" w:themeColor="text1"/>
        </w:rPr>
        <w:fldChar w:fldCharType="separate"/>
      </w:r>
      <w:r w:rsidRPr="00D16A97">
        <w:t>Table 22</w:t>
      </w:r>
      <w:r w:rsidRPr="00D16A97">
        <w:rPr>
          <w:color w:val="000000" w:themeColor="text1"/>
        </w:rPr>
        <w:fldChar w:fldCharType="end"/>
      </w:r>
      <w:r w:rsidRPr="00D16A97">
        <w:rPr>
          <w:color w:val="000000" w:themeColor="text1"/>
        </w:rPr>
        <w:t xml:space="preserve">, the pre-PBAC response stated that </w:t>
      </w:r>
      <w:r w:rsidRPr="00D16A97">
        <w:t xml:space="preserve">cost effectiveness was robust across the patient populations with a weighted ICER of </w:t>
      </w:r>
      <w:r w:rsidR="00351901" w:rsidRPr="00351901">
        <w:t>$5,000 to &lt; $15,000</w:t>
      </w:r>
      <w:r w:rsidRPr="00D16A97">
        <w:t>/QALY. However, t</w:t>
      </w:r>
      <w:r w:rsidRPr="00351901">
        <w:rPr>
          <w:iCs/>
          <w:color w:val="000000" w:themeColor="text1"/>
        </w:rPr>
        <w:t xml:space="preserve">he PBAC considered that some of the sponsor’s proposed inputs were unreasonably favourable to the intervention (paragraph </w:t>
      </w:r>
      <w:r w:rsidRPr="00351901">
        <w:rPr>
          <w:iCs/>
          <w:color w:val="000000" w:themeColor="text1"/>
        </w:rPr>
        <w:fldChar w:fldCharType="begin" w:fldLock="1"/>
      </w:r>
      <w:r w:rsidRPr="00351901">
        <w:rPr>
          <w:iCs/>
          <w:color w:val="000000" w:themeColor="text1"/>
        </w:rPr>
        <w:instrText xml:space="preserve"> REF _Ref148174296 \r \h  \* MERGEFORMAT </w:instrText>
      </w:r>
      <w:r w:rsidRPr="00351901">
        <w:rPr>
          <w:iCs/>
          <w:color w:val="000000" w:themeColor="text1"/>
        </w:rPr>
      </w:r>
      <w:r w:rsidRPr="00351901">
        <w:rPr>
          <w:iCs/>
          <w:color w:val="000000" w:themeColor="text1"/>
        </w:rPr>
        <w:fldChar w:fldCharType="separate"/>
      </w:r>
      <w:r w:rsidR="00872953">
        <w:rPr>
          <w:iCs/>
          <w:color w:val="000000" w:themeColor="text1"/>
        </w:rPr>
        <w:t>13.13</w:t>
      </w:r>
      <w:r w:rsidRPr="00351901">
        <w:rPr>
          <w:iCs/>
          <w:color w:val="000000" w:themeColor="text1"/>
        </w:rPr>
        <w:fldChar w:fldCharType="end"/>
      </w:r>
      <w:r w:rsidRPr="00351901">
        <w:rPr>
          <w:iCs/>
          <w:color w:val="000000" w:themeColor="text1"/>
        </w:rPr>
        <w:t>) and were therefore not appropriate for estimating the cost-effectiveness of molnupiravir.</w:t>
      </w:r>
    </w:p>
    <w:p w14:paraId="464F1844" w14:textId="2874CE01" w:rsidR="00940332" w:rsidRPr="00D16A97" w:rsidRDefault="00940332" w:rsidP="00940332">
      <w:pPr>
        <w:pStyle w:val="3-BodyText"/>
        <w:numPr>
          <w:ilvl w:val="1"/>
          <w:numId w:val="1"/>
        </w:numPr>
        <w:rPr>
          <w:color w:val="000000" w:themeColor="text1"/>
        </w:rPr>
      </w:pPr>
      <w:bookmarkStart w:id="133" w:name="_Hlk150952034"/>
      <w:r w:rsidRPr="00D16A97">
        <w:rPr>
          <w:color w:val="000000" w:themeColor="text1"/>
        </w:rPr>
        <w:t xml:space="preserve">The </w:t>
      </w:r>
      <w:r w:rsidRPr="00D16A97">
        <w:rPr>
          <w:iCs/>
        </w:rPr>
        <w:t>COVID-19 mortality estimates from CoRiCal (COVID</w:t>
      </w:r>
      <w:r w:rsidRPr="00D16A97">
        <w:rPr>
          <w:iCs/>
        </w:rPr>
        <w:noBreakHyphen/>
        <w:t>19 Risk Calculator</w:t>
      </w:r>
      <w:r w:rsidRPr="00D16A97">
        <w:rPr>
          <w:color w:val="000000" w:themeColor="text1"/>
        </w:rPr>
        <w:t xml:space="preserve">) are shown in </w:t>
      </w:r>
      <w:r w:rsidRPr="00D16A97">
        <w:rPr>
          <w:color w:val="000000" w:themeColor="text1"/>
        </w:rPr>
        <w:fldChar w:fldCharType="begin" w:fldLock="1"/>
      </w:r>
      <w:r w:rsidRPr="00D16A97">
        <w:rPr>
          <w:color w:val="000000" w:themeColor="text1"/>
        </w:rPr>
        <w:instrText xml:space="preserve"> REF _Ref150925400 \h </w:instrText>
      </w:r>
      <w:r w:rsidRPr="00D16A97">
        <w:rPr>
          <w:color w:val="000000" w:themeColor="text1"/>
        </w:rPr>
      </w:r>
      <w:r w:rsidRPr="00D16A97">
        <w:rPr>
          <w:color w:val="000000" w:themeColor="text1"/>
        </w:rPr>
        <w:fldChar w:fldCharType="separate"/>
      </w:r>
      <w:r w:rsidRPr="00D16A97">
        <w:rPr>
          <w:iCs/>
        </w:rPr>
        <w:t>Figure 9</w:t>
      </w:r>
      <w:r w:rsidRPr="00D16A97">
        <w:rPr>
          <w:color w:val="000000" w:themeColor="text1"/>
        </w:rPr>
        <w:fldChar w:fldCharType="end"/>
      </w:r>
      <w:r w:rsidRPr="00D16A97">
        <w:rPr>
          <w:color w:val="000000" w:themeColor="text1"/>
        </w:rPr>
        <w:t>. The pre-PBAC response stated that the mortality rate of 3.4% for the ≥70</w:t>
      </w:r>
      <w:r w:rsidR="00E87A21">
        <w:rPr>
          <w:color w:val="000000" w:themeColor="text1"/>
        </w:rPr>
        <w:t> </w:t>
      </w:r>
      <w:r w:rsidRPr="00D16A97">
        <w:rPr>
          <w:color w:val="000000" w:themeColor="text1"/>
        </w:rPr>
        <w:t xml:space="preserve">year old group applied in the economic model was based on the Victorian analysis, which was a direct measurement of the risk of death in a highly applicable population with varying levels of disease severity and vaccination status. The response considered that the CoRICal estimates were less reliable than the mortality data from van Heer as the mortality risk was calculated, rather than based </w:t>
      </w:r>
      <w:r w:rsidRPr="00D16A97">
        <w:rPr>
          <w:color w:val="000000" w:themeColor="text1"/>
        </w:rPr>
        <w:lastRenderedPageBreak/>
        <w:t>on direct evidence. The response also stated that the CoRICal breakdown of mortality risk by vaccination status is outdated, as it reflects the situation in early 2022, when the majority of elderly Australians had received a recent vaccination. It was noted that the latest ATAGI update reported that only 53% of adults ≥65 years have had a booster dose in the last 6 months and that the vaccine efficacy declines significantly beyond three months</w:t>
      </w:r>
      <w:r w:rsidRPr="00D16A97">
        <w:rPr>
          <w:rStyle w:val="FootnoteReference"/>
          <w:color w:val="000000" w:themeColor="text1"/>
        </w:rPr>
        <w:footnoteReference w:id="29"/>
      </w:r>
      <w:r w:rsidRPr="00D16A97">
        <w:rPr>
          <w:color w:val="000000" w:themeColor="text1"/>
        </w:rPr>
        <w:t>.</w:t>
      </w:r>
    </w:p>
    <w:p w14:paraId="6362B32E" w14:textId="77777777" w:rsidR="00940332" w:rsidRPr="00D16A97" w:rsidRDefault="00940332" w:rsidP="00940332">
      <w:pPr>
        <w:pStyle w:val="Caption"/>
        <w:rPr>
          <w:iCs/>
        </w:rPr>
      </w:pPr>
      <w:bookmarkStart w:id="134" w:name="_Ref150925400"/>
      <w:r w:rsidRPr="00D16A97">
        <w:rPr>
          <w:iCs/>
        </w:rPr>
        <w:t xml:space="preserve">Figure </w:t>
      </w:r>
      <w:r w:rsidRPr="00D16A97">
        <w:rPr>
          <w:b w:val="0"/>
          <w:bCs w:val="0"/>
          <w:iCs/>
        </w:rPr>
        <w:fldChar w:fldCharType="begin" w:fldLock="1"/>
      </w:r>
      <w:r w:rsidRPr="00D16A97">
        <w:rPr>
          <w:iCs/>
        </w:rPr>
        <w:instrText xml:space="preserve"> SEQ Figure \* ARABIC </w:instrText>
      </w:r>
      <w:r w:rsidRPr="00D16A97">
        <w:rPr>
          <w:b w:val="0"/>
          <w:bCs w:val="0"/>
          <w:iCs/>
        </w:rPr>
        <w:fldChar w:fldCharType="separate"/>
      </w:r>
      <w:r w:rsidRPr="00D16A97">
        <w:rPr>
          <w:iCs/>
        </w:rPr>
        <w:t>9</w:t>
      </w:r>
      <w:r w:rsidRPr="00D16A97">
        <w:rPr>
          <w:b w:val="0"/>
          <w:bCs w:val="0"/>
          <w:iCs/>
        </w:rPr>
        <w:fldChar w:fldCharType="end"/>
      </w:r>
      <w:bookmarkEnd w:id="134"/>
      <w:r w:rsidRPr="00D16A97">
        <w:rPr>
          <w:iCs/>
        </w:rPr>
        <w:t>: COVID-19 mortality estimates from CoRiCal (COVID</w:t>
      </w:r>
      <w:r w:rsidRPr="00D16A97">
        <w:rPr>
          <w:iCs/>
        </w:rPr>
        <w:noBreakHyphen/>
        <w:t>19 Risk Calculator)</w:t>
      </w:r>
    </w:p>
    <w:p w14:paraId="278C66C0" w14:textId="239D1A5B" w:rsidR="00940332" w:rsidRPr="009769C8" w:rsidRDefault="00940332" w:rsidP="009769C8">
      <w:pPr>
        <w:pStyle w:val="3-BodyText"/>
        <w:numPr>
          <w:ilvl w:val="0"/>
          <w:numId w:val="0"/>
        </w:numPr>
        <w:rPr>
          <w:iCs/>
        </w:rPr>
      </w:pPr>
      <w:r w:rsidRPr="00D16A97">
        <w:rPr>
          <w:b/>
          <w:iCs/>
          <w:noProof/>
          <w:sz w:val="32"/>
          <w:szCs w:val="32"/>
        </w:rPr>
        <w:drawing>
          <wp:inline distT="0" distB="0" distL="0" distR="0" wp14:anchorId="7EF0C0A8" wp14:editId="751BEECE">
            <wp:extent cx="5389200" cy="323640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39560" name=""/>
                    <pic:cNvPicPr/>
                  </pic:nvPicPr>
                  <pic:blipFill>
                    <a:blip r:embed="rId26"/>
                    <a:stretch>
                      <a:fillRect/>
                    </a:stretch>
                  </pic:blipFill>
                  <pic:spPr>
                    <a:xfrm>
                      <a:off x="0" y="0"/>
                      <a:ext cx="5389200" cy="3236400"/>
                    </a:xfrm>
                    <a:prstGeom prst="rect">
                      <a:avLst/>
                    </a:prstGeom>
                  </pic:spPr>
                </pic:pic>
              </a:graphicData>
            </a:graphic>
          </wp:inline>
        </w:drawing>
      </w:r>
      <w:bookmarkStart w:id="135" w:name="_Hlk150952151"/>
      <w:bookmarkEnd w:id="133"/>
    </w:p>
    <w:p w14:paraId="504E9889" w14:textId="77777777" w:rsidR="00940332" w:rsidRPr="00D16A97" w:rsidRDefault="00940332" w:rsidP="00940332">
      <w:pPr>
        <w:pStyle w:val="4-SubsectionHeading"/>
      </w:pPr>
      <w:r w:rsidRPr="00D16A97">
        <w:t>Revised economic analysis</w:t>
      </w:r>
    </w:p>
    <w:p w14:paraId="723E8FDD" w14:textId="77777777" w:rsidR="00940332" w:rsidRPr="00D16A97" w:rsidRDefault="00940332" w:rsidP="00940332">
      <w:pPr>
        <w:pStyle w:val="3-BodyText"/>
        <w:numPr>
          <w:ilvl w:val="1"/>
          <w:numId w:val="1"/>
        </w:numPr>
        <w:rPr>
          <w:iCs/>
        </w:rPr>
      </w:pPr>
      <w:r w:rsidRPr="00D16A97">
        <w:rPr>
          <w:iCs/>
        </w:rPr>
        <w:t xml:space="preserve">At the request of the ESC, a simplified revised model focussed on the key drivers of cost-effectiveness of the antivirals used to treat </w:t>
      </w:r>
      <w:r w:rsidRPr="00D16A97">
        <w:rPr>
          <w:rStyle w:val="normaltextrun"/>
          <w:iCs/>
        </w:rPr>
        <w:t>COVID</w:t>
      </w:r>
      <w:r w:rsidRPr="00D16A97">
        <w:rPr>
          <w:rStyle w:val="normaltextrun"/>
          <w:iCs/>
        </w:rPr>
        <w:noBreakHyphen/>
        <w:t xml:space="preserve">19 was developed. The simplified model </w:t>
      </w:r>
      <w:r w:rsidRPr="00D16A97">
        <w:rPr>
          <w:iCs/>
          <w:color w:val="000000" w:themeColor="text1"/>
        </w:rPr>
        <w:t>allows both of the antiviral products to be assessed under the same conditions</w:t>
      </w:r>
      <w:bookmarkStart w:id="136" w:name="_Hlk151025976"/>
      <w:r w:rsidRPr="00D16A97">
        <w:rPr>
          <w:iCs/>
          <w:color w:val="000000" w:themeColor="text1"/>
        </w:rPr>
        <w:t>. The specifications of the common model are provided below in sufficient detail to allow the results to be reproduced by the sponsor.</w:t>
      </w:r>
      <w:bookmarkEnd w:id="136"/>
      <w:r w:rsidRPr="00D16A97">
        <w:rPr>
          <w:iCs/>
          <w:color w:val="000000" w:themeColor="text1"/>
        </w:rPr>
        <w:t xml:space="preserve"> </w:t>
      </w:r>
    </w:p>
    <w:p w14:paraId="65221827" w14:textId="77777777" w:rsidR="00940332" w:rsidRPr="00D16A97" w:rsidRDefault="00940332" w:rsidP="00940332">
      <w:pPr>
        <w:pStyle w:val="3-BodyText"/>
        <w:numPr>
          <w:ilvl w:val="1"/>
          <w:numId w:val="1"/>
        </w:numPr>
        <w:rPr>
          <w:iCs/>
        </w:rPr>
      </w:pPr>
      <w:bookmarkStart w:id="137" w:name="_Hlk150952219"/>
      <w:bookmarkEnd w:id="135"/>
      <w:r w:rsidRPr="00D16A97">
        <w:rPr>
          <w:iCs/>
          <w:color w:val="000000" w:themeColor="text1"/>
        </w:rPr>
        <w:t xml:space="preserve">The structure of the common model is shown in </w:t>
      </w:r>
      <w:r w:rsidRPr="00D16A97">
        <w:rPr>
          <w:i/>
          <w:iCs/>
          <w:color w:val="000000" w:themeColor="text1"/>
        </w:rPr>
        <w:fldChar w:fldCharType="begin" w:fldLock="1"/>
      </w:r>
      <w:r w:rsidRPr="00D16A97">
        <w:rPr>
          <w:i/>
          <w:iCs/>
          <w:color w:val="000000" w:themeColor="text1"/>
        </w:rPr>
        <w:instrText xml:space="preserve"> REF _Ref148527875 \h  \* MERGEFORMAT </w:instrText>
      </w:r>
      <w:r w:rsidRPr="00D16A97">
        <w:rPr>
          <w:i/>
          <w:iCs/>
          <w:color w:val="000000" w:themeColor="text1"/>
        </w:rPr>
      </w:r>
      <w:r w:rsidRPr="00D16A97">
        <w:rPr>
          <w:i/>
          <w:iCs/>
          <w:color w:val="000000" w:themeColor="text1"/>
        </w:rPr>
        <w:fldChar w:fldCharType="separate"/>
      </w:r>
      <w:r w:rsidRPr="00D16A97">
        <w:t>Figure 10</w:t>
      </w:r>
      <w:r w:rsidRPr="00D16A97">
        <w:rPr>
          <w:i/>
          <w:iCs/>
          <w:color w:val="000000" w:themeColor="text1"/>
        </w:rPr>
        <w:fldChar w:fldCharType="end"/>
      </w:r>
      <w:r w:rsidRPr="00D16A97">
        <w:rPr>
          <w:iCs/>
          <w:color w:val="000000" w:themeColor="text1"/>
        </w:rPr>
        <w:t xml:space="preserve">. The common model does not include any impact of long COVID on patients. The only outcome captured by this model is QALYs gained by averting deaths due to </w:t>
      </w:r>
      <w:r w:rsidRPr="00D16A97">
        <w:rPr>
          <w:rStyle w:val="normaltextrun"/>
          <w:iCs/>
          <w:color w:val="000000" w:themeColor="text1"/>
        </w:rPr>
        <w:t>COVID</w:t>
      </w:r>
      <w:r w:rsidRPr="00D16A97">
        <w:rPr>
          <w:rStyle w:val="normaltextrun"/>
          <w:iCs/>
          <w:color w:val="000000" w:themeColor="text1"/>
        </w:rPr>
        <w:noBreakHyphen/>
        <w:t>19. The only costs included in this economic evaluation are drug treatment costs and hospitalisation costs.</w:t>
      </w:r>
    </w:p>
    <w:p w14:paraId="68058E92" w14:textId="77777777" w:rsidR="00940332" w:rsidRPr="00D16A97" w:rsidRDefault="00940332" w:rsidP="00940332">
      <w:pPr>
        <w:pStyle w:val="Caption"/>
        <w:rPr>
          <w:iCs/>
        </w:rPr>
      </w:pPr>
      <w:bookmarkStart w:id="138" w:name="_Ref148527875"/>
      <w:r w:rsidRPr="00D16A97">
        <w:lastRenderedPageBreak/>
        <w:t xml:space="preserve">Figure </w:t>
      </w:r>
      <w:r w:rsidR="00567EAC">
        <w:fldChar w:fldCharType="begin" w:fldLock="1"/>
      </w:r>
      <w:r w:rsidR="00567EAC">
        <w:instrText xml:space="preserve"> SEQ Figure \* ARABIC </w:instrText>
      </w:r>
      <w:r w:rsidR="00567EAC">
        <w:fldChar w:fldCharType="separate"/>
      </w:r>
      <w:r w:rsidRPr="00D16A97">
        <w:t>10</w:t>
      </w:r>
      <w:r w:rsidR="00567EAC">
        <w:fldChar w:fldCharType="end"/>
      </w:r>
      <w:bookmarkEnd w:id="138"/>
      <w:r w:rsidRPr="00D16A97">
        <w:rPr>
          <w:iCs/>
        </w:rPr>
        <w:t>: Structure of the common model</w:t>
      </w:r>
    </w:p>
    <w:p w14:paraId="383B614A" w14:textId="77777777" w:rsidR="00940332" w:rsidRPr="00D16A97" w:rsidRDefault="00940332" w:rsidP="00940332">
      <w:pPr>
        <w:spacing w:after="120"/>
        <w:rPr>
          <w:iCs/>
        </w:rPr>
      </w:pPr>
      <w:r w:rsidRPr="00D16A97">
        <w:rPr>
          <w:iCs/>
          <w:noProof/>
        </w:rPr>
        <w:drawing>
          <wp:inline distT="0" distB="0" distL="0" distR="0" wp14:anchorId="4BA545C1" wp14:editId="1E71CCC4">
            <wp:extent cx="5732145" cy="1803400"/>
            <wp:effectExtent l="0" t="0" r="1905" b="6350"/>
            <wp:docPr id="1768004945" name="Picture 176800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04945" name=""/>
                    <pic:cNvPicPr/>
                  </pic:nvPicPr>
                  <pic:blipFill>
                    <a:blip r:embed="rId27"/>
                    <a:stretch>
                      <a:fillRect/>
                    </a:stretch>
                  </pic:blipFill>
                  <pic:spPr>
                    <a:xfrm>
                      <a:off x="0" y="0"/>
                      <a:ext cx="5732145" cy="1803400"/>
                    </a:xfrm>
                    <a:prstGeom prst="rect">
                      <a:avLst/>
                    </a:prstGeom>
                  </pic:spPr>
                </pic:pic>
              </a:graphicData>
            </a:graphic>
          </wp:inline>
        </w:drawing>
      </w:r>
    </w:p>
    <w:p w14:paraId="59101D16" w14:textId="5625AC85" w:rsidR="00940332" w:rsidRPr="00D16A97" w:rsidRDefault="00940332" w:rsidP="00940332">
      <w:pPr>
        <w:pStyle w:val="3-BodyText"/>
        <w:numPr>
          <w:ilvl w:val="1"/>
          <w:numId w:val="1"/>
        </w:numPr>
        <w:rPr>
          <w:iCs/>
        </w:rPr>
      </w:pPr>
      <w:r w:rsidRPr="00D16A97">
        <w:rPr>
          <w:iCs/>
        </w:rPr>
        <w:t xml:space="preserve">The key inputs applied in the sponsor’s model and the common model are summarised in </w:t>
      </w:r>
      <w:r w:rsidRPr="00D16A97">
        <w:rPr>
          <w:iCs/>
        </w:rPr>
        <w:fldChar w:fldCharType="begin" w:fldLock="1"/>
      </w:r>
      <w:r w:rsidRPr="00D16A97">
        <w:rPr>
          <w:iCs/>
        </w:rPr>
        <w:instrText xml:space="preserve"> REF _Ref148201874 \h  \* MERGEFORMAT </w:instrText>
      </w:r>
      <w:r w:rsidRPr="00D16A97">
        <w:rPr>
          <w:iCs/>
        </w:rPr>
      </w:r>
      <w:r w:rsidRPr="00D16A97">
        <w:rPr>
          <w:iCs/>
        </w:rPr>
        <w:fldChar w:fldCharType="separate"/>
      </w:r>
      <w:r w:rsidRPr="00D16A97">
        <w:rPr>
          <w:iCs/>
        </w:rPr>
        <w:t>Table 23</w:t>
      </w:r>
      <w:r w:rsidRPr="00D16A97">
        <w:rPr>
          <w:iCs/>
        </w:rPr>
        <w:fldChar w:fldCharType="end"/>
      </w:r>
      <w:r w:rsidRPr="00D16A97">
        <w:rPr>
          <w:iCs/>
        </w:rPr>
        <w:t xml:space="preserve">. </w:t>
      </w:r>
      <w:bookmarkStart w:id="139" w:name="_Hlk152071801"/>
      <w:r w:rsidRPr="00D16A97">
        <w:t xml:space="preserve">The inputs applied in the common model reflect ESC advice regarding the most appropriate estimates, that were supported based on review of the inputs provided in the sponsor submissions and evaluations for both OAVs. </w:t>
      </w:r>
      <w:bookmarkEnd w:id="139"/>
      <w:r w:rsidRPr="00D16A97">
        <w:rPr>
          <w:iCs/>
        </w:rPr>
        <w:t>An alternative set of inputs is also presented as a sensitivity analysis.</w:t>
      </w:r>
    </w:p>
    <w:p w14:paraId="5A38C097" w14:textId="77777777" w:rsidR="00940332" w:rsidRPr="00D16A97" w:rsidRDefault="00940332" w:rsidP="000B527B">
      <w:pPr>
        <w:pStyle w:val="Caption"/>
        <w:rPr>
          <w:iCs/>
        </w:rPr>
      </w:pPr>
      <w:bookmarkStart w:id="140" w:name="_Ref148201874"/>
      <w:r w:rsidRPr="00D16A97">
        <w:rPr>
          <w:iCs/>
        </w:rPr>
        <w:lastRenderedPageBreak/>
        <w:t xml:space="preserve">Table </w:t>
      </w:r>
      <w:r w:rsidRPr="00D16A97">
        <w:rPr>
          <w:iCs/>
        </w:rPr>
        <w:fldChar w:fldCharType="begin" w:fldLock="1"/>
      </w:r>
      <w:r w:rsidRPr="00D16A97">
        <w:rPr>
          <w:iCs/>
        </w:rPr>
        <w:instrText xml:space="preserve"> SEQ Table \* ARABIC </w:instrText>
      </w:r>
      <w:r w:rsidRPr="00D16A97">
        <w:rPr>
          <w:iCs/>
        </w:rPr>
        <w:fldChar w:fldCharType="separate"/>
      </w:r>
      <w:r w:rsidRPr="00D16A97">
        <w:rPr>
          <w:iCs/>
        </w:rPr>
        <w:t>23</w:t>
      </w:r>
      <w:r w:rsidRPr="00D16A97">
        <w:rPr>
          <w:iCs/>
        </w:rPr>
        <w:fldChar w:fldCharType="end"/>
      </w:r>
      <w:bookmarkEnd w:id="140"/>
      <w:r w:rsidRPr="00D16A97">
        <w:rPr>
          <w:iCs/>
        </w:rPr>
        <w:t>:</w:t>
      </w:r>
      <w:r w:rsidRPr="00D16A97">
        <w:rPr>
          <w:iCs/>
        </w:rPr>
        <w:tab/>
        <w:t>Comparison of key inputs applied in the common model with those applied in the submission’s model</w:t>
      </w:r>
    </w:p>
    <w:tbl>
      <w:tblPr>
        <w:tblStyle w:val="TableGrid"/>
        <w:tblW w:w="5000" w:type="pct"/>
        <w:tblLook w:val="0600" w:firstRow="0" w:lastRow="0" w:firstColumn="0" w:lastColumn="0" w:noHBand="1" w:noVBand="1"/>
      </w:tblPr>
      <w:tblGrid>
        <w:gridCol w:w="3551"/>
        <w:gridCol w:w="2444"/>
        <w:gridCol w:w="3022"/>
      </w:tblGrid>
      <w:tr w:rsidR="00940332" w:rsidRPr="00D16A97" w14:paraId="76FA200B" w14:textId="77777777" w:rsidTr="00192D14">
        <w:trPr>
          <w:tblHeader/>
        </w:trPr>
        <w:tc>
          <w:tcPr>
            <w:tcW w:w="1969" w:type="pct"/>
            <w:tcBorders>
              <w:bottom w:val="single" w:sz="4" w:space="0" w:color="auto"/>
            </w:tcBorders>
            <w:vAlign w:val="center"/>
            <w:hideMark/>
          </w:tcPr>
          <w:bookmarkEnd w:id="137"/>
          <w:p w14:paraId="4E413466" w14:textId="77777777" w:rsidR="00940332" w:rsidRPr="00D16A97" w:rsidRDefault="00940332" w:rsidP="000B527B">
            <w:pPr>
              <w:pStyle w:val="Tabletext"/>
              <w:keepNext/>
              <w:keepLines/>
              <w:rPr>
                <w:rFonts w:eastAsia="SimSun"/>
                <w:b/>
                <w:bCs/>
                <w:i/>
                <w:iCs/>
                <w:highlight w:val="yellow"/>
              </w:rPr>
            </w:pPr>
            <w:r w:rsidRPr="00D16A97">
              <w:rPr>
                <w:rFonts w:eastAsia="SimSun"/>
                <w:b/>
                <w:bCs/>
                <w:iCs/>
              </w:rPr>
              <w:t>Parameter</w:t>
            </w:r>
          </w:p>
        </w:tc>
        <w:tc>
          <w:tcPr>
            <w:tcW w:w="1355" w:type="pct"/>
            <w:tcBorders>
              <w:bottom w:val="single" w:sz="4" w:space="0" w:color="auto"/>
            </w:tcBorders>
            <w:vAlign w:val="center"/>
          </w:tcPr>
          <w:p w14:paraId="36841B33" w14:textId="77777777" w:rsidR="00940332" w:rsidRPr="00D16A97" w:rsidRDefault="00940332" w:rsidP="000B527B">
            <w:pPr>
              <w:pStyle w:val="Tabletext"/>
              <w:keepNext/>
              <w:keepLines/>
              <w:jc w:val="center"/>
              <w:rPr>
                <w:rFonts w:eastAsia="SimSun"/>
                <w:b/>
                <w:bCs/>
                <w:i/>
                <w:iCs/>
                <w:highlight w:val="yellow"/>
              </w:rPr>
            </w:pPr>
            <w:r w:rsidRPr="00D16A97">
              <w:rPr>
                <w:rFonts w:eastAsia="SimSun"/>
                <w:b/>
                <w:bCs/>
                <w:iCs/>
              </w:rPr>
              <w:t>Common model</w:t>
            </w:r>
          </w:p>
        </w:tc>
        <w:tc>
          <w:tcPr>
            <w:tcW w:w="1676" w:type="pct"/>
            <w:tcBorders>
              <w:bottom w:val="single" w:sz="4" w:space="0" w:color="auto"/>
            </w:tcBorders>
            <w:vAlign w:val="center"/>
          </w:tcPr>
          <w:p w14:paraId="05144DD2" w14:textId="77777777" w:rsidR="00940332" w:rsidRPr="00D16A97" w:rsidRDefault="00940332" w:rsidP="000B527B">
            <w:pPr>
              <w:pStyle w:val="Tabletext"/>
              <w:keepNext/>
              <w:keepLines/>
              <w:jc w:val="center"/>
              <w:rPr>
                <w:rFonts w:eastAsia="SimSun"/>
                <w:b/>
                <w:bCs/>
                <w:iCs/>
              </w:rPr>
            </w:pPr>
            <w:r w:rsidRPr="00D16A97">
              <w:rPr>
                <w:rFonts w:eastAsia="SimSun"/>
                <w:b/>
                <w:bCs/>
                <w:iCs/>
              </w:rPr>
              <w:t>Molnupiravir submission</w:t>
            </w:r>
          </w:p>
        </w:tc>
      </w:tr>
      <w:tr w:rsidR="00940332" w:rsidRPr="00D16A97" w14:paraId="0E8B783B" w14:textId="77777777" w:rsidTr="00192D14">
        <w:tc>
          <w:tcPr>
            <w:tcW w:w="1969" w:type="pct"/>
            <w:tcBorders>
              <w:bottom w:val="nil"/>
            </w:tcBorders>
          </w:tcPr>
          <w:p w14:paraId="74AC2D05" w14:textId="77777777" w:rsidR="00940332" w:rsidRPr="00D16A97" w:rsidRDefault="00940332" w:rsidP="000B527B">
            <w:pPr>
              <w:pStyle w:val="Tabletext"/>
              <w:keepNext/>
              <w:keepLines/>
              <w:rPr>
                <w:rFonts w:eastAsia="SimSun"/>
                <w:i/>
                <w:iCs/>
                <w:highlight w:val="yellow"/>
              </w:rPr>
            </w:pPr>
            <w:r w:rsidRPr="00D16A97">
              <w:rPr>
                <w:rFonts w:eastAsia="SimSun"/>
                <w:iCs/>
              </w:rPr>
              <w:t>Baseline risk of hospitalisation</w:t>
            </w:r>
          </w:p>
        </w:tc>
        <w:tc>
          <w:tcPr>
            <w:tcW w:w="1355" w:type="pct"/>
            <w:tcBorders>
              <w:bottom w:val="nil"/>
            </w:tcBorders>
            <w:vAlign w:val="center"/>
          </w:tcPr>
          <w:p w14:paraId="0C480FBB" w14:textId="77777777" w:rsidR="00940332" w:rsidRPr="00D16A97" w:rsidRDefault="00940332" w:rsidP="000B527B">
            <w:pPr>
              <w:pStyle w:val="Tabletext"/>
              <w:keepNext/>
              <w:keepLines/>
              <w:jc w:val="center"/>
              <w:rPr>
                <w:rFonts w:eastAsia="SimSun"/>
                <w:i/>
                <w:iCs/>
                <w:highlight w:val="yellow"/>
              </w:rPr>
            </w:pPr>
          </w:p>
        </w:tc>
        <w:tc>
          <w:tcPr>
            <w:tcW w:w="1676" w:type="pct"/>
            <w:tcBorders>
              <w:bottom w:val="nil"/>
            </w:tcBorders>
            <w:vAlign w:val="center"/>
          </w:tcPr>
          <w:p w14:paraId="4390369A" w14:textId="77777777" w:rsidR="00940332" w:rsidRPr="00D16A97" w:rsidRDefault="00940332" w:rsidP="000B527B">
            <w:pPr>
              <w:pStyle w:val="Tabletext"/>
              <w:keepNext/>
              <w:keepLines/>
              <w:jc w:val="center"/>
              <w:rPr>
                <w:rFonts w:eastAsia="SimSun"/>
                <w:iCs/>
              </w:rPr>
            </w:pPr>
          </w:p>
        </w:tc>
      </w:tr>
      <w:tr w:rsidR="00940332" w:rsidRPr="00D16A97" w14:paraId="1923B97E" w14:textId="77777777" w:rsidTr="00192D14">
        <w:tc>
          <w:tcPr>
            <w:tcW w:w="1969" w:type="pct"/>
            <w:tcBorders>
              <w:top w:val="nil"/>
              <w:bottom w:val="nil"/>
            </w:tcBorders>
          </w:tcPr>
          <w:p w14:paraId="17903173"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70+ </w:t>
            </w:r>
          </w:p>
        </w:tc>
        <w:tc>
          <w:tcPr>
            <w:tcW w:w="1355" w:type="pct"/>
            <w:tcBorders>
              <w:top w:val="nil"/>
              <w:bottom w:val="nil"/>
            </w:tcBorders>
            <w:vAlign w:val="center"/>
          </w:tcPr>
          <w:p w14:paraId="11C5BD3B"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5%</w:t>
            </w:r>
          </w:p>
        </w:tc>
        <w:tc>
          <w:tcPr>
            <w:tcW w:w="1676" w:type="pct"/>
            <w:tcBorders>
              <w:top w:val="nil"/>
              <w:bottom w:val="nil"/>
            </w:tcBorders>
            <w:vAlign w:val="center"/>
          </w:tcPr>
          <w:p w14:paraId="69F9399A" w14:textId="77777777" w:rsidR="00940332" w:rsidRPr="00D16A97" w:rsidRDefault="00940332" w:rsidP="000B527B">
            <w:pPr>
              <w:pStyle w:val="Tabletext"/>
              <w:keepNext/>
              <w:keepLines/>
              <w:jc w:val="center"/>
              <w:rPr>
                <w:rFonts w:eastAsia="SimSun"/>
                <w:iCs/>
              </w:rPr>
            </w:pPr>
            <w:r w:rsidRPr="00D16A97">
              <w:rPr>
                <w:rFonts w:eastAsia="SimSun"/>
                <w:iCs/>
              </w:rPr>
              <w:t>11.9%</w:t>
            </w:r>
          </w:p>
        </w:tc>
      </w:tr>
      <w:tr w:rsidR="00940332" w:rsidRPr="00D16A97" w14:paraId="6AE9FC99" w14:textId="77777777" w:rsidTr="00192D14">
        <w:tc>
          <w:tcPr>
            <w:tcW w:w="1969" w:type="pct"/>
            <w:tcBorders>
              <w:top w:val="nil"/>
              <w:bottom w:val="nil"/>
            </w:tcBorders>
          </w:tcPr>
          <w:p w14:paraId="0A8FC382"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50-69 with ≥ 2 risk factors</w:t>
            </w:r>
          </w:p>
        </w:tc>
        <w:tc>
          <w:tcPr>
            <w:tcW w:w="1355" w:type="pct"/>
            <w:tcBorders>
              <w:top w:val="nil"/>
              <w:bottom w:val="nil"/>
            </w:tcBorders>
            <w:vAlign w:val="center"/>
          </w:tcPr>
          <w:p w14:paraId="484C1690"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2%</w:t>
            </w:r>
          </w:p>
        </w:tc>
        <w:tc>
          <w:tcPr>
            <w:tcW w:w="1676" w:type="pct"/>
            <w:tcBorders>
              <w:top w:val="nil"/>
              <w:bottom w:val="nil"/>
            </w:tcBorders>
            <w:vAlign w:val="center"/>
          </w:tcPr>
          <w:p w14:paraId="2A0A5EF7" w14:textId="77777777" w:rsidR="00940332" w:rsidRPr="00D16A97" w:rsidRDefault="00940332" w:rsidP="000B527B">
            <w:pPr>
              <w:pStyle w:val="Tabletext"/>
              <w:keepNext/>
              <w:keepLines/>
              <w:jc w:val="center"/>
              <w:rPr>
                <w:rFonts w:eastAsia="SimSun"/>
                <w:iCs/>
              </w:rPr>
            </w:pPr>
            <w:r w:rsidRPr="00D16A97">
              <w:rPr>
                <w:rFonts w:eastAsia="SimSun"/>
                <w:iCs/>
              </w:rPr>
              <w:t>1.77%</w:t>
            </w:r>
          </w:p>
        </w:tc>
      </w:tr>
      <w:tr w:rsidR="00940332" w:rsidRPr="00D16A97" w14:paraId="01E92379" w14:textId="77777777" w:rsidTr="00192D14">
        <w:trPr>
          <w:trHeight w:val="70"/>
        </w:trPr>
        <w:tc>
          <w:tcPr>
            <w:tcW w:w="1969" w:type="pct"/>
            <w:tcBorders>
              <w:top w:val="nil"/>
              <w:bottom w:val="nil"/>
            </w:tcBorders>
          </w:tcPr>
          <w:p w14:paraId="2D8C75BD"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First Nations </w:t>
            </w:r>
          </w:p>
        </w:tc>
        <w:tc>
          <w:tcPr>
            <w:tcW w:w="1355" w:type="pct"/>
            <w:tcBorders>
              <w:top w:val="nil"/>
              <w:bottom w:val="nil"/>
            </w:tcBorders>
            <w:vAlign w:val="center"/>
          </w:tcPr>
          <w:p w14:paraId="008DACC1"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3%</w:t>
            </w:r>
          </w:p>
        </w:tc>
        <w:tc>
          <w:tcPr>
            <w:tcW w:w="1676" w:type="pct"/>
            <w:tcBorders>
              <w:top w:val="nil"/>
              <w:bottom w:val="nil"/>
            </w:tcBorders>
            <w:vAlign w:val="center"/>
          </w:tcPr>
          <w:p w14:paraId="56291A77" w14:textId="77777777" w:rsidR="00940332" w:rsidRPr="00D16A97" w:rsidRDefault="00940332" w:rsidP="000B527B">
            <w:pPr>
              <w:pStyle w:val="Tabletext"/>
              <w:keepNext/>
              <w:keepLines/>
              <w:jc w:val="center"/>
              <w:rPr>
                <w:rFonts w:eastAsia="SimSun"/>
                <w:iCs/>
              </w:rPr>
            </w:pPr>
            <w:r w:rsidRPr="00D16A97">
              <w:rPr>
                <w:rFonts w:eastAsia="SimSun"/>
                <w:iCs/>
              </w:rPr>
              <w:t>Not modelled</w:t>
            </w:r>
          </w:p>
        </w:tc>
      </w:tr>
      <w:tr w:rsidR="00940332" w:rsidRPr="00D16A97" w14:paraId="275FDF86" w14:textId="77777777" w:rsidTr="00192D14">
        <w:tc>
          <w:tcPr>
            <w:tcW w:w="1969" w:type="pct"/>
            <w:tcBorders>
              <w:top w:val="nil"/>
              <w:bottom w:val="single" w:sz="4" w:space="0" w:color="auto"/>
            </w:tcBorders>
          </w:tcPr>
          <w:p w14:paraId="68028889"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18+ and immune compromised </w:t>
            </w:r>
          </w:p>
        </w:tc>
        <w:tc>
          <w:tcPr>
            <w:tcW w:w="1355" w:type="pct"/>
            <w:tcBorders>
              <w:top w:val="nil"/>
              <w:bottom w:val="single" w:sz="4" w:space="0" w:color="auto"/>
            </w:tcBorders>
            <w:vAlign w:val="center"/>
          </w:tcPr>
          <w:p w14:paraId="443CD6B9"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4%</w:t>
            </w:r>
          </w:p>
        </w:tc>
        <w:tc>
          <w:tcPr>
            <w:tcW w:w="1676" w:type="pct"/>
            <w:tcBorders>
              <w:top w:val="nil"/>
              <w:bottom w:val="single" w:sz="4" w:space="0" w:color="auto"/>
            </w:tcBorders>
            <w:vAlign w:val="center"/>
          </w:tcPr>
          <w:p w14:paraId="6D0657B6" w14:textId="77777777" w:rsidR="00940332" w:rsidRPr="00D16A97" w:rsidRDefault="00940332" w:rsidP="000B527B">
            <w:pPr>
              <w:pStyle w:val="Tabletext"/>
              <w:keepNext/>
              <w:keepLines/>
              <w:jc w:val="center"/>
              <w:rPr>
                <w:rFonts w:eastAsia="SimSun"/>
                <w:iCs/>
              </w:rPr>
            </w:pPr>
            <w:r w:rsidRPr="00D16A97">
              <w:rPr>
                <w:rFonts w:eastAsia="SimSun"/>
                <w:iCs/>
              </w:rPr>
              <w:t>10.9%</w:t>
            </w:r>
          </w:p>
        </w:tc>
      </w:tr>
      <w:tr w:rsidR="00940332" w:rsidRPr="00D16A97" w14:paraId="40BB5FFE" w14:textId="77777777" w:rsidTr="00192D14">
        <w:tblPrEx>
          <w:tblLook w:val="04A0" w:firstRow="1" w:lastRow="0" w:firstColumn="1" w:lastColumn="0" w:noHBand="0" w:noVBand="1"/>
        </w:tblPrEx>
        <w:tc>
          <w:tcPr>
            <w:tcW w:w="1969" w:type="pct"/>
            <w:tcBorders>
              <w:bottom w:val="nil"/>
            </w:tcBorders>
          </w:tcPr>
          <w:p w14:paraId="240EDBA4" w14:textId="77777777" w:rsidR="00940332" w:rsidRPr="00D16A97" w:rsidRDefault="00940332" w:rsidP="000B527B">
            <w:pPr>
              <w:pStyle w:val="Tabletext"/>
              <w:keepNext/>
              <w:keepLines/>
              <w:rPr>
                <w:rFonts w:eastAsia="SimSun"/>
                <w:i/>
                <w:iCs/>
                <w:highlight w:val="yellow"/>
              </w:rPr>
            </w:pPr>
            <w:r w:rsidRPr="00D16A97">
              <w:rPr>
                <w:rFonts w:eastAsia="SimSun"/>
                <w:iCs/>
              </w:rPr>
              <w:t>Proportion of hospitalised patients requiring admission to ICU</w:t>
            </w:r>
          </w:p>
        </w:tc>
        <w:tc>
          <w:tcPr>
            <w:tcW w:w="1355" w:type="pct"/>
            <w:tcBorders>
              <w:bottom w:val="nil"/>
            </w:tcBorders>
          </w:tcPr>
          <w:p w14:paraId="690CF2C0" w14:textId="77777777" w:rsidR="00940332" w:rsidRPr="00D16A97" w:rsidRDefault="00940332" w:rsidP="000B527B">
            <w:pPr>
              <w:pStyle w:val="Tabletext"/>
              <w:keepNext/>
              <w:keepLines/>
              <w:jc w:val="center"/>
              <w:rPr>
                <w:rFonts w:eastAsia="SimSun"/>
                <w:i/>
                <w:iCs/>
                <w:highlight w:val="yellow"/>
              </w:rPr>
            </w:pPr>
          </w:p>
        </w:tc>
        <w:tc>
          <w:tcPr>
            <w:tcW w:w="1676" w:type="pct"/>
            <w:tcBorders>
              <w:bottom w:val="nil"/>
            </w:tcBorders>
          </w:tcPr>
          <w:p w14:paraId="30C9973A" w14:textId="77777777" w:rsidR="00940332" w:rsidRPr="00D16A97" w:rsidRDefault="00940332" w:rsidP="000B527B">
            <w:pPr>
              <w:pStyle w:val="Tabletext"/>
              <w:keepNext/>
              <w:keepLines/>
              <w:jc w:val="center"/>
              <w:rPr>
                <w:rFonts w:eastAsia="SimSun"/>
                <w:iCs/>
              </w:rPr>
            </w:pPr>
          </w:p>
        </w:tc>
      </w:tr>
      <w:tr w:rsidR="00940332" w:rsidRPr="00D16A97" w14:paraId="5D568A82" w14:textId="77777777" w:rsidTr="00192D14">
        <w:tblPrEx>
          <w:tblLook w:val="04A0" w:firstRow="1" w:lastRow="0" w:firstColumn="1" w:lastColumn="0" w:noHBand="0" w:noVBand="1"/>
        </w:tblPrEx>
        <w:tc>
          <w:tcPr>
            <w:tcW w:w="1969" w:type="pct"/>
            <w:tcBorders>
              <w:top w:val="nil"/>
              <w:bottom w:val="nil"/>
            </w:tcBorders>
          </w:tcPr>
          <w:p w14:paraId="6F5E5788"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70+ </w:t>
            </w:r>
          </w:p>
        </w:tc>
        <w:tc>
          <w:tcPr>
            <w:tcW w:w="1355" w:type="pct"/>
            <w:tcBorders>
              <w:top w:val="nil"/>
              <w:bottom w:val="nil"/>
            </w:tcBorders>
          </w:tcPr>
          <w:p w14:paraId="1150E875"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10%</w:t>
            </w:r>
          </w:p>
        </w:tc>
        <w:tc>
          <w:tcPr>
            <w:tcW w:w="1676" w:type="pct"/>
            <w:tcBorders>
              <w:top w:val="nil"/>
              <w:bottom w:val="nil"/>
            </w:tcBorders>
          </w:tcPr>
          <w:p w14:paraId="67F28148" w14:textId="77777777" w:rsidR="00940332" w:rsidRPr="00D16A97" w:rsidRDefault="00940332" w:rsidP="000B527B">
            <w:pPr>
              <w:pStyle w:val="Tabletext"/>
              <w:keepNext/>
              <w:keepLines/>
              <w:jc w:val="center"/>
              <w:rPr>
                <w:rFonts w:eastAsia="SimSun"/>
                <w:iCs/>
              </w:rPr>
            </w:pPr>
            <w:r w:rsidRPr="00D16A97">
              <w:rPr>
                <w:rFonts w:eastAsia="SimSun"/>
                <w:iCs/>
              </w:rPr>
              <w:t>7.5%</w:t>
            </w:r>
          </w:p>
        </w:tc>
      </w:tr>
      <w:tr w:rsidR="00940332" w:rsidRPr="00D16A97" w14:paraId="73050FBE" w14:textId="77777777" w:rsidTr="00192D14">
        <w:tblPrEx>
          <w:tblLook w:val="04A0" w:firstRow="1" w:lastRow="0" w:firstColumn="1" w:lastColumn="0" w:noHBand="0" w:noVBand="1"/>
        </w:tblPrEx>
        <w:tc>
          <w:tcPr>
            <w:tcW w:w="1969" w:type="pct"/>
            <w:tcBorders>
              <w:top w:val="nil"/>
              <w:bottom w:val="nil"/>
            </w:tcBorders>
          </w:tcPr>
          <w:p w14:paraId="5C0C97E2"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50-69 with ≥ 2 risk factors</w:t>
            </w:r>
          </w:p>
        </w:tc>
        <w:tc>
          <w:tcPr>
            <w:tcW w:w="1355" w:type="pct"/>
            <w:tcBorders>
              <w:top w:val="nil"/>
              <w:bottom w:val="nil"/>
            </w:tcBorders>
          </w:tcPr>
          <w:p w14:paraId="6A2BA033"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5%</w:t>
            </w:r>
          </w:p>
        </w:tc>
        <w:tc>
          <w:tcPr>
            <w:tcW w:w="1676" w:type="pct"/>
            <w:tcBorders>
              <w:top w:val="nil"/>
              <w:bottom w:val="nil"/>
            </w:tcBorders>
          </w:tcPr>
          <w:p w14:paraId="26ADC255" w14:textId="77777777" w:rsidR="00940332" w:rsidRPr="00D16A97" w:rsidRDefault="00940332" w:rsidP="000B527B">
            <w:pPr>
              <w:pStyle w:val="Tabletext"/>
              <w:keepNext/>
              <w:keepLines/>
              <w:jc w:val="center"/>
              <w:rPr>
                <w:rFonts w:eastAsia="SimSun"/>
                <w:iCs/>
              </w:rPr>
            </w:pPr>
            <w:r w:rsidRPr="00D16A97">
              <w:rPr>
                <w:rFonts w:eastAsia="SimSun"/>
                <w:iCs/>
              </w:rPr>
              <w:t>14.3%</w:t>
            </w:r>
          </w:p>
        </w:tc>
      </w:tr>
      <w:tr w:rsidR="00940332" w:rsidRPr="00D16A97" w14:paraId="5C4C7702" w14:textId="77777777" w:rsidTr="00192D14">
        <w:tblPrEx>
          <w:tblLook w:val="04A0" w:firstRow="1" w:lastRow="0" w:firstColumn="1" w:lastColumn="0" w:noHBand="0" w:noVBand="1"/>
        </w:tblPrEx>
        <w:tc>
          <w:tcPr>
            <w:tcW w:w="1969" w:type="pct"/>
            <w:tcBorders>
              <w:top w:val="nil"/>
              <w:bottom w:val="nil"/>
            </w:tcBorders>
          </w:tcPr>
          <w:p w14:paraId="2439D633"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First Nations </w:t>
            </w:r>
          </w:p>
        </w:tc>
        <w:tc>
          <w:tcPr>
            <w:tcW w:w="1355" w:type="pct"/>
            <w:tcBorders>
              <w:top w:val="nil"/>
              <w:bottom w:val="nil"/>
            </w:tcBorders>
          </w:tcPr>
          <w:p w14:paraId="59DB24D6"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10%</w:t>
            </w:r>
          </w:p>
        </w:tc>
        <w:tc>
          <w:tcPr>
            <w:tcW w:w="1676" w:type="pct"/>
            <w:tcBorders>
              <w:top w:val="nil"/>
              <w:bottom w:val="nil"/>
            </w:tcBorders>
          </w:tcPr>
          <w:p w14:paraId="47211C6E" w14:textId="77777777" w:rsidR="00940332" w:rsidRPr="00D16A97" w:rsidRDefault="00940332" w:rsidP="000B527B">
            <w:pPr>
              <w:pStyle w:val="Tabletext"/>
              <w:keepNext/>
              <w:keepLines/>
              <w:jc w:val="center"/>
              <w:rPr>
                <w:rFonts w:eastAsia="SimSun"/>
                <w:iCs/>
              </w:rPr>
            </w:pPr>
            <w:r w:rsidRPr="00D16A97">
              <w:rPr>
                <w:rFonts w:eastAsia="SimSun"/>
                <w:iCs/>
              </w:rPr>
              <w:t>Not modelled</w:t>
            </w:r>
          </w:p>
        </w:tc>
      </w:tr>
      <w:tr w:rsidR="00940332" w:rsidRPr="00D16A97" w14:paraId="60AD7CCB" w14:textId="77777777" w:rsidTr="00192D14">
        <w:tblPrEx>
          <w:tblLook w:val="04A0" w:firstRow="1" w:lastRow="0" w:firstColumn="1" w:lastColumn="0" w:noHBand="0" w:noVBand="1"/>
        </w:tblPrEx>
        <w:tc>
          <w:tcPr>
            <w:tcW w:w="1969" w:type="pct"/>
            <w:tcBorders>
              <w:top w:val="nil"/>
              <w:bottom w:val="single" w:sz="4" w:space="0" w:color="auto"/>
            </w:tcBorders>
          </w:tcPr>
          <w:p w14:paraId="7C7E79C4"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18+ and immune compromised </w:t>
            </w:r>
          </w:p>
        </w:tc>
        <w:tc>
          <w:tcPr>
            <w:tcW w:w="1355" w:type="pct"/>
            <w:tcBorders>
              <w:top w:val="nil"/>
              <w:bottom w:val="single" w:sz="4" w:space="0" w:color="auto"/>
            </w:tcBorders>
          </w:tcPr>
          <w:p w14:paraId="1B123F94"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10%</w:t>
            </w:r>
          </w:p>
        </w:tc>
        <w:tc>
          <w:tcPr>
            <w:tcW w:w="1676" w:type="pct"/>
            <w:tcBorders>
              <w:top w:val="nil"/>
              <w:bottom w:val="single" w:sz="4" w:space="0" w:color="auto"/>
            </w:tcBorders>
          </w:tcPr>
          <w:p w14:paraId="261DCF7C" w14:textId="77777777" w:rsidR="00940332" w:rsidRPr="00D16A97" w:rsidRDefault="00940332" w:rsidP="000B527B">
            <w:pPr>
              <w:pStyle w:val="Tabletext"/>
              <w:keepNext/>
              <w:keepLines/>
              <w:jc w:val="center"/>
              <w:rPr>
                <w:rFonts w:eastAsia="SimSun"/>
                <w:iCs/>
              </w:rPr>
            </w:pPr>
            <w:r w:rsidRPr="00D16A97">
              <w:rPr>
                <w:rFonts w:eastAsia="SimSun"/>
                <w:iCs/>
              </w:rPr>
              <w:t>7.5%</w:t>
            </w:r>
          </w:p>
        </w:tc>
      </w:tr>
      <w:tr w:rsidR="00940332" w:rsidRPr="00D16A97" w14:paraId="0F1D1E30" w14:textId="77777777" w:rsidTr="00192D14">
        <w:tblPrEx>
          <w:tblLook w:val="04A0" w:firstRow="1" w:lastRow="0" w:firstColumn="1" w:lastColumn="0" w:noHBand="0" w:noVBand="1"/>
        </w:tblPrEx>
        <w:tc>
          <w:tcPr>
            <w:tcW w:w="1969" w:type="pct"/>
            <w:tcBorders>
              <w:bottom w:val="nil"/>
            </w:tcBorders>
          </w:tcPr>
          <w:p w14:paraId="7A997326" w14:textId="77777777" w:rsidR="00940332" w:rsidRPr="00D16A97" w:rsidRDefault="00940332" w:rsidP="000B527B">
            <w:pPr>
              <w:pStyle w:val="Tabletext"/>
              <w:keepNext/>
              <w:keepLines/>
              <w:rPr>
                <w:rFonts w:eastAsia="SimSun"/>
                <w:i/>
                <w:iCs/>
                <w:highlight w:val="yellow"/>
              </w:rPr>
            </w:pPr>
            <w:r w:rsidRPr="00D16A97">
              <w:rPr>
                <w:rFonts w:eastAsia="SimSun"/>
                <w:iCs/>
              </w:rPr>
              <w:t xml:space="preserve">Baseline risk of death in the acute phase following </w:t>
            </w:r>
            <w:r w:rsidRPr="00D16A97">
              <w:rPr>
                <w:rStyle w:val="normaltextrun"/>
                <w:rFonts w:eastAsia="SimSun"/>
                <w:iCs/>
              </w:rPr>
              <w:t>COVID</w:t>
            </w:r>
            <w:r w:rsidRPr="00D16A97">
              <w:rPr>
                <w:rStyle w:val="normaltextrun"/>
                <w:rFonts w:eastAsia="SimSun"/>
                <w:iCs/>
              </w:rPr>
              <w:noBreakHyphen/>
              <w:t>19</w:t>
            </w:r>
          </w:p>
        </w:tc>
        <w:tc>
          <w:tcPr>
            <w:tcW w:w="1355" w:type="pct"/>
            <w:tcBorders>
              <w:bottom w:val="nil"/>
            </w:tcBorders>
          </w:tcPr>
          <w:p w14:paraId="6BE37F39" w14:textId="77777777" w:rsidR="00940332" w:rsidRPr="00D16A97" w:rsidRDefault="00940332" w:rsidP="000B527B">
            <w:pPr>
              <w:pStyle w:val="Tabletext"/>
              <w:keepNext/>
              <w:keepLines/>
              <w:jc w:val="center"/>
              <w:rPr>
                <w:rFonts w:eastAsia="SimSun"/>
                <w:i/>
                <w:iCs/>
                <w:highlight w:val="yellow"/>
              </w:rPr>
            </w:pPr>
          </w:p>
        </w:tc>
        <w:tc>
          <w:tcPr>
            <w:tcW w:w="1676" w:type="pct"/>
            <w:tcBorders>
              <w:bottom w:val="nil"/>
            </w:tcBorders>
          </w:tcPr>
          <w:p w14:paraId="1194A8D1" w14:textId="77777777" w:rsidR="00940332" w:rsidRPr="00D16A97" w:rsidRDefault="00940332" w:rsidP="000B527B">
            <w:pPr>
              <w:pStyle w:val="Tabletext"/>
              <w:keepNext/>
              <w:keepLines/>
              <w:jc w:val="center"/>
              <w:rPr>
                <w:rFonts w:eastAsia="SimSun"/>
                <w:iCs/>
              </w:rPr>
            </w:pPr>
          </w:p>
        </w:tc>
      </w:tr>
      <w:tr w:rsidR="00940332" w:rsidRPr="00D16A97" w14:paraId="7C90034F" w14:textId="77777777" w:rsidTr="00192D14">
        <w:tblPrEx>
          <w:tblLook w:val="04A0" w:firstRow="1" w:lastRow="0" w:firstColumn="1" w:lastColumn="0" w:noHBand="0" w:noVBand="1"/>
        </w:tblPrEx>
        <w:tc>
          <w:tcPr>
            <w:tcW w:w="1969" w:type="pct"/>
            <w:tcBorders>
              <w:top w:val="nil"/>
              <w:bottom w:val="nil"/>
            </w:tcBorders>
          </w:tcPr>
          <w:p w14:paraId="6B1BDD1E"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70+ </w:t>
            </w:r>
          </w:p>
        </w:tc>
        <w:tc>
          <w:tcPr>
            <w:tcW w:w="1355" w:type="pct"/>
            <w:tcBorders>
              <w:top w:val="nil"/>
              <w:bottom w:val="nil"/>
            </w:tcBorders>
          </w:tcPr>
          <w:p w14:paraId="26FEC541"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w:t>
            </w:r>
            <w:r w:rsidRPr="00D16A97">
              <w:rPr>
                <w:rFonts w:eastAsia="SimSun"/>
                <w:iCs/>
                <w:vertAlign w:val="superscript"/>
              </w:rPr>
              <w:t>@</w:t>
            </w:r>
          </w:p>
        </w:tc>
        <w:tc>
          <w:tcPr>
            <w:tcW w:w="1676" w:type="pct"/>
            <w:tcBorders>
              <w:top w:val="nil"/>
              <w:bottom w:val="nil"/>
            </w:tcBorders>
          </w:tcPr>
          <w:p w14:paraId="16E2241C" w14:textId="77777777" w:rsidR="00940332" w:rsidRPr="00D16A97" w:rsidRDefault="00940332" w:rsidP="000B527B">
            <w:pPr>
              <w:pStyle w:val="Tabletext"/>
              <w:keepNext/>
              <w:keepLines/>
              <w:jc w:val="center"/>
              <w:rPr>
                <w:rFonts w:eastAsia="SimSun"/>
                <w:iCs/>
              </w:rPr>
            </w:pPr>
            <w:r w:rsidRPr="00D16A97">
              <w:rPr>
                <w:rFonts w:eastAsia="SimSun"/>
                <w:iCs/>
              </w:rPr>
              <w:t>3.4%</w:t>
            </w:r>
          </w:p>
        </w:tc>
      </w:tr>
      <w:tr w:rsidR="00940332" w:rsidRPr="00D16A97" w14:paraId="1C63D9B7" w14:textId="77777777" w:rsidTr="00192D14">
        <w:tblPrEx>
          <w:tblLook w:val="04A0" w:firstRow="1" w:lastRow="0" w:firstColumn="1" w:lastColumn="0" w:noHBand="0" w:noVBand="1"/>
        </w:tblPrEx>
        <w:tc>
          <w:tcPr>
            <w:tcW w:w="1969" w:type="pct"/>
            <w:tcBorders>
              <w:top w:val="nil"/>
              <w:bottom w:val="nil"/>
            </w:tcBorders>
          </w:tcPr>
          <w:p w14:paraId="3BDBF64B"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50-69 with ≥ 2 risk factors</w:t>
            </w:r>
          </w:p>
        </w:tc>
        <w:tc>
          <w:tcPr>
            <w:tcW w:w="1355" w:type="pct"/>
            <w:tcBorders>
              <w:top w:val="nil"/>
              <w:bottom w:val="nil"/>
            </w:tcBorders>
          </w:tcPr>
          <w:p w14:paraId="00847A2F"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0.33%</w:t>
            </w:r>
            <w:r w:rsidRPr="00D16A97">
              <w:rPr>
                <w:rFonts w:eastAsia="SimSun"/>
                <w:iCs/>
                <w:vertAlign w:val="superscript"/>
              </w:rPr>
              <w:t>@</w:t>
            </w:r>
          </w:p>
        </w:tc>
        <w:tc>
          <w:tcPr>
            <w:tcW w:w="1676" w:type="pct"/>
            <w:tcBorders>
              <w:top w:val="nil"/>
              <w:bottom w:val="nil"/>
            </w:tcBorders>
          </w:tcPr>
          <w:p w14:paraId="755015DE" w14:textId="77777777" w:rsidR="00940332" w:rsidRPr="00D16A97" w:rsidRDefault="00940332" w:rsidP="000B527B">
            <w:pPr>
              <w:pStyle w:val="Tabletext"/>
              <w:keepNext/>
              <w:keepLines/>
              <w:jc w:val="center"/>
              <w:rPr>
                <w:rFonts w:eastAsia="SimSun"/>
                <w:iCs/>
              </w:rPr>
            </w:pPr>
            <w:r w:rsidRPr="00D16A97">
              <w:rPr>
                <w:rFonts w:eastAsia="SimSun"/>
                <w:iCs/>
              </w:rPr>
              <w:t>0.07%</w:t>
            </w:r>
          </w:p>
        </w:tc>
      </w:tr>
      <w:tr w:rsidR="00940332" w:rsidRPr="00D16A97" w14:paraId="6509F153" w14:textId="77777777" w:rsidTr="00192D14">
        <w:tblPrEx>
          <w:tblLook w:val="04A0" w:firstRow="1" w:lastRow="0" w:firstColumn="1" w:lastColumn="0" w:noHBand="0" w:noVBand="1"/>
        </w:tblPrEx>
        <w:tc>
          <w:tcPr>
            <w:tcW w:w="1969" w:type="pct"/>
            <w:tcBorders>
              <w:top w:val="nil"/>
              <w:bottom w:val="nil"/>
            </w:tcBorders>
          </w:tcPr>
          <w:p w14:paraId="3DA40E6F"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First Nations </w:t>
            </w:r>
          </w:p>
        </w:tc>
        <w:tc>
          <w:tcPr>
            <w:tcW w:w="1355" w:type="pct"/>
            <w:tcBorders>
              <w:top w:val="nil"/>
              <w:bottom w:val="nil"/>
            </w:tcBorders>
          </w:tcPr>
          <w:p w14:paraId="59CA80B4"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0.67%</w:t>
            </w:r>
            <w:r w:rsidRPr="00D16A97">
              <w:rPr>
                <w:rFonts w:eastAsia="SimSun"/>
                <w:iCs/>
                <w:vertAlign w:val="superscript"/>
              </w:rPr>
              <w:t>@</w:t>
            </w:r>
          </w:p>
        </w:tc>
        <w:tc>
          <w:tcPr>
            <w:tcW w:w="1676" w:type="pct"/>
            <w:tcBorders>
              <w:top w:val="nil"/>
              <w:bottom w:val="nil"/>
            </w:tcBorders>
          </w:tcPr>
          <w:p w14:paraId="48B86510" w14:textId="77777777" w:rsidR="00940332" w:rsidRPr="00D16A97" w:rsidRDefault="00940332" w:rsidP="000B527B">
            <w:pPr>
              <w:pStyle w:val="Tabletext"/>
              <w:keepNext/>
              <w:keepLines/>
              <w:jc w:val="center"/>
              <w:rPr>
                <w:rFonts w:eastAsia="SimSun"/>
                <w:iCs/>
              </w:rPr>
            </w:pPr>
            <w:r w:rsidRPr="00D16A97">
              <w:rPr>
                <w:rFonts w:eastAsia="SimSun"/>
                <w:iCs/>
              </w:rPr>
              <w:t>Not modelled</w:t>
            </w:r>
          </w:p>
        </w:tc>
      </w:tr>
      <w:tr w:rsidR="00940332" w:rsidRPr="00D16A97" w14:paraId="694C8A5B" w14:textId="77777777" w:rsidTr="00192D14">
        <w:tblPrEx>
          <w:tblLook w:val="04A0" w:firstRow="1" w:lastRow="0" w:firstColumn="1" w:lastColumn="0" w:noHBand="0" w:noVBand="1"/>
        </w:tblPrEx>
        <w:tc>
          <w:tcPr>
            <w:tcW w:w="1969" w:type="pct"/>
            <w:tcBorders>
              <w:top w:val="nil"/>
              <w:bottom w:val="single" w:sz="4" w:space="0" w:color="auto"/>
            </w:tcBorders>
          </w:tcPr>
          <w:p w14:paraId="497BE72D"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18+ and immune compromised </w:t>
            </w:r>
          </w:p>
        </w:tc>
        <w:tc>
          <w:tcPr>
            <w:tcW w:w="1355" w:type="pct"/>
            <w:tcBorders>
              <w:top w:val="nil"/>
              <w:bottom w:val="single" w:sz="4" w:space="0" w:color="auto"/>
            </w:tcBorders>
          </w:tcPr>
          <w:p w14:paraId="31608403"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w:t>
            </w:r>
            <w:r w:rsidRPr="00D16A97">
              <w:rPr>
                <w:rFonts w:eastAsia="SimSun"/>
                <w:iCs/>
                <w:vertAlign w:val="superscript"/>
              </w:rPr>
              <w:t>@</w:t>
            </w:r>
          </w:p>
        </w:tc>
        <w:tc>
          <w:tcPr>
            <w:tcW w:w="1676" w:type="pct"/>
            <w:tcBorders>
              <w:top w:val="nil"/>
              <w:bottom w:val="single" w:sz="4" w:space="0" w:color="auto"/>
            </w:tcBorders>
          </w:tcPr>
          <w:p w14:paraId="5EB538AF" w14:textId="77777777" w:rsidR="00940332" w:rsidRPr="00D16A97" w:rsidRDefault="00940332" w:rsidP="000B527B">
            <w:pPr>
              <w:pStyle w:val="Tabletext"/>
              <w:keepNext/>
              <w:keepLines/>
              <w:jc w:val="center"/>
              <w:rPr>
                <w:rFonts w:eastAsia="SimSun"/>
                <w:iCs/>
              </w:rPr>
            </w:pPr>
            <w:r w:rsidRPr="00D16A97">
              <w:rPr>
                <w:rFonts w:eastAsia="SimSun"/>
                <w:iCs/>
              </w:rPr>
              <w:t>3.11%</w:t>
            </w:r>
          </w:p>
        </w:tc>
      </w:tr>
      <w:tr w:rsidR="00940332" w:rsidRPr="00D16A97" w14:paraId="1AAB19A2" w14:textId="77777777" w:rsidTr="00192D14">
        <w:tblPrEx>
          <w:tblLook w:val="04A0" w:firstRow="1" w:lastRow="0" w:firstColumn="1" w:lastColumn="0" w:noHBand="0" w:noVBand="1"/>
        </w:tblPrEx>
        <w:tc>
          <w:tcPr>
            <w:tcW w:w="1969" w:type="pct"/>
            <w:tcBorders>
              <w:bottom w:val="nil"/>
            </w:tcBorders>
          </w:tcPr>
          <w:p w14:paraId="3864BDC5" w14:textId="77777777" w:rsidR="00940332" w:rsidRPr="00D16A97" w:rsidRDefault="00940332" w:rsidP="000B527B">
            <w:pPr>
              <w:pStyle w:val="Tabletext"/>
              <w:keepNext/>
              <w:keepLines/>
              <w:rPr>
                <w:rFonts w:eastAsia="SimSun"/>
                <w:i/>
                <w:iCs/>
                <w:highlight w:val="yellow"/>
              </w:rPr>
            </w:pPr>
            <w:r w:rsidRPr="00D16A97">
              <w:rPr>
                <w:rFonts w:eastAsia="SimSun"/>
                <w:iCs/>
              </w:rPr>
              <w:t>Treatment effect (odds ratio) for molnupiravir</w:t>
            </w:r>
          </w:p>
        </w:tc>
        <w:tc>
          <w:tcPr>
            <w:tcW w:w="1355" w:type="pct"/>
            <w:tcBorders>
              <w:bottom w:val="nil"/>
            </w:tcBorders>
          </w:tcPr>
          <w:p w14:paraId="0BD0F9F3" w14:textId="77777777" w:rsidR="00940332" w:rsidRPr="00D16A97" w:rsidRDefault="00940332" w:rsidP="000B527B">
            <w:pPr>
              <w:pStyle w:val="Tabletext"/>
              <w:keepNext/>
              <w:keepLines/>
              <w:jc w:val="center"/>
              <w:rPr>
                <w:rFonts w:eastAsia="SimSun"/>
                <w:i/>
                <w:iCs/>
                <w:highlight w:val="yellow"/>
              </w:rPr>
            </w:pPr>
          </w:p>
        </w:tc>
        <w:tc>
          <w:tcPr>
            <w:tcW w:w="1676" w:type="pct"/>
            <w:tcBorders>
              <w:bottom w:val="nil"/>
            </w:tcBorders>
          </w:tcPr>
          <w:p w14:paraId="6B118869" w14:textId="77777777" w:rsidR="00940332" w:rsidRPr="00D16A97" w:rsidRDefault="00940332" w:rsidP="000B527B">
            <w:pPr>
              <w:pStyle w:val="Tabletext"/>
              <w:keepNext/>
              <w:keepLines/>
              <w:jc w:val="center"/>
              <w:rPr>
                <w:rFonts w:eastAsia="SimSun"/>
                <w:iCs/>
              </w:rPr>
            </w:pPr>
          </w:p>
        </w:tc>
      </w:tr>
      <w:tr w:rsidR="00940332" w:rsidRPr="00D16A97" w14:paraId="1D747C98" w14:textId="77777777" w:rsidTr="00192D14">
        <w:tblPrEx>
          <w:tblLook w:val="04A0" w:firstRow="1" w:lastRow="0" w:firstColumn="1" w:lastColumn="0" w:noHBand="0" w:noVBand="1"/>
        </w:tblPrEx>
        <w:tc>
          <w:tcPr>
            <w:tcW w:w="1969" w:type="pct"/>
            <w:tcBorders>
              <w:top w:val="nil"/>
              <w:bottom w:val="nil"/>
            </w:tcBorders>
          </w:tcPr>
          <w:p w14:paraId="31032E80"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70+ </w:t>
            </w:r>
          </w:p>
        </w:tc>
        <w:tc>
          <w:tcPr>
            <w:tcW w:w="1355" w:type="pct"/>
            <w:tcBorders>
              <w:top w:val="nil"/>
              <w:bottom w:val="nil"/>
            </w:tcBorders>
          </w:tcPr>
          <w:p w14:paraId="621BA563"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0.76</w:t>
            </w:r>
          </w:p>
        </w:tc>
        <w:tc>
          <w:tcPr>
            <w:tcW w:w="1676" w:type="pct"/>
            <w:tcBorders>
              <w:top w:val="nil"/>
              <w:bottom w:val="nil"/>
            </w:tcBorders>
          </w:tcPr>
          <w:p w14:paraId="59A4AC57" w14:textId="77777777" w:rsidR="00940332" w:rsidRPr="00D16A97" w:rsidRDefault="00940332" w:rsidP="000B527B">
            <w:pPr>
              <w:pStyle w:val="Tabletext"/>
              <w:keepNext/>
              <w:keepLines/>
              <w:jc w:val="center"/>
              <w:rPr>
                <w:rFonts w:eastAsia="SimSun"/>
                <w:iCs/>
              </w:rPr>
            </w:pPr>
            <w:r w:rsidRPr="00D16A97">
              <w:rPr>
                <w:rFonts w:eastAsia="SimSun"/>
                <w:iCs/>
              </w:rPr>
              <w:t>0.76^</w:t>
            </w:r>
          </w:p>
        </w:tc>
      </w:tr>
      <w:tr w:rsidR="00940332" w:rsidRPr="00D16A97" w14:paraId="68645B4E" w14:textId="77777777" w:rsidTr="00192D14">
        <w:tblPrEx>
          <w:tblLook w:val="04A0" w:firstRow="1" w:lastRow="0" w:firstColumn="1" w:lastColumn="0" w:noHBand="0" w:noVBand="1"/>
        </w:tblPrEx>
        <w:tc>
          <w:tcPr>
            <w:tcW w:w="1969" w:type="pct"/>
            <w:tcBorders>
              <w:top w:val="nil"/>
              <w:bottom w:val="nil"/>
            </w:tcBorders>
          </w:tcPr>
          <w:p w14:paraId="18DC97C8"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50-69 with ≥ 2 risk factors</w:t>
            </w:r>
          </w:p>
        </w:tc>
        <w:tc>
          <w:tcPr>
            <w:tcW w:w="1355" w:type="pct"/>
            <w:tcBorders>
              <w:top w:val="nil"/>
              <w:bottom w:val="nil"/>
            </w:tcBorders>
          </w:tcPr>
          <w:p w14:paraId="61B78ED9"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0.76</w:t>
            </w:r>
          </w:p>
        </w:tc>
        <w:tc>
          <w:tcPr>
            <w:tcW w:w="1676" w:type="pct"/>
            <w:tcBorders>
              <w:top w:val="nil"/>
              <w:bottom w:val="nil"/>
            </w:tcBorders>
          </w:tcPr>
          <w:p w14:paraId="59F007B4" w14:textId="77777777" w:rsidR="00940332" w:rsidRPr="00D16A97" w:rsidRDefault="00940332" w:rsidP="000B527B">
            <w:pPr>
              <w:pStyle w:val="Tabletext"/>
              <w:keepNext/>
              <w:keepLines/>
              <w:jc w:val="center"/>
              <w:rPr>
                <w:rFonts w:eastAsia="SimSun"/>
                <w:iCs/>
              </w:rPr>
            </w:pPr>
            <w:r w:rsidRPr="00D16A97">
              <w:rPr>
                <w:rFonts w:eastAsia="SimSun"/>
                <w:iCs/>
              </w:rPr>
              <w:t>0.76^</w:t>
            </w:r>
          </w:p>
        </w:tc>
      </w:tr>
      <w:tr w:rsidR="00940332" w:rsidRPr="00D16A97" w14:paraId="2693EA38" w14:textId="77777777" w:rsidTr="00192D14">
        <w:tblPrEx>
          <w:tblLook w:val="04A0" w:firstRow="1" w:lastRow="0" w:firstColumn="1" w:lastColumn="0" w:noHBand="0" w:noVBand="1"/>
        </w:tblPrEx>
        <w:tc>
          <w:tcPr>
            <w:tcW w:w="1969" w:type="pct"/>
            <w:tcBorders>
              <w:top w:val="nil"/>
              <w:bottom w:val="nil"/>
            </w:tcBorders>
          </w:tcPr>
          <w:p w14:paraId="6D0FB426"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First Nations </w:t>
            </w:r>
          </w:p>
        </w:tc>
        <w:tc>
          <w:tcPr>
            <w:tcW w:w="1355" w:type="pct"/>
            <w:tcBorders>
              <w:top w:val="nil"/>
              <w:bottom w:val="nil"/>
            </w:tcBorders>
          </w:tcPr>
          <w:p w14:paraId="0E7EF677"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0.76</w:t>
            </w:r>
          </w:p>
        </w:tc>
        <w:tc>
          <w:tcPr>
            <w:tcW w:w="1676" w:type="pct"/>
            <w:tcBorders>
              <w:top w:val="nil"/>
              <w:bottom w:val="nil"/>
            </w:tcBorders>
          </w:tcPr>
          <w:p w14:paraId="37C1F2FF" w14:textId="77777777" w:rsidR="00940332" w:rsidRPr="00D16A97" w:rsidRDefault="00940332" w:rsidP="000B527B">
            <w:pPr>
              <w:pStyle w:val="Tabletext"/>
              <w:keepNext/>
              <w:keepLines/>
              <w:jc w:val="center"/>
              <w:rPr>
                <w:rFonts w:eastAsia="SimSun"/>
                <w:iCs/>
              </w:rPr>
            </w:pPr>
            <w:r w:rsidRPr="00D16A97">
              <w:rPr>
                <w:rFonts w:eastAsia="SimSun"/>
                <w:iCs/>
              </w:rPr>
              <w:t>Not modelled</w:t>
            </w:r>
          </w:p>
        </w:tc>
      </w:tr>
      <w:tr w:rsidR="00940332" w:rsidRPr="00D16A97" w14:paraId="06D4533B" w14:textId="77777777" w:rsidTr="00192D14">
        <w:tblPrEx>
          <w:tblLook w:val="04A0" w:firstRow="1" w:lastRow="0" w:firstColumn="1" w:lastColumn="0" w:noHBand="0" w:noVBand="1"/>
        </w:tblPrEx>
        <w:tc>
          <w:tcPr>
            <w:tcW w:w="1969" w:type="pct"/>
            <w:tcBorders>
              <w:top w:val="nil"/>
              <w:bottom w:val="single" w:sz="4" w:space="0" w:color="auto"/>
            </w:tcBorders>
          </w:tcPr>
          <w:p w14:paraId="138D280F"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18+ and immune compromised </w:t>
            </w:r>
          </w:p>
        </w:tc>
        <w:tc>
          <w:tcPr>
            <w:tcW w:w="1355" w:type="pct"/>
            <w:tcBorders>
              <w:top w:val="nil"/>
              <w:bottom w:val="single" w:sz="4" w:space="0" w:color="auto"/>
            </w:tcBorders>
          </w:tcPr>
          <w:p w14:paraId="29468664"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0.76</w:t>
            </w:r>
          </w:p>
        </w:tc>
        <w:tc>
          <w:tcPr>
            <w:tcW w:w="1676" w:type="pct"/>
            <w:tcBorders>
              <w:top w:val="nil"/>
              <w:bottom w:val="single" w:sz="4" w:space="0" w:color="auto"/>
            </w:tcBorders>
          </w:tcPr>
          <w:p w14:paraId="119E73FC" w14:textId="77777777" w:rsidR="00940332" w:rsidRPr="00D16A97" w:rsidRDefault="00940332" w:rsidP="000B527B">
            <w:pPr>
              <w:pStyle w:val="Tabletext"/>
              <w:keepNext/>
              <w:keepLines/>
              <w:jc w:val="center"/>
              <w:rPr>
                <w:rFonts w:eastAsia="SimSun"/>
                <w:iCs/>
              </w:rPr>
            </w:pPr>
            <w:r w:rsidRPr="00D16A97">
              <w:rPr>
                <w:rFonts w:eastAsia="SimSun"/>
                <w:iCs/>
              </w:rPr>
              <w:t>0.65^</w:t>
            </w:r>
          </w:p>
        </w:tc>
      </w:tr>
      <w:tr w:rsidR="00940332" w:rsidRPr="00D16A97" w14:paraId="401D7106" w14:textId="77777777" w:rsidTr="00192D14">
        <w:tblPrEx>
          <w:tblLook w:val="04A0" w:firstRow="1" w:lastRow="0" w:firstColumn="1" w:lastColumn="0" w:noHBand="0" w:noVBand="1"/>
        </w:tblPrEx>
        <w:tc>
          <w:tcPr>
            <w:tcW w:w="1969" w:type="pct"/>
            <w:tcBorders>
              <w:bottom w:val="nil"/>
            </w:tcBorders>
          </w:tcPr>
          <w:p w14:paraId="1A89B941" w14:textId="77777777" w:rsidR="00940332" w:rsidRPr="00D16A97" w:rsidRDefault="00940332" w:rsidP="000B527B">
            <w:pPr>
              <w:pStyle w:val="Tabletext"/>
              <w:keepNext/>
              <w:keepLines/>
              <w:rPr>
                <w:rFonts w:eastAsia="SimSun"/>
                <w:i/>
                <w:iCs/>
                <w:highlight w:val="yellow"/>
              </w:rPr>
            </w:pPr>
            <w:r w:rsidRPr="00D16A97">
              <w:rPr>
                <w:rFonts w:eastAsia="SimSun"/>
                <w:iCs/>
              </w:rPr>
              <w:t xml:space="preserve">Discounted QALYs lost by a patient who dies due to </w:t>
            </w:r>
            <w:r w:rsidRPr="00D16A97">
              <w:rPr>
                <w:rStyle w:val="normaltextrun"/>
                <w:rFonts w:eastAsia="SimSun"/>
                <w:iCs/>
              </w:rPr>
              <w:t>COVID</w:t>
            </w:r>
            <w:r w:rsidRPr="00D16A97">
              <w:rPr>
                <w:rStyle w:val="normaltextrun"/>
                <w:rFonts w:eastAsia="SimSun"/>
                <w:iCs/>
              </w:rPr>
              <w:noBreakHyphen/>
              <w:t>19</w:t>
            </w:r>
          </w:p>
        </w:tc>
        <w:tc>
          <w:tcPr>
            <w:tcW w:w="1355" w:type="pct"/>
            <w:tcBorders>
              <w:bottom w:val="nil"/>
            </w:tcBorders>
          </w:tcPr>
          <w:p w14:paraId="3094BCA5" w14:textId="77777777" w:rsidR="00940332" w:rsidRPr="00D16A97" w:rsidRDefault="00940332" w:rsidP="000B527B">
            <w:pPr>
              <w:pStyle w:val="Tabletext"/>
              <w:keepNext/>
              <w:keepLines/>
              <w:jc w:val="center"/>
              <w:rPr>
                <w:rFonts w:eastAsia="SimSun"/>
                <w:i/>
                <w:iCs/>
                <w:highlight w:val="yellow"/>
              </w:rPr>
            </w:pPr>
          </w:p>
        </w:tc>
        <w:tc>
          <w:tcPr>
            <w:tcW w:w="1676" w:type="pct"/>
            <w:tcBorders>
              <w:bottom w:val="nil"/>
            </w:tcBorders>
          </w:tcPr>
          <w:p w14:paraId="5515CB19" w14:textId="77777777" w:rsidR="00940332" w:rsidRPr="00D16A97" w:rsidRDefault="00940332" w:rsidP="000B527B">
            <w:pPr>
              <w:pStyle w:val="Tabletext"/>
              <w:keepNext/>
              <w:keepLines/>
              <w:jc w:val="center"/>
              <w:rPr>
                <w:rFonts w:eastAsia="SimSun"/>
                <w:iCs/>
              </w:rPr>
            </w:pPr>
          </w:p>
        </w:tc>
      </w:tr>
      <w:tr w:rsidR="00940332" w:rsidRPr="00D16A97" w14:paraId="06A2DEFD" w14:textId="77777777" w:rsidTr="00192D14">
        <w:tblPrEx>
          <w:tblLook w:val="04A0" w:firstRow="1" w:lastRow="0" w:firstColumn="1" w:lastColumn="0" w:noHBand="0" w:noVBand="1"/>
        </w:tblPrEx>
        <w:tc>
          <w:tcPr>
            <w:tcW w:w="1969" w:type="pct"/>
            <w:tcBorders>
              <w:top w:val="nil"/>
              <w:bottom w:val="nil"/>
            </w:tcBorders>
          </w:tcPr>
          <w:p w14:paraId="4485BF15"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70+ </w:t>
            </w:r>
          </w:p>
        </w:tc>
        <w:tc>
          <w:tcPr>
            <w:tcW w:w="1355" w:type="pct"/>
            <w:tcBorders>
              <w:top w:val="nil"/>
              <w:bottom w:val="nil"/>
            </w:tcBorders>
          </w:tcPr>
          <w:p w14:paraId="5A00628B"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6.44</w:t>
            </w:r>
          </w:p>
        </w:tc>
        <w:tc>
          <w:tcPr>
            <w:tcW w:w="1676" w:type="pct"/>
            <w:tcBorders>
              <w:top w:val="nil"/>
              <w:bottom w:val="nil"/>
            </w:tcBorders>
          </w:tcPr>
          <w:p w14:paraId="5BD14723" w14:textId="77777777" w:rsidR="00940332" w:rsidRPr="00D16A97" w:rsidRDefault="00940332" w:rsidP="000B527B">
            <w:pPr>
              <w:pStyle w:val="Tabletext"/>
              <w:keepNext/>
              <w:keepLines/>
              <w:jc w:val="center"/>
              <w:rPr>
                <w:rFonts w:eastAsia="SimSun"/>
                <w:iCs/>
              </w:rPr>
            </w:pPr>
            <w:r w:rsidRPr="00D16A97">
              <w:rPr>
                <w:rFonts w:eastAsia="SimSun"/>
                <w:iCs/>
              </w:rPr>
              <w:t>4.0315</w:t>
            </w:r>
          </w:p>
        </w:tc>
      </w:tr>
      <w:tr w:rsidR="00940332" w:rsidRPr="00D16A97" w14:paraId="094AE61F" w14:textId="77777777" w:rsidTr="00192D14">
        <w:tblPrEx>
          <w:tblLook w:val="04A0" w:firstRow="1" w:lastRow="0" w:firstColumn="1" w:lastColumn="0" w:noHBand="0" w:noVBand="1"/>
        </w:tblPrEx>
        <w:tc>
          <w:tcPr>
            <w:tcW w:w="1969" w:type="pct"/>
            <w:tcBorders>
              <w:top w:val="nil"/>
              <w:bottom w:val="nil"/>
            </w:tcBorders>
          </w:tcPr>
          <w:p w14:paraId="31513826"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50-69 with ≥ 2 risk factors</w:t>
            </w:r>
          </w:p>
        </w:tc>
        <w:tc>
          <w:tcPr>
            <w:tcW w:w="1355" w:type="pct"/>
            <w:tcBorders>
              <w:top w:val="nil"/>
              <w:bottom w:val="nil"/>
            </w:tcBorders>
          </w:tcPr>
          <w:p w14:paraId="13E3D20A"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12.18</w:t>
            </w:r>
          </w:p>
        </w:tc>
        <w:tc>
          <w:tcPr>
            <w:tcW w:w="1676" w:type="pct"/>
            <w:tcBorders>
              <w:top w:val="nil"/>
              <w:bottom w:val="nil"/>
            </w:tcBorders>
          </w:tcPr>
          <w:p w14:paraId="25FD8102" w14:textId="77777777" w:rsidR="00940332" w:rsidRPr="00D16A97" w:rsidRDefault="00940332" w:rsidP="000B527B">
            <w:pPr>
              <w:pStyle w:val="Tabletext"/>
              <w:keepNext/>
              <w:keepLines/>
              <w:jc w:val="center"/>
              <w:rPr>
                <w:rFonts w:eastAsia="SimSun"/>
                <w:iCs/>
              </w:rPr>
            </w:pPr>
            <w:r w:rsidRPr="00D16A97">
              <w:rPr>
                <w:rFonts w:eastAsia="SimSun"/>
                <w:iCs/>
              </w:rPr>
              <w:t>11.2805</w:t>
            </w:r>
          </w:p>
        </w:tc>
      </w:tr>
      <w:tr w:rsidR="00940332" w:rsidRPr="00D16A97" w14:paraId="0AB6EF11" w14:textId="77777777" w:rsidTr="00192D14">
        <w:tblPrEx>
          <w:tblLook w:val="04A0" w:firstRow="1" w:lastRow="0" w:firstColumn="1" w:lastColumn="0" w:noHBand="0" w:noVBand="1"/>
        </w:tblPrEx>
        <w:tc>
          <w:tcPr>
            <w:tcW w:w="1969" w:type="pct"/>
            <w:tcBorders>
              <w:top w:val="nil"/>
              <w:bottom w:val="nil"/>
            </w:tcBorders>
          </w:tcPr>
          <w:p w14:paraId="196AF62D"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First Nations </w:t>
            </w:r>
          </w:p>
        </w:tc>
        <w:tc>
          <w:tcPr>
            <w:tcW w:w="1355" w:type="pct"/>
            <w:tcBorders>
              <w:top w:val="nil"/>
              <w:bottom w:val="nil"/>
            </w:tcBorders>
          </w:tcPr>
          <w:p w14:paraId="3772D7B1"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13.00</w:t>
            </w:r>
          </w:p>
        </w:tc>
        <w:tc>
          <w:tcPr>
            <w:tcW w:w="1676" w:type="pct"/>
            <w:tcBorders>
              <w:top w:val="nil"/>
              <w:bottom w:val="nil"/>
            </w:tcBorders>
          </w:tcPr>
          <w:p w14:paraId="4BC975BF" w14:textId="77777777" w:rsidR="00940332" w:rsidRPr="00D16A97" w:rsidRDefault="00940332" w:rsidP="000B527B">
            <w:pPr>
              <w:pStyle w:val="Tabletext"/>
              <w:keepNext/>
              <w:keepLines/>
              <w:jc w:val="center"/>
              <w:rPr>
                <w:rFonts w:eastAsia="SimSun"/>
                <w:iCs/>
              </w:rPr>
            </w:pPr>
            <w:r w:rsidRPr="00D16A97">
              <w:rPr>
                <w:rFonts w:eastAsia="SimSun"/>
                <w:iCs/>
              </w:rPr>
              <w:t>Not modelled</w:t>
            </w:r>
          </w:p>
        </w:tc>
      </w:tr>
      <w:tr w:rsidR="00940332" w:rsidRPr="00D16A97" w14:paraId="77069424" w14:textId="77777777" w:rsidTr="00192D14">
        <w:tblPrEx>
          <w:tblLook w:val="04A0" w:firstRow="1" w:lastRow="0" w:firstColumn="1" w:lastColumn="0" w:noHBand="0" w:noVBand="1"/>
        </w:tblPrEx>
        <w:tc>
          <w:tcPr>
            <w:tcW w:w="1969" w:type="pct"/>
            <w:tcBorders>
              <w:top w:val="nil"/>
              <w:bottom w:val="single" w:sz="4" w:space="0" w:color="auto"/>
            </w:tcBorders>
          </w:tcPr>
          <w:p w14:paraId="26FE0803" w14:textId="77777777" w:rsidR="00940332" w:rsidRPr="00D16A97" w:rsidRDefault="00940332" w:rsidP="000B527B">
            <w:pPr>
              <w:pStyle w:val="Tabletext"/>
              <w:keepNext/>
              <w:keepLines/>
              <w:ind w:left="306"/>
              <w:rPr>
                <w:rFonts w:eastAsia="SimSun"/>
                <w:i/>
                <w:iCs/>
                <w:highlight w:val="yellow"/>
              </w:rPr>
            </w:pPr>
            <w:r w:rsidRPr="00D16A97">
              <w:rPr>
                <w:rFonts w:eastAsia="SimSun"/>
                <w:iCs/>
              </w:rPr>
              <w:t xml:space="preserve">18+ and immune compromised </w:t>
            </w:r>
          </w:p>
        </w:tc>
        <w:tc>
          <w:tcPr>
            <w:tcW w:w="1355" w:type="pct"/>
            <w:tcBorders>
              <w:top w:val="nil"/>
              <w:bottom w:val="single" w:sz="4" w:space="0" w:color="auto"/>
            </w:tcBorders>
          </w:tcPr>
          <w:p w14:paraId="7A8634B3" w14:textId="77777777" w:rsidR="00940332" w:rsidRPr="00D16A97" w:rsidRDefault="00940332" w:rsidP="000B527B">
            <w:pPr>
              <w:pStyle w:val="Tabletext"/>
              <w:keepNext/>
              <w:keepLines/>
              <w:jc w:val="center"/>
              <w:rPr>
                <w:rFonts w:eastAsia="SimSun"/>
                <w:i/>
                <w:iCs/>
                <w:highlight w:val="yellow"/>
              </w:rPr>
            </w:pPr>
            <w:r w:rsidRPr="00D16A97">
              <w:rPr>
                <w:rFonts w:eastAsia="SimSun"/>
                <w:iCs/>
              </w:rPr>
              <w:t>15.57</w:t>
            </w:r>
          </w:p>
        </w:tc>
        <w:tc>
          <w:tcPr>
            <w:tcW w:w="1676" w:type="pct"/>
            <w:tcBorders>
              <w:top w:val="nil"/>
              <w:bottom w:val="single" w:sz="4" w:space="0" w:color="auto"/>
            </w:tcBorders>
          </w:tcPr>
          <w:p w14:paraId="09A0C086" w14:textId="77777777" w:rsidR="00940332" w:rsidRPr="00D16A97" w:rsidRDefault="00940332" w:rsidP="000B527B">
            <w:pPr>
              <w:pStyle w:val="Tabletext"/>
              <w:keepNext/>
              <w:keepLines/>
              <w:jc w:val="center"/>
              <w:rPr>
                <w:rFonts w:eastAsia="SimSun"/>
                <w:iCs/>
              </w:rPr>
            </w:pPr>
            <w:r w:rsidRPr="00D16A97">
              <w:rPr>
                <w:rFonts w:eastAsia="SimSun"/>
                <w:iCs/>
              </w:rPr>
              <w:t>11.778</w:t>
            </w:r>
          </w:p>
        </w:tc>
      </w:tr>
      <w:tr w:rsidR="00940332" w:rsidRPr="00D16A97" w14:paraId="4784FE2D" w14:textId="77777777" w:rsidTr="00192D14">
        <w:tblPrEx>
          <w:tblLook w:val="04A0" w:firstRow="1" w:lastRow="0" w:firstColumn="1" w:lastColumn="0" w:noHBand="0" w:noVBand="1"/>
        </w:tblPrEx>
        <w:tc>
          <w:tcPr>
            <w:tcW w:w="1969" w:type="pct"/>
            <w:tcBorders>
              <w:bottom w:val="nil"/>
            </w:tcBorders>
          </w:tcPr>
          <w:p w14:paraId="526E2383" w14:textId="77777777" w:rsidR="00940332" w:rsidRPr="00D16A97" w:rsidRDefault="00940332" w:rsidP="000B527B">
            <w:pPr>
              <w:pStyle w:val="Tabletext"/>
              <w:keepNext/>
              <w:keepLines/>
              <w:rPr>
                <w:rFonts w:eastAsia="SimSun"/>
                <w:i/>
                <w:iCs/>
                <w:highlight w:val="yellow"/>
              </w:rPr>
            </w:pPr>
            <w:r w:rsidRPr="00D16A97">
              <w:rPr>
                <w:rFonts w:eastAsia="SimSun"/>
                <w:iCs/>
              </w:rPr>
              <w:t>Cost of hospitalisation</w:t>
            </w:r>
          </w:p>
        </w:tc>
        <w:tc>
          <w:tcPr>
            <w:tcW w:w="1355" w:type="pct"/>
            <w:tcBorders>
              <w:bottom w:val="nil"/>
            </w:tcBorders>
          </w:tcPr>
          <w:p w14:paraId="66552AEF" w14:textId="77777777" w:rsidR="00940332" w:rsidRPr="00D16A97" w:rsidRDefault="00940332" w:rsidP="000B527B">
            <w:pPr>
              <w:pStyle w:val="Tabletext"/>
              <w:keepNext/>
              <w:keepLines/>
              <w:jc w:val="center"/>
              <w:rPr>
                <w:rFonts w:eastAsia="SimSun"/>
                <w:i/>
                <w:iCs/>
                <w:highlight w:val="yellow"/>
              </w:rPr>
            </w:pPr>
          </w:p>
        </w:tc>
        <w:tc>
          <w:tcPr>
            <w:tcW w:w="1676" w:type="pct"/>
            <w:tcBorders>
              <w:bottom w:val="nil"/>
            </w:tcBorders>
          </w:tcPr>
          <w:p w14:paraId="6C5D0490" w14:textId="77777777" w:rsidR="00940332" w:rsidRPr="00D16A97" w:rsidRDefault="00940332" w:rsidP="000B527B">
            <w:pPr>
              <w:pStyle w:val="Tabletext"/>
              <w:keepNext/>
              <w:keepLines/>
              <w:jc w:val="center"/>
              <w:rPr>
                <w:rFonts w:eastAsia="SimSun"/>
                <w:iCs/>
              </w:rPr>
            </w:pPr>
          </w:p>
        </w:tc>
      </w:tr>
      <w:tr w:rsidR="00940332" w:rsidRPr="00D16A97" w14:paraId="2D7595BF" w14:textId="77777777" w:rsidTr="00192D14">
        <w:tblPrEx>
          <w:tblLook w:val="04A0" w:firstRow="1" w:lastRow="0" w:firstColumn="1" w:lastColumn="0" w:noHBand="0" w:noVBand="1"/>
        </w:tblPrEx>
        <w:tc>
          <w:tcPr>
            <w:tcW w:w="1969" w:type="pct"/>
            <w:tcBorders>
              <w:top w:val="nil"/>
              <w:bottom w:val="nil"/>
            </w:tcBorders>
          </w:tcPr>
          <w:p w14:paraId="5417D38C" w14:textId="77777777" w:rsidR="00940332" w:rsidRPr="00D16A97" w:rsidRDefault="00940332" w:rsidP="000B527B">
            <w:pPr>
              <w:pStyle w:val="Tabletext"/>
              <w:keepNext/>
              <w:keepLines/>
              <w:ind w:left="317"/>
              <w:rPr>
                <w:rFonts w:eastAsia="SimSun"/>
                <w:i/>
                <w:iCs/>
                <w:highlight w:val="yellow"/>
              </w:rPr>
            </w:pPr>
            <w:r w:rsidRPr="00D16A97">
              <w:rPr>
                <w:rFonts w:eastAsia="SimSun"/>
                <w:iCs/>
              </w:rPr>
              <w:t>General ward</w:t>
            </w:r>
          </w:p>
        </w:tc>
        <w:tc>
          <w:tcPr>
            <w:tcW w:w="1355" w:type="pct"/>
            <w:tcBorders>
              <w:top w:val="nil"/>
              <w:bottom w:val="nil"/>
            </w:tcBorders>
          </w:tcPr>
          <w:p w14:paraId="311B7B7A" w14:textId="77777777" w:rsidR="00940332" w:rsidRPr="00D16A97" w:rsidRDefault="00940332" w:rsidP="000B527B">
            <w:pPr>
              <w:pStyle w:val="Tabletext"/>
              <w:keepNext/>
              <w:keepLines/>
              <w:jc w:val="center"/>
              <w:rPr>
                <w:rFonts w:eastAsia="SimSun"/>
                <w:i/>
                <w:iCs/>
                <w:highlight w:val="yellow"/>
              </w:rPr>
            </w:pPr>
            <w:r w:rsidRPr="00D16A97">
              <w:rPr>
                <w:iCs/>
              </w:rPr>
              <w:t>$6,419</w:t>
            </w:r>
            <w:r w:rsidRPr="00D16A97">
              <w:rPr>
                <w:iCs/>
                <w:vertAlign w:val="superscript"/>
              </w:rPr>
              <w:t>&amp;</w:t>
            </w:r>
          </w:p>
        </w:tc>
        <w:tc>
          <w:tcPr>
            <w:tcW w:w="1676" w:type="pct"/>
            <w:tcBorders>
              <w:top w:val="nil"/>
              <w:bottom w:val="nil"/>
            </w:tcBorders>
          </w:tcPr>
          <w:p w14:paraId="065CB417" w14:textId="77777777" w:rsidR="00940332" w:rsidRPr="00D16A97" w:rsidRDefault="00940332" w:rsidP="000B527B">
            <w:pPr>
              <w:pStyle w:val="Tabletext"/>
              <w:keepNext/>
              <w:keepLines/>
              <w:jc w:val="center"/>
              <w:rPr>
                <w:rFonts w:eastAsia="SimSun"/>
                <w:iCs/>
              </w:rPr>
            </w:pPr>
            <w:r w:rsidRPr="00D16A97">
              <w:rPr>
                <w:iCs/>
              </w:rPr>
              <w:t>$13,684.43</w:t>
            </w:r>
          </w:p>
        </w:tc>
      </w:tr>
      <w:tr w:rsidR="00940332" w:rsidRPr="00D16A97" w14:paraId="42C44C43" w14:textId="77777777" w:rsidTr="00192D14">
        <w:tblPrEx>
          <w:tblLook w:val="04A0" w:firstRow="1" w:lastRow="0" w:firstColumn="1" w:lastColumn="0" w:noHBand="0" w:noVBand="1"/>
        </w:tblPrEx>
        <w:tc>
          <w:tcPr>
            <w:tcW w:w="1969" w:type="pct"/>
            <w:tcBorders>
              <w:top w:val="nil"/>
              <w:bottom w:val="single" w:sz="4" w:space="0" w:color="auto"/>
            </w:tcBorders>
          </w:tcPr>
          <w:p w14:paraId="12FE8D7E" w14:textId="77777777" w:rsidR="00940332" w:rsidRPr="00D16A97" w:rsidRDefault="00940332" w:rsidP="000B527B">
            <w:pPr>
              <w:pStyle w:val="Tabletext"/>
              <w:keepNext/>
              <w:keepLines/>
              <w:ind w:left="317"/>
              <w:rPr>
                <w:rFonts w:eastAsia="SimSun"/>
                <w:i/>
                <w:iCs/>
                <w:highlight w:val="yellow"/>
              </w:rPr>
            </w:pPr>
            <w:r w:rsidRPr="00D16A97">
              <w:rPr>
                <w:rFonts w:eastAsia="SimSun"/>
                <w:iCs/>
              </w:rPr>
              <w:t>ICU</w:t>
            </w:r>
          </w:p>
        </w:tc>
        <w:tc>
          <w:tcPr>
            <w:tcW w:w="1355" w:type="pct"/>
            <w:tcBorders>
              <w:top w:val="nil"/>
              <w:bottom w:val="single" w:sz="4" w:space="0" w:color="auto"/>
            </w:tcBorders>
          </w:tcPr>
          <w:p w14:paraId="4A86CABA" w14:textId="77777777" w:rsidR="00940332" w:rsidRPr="00D16A97" w:rsidRDefault="00940332" w:rsidP="000B527B">
            <w:pPr>
              <w:pStyle w:val="Tabletext"/>
              <w:keepNext/>
              <w:keepLines/>
              <w:jc w:val="center"/>
              <w:rPr>
                <w:rFonts w:eastAsia="SimSun"/>
                <w:i/>
                <w:iCs/>
                <w:highlight w:val="yellow"/>
              </w:rPr>
            </w:pPr>
            <w:r w:rsidRPr="00D16A97">
              <w:rPr>
                <w:iCs/>
              </w:rPr>
              <w:t>$20,675</w:t>
            </w:r>
            <w:r w:rsidRPr="00D16A97">
              <w:rPr>
                <w:iCs/>
                <w:vertAlign w:val="superscript"/>
              </w:rPr>
              <w:t>#</w:t>
            </w:r>
          </w:p>
        </w:tc>
        <w:tc>
          <w:tcPr>
            <w:tcW w:w="1676" w:type="pct"/>
            <w:tcBorders>
              <w:top w:val="nil"/>
              <w:bottom w:val="single" w:sz="4" w:space="0" w:color="auto"/>
            </w:tcBorders>
          </w:tcPr>
          <w:p w14:paraId="301C2500" w14:textId="77777777" w:rsidR="00940332" w:rsidRPr="00D16A97" w:rsidRDefault="00940332" w:rsidP="000B527B">
            <w:pPr>
              <w:pStyle w:val="Tabletext"/>
              <w:keepNext/>
              <w:keepLines/>
              <w:jc w:val="center"/>
              <w:rPr>
                <w:rFonts w:eastAsia="SimSun"/>
                <w:iCs/>
              </w:rPr>
            </w:pPr>
            <w:r w:rsidRPr="00D16A97">
              <w:rPr>
                <w:iCs/>
              </w:rPr>
              <w:t>$29,508.63</w:t>
            </w:r>
          </w:p>
        </w:tc>
      </w:tr>
    </w:tbl>
    <w:p w14:paraId="4A19D84E" w14:textId="77777777" w:rsidR="009769C8" w:rsidRPr="009769C8" w:rsidRDefault="009769C8" w:rsidP="000B527B">
      <w:pPr>
        <w:pStyle w:val="Tabletext"/>
        <w:keepNext/>
        <w:keepLines/>
        <w:rPr>
          <w:iCs/>
          <w:sz w:val="18"/>
          <w:szCs w:val="18"/>
        </w:rPr>
      </w:pPr>
      <w:r w:rsidRPr="009769C8">
        <w:rPr>
          <w:iCs/>
          <w:sz w:val="18"/>
          <w:szCs w:val="18"/>
        </w:rPr>
        <w:t xml:space="preserve">Abbreviations: ICU = intensive care unit; N/A = not applicable </w:t>
      </w:r>
    </w:p>
    <w:p w14:paraId="5C8C0505" w14:textId="77777777" w:rsidR="009769C8" w:rsidRPr="009769C8" w:rsidRDefault="009769C8" w:rsidP="000B527B">
      <w:pPr>
        <w:pStyle w:val="3-BodyText"/>
        <w:keepNext/>
        <w:keepLines/>
        <w:numPr>
          <w:ilvl w:val="0"/>
          <w:numId w:val="0"/>
        </w:numPr>
        <w:spacing w:after="0"/>
        <w:rPr>
          <w:rFonts w:ascii="Arial Narrow" w:hAnsi="Arial Narrow"/>
          <w:iCs/>
          <w:color w:val="000000" w:themeColor="text1"/>
          <w:sz w:val="18"/>
          <w:szCs w:val="18"/>
        </w:rPr>
      </w:pPr>
      <w:r w:rsidRPr="009769C8">
        <w:rPr>
          <w:rFonts w:ascii="Arial Narrow" w:hAnsi="Arial Narrow"/>
          <w:iCs/>
          <w:color w:val="000000" w:themeColor="text1"/>
          <w:sz w:val="18"/>
          <w:szCs w:val="18"/>
          <w:vertAlign w:val="superscript"/>
        </w:rPr>
        <w:t>@</w:t>
      </w:r>
      <w:r w:rsidRPr="009769C8">
        <w:rPr>
          <w:rFonts w:ascii="Arial Narrow" w:hAnsi="Arial Narrow"/>
          <w:iCs/>
          <w:color w:val="000000" w:themeColor="text1"/>
          <w:sz w:val="18"/>
          <w:szCs w:val="18"/>
        </w:rPr>
        <w:t xml:space="preserve"> The COVID Risk Calculator chart, produced by the Immunisation Coalition (Australia), that estimated the risk of death from COVID-19 based on age, sex, and vaccination status (with 90% Omicron/10% Delta variants circulating) is provided to give some context to the estimates applied in the common model.</w:t>
      </w:r>
    </w:p>
    <w:p w14:paraId="02A9851C" w14:textId="77777777" w:rsidR="009769C8" w:rsidRPr="009769C8" w:rsidRDefault="009769C8" w:rsidP="000B527B">
      <w:pPr>
        <w:pStyle w:val="3-BodyText"/>
        <w:keepNext/>
        <w:keepLines/>
        <w:numPr>
          <w:ilvl w:val="0"/>
          <w:numId w:val="0"/>
        </w:numPr>
        <w:spacing w:after="0"/>
        <w:rPr>
          <w:rFonts w:ascii="Arial Narrow" w:hAnsi="Arial Narrow"/>
          <w:iCs/>
          <w:color w:val="000000" w:themeColor="text1"/>
          <w:sz w:val="18"/>
          <w:szCs w:val="18"/>
        </w:rPr>
      </w:pPr>
      <w:r w:rsidRPr="009769C8">
        <w:rPr>
          <w:rFonts w:ascii="Arial Narrow" w:hAnsi="Arial Narrow"/>
          <w:iCs/>
          <w:color w:val="000000" w:themeColor="text1"/>
          <w:sz w:val="18"/>
          <w:szCs w:val="18"/>
        </w:rPr>
        <w:t>^ Source: high-risk subgroup of the PANORAMIC trial applied for the 70+ and 50-69 subgroups; Evans 2023 (a retrospective cohort study conducted in Wales) for the immune compromised subgroup. The same odds ratios were applied for both hospitalisation and death endpoints.</w:t>
      </w:r>
    </w:p>
    <w:p w14:paraId="3C64330D" w14:textId="77777777" w:rsidR="009769C8" w:rsidRPr="009769C8" w:rsidRDefault="009769C8" w:rsidP="000B527B">
      <w:pPr>
        <w:pStyle w:val="Tabletext"/>
        <w:keepNext/>
        <w:keepLines/>
        <w:rPr>
          <w:iCs/>
          <w:sz w:val="18"/>
          <w:szCs w:val="18"/>
        </w:rPr>
      </w:pPr>
      <w:r w:rsidRPr="009769C8">
        <w:rPr>
          <w:iCs/>
          <w:sz w:val="18"/>
          <w:szCs w:val="18"/>
          <w:vertAlign w:val="superscript"/>
        </w:rPr>
        <w:t>&amp;</w:t>
      </w:r>
      <w:r w:rsidRPr="009769C8">
        <w:rPr>
          <w:iCs/>
          <w:sz w:val="18"/>
          <w:szCs w:val="18"/>
        </w:rPr>
        <w:t xml:space="preserve"> weighted (by separation) average costs from the National Hospital Cost Data Collection (Public Sector, Round 23, 2018-2019) for AR-DRG items E62 A/B (Respiratory Infections and Inflammations)</w:t>
      </w:r>
    </w:p>
    <w:p w14:paraId="55F40AC7" w14:textId="6B07562F" w:rsidR="00940332" w:rsidRPr="009769C8" w:rsidRDefault="009769C8" w:rsidP="009769C8">
      <w:pPr>
        <w:pStyle w:val="3-BodyText"/>
        <w:numPr>
          <w:ilvl w:val="0"/>
          <w:numId w:val="0"/>
        </w:numPr>
        <w:rPr>
          <w:rFonts w:ascii="Arial Narrow" w:hAnsi="Arial Narrow"/>
          <w:iCs/>
          <w:sz w:val="18"/>
          <w:szCs w:val="18"/>
        </w:rPr>
      </w:pPr>
      <w:r w:rsidRPr="009769C8">
        <w:rPr>
          <w:rFonts w:ascii="Arial Narrow" w:hAnsi="Arial Narrow"/>
          <w:iCs/>
          <w:sz w:val="18"/>
          <w:szCs w:val="18"/>
          <w:vertAlign w:val="superscript"/>
        </w:rPr>
        <w:t xml:space="preserve"># </w:t>
      </w:r>
      <w:r w:rsidRPr="009769C8">
        <w:rPr>
          <w:rFonts w:ascii="Arial Narrow" w:hAnsi="Arial Narrow"/>
          <w:iCs/>
          <w:sz w:val="18"/>
          <w:szCs w:val="18"/>
        </w:rPr>
        <w:t>weighted (by separation) average costs from the National Hospital Cost Data Collection (Public Sector, Round 23, 2018-2019) for AR-DRG items E40/41 A/B (Respiratory System Disorders with Ventilator Support / Respiratory System Disorders with Non-Invasive Ventilation)</w:t>
      </w:r>
    </w:p>
    <w:p w14:paraId="0E4E458E" w14:textId="77777777" w:rsidR="00940332" w:rsidRPr="00D16A97" w:rsidRDefault="00940332" w:rsidP="00940332">
      <w:pPr>
        <w:pStyle w:val="3-BodyText"/>
        <w:numPr>
          <w:ilvl w:val="1"/>
          <w:numId w:val="1"/>
        </w:numPr>
        <w:rPr>
          <w:iCs/>
        </w:rPr>
      </w:pPr>
      <w:bookmarkStart w:id="141" w:name="_Hlk150952380"/>
      <w:bookmarkStart w:id="142" w:name="_Hlk148454032"/>
      <w:r w:rsidRPr="00D16A97">
        <w:rPr>
          <w:iCs/>
        </w:rPr>
        <w:t>The results generated by the common model are presented below, including the estimated ICERs for each of the cohorts that correspond to one of the Streamlined Authority Required restrictions, applying the same key parameters as deemed reasonable during the evaluation.</w:t>
      </w:r>
    </w:p>
    <w:p w14:paraId="6BCF1EDE" w14:textId="77777777" w:rsidR="00940332" w:rsidRPr="00D16A97" w:rsidRDefault="00940332" w:rsidP="00940332">
      <w:pPr>
        <w:pStyle w:val="Caption"/>
        <w:rPr>
          <w:iCs/>
        </w:rPr>
      </w:pPr>
      <w:bookmarkStart w:id="143" w:name="_Ref148201429"/>
      <w:bookmarkStart w:id="144" w:name="_Hlk148454001"/>
      <w:bookmarkEnd w:id="141"/>
      <w:r w:rsidRPr="00D16A97">
        <w:rPr>
          <w:iCs/>
        </w:rPr>
        <w:lastRenderedPageBreak/>
        <w:t xml:space="preserve">Table </w:t>
      </w:r>
      <w:r w:rsidRPr="00D16A97">
        <w:rPr>
          <w:iCs/>
        </w:rPr>
        <w:fldChar w:fldCharType="begin" w:fldLock="1"/>
      </w:r>
      <w:r w:rsidRPr="00D16A97">
        <w:rPr>
          <w:iCs/>
        </w:rPr>
        <w:instrText xml:space="preserve"> SEQ Table \* ARABIC </w:instrText>
      </w:r>
      <w:r w:rsidRPr="00D16A97">
        <w:rPr>
          <w:iCs/>
        </w:rPr>
        <w:fldChar w:fldCharType="separate"/>
      </w:r>
      <w:r w:rsidRPr="00D16A97">
        <w:rPr>
          <w:iCs/>
        </w:rPr>
        <w:t>24</w:t>
      </w:r>
      <w:r w:rsidRPr="00D16A97">
        <w:rPr>
          <w:iCs/>
        </w:rPr>
        <w:fldChar w:fldCharType="end"/>
      </w:r>
      <w:bookmarkEnd w:id="143"/>
      <w:r w:rsidRPr="00D16A97">
        <w:rPr>
          <w:iCs/>
        </w:rPr>
        <w:t>: Results of the respecified economic evaluation conducted during the evaluation – molnupiravir</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844"/>
        <w:gridCol w:w="1844"/>
        <w:gridCol w:w="1844"/>
        <w:gridCol w:w="1841"/>
      </w:tblGrid>
      <w:tr w:rsidR="00940332" w:rsidRPr="00D16A97" w14:paraId="252173F3" w14:textId="77777777" w:rsidTr="00192D14">
        <w:trPr>
          <w:cantSplit/>
          <w:tblHeader/>
        </w:trPr>
        <w:tc>
          <w:tcPr>
            <w:tcW w:w="934" w:type="pct"/>
            <w:shd w:val="clear" w:color="auto" w:fill="auto"/>
          </w:tcPr>
          <w:p w14:paraId="03E01307" w14:textId="77777777" w:rsidR="00940332" w:rsidRPr="00D16A97" w:rsidRDefault="00940332" w:rsidP="00192D14">
            <w:pPr>
              <w:pStyle w:val="Tabletext"/>
              <w:keepNext/>
              <w:jc w:val="center"/>
              <w:rPr>
                <w:b/>
                <w:bCs/>
                <w:i/>
                <w:iCs/>
              </w:rPr>
            </w:pPr>
          </w:p>
        </w:tc>
        <w:tc>
          <w:tcPr>
            <w:tcW w:w="1017" w:type="pct"/>
            <w:shd w:val="clear" w:color="auto" w:fill="auto"/>
          </w:tcPr>
          <w:p w14:paraId="4646A811" w14:textId="77777777" w:rsidR="00940332" w:rsidRPr="00D16A97" w:rsidRDefault="00940332" w:rsidP="00192D14">
            <w:pPr>
              <w:pStyle w:val="Tabletext"/>
              <w:keepNext/>
              <w:jc w:val="center"/>
              <w:rPr>
                <w:b/>
                <w:bCs/>
                <w:i/>
                <w:iCs/>
                <w:highlight w:val="yellow"/>
              </w:rPr>
            </w:pPr>
            <w:r w:rsidRPr="00D16A97">
              <w:rPr>
                <w:b/>
                <w:bCs/>
                <w:iCs/>
              </w:rPr>
              <w:t>Molnupiravir</w:t>
            </w:r>
          </w:p>
        </w:tc>
        <w:tc>
          <w:tcPr>
            <w:tcW w:w="1017" w:type="pct"/>
            <w:shd w:val="clear" w:color="auto" w:fill="auto"/>
          </w:tcPr>
          <w:p w14:paraId="1FAA7AAE" w14:textId="77777777" w:rsidR="00940332" w:rsidRPr="00D16A97" w:rsidRDefault="00940332" w:rsidP="00192D14">
            <w:pPr>
              <w:pStyle w:val="Tabletext"/>
              <w:keepNext/>
              <w:jc w:val="center"/>
              <w:rPr>
                <w:b/>
                <w:bCs/>
                <w:i/>
                <w:iCs/>
                <w:highlight w:val="yellow"/>
              </w:rPr>
            </w:pPr>
            <w:r w:rsidRPr="00D16A97">
              <w:rPr>
                <w:b/>
                <w:bCs/>
                <w:iCs/>
              </w:rPr>
              <w:t>Placebo</w:t>
            </w:r>
          </w:p>
        </w:tc>
        <w:tc>
          <w:tcPr>
            <w:tcW w:w="1017" w:type="pct"/>
            <w:shd w:val="clear" w:color="auto" w:fill="auto"/>
          </w:tcPr>
          <w:p w14:paraId="6A312B44" w14:textId="77777777" w:rsidR="00940332" w:rsidRPr="00D16A97" w:rsidRDefault="00940332" w:rsidP="00192D14">
            <w:pPr>
              <w:pStyle w:val="Tabletext"/>
              <w:keepNext/>
              <w:jc w:val="center"/>
              <w:rPr>
                <w:b/>
                <w:bCs/>
                <w:i/>
                <w:iCs/>
                <w:highlight w:val="yellow"/>
              </w:rPr>
            </w:pPr>
            <w:r w:rsidRPr="00D16A97">
              <w:rPr>
                <w:b/>
                <w:bCs/>
                <w:iCs/>
              </w:rPr>
              <w:t>Increment</w:t>
            </w:r>
          </w:p>
        </w:tc>
        <w:tc>
          <w:tcPr>
            <w:tcW w:w="1015" w:type="pct"/>
            <w:shd w:val="clear" w:color="auto" w:fill="auto"/>
          </w:tcPr>
          <w:p w14:paraId="7B55C989" w14:textId="77777777" w:rsidR="00940332" w:rsidRPr="00D16A97" w:rsidRDefault="00940332" w:rsidP="00192D14">
            <w:pPr>
              <w:pStyle w:val="Tabletext"/>
              <w:keepNext/>
              <w:jc w:val="center"/>
              <w:rPr>
                <w:b/>
                <w:bCs/>
                <w:iCs/>
              </w:rPr>
            </w:pPr>
            <w:r w:rsidRPr="00D16A97">
              <w:rPr>
                <w:b/>
                <w:bCs/>
                <w:iCs/>
              </w:rPr>
              <w:t>ICER per QALY</w:t>
            </w:r>
          </w:p>
        </w:tc>
      </w:tr>
      <w:tr w:rsidR="00940332" w:rsidRPr="00D16A97" w14:paraId="6D2BC9C4" w14:textId="77777777" w:rsidTr="00192D14">
        <w:trPr>
          <w:cantSplit/>
          <w:tblHeader/>
        </w:trPr>
        <w:tc>
          <w:tcPr>
            <w:tcW w:w="5000" w:type="pct"/>
            <w:gridSpan w:val="5"/>
            <w:shd w:val="clear" w:color="auto" w:fill="auto"/>
            <w:vAlign w:val="center"/>
          </w:tcPr>
          <w:p w14:paraId="0F69E967" w14:textId="77777777" w:rsidR="00940332" w:rsidRPr="00D16A97" w:rsidRDefault="00940332" w:rsidP="00192D14">
            <w:pPr>
              <w:pStyle w:val="Tabletext"/>
              <w:keepNext/>
              <w:rPr>
                <w:b/>
                <w:bCs/>
                <w:iCs/>
              </w:rPr>
            </w:pPr>
            <w:r w:rsidRPr="00D16A97">
              <w:rPr>
                <w:b/>
                <w:bCs/>
                <w:iCs/>
              </w:rPr>
              <w:t>Cohort: Aged ≥ 70</w:t>
            </w:r>
          </w:p>
        </w:tc>
      </w:tr>
      <w:tr w:rsidR="00940332" w:rsidRPr="00D16A97" w14:paraId="492718B6" w14:textId="77777777" w:rsidTr="00192D14">
        <w:trPr>
          <w:cantSplit/>
        </w:trPr>
        <w:tc>
          <w:tcPr>
            <w:tcW w:w="934" w:type="pct"/>
            <w:shd w:val="clear" w:color="auto" w:fill="auto"/>
            <w:vAlign w:val="center"/>
          </w:tcPr>
          <w:p w14:paraId="43E84AA1" w14:textId="05C8E6F8" w:rsidR="00940332" w:rsidRPr="00351901" w:rsidRDefault="00940332" w:rsidP="00192D14">
            <w:pPr>
              <w:pStyle w:val="Tabletext"/>
              <w:keepNext/>
              <w:rPr>
                <w:i/>
                <w:iCs/>
              </w:rPr>
            </w:pPr>
            <w:r w:rsidRPr="00351901">
              <w:rPr>
                <w:iCs/>
              </w:rPr>
              <w:t>Costs</w:t>
            </w:r>
            <w:r w:rsidR="00351901" w:rsidRPr="00351901">
              <w:rPr>
                <w:iCs/>
              </w:rPr>
              <w:t xml:space="preserve"> ($)</w:t>
            </w:r>
          </w:p>
        </w:tc>
        <w:tc>
          <w:tcPr>
            <w:tcW w:w="1017" w:type="pct"/>
            <w:shd w:val="clear" w:color="auto" w:fill="auto"/>
            <w:vAlign w:val="center"/>
          </w:tcPr>
          <w:p w14:paraId="4183E804" w14:textId="754478ED" w:rsidR="00940332" w:rsidRPr="00351901" w:rsidRDefault="005C2556" w:rsidP="00192D14">
            <w:pPr>
              <w:pStyle w:val="Tabletext"/>
              <w:keepNext/>
              <w:jc w:val="center"/>
              <w:rPr>
                <w:i/>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7" w:type="pct"/>
            <w:shd w:val="clear" w:color="auto" w:fill="auto"/>
            <w:vAlign w:val="center"/>
          </w:tcPr>
          <w:p w14:paraId="7C68C002" w14:textId="77777777" w:rsidR="00940332" w:rsidRPr="00351901" w:rsidRDefault="00940332" w:rsidP="00192D14">
            <w:pPr>
              <w:pStyle w:val="Tabletext"/>
              <w:keepNext/>
              <w:jc w:val="center"/>
              <w:rPr>
                <w:i/>
                <w:iCs/>
              </w:rPr>
            </w:pPr>
            <w:r w:rsidRPr="00457EB6">
              <w:rPr>
                <w:iCs/>
              </w:rPr>
              <w:t>$392.23</w:t>
            </w:r>
          </w:p>
        </w:tc>
        <w:tc>
          <w:tcPr>
            <w:tcW w:w="1017" w:type="pct"/>
            <w:shd w:val="clear" w:color="auto" w:fill="auto"/>
            <w:vAlign w:val="center"/>
          </w:tcPr>
          <w:p w14:paraId="599B15C5" w14:textId="378A742D" w:rsidR="00940332" w:rsidRPr="00351901" w:rsidRDefault="005C2556" w:rsidP="00192D14">
            <w:pPr>
              <w:pStyle w:val="Tabletext"/>
              <w:keepNext/>
              <w:jc w:val="center"/>
            </w:pPr>
            <w:r w:rsidRPr="005C2556">
              <w:t xml:space="preserve"> </w:t>
            </w:r>
            <w:r w:rsidR="0003145F" w:rsidRPr="0003145F">
              <w:rPr>
                <w:color w:val="00000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2D9F08F3" w14:textId="5E2E9404" w:rsidR="00940332" w:rsidRPr="00AB12BF" w:rsidRDefault="005C2556" w:rsidP="00192D14">
            <w:pPr>
              <w:pStyle w:val="Tabletext"/>
              <w:keepNext/>
              <w:jc w:val="center"/>
              <w:rPr>
                <w:vertAlign w:val="superscript"/>
              </w:rPr>
            </w:pPr>
            <w:r w:rsidRPr="005C2556">
              <w:t xml:space="preserve"> </w:t>
            </w:r>
            <w:r w:rsidR="0003145F" w:rsidRPr="0003145F">
              <w:rPr>
                <w:color w:val="000000"/>
                <w:shd w:val="solid" w:color="000000" w:fill="000000"/>
                <w14:textFill>
                  <w14:solidFill>
                    <w14:srgbClr w14:val="000000">
                      <w14:alpha w14:val="100000"/>
                    </w14:srgbClr>
                  </w14:solidFill>
                </w14:textFill>
              </w:rPr>
              <w:t>|</w:t>
            </w:r>
            <w:r w:rsidR="00AB12BF">
              <w:rPr>
                <w:vertAlign w:val="superscript"/>
              </w:rPr>
              <w:t>1</w:t>
            </w:r>
          </w:p>
        </w:tc>
      </w:tr>
      <w:tr w:rsidR="00940332" w:rsidRPr="00D16A97" w14:paraId="78AEEF93" w14:textId="77777777" w:rsidTr="00192D14">
        <w:trPr>
          <w:cantSplit/>
        </w:trPr>
        <w:tc>
          <w:tcPr>
            <w:tcW w:w="934" w:type="pct"/>
            <w:shd w:val="clear" w:color="auto" w:fill="auto"/>
            <w:vAlign w:val="center"/>
          </w:tcPr>
          <w:p w14:paraId="7BEBCE10" w14:textId="77777777" w:rsidR="00940332" w:rsidRPr="00351901" w:rsidRDefault="00940332" w:rsidP="00192D14">
            <w:pPr>
              <w:pStyle w:val="Tabletext"/>
              <w:keepNext/>
              <w:rPr>
                <w:i/>
                <w:iCs/>
              </w:rPr>
            </w:pPr>
            <w:r w:rsidRPr="00351901">
              <w:rPr>
                <w:iCs/>
              </w:rPr>
              <w:t>QALYS lost</w:t>
            </w:r>
          </w:p>
        </w:tc>
        <w:tc>
          <w:tcPr>
            <w:tcW w:w="1017" w:type="pct"/>
            <w:shd w:val="clear" w:color="auto" w:fill="auto"/>
          </w:tcPr>
          <w:p w14:paraId="204D34C0" w14:textId="77777777" w:rsidR="00940332" w:rsidRPr="00351901" w:rsidRDefault="00940332" w:rsidP="00192D14">
            <w:pPr>
              <w:pStyle w:val="Tabletext"/>
              <w:keepNext/>
              <w:jc w:val="center"/>
              <w:rPr>
                <w:i/>
                <w:iCs/>
              </w:rPr>
            </w:pPr>
            <w:r w:rsidRPr="00351901">
              <w:rPr>
                <w:iCs/>
              </w:rPr>
              <w:t>-0.0495</w:t>
            </w:r>
          </w:p>
        </w:tc>
        <w:tc>
          <w:tcPr>
            <w:tcW w:w="1017" w:type="pct"/>
            <w:shd w:val="clear" w:color="auto" w:fill="auto"/>
          </w:tcPr>
          <w:p w14:paraId="4CED63D2" w14:textId="77777777" w:rsidR="00940332" w:rsidRPr="00351901" w:rsidRDefault="00940332" w:rsidP="00192D14">
            <w:pPr>
              <w:pStyle w:val="Tabletext"/>
              <w:keepNext/>
              <w:jc w:val="center"/>
              <w:rPr>
                <w:i/>
                <w:iCs/>
              </w:rPr>
            </w:pPr>
            <w:r w:rsidRPr="00351901">
              <w:rPr>
                <w:iCs/>
              </w:rPr>
              <w:t>-0.0644</w:t>
            </w:r>
          </w:p>
        </w:tc>
        <w:tc>
          <w:tcPr>
            <w:tcW w:w="1017" w:type="pct"/>
            <w:shd w:val="clear" w:color="auto" w:fill="auto"/>
          </w:tcPr>
          <w:p w14:paraId="4A1B405C" w14:textId="77777777" w:rsidR="00940332" w:rsidRPr="00351901" w:rsidRDefault="00940332" w:rsidP="00192D14">
            <w:pPr>
              <w:pStyle w:val="Tabletext"/>
              <w:keepNext/>
              <w:jc w:val="center"/>
              <w:rPr>
                <w:i/>
                <w:iCs/>
              </w:rPr>
            </w:pPr>
            <w:r w:rsidRPr="00351901">
              <w:rPr>
                <w:iCs/>
              </w:rPr>
              <w:t>0.0149</w:t>
            </w:r>
          </w:p>
        </w:tc>
        <w:tc>
          <w:tcPr>
            <w:tcW w:w="1015" w:type="pct"/>
            <w:vMerge/>
            <w:shd w:val="clear" w:color="auto" w:fill="auto"/>
            <w:vAlign w:val="center"/>
          </w:tcPr>
          <w:p w14:paraId="1280F7CB" w14:textId="77777777" w:rsidR="00940332" w:rsidRPr="00351901" w:rsidRDefault="00940332" w:rsidP="00192D14">
            <w:pPr>
              <w:pStyle w:val="Tabletext"/>
              <w:keepNext/>
              <w:jc w:val="center"/>
              <w:rPr>
                <w:iCs/>
              </w:rPr>
            </w:pPr>
          </w:p>
        </w:tc>
      </w:tr>
      <w:tr w:rsidR="00940332" w:rsidRPr="00D16A97" w14:paraId="6024DB8A" w14:textId="77777777" w:rsidTr="00192D14">
        <w:trPr>
          <w:cantSplit/>
          <w:tblHeader/>
        </w:trPr>
        <w:tc>
          <w:tcPr>
            <w:tcW w:w="5000" w:type="pct"/>
            <w:gridSpan w:val="5"/>
            <w:shd w:val="clear" w:color="auto" w:fill="auto"/>
            <w:vAlign w:val="center"/>
          </w:tcPr>
          <w:p w14:paraId="6A29C985" w14:textId="77777777" w:rsidR="00940332" w:rsidRPr="00351901" w:rsidRDefault="00940332" w:rsidP="00192D14">
            <w:pPr>
              <w:pStyle w:val="Tabletext"/>
              <w:keepNext/>
              <w:rPr>
                <w:b/>
                <w:bCs/>
                <w:iCs/>
              </w:rPr>
            </w:pPr>
            <w:r w:rsidRPr="00351901">
              <w:rPr>
                <w:b/>
                <w:bCs/>
                <w:iCs/>
              </w:rPr>
              <w:t>Cohort: Aged ≥18 and immune-compromised</w:t>
            </w:r>
          </w:p>
        </w:tc>
      </w:tr>
      <w:tr w:rsidR="00940332" w:rsidRPr="00D16A97" w14:paraId="5AAD9CF5" w14:textId="77777777" w:rsidTr="00192D14">
        <w:trPr>
          <w:cantSplit/>
        </w:trPr>
        <w:tc>
          <w:tcPr>
            <w:tcW w:w="934" w:type="pct"/>
            <w:shd w:val="clear" w:color="auto" w:fill="auto"/>
            <w:vAlign w:val="center"/>
          </w:tcPr>
          <w:p w14:paraId="01073060" w14:textId="5799C9E0" w:rsidR="00940332" w:rsidRPr="00351901" w:rsidRDefault="00940332" w:rsidP="00192D14">
            <w:pPr>
              <w:pStyle w:val="Tabletext"/>
              <w:keepNext/>
              <w:rPr>
                <w:i/>
                <w:iCs/>
              </w:rPr>
            </w:pPr>
            <w:r w:rsidRPr="00351901">
              <w:rPr>
                <w:iCs/>
              </w:rPr>
              <w:t>Costs</w:t>
            </w:r>
            <w:r w:rsidR="00351901" w:rsidRPr="00351901">
              <w:rPr>
                <w:iCs/>
              </w:rPr>
              <w:t xml:space="preserve"> ($)</w:t>
            </w:r>
          </w:p>
        </w:tc>
        <w:tc>
          <w:tcPr>
            <w:tcW w:w="1017" w:type="pct"/>
            <w:shd w:val="clear" w:color="auto" w:fill="auto"/>
          </w:tcPr>
          <w:p w14:paraId="0BD7944A" w14:textId="02F41919" w:rsidR="00940332" w:rsidRPr="00AB12BF" w:rsidRDefault="005C2556" w:rsidP="00192D14">
            <w:pPr>
              <w:pStyle w:val="Tabletext"/>
              <w:keepNext/>
              <w:jc w:val="center"/>
              <w:rPr>
                <w:i/>
                <w:iCs/>
                <w:highlight w:val="darkGray"/>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7" w:type="pct"/>
            <w:shd w:val="clear" w:color="auto" w:fill="auto"/>
          </w:tcPr>
          <w:p w14:paraId="6860A450" w14:textId="77777777" w:rsidR="00940332" w:rsidRPr="00AB12BF" w:rsidRDefault="00940332" w:rsidP="00192D14">
            <w:pPr>
              <w:pStyle w:val="Tabletext"/>
              <w:keepNext/>
              <w:jc w:val="center"/>
              <w:rPr>
                <w:i/>
                <w:iCs/>
                <w:highlight w:val="darkGray"/>
              </w:rPr>
            </w:pPr>
            <w:r w:rsidRPr="00457EB6">
              <w:rPr>
                <w:iCs/>
              </w:rPr>
              <w:t>$313.78</w:t>
            </w:r>
          </w:p>
        </w:tc>
        <w:tc>
          <w:tcPr>
            <w:tcW w:w="1017" w:type="pct"/>
            <w:shd w:val="clear" w:color="auto" w:fill="auto"/>
          </w:tcPr>
          <w:p w14:paraId="5E8C76B4" w14:textId="11AA8728" w:rsidR="00940332" w:rsidRPr="00AB12BF" w:rsidRDefault="005C2556" w:rsidP="00192D14">
            <w:pPr>
              <w:pStyle w:val="Tabletext"/>
              <w:keepNext/>
              <w:jc w:val="center"/>
              <w:rPr>
                <w:i/>
                <w:iCs/>
                <w:highlight w:val="darkGray"/>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4DB2AD42" w14:textId="740E64C6" w:rsidR="00940332" w:rsidRPr="00351901" w:rsidRDefault="005C2556" w:rsidP="00192D14">
            <w:pPr>
              <w:pStyle w:val="Tabletext"/>
              <w:keepNext/>
              <w:jc w:val="center"/>
              <w:rPr>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r w:rsidR="00AB12BF">
              <w:rPr>
                <w:vertAlign w:val="superscript"/>
              </w:rPr>
              <w:t>2</w:t>
            </w:r>
          </w:p>
        </w:tc>
      </w:tr>
      <w:tr w:rsidR="00940332" w:rsidRPr="00D16A97" w14:paraId="648B1F52" w14:textId="77777777" w:rsidTr="00192D14">
        <w:trPr>
          <w:cantSplit/>
        </w:trPr>
        <w:tc>
          <w:tcPr>
            <w:tcW w:w="934" w:type="pct"/>
            <w:shd w:val="clear" w:color="auto" w:fill="auto"/>
            <w:vAlign w:val="center"/>
          </w:tcPr>
          <w:p w14:paraId="516B56FE" w14:textId="77777777" w:rsidR="00940332" w:rsidRPr="00351901" w:rsidRDefault="00940332" w:rsidP="00192D14">
            <w:pPr>
              <w:pStyle w:val="Tabletext"/>
              <w:keepNext/>
              <w:rPr>
                <w:i/>
                <w:iCs/>
              </w:rPr>
            </w:pPr>
            <w:r w:rsidRPr="00351901">
              <w:rPr>
                <w:iCs/>
              </w:rPr>
              <w:t>QALYS lost</w:t>
            </w:r>
          </w:p>
        </w:tc>
        <w:tc>
          <w:tcPr>
            <w:tcW w:w="1017" w:type="pct"/>
            <w:shd w:val="clear" w:color="auto" w:fill="auto"/>
          </w:tcPr>
          <w:p w14:paraId="1DF52F02" w14:textId="77777777" w:rsidR="00940332" w:rsidRPr="00351901" w:rsidRDefault="00940332" w:rsidP="00192D14">
            <w:pPr>
              <w:pStyle w:val="Tabletext"/>
              <w:keepNext/>
              <w:jc w:val="center"/>
              <w:rPr>
                <w:i/>
                <w:iCs/>
              </w:rPr>
            </w:pPr>
            <w:r w:rsidRPr="00351901">
              <w:rPr>
                <w:iCs/>
              </w:rPr>
              <w:t>-0.1195</w:t>
            </w:r>
          </w:p>
        </w:tc>
        <w:tc>
          <w:tcPr>
            <w:tcW w:w="1017" w:type="pct"/>
            <w:shd w:val="clear" w:color="auto" w:fill="auto"/>
          </w:tcPr>
          <w:p w14:paraId="6219264F" w14:textId="77777777" w:rsidR="00940332" w:rsidRPr="00351901" w:rsidRDefault="00940332" w:rsidP="00192D14">
            <w:pPr>
              <w:pStyle w:val="Tabletext"/>
              <w:keepNext/>
              <w:jc w:val="center"/>
              <w:rPr>
                <w:i/>
                <w:iCs/>
              </w:rPr>
            </w:pPr>
            <w:r w:rsidRPr="00351901">
              <w:rPr>
                <w:iCs/>
              </w:rPr>
              <w:t>-0.1557</w:t>
            </w:r>
          </w:p>
        </w:tc>
        <w:tc>
          <w:tcPr>
            <w:tcW w:w="1017" w:type="pct"/>
            <w:shd w:val="clear" w:color="auto" w:fill="auto"/>
          </w:tcPr>
          <w:p w14:paraId="79DF8295" w14:textId="77777777" w:rsidR="00940332" w:rsidRPr="00351901" w:rsidRDefault="00940332" w:rsidP="00192D14">
            <w:pPr>
              <w:pStyle w:val="Tabletext"/>
              <w:keepNext/>
              <w:jc w:val="center"/>
              <w:rPr>
                <w:i/>
                <w:iCs/>
              </w:rPr>
            </w:pPr>
            <w:r w:rsidRPr="00351901">
              <w:rPr>
                <w:iCs/>
              </w:rPr>
              <w:t>0.0362</w:t>
            </w:r>
          </w:p>
        </w:tc>
        <w:tc>
          <w:tcPr>
            <w:tcW w:w="1015" w:type="pct"/>
            <w:vMerge/>
            <w:shd w:val="clear" w:color="auto" w:fill="auto"/>
            <w:vAlign w:val="center"/>
          </w:tcPr>
          <w:p w14:paraId="0EA17ED3" w14:textId="77777777" w:rsidR="00940332" w:rsidRPr="00351901" w:rsidRDefault="00940332" w:rsidP="00192D14">
            <w:pPr>
              <w:pStyle w:val="Tabletext"/>
              <w:keepNext/>
              <w:jc w:val="center"/>
              <w:rPr>
                <w:iCs/>
              </w:rPr>
            </w:pPr>
          </w:p>
        </w:tc>
      </w:tr>
      <w:tr w:rsidR="00940332" w:rsidRPr="00D16A97" w14:paraId="77E19149" w14:textId="77777777" w:rsidTr="00192D14">
        <w:trPr>
          <w:cantSplit/>
          <w:tblHeader/>
        </w:trPr>
        <w:tc>
          <w:tcPr>
            <w:tcW w:w="5000" w:type="pct"/>
            <w:gridSpan w:val="5"/>
            <w:shd w:val="clear" w:color="auto" w:fill="auto"/>
            <w:vAlign w:val="center"/>
          </w:tcPr>
          <w:p w14:paraId="483D6F3F" w14:textId="77777777" w:rsidR="00940332" w:rsidRPr="00351901" w:rsidRDefault="00940332" w:rsidP="00192D14">
            <w:pPr>
              <w:pStyle w:val="Tabletext"/>
              <w:keepNext/>
              <w:rPr>
                <w:b/>
                <w:bCs/>
                <w:iCs/>
              </w:rPr>
            </w:pPr>
            <w:r w:rsidRPr="00351901">
              <w:rPr>
                <w:b/>
                <w:bCs/>
                <w:iCs/>
              </w:rPr>
              <w:t>Cohort: Aboriginal and Torres Strait Islander people aged ≥ 30 and ≥ 1 risk factor</w:t>
            </w:r>
          </w:p>
        </w:tc>
      </w:tr>
      <w:tr w:rsidR="00940332" w:rsidRPr="00D16A97" w14:paraId="0B2FF5C6" w14:textId="77777777" w:rsidTr="00192D14">
        <w:trPr>
          <w:cantSplit/>
        </w:trPr>
        <w:tc>
          <w:tcPr>
            <w:tcW w:w="934" w:type="pct"/>
            <w:shd w:val="clear" w:color="auto" w:fill="auto"/>
            <w:vAlign w:val="center"/>
          </w:tcPr>
          <w:p w14:paraId="238F8FB6" w14:textId="5E7C30D7" w:rsidR="00940332" w:rsidRPr="00351901" w:rsidRDefault="00940332" w:rsidP="00192D14">
            <w:pPr>
              <w:pStyle w:val="Tabletext"/>
              <w:keepNext/>
              <w:rPr>
                <w:i/>
                <w:iCs/>
              </w:rPr>
            </w:pPr>
            <w:r w:rsidRPr="00351901">
              <w:rPr>
                <w:iCs/>
              </w:rPr>
              <w:t>Costs</w:t>
            </w:r>
            <w:r w:rsidR="00351901" w:rsidRPr="00351901">
              <w:rPr>
                <w:iCs/>
              </w:rPr>
              <w:t xml:space="preserve"> ($)</w:t>
            </w:r>
          </w:p>
        </w:tc>
        <w:tc>
          <w:tcPr>
            <w:tcW w:w="1017" w:type="pct"/>
            <w:shd w:val="clear" w:color="auto" w:fill="auto"/>
          </w:tcPr>
          <w:p w14:paraId="55890C10" w14:textId="77E29EDE" w:rsidR="00940332" w:rsidRPr="00AB12BF" w:rsidRDefault="005C2556" w:rsidP="00192D14">
            <w:pPr>
              <w:pStyle w:val="Tabletext"/>
              <w:keepNext/>
              <w:jc w:val="center"/>
              <w:rPr>
                <w:i/>
                <w:iCs/>
                <w:highlight w:val="darkGray"/>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7" w:type="pct"/>
            <w:shd w:val="clear" w:color="auto" w:fill="auto"/>
          </w:tcPr>
          <w:p w14:paraId="05A09E94" w14:textId="77777777" w:rsidR="00940332" w:rsidRPr="00AB12BF" w:rsidRDefault="00940332" w:rsidP="00192D14">
            <w:pPr>
              <w:pStyle w:val="Tabletext"/>
              <w:keepNext/>
              <w:jc w:val="center"/>
              <w:rPr>
                <w:i/>
                <w:iCs/>
                <w:highlight w:val="darkGray"/>
              </w:rPr>
            </w:pPr>
            <w:r w:rsidRPr="00457EB6">
              <w:rPr>
                <w:iCs/>
              </w:rPr>
              <w:t>$235.34</w:t>
            </w:r>
          </w:p>
        </w:tc>
        <w:tc>
          <w:tcPr>
            <w:tcW w:w="1017" w:type="pct"/>
            <w:shd w:val="clear" w:color="auto" w:fill="auto"/>
          </w:tcPr>
          <w:p w14:paraId="7DF0424B" w14:textId="0D47B331" w:rsidR="00940332" w:rsidRPr="00AB12BF" w:rsidRDefault="005C2556" w:rsidP="00192D14">
            <w:pPr>
              <w:pStyle w:val="Tabletext"/>
              <w:keepNext/>
              <w:jc w:val="center"/>
              <w:rPr>
                <w:i/>
                <w:iCs/>
                <w:highlight w:val="darkGray"/>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052C2FBC" w14:textId="0E1241B7" w:rsidR="00940332" w:rsidRPr="00351901" w:rsidRDefault="005C2556" w:rsidP="00192D14">
            <w:pPr>
              <w:pStyle w:val="Tabletext"/>
              <w:keepNext/>
              <w:jc w:val="center"/>
              <w:rPr>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r w:rsidR="00AB12BF">
              <w:rPr>
                <w:vertAlign w:val="superscript"/>
              </w:rPr>
              <w:t>3</w:t>
            </w:r>
          </w:p>
        </w:tc>
      </w:tr>
      <w:tr w:rsidR="00940332" w:rsidRPr="00D16A97" w14:paraId="5CDEA3C2" w14:textId="77777777" w:rsidTr="00192D14">
        <w:trPr>
          <w:cantSplit/>
        </w:trPr>
        <w:tc>
          <w:tcPr>
            <w:tcW w:w="934" w:type="pct"/>
            <w:shd w:val="clear" w:color="auto" w:fill="auto"/>
            <w:vAlign w:val="center"/>
          </w:tcPr>
          <w:p w14:paraId="49F4626E" w14:textId="77777777" w:rsidR="00940332" w:rsidRPr="00351901" w:rsidRDefault="00940332" w:rsidP="00192D14">
            <w:pPr>
              <w:pStyle w:val="Tabletext"/>
              <w:keepNext/>
              <w:rPr>
                <w:i/>
                <w:iCs/>
              </w:rPr>
            </w:pPr>
            <w:r w:rsidRPr="00351901">
              <w:rPr>
                <w:iCs/>
              </w:rPr>
              <w:t>QALYS lost</w:t>
            </w:r>
          </w:p>
        </w:tc>
        <w:tc>
          <w:tcPr>
            <w:tcW w:w="1017" w:type="pct"/>
            <w:shd w:val="clear" w:color="auto" w:fill="auto"/>
          </w:tcPr>
          <w:p w14:paraId="3F70E3F6" w14:textId="77777777" w:rsidR="00940332" w:rsidRPr="00351901" w:rsidRDefault="00940332" w:rsidP="00192D14">
            <w:pPr>
              <w:pStyle w:val="Tabletext"/>
              <w:keepNext/>
              <w:jc w:val="center"/>
              <w:rPr>
                <w:i/>
                <w:iCs/>
              </w:rPr>
            </w:pPr>
            <w:r w:rsidRPr="00351901">
              <w:rPr>
                <w:iCs/>
              </w:rPr>
              <w:t>-0.0663</w:t>
            </w:r>
          </w:p>
        </w:tc>
        <w:tc>
          <w:tcPr>
            <w:tcW w:w="1017" w:type="pct"/>
            <w:shd w:val="clear" w:color="auto" w:fill="auto"/>
          </w:tcPr>
          <w:p w14:paraId="68E63193" w14:textId="77777777" w:rsidR="00940332" w:rsidRPr="00351901" w:rsidRDefault="00940332" w:rsidP="00192D14">
            <w:pPr>
              <w:pStyle w:val="Tabletext"/>
              <w:keepNext/>
              <w:jc w:val="center"/>
              <w:rPr>
                <w:i/>
                <w:iCs/>
              </w:rPr>
            </w:pPr>
            <w:r w:rsidRPr="00351901">
              <w:rPr>
                <w:iCs/>
              </w:rPr>
              <w:t>-0.0867</w:t>
            </w:r>
          </w:p>
        </w:tc>
        <w:tc>
          <w:tcPr>
            <w:tcW w:w="1017" w:type="pct"/>
            <w:shd w:val="clear" w:color="auto" w:fill="auto"/>
          </w:tcPr>
          <w:p w14:paraId="6208D31B" w14:textId="77777777" w:rsidR="00940332" w:rsidRPr="00351901" w:rsidRDefault="00940332" w:rsidP="00192D14">
            <w:pPr>
              <w:pStyle w:val="Tabletext"/>
              <w:keepNext/>
              <w:jc w:val="center"/>
              <w:rPr>
                <w:i/>
                <w:iCs/>
              </w:rPr>
            </w:pPr>
            <w:r w:rsidRPr="00351901">
              <w:rPr>
                <w:iCs/>
              </w:rPr>
              <w:t>0.0203</w:t>
            </w:r>
          </w:p>
        </w:tc>
        <w:tc>
          <w:tcPr>
            <w:tcW w:w="1015" w:type="pct"/>
            <w:vMerge/>
            <w:shd w:val="clear" w:color="auto" w:fill="auto"/>
            <w:vAlign w:val="center"/>
          </w:tcPr>
          <w:p w14:paraId="07979292" w14:textId="77777777" w:rsidR="00940332" w:rsidRPr="00351901" w:rsidRDefault="00940332" w:rsidP="00192D14">
            <w:pPr>
              <w:pStyle w:val="Tabletext"/>
              <w:keepNext/>
              <w:jc w:val="center"/>
              <w:rPr>
                <w:iCs/>
              </w:rPr>
            </w:pPr>
          </w:p>
        </w:tc>
      </w:tr>
      <w:tr w:rsidR="00940332" w:rsidRPr="00D16A97" w14:paraId="1B636ADD" w14:textId="77777777" w:rsidTr="00192D14">
        <w:trPr>
          <w:cantSplit/>
          <w:tblHeader/>
        </w:trPr>
        <w:tc>
          <w:tcPr>
            <w:tcW w:w="5000" w:type="pct"/>
            <w:gridSpan w:val="5"/>
            <w:shd w:val="clear" w:color="auto" w:fill="auto"/>
            <w:vAlign w:val="center"/>
          </w:tcPr>
          <w:p w14:paraId="643D3692" w14:textId="77777777" w:rsidR="00940332" w:rsidRPr="00351901" w:rsidRDefault="00940332" w:rsidP="00192D14">
            <w:pPr>
              <w:pStyle w:val="Tabletext"/>
              <w:keepNext/>
              <w:rPr>
                <w:b/>
                <w:bCs/>
                <w:iCs/>
              </w:rPr>
            </w:pPr>
            <w:r w:rsidRPr="00351901">
              <w:rPr>
                <w:b/>
                <w:bCs/>
                <w:iCs/>
              </w:rPr>
              <w:t>Cohort: Aged 50-69 &amp; ≥ 2 risk factors</w:t>
            </w:r>
          </w:p>
        </w:tc>
      </w:tr>
      <w:tr w:rsidR="00940332" w:rsidRPr="00D16A97" w14:paraId="6D16AB49" w14:textId="77777777" w:rsidTr="00192D14">
        <w:trPr>
          <w:cantSplit/>
        </w:trPr>
        <w:tc>
          <w:tcPr>
            <w:tcW w:w="934" w:type="pct"/>
            <w:shd w:val="clear" w:color="auto" w:fill="auto"/>
            <w:vAlign w:val="center"/>
          </w:tcPr>
          <w:p w14:paraId="5007625F" w14:textId="2450E24E" w:rsidR="00940332" w:rsidRPr="00351901" w:rsidRDefault="00940332" w:rsidP="00192D14">
            <w:pPr>
              <w:pStyle w:val="Tabletext"/>
              <w:keepNext/>
              <w:rPr>
                <w:i/>
                <w:iCs/>
              </w:rPr>
            </w:pPr>
            <w:r w:rsidRPr="00351901">
              <w:rPr>
                <w:iCs/>
              </w:rPr>
              <w:t>Costs</w:t>
            </w:r>
            <w:r w:rsidR="00351901" w:rsidRPr="00351901">
              <w:rPr>
                <w:iCs/>
              </w:rPr>
              <w:t xml:space="preserve"> ($)</w:t>
            </w:r>
          </w:p>
        </w:tc>
        <w:tc>
          <w:tcPr>
            <w:tcW w:w="1017" w:type="pct"/>
            <w:shd w:val="clear" w:color="auto" w:fill="auto"/>
          </w:tcPr>
          <w:p w14:paraId="4655B84B" w14:textId="53994F38" w:rsidR="00940332" w:rsidRPr="00351901" w:rsidRDefault="005C2556" w:rsidP="00192D14">
            <w:pPr>
              <w:pStyle w:val="Tabletext"/>
              <w:keepNext/>
              <w:jc w:val="center"/>
              <w:rPr>
                <w:i/>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7" w:type="pct"/>
            <w:shd w:val="clear" w:color="auto" w:fill="auto"/>
          </w:tcPr>
          <w:p w14:paraId="618BF0A8" w14:textId="77777777" w:rsidR="00940332" w:rsidRPr="00AB12BF" w:rsidRDefault="00940332" w:rsidP="00192D14">
            <w:pPr>
              <w:pStyle w:val="Tabletext"/>
              <w:keepNext/>
              <w:jc w:val="center"/>
              <w:rPr>
                <w:i/>
                <w:iCs/>
                <w:highlight w:val="darkGray"/>
              </w:rPr>
            </w:pPr>
            <w:r w:rsidRPr="00457EB6">
              <w:rPr>
                <w:iCs/>
              </w:rPr>
              <w:t>$142.64</w:t>
            </w:r>
          </w:p>
        </w:tc>
        <w:tc>
          <w:tcPr>
            <w:tcW w:w="1017" w:type="pct"/>
            <w:shd w:val="clear" w:color="auto" w:fill="auto"/>
          </w:tcPr>
          <w:p w14:paraId="509C4DF3" w14:textId="40FF6FB4" w:rsidR="00940332" w:rsidRPr="00351901" w:rsidRDefault="005C2556" w:rsidP="00192D14">
            <w:pPr>
              <w:pStyle w:val="Tabletext"/>
              <w:keepNext/>
              <w:jc w:val="center"/>
              <w:rPr>
                <w:i/>
                <w:iCs/>
                <w:highlight w:val="darkGray"/>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176732DB" w14:textId="67A2280B" w:rsidR="00940332" w:rsidRPr="00351901" w:rsidRDefault="005C2556" w:rsidP="00192D14">
            <w:pPr>
              <w:pStyle w:val="Tabletext"/>
              <w:keepNext/>
              <w:jc w:val="center"/>
              <w:rPr>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r w:rsidR="00AB12BF">
              <w:rPr>
                <w:vertAlign w:val="superscript"/>
              </w:rPr>
              <w:t>4</w:t>
            </w:r>
          </w:p>
        </w:tc>
      </w:tr>
      <w:tr w:rsidR="00940332" w:rsidRPr="00D16A97" w14:paraId="2F6DBC2F" w14:textId="77777777" w:rsidTr="00192D14">
        <w:trPr>
          <w:cantSplit/>
        </w:trPr>
        <w:tc>
          <w:tcPr>
            <w:tcW w:w="934" w:type="pct"/>
            <w:shd w:val="clear" w:color="auto" w:fill="auto"/>
            <w:vAlign w:val="center"/>
          </w:tcPr>
          <w:p w14:paraId="19B60469" w14:textId="77777777" w:rsidR="00940332" w:rsidRPr="00351901" w:rsidRDefault="00940332" w:rsidP="00192D14">
            <w:pPr>
              <w:pStyle w:val="Tabletext"/>
              <w:keepNext/>
              <w:rPr>
                <w:i/>
                <w:iCs/>
              </w:rPr>
            </w:pPr>
            <w:r w:rsidRPr="00351901">
              <w:rPr>
                <w:iCs/>
              </w:rPr>
              <w:t>QALYS lost</w:t>
            </w:r>
          </w:p>
        </w:tc>
        <w:tc>
          <w:tcPr>
            <w:tcW w:w="1017" w:type="pct"/>
            <w:shd w:val="clear" w:color="auto" w:fill="auto"/>
          </w:tcPr>
          <w:p w14:paraId="76D3F167" w14:textId="77777777" w:rsidR="00940332" w:rsidRPr="00351901" w:rsidRDefault="00940332" w:rsidP="00192D14">
            <w:pPr>
              <w:pStyle w:val="Tabletext"/>
              <w:keepNext/>
              <w:jc w:val="center"/>
              <w:rPr>
                <w:i/>
                <w:iCs/>
              </w:rPr>
            </w:pPr>
            <w:r w:rsidRPr="00351901">
              <w:rPr>
                <w:iCs/>
              </w:rPr>
              <w:t>-0.0310</w:t>
            </w:r>
          </w:p>
        </w:tc>
        <w:tc>
          <w:tcPr>
            <w:tcW w:w="1017" w:type="pct"/>
            <w:shd w:val="clear" w:color="auto" w:fill="auto"/>
          </w:tcPr>
          <w:p w14:paraId="3BE104A3" w14:textId="77777777" w:rsidR="00940332" w:rsidRPr="00351901" w:rsidRDefault="00940332" w:rsidP="00192D14">
            <w:pPr>
              <w:pStyle w:val="Tabletext"/>
              <w:keepNext/>
              <w:jc w:val="center"/>
              <w:rPr>
                <w:i/>
                <w:iCs/>
              </w:rPr>
            </w:pPr>
            <w:r w:rsidRPr="00351901">
              <w:rPr>
                <w:iCs/>
              </w:rPr>
              <w:t>-0.0406</w:t>
            </w:r>
          </w:p>
        </w:tc>
        <w:tc>
          <w:tcPr>
            <w:tcW w:w="1017" w:type="pct"/>
            <w:shd w:val="clear" w:color="auto" w:fill="auto"/>
          </w:tcPr>
          <w:p w14:paraId="427BC3BF" w14:textId="77777777" w:rsidR="00940332" w:rsidRPr="00351901" w:rsidRDefault="00940332" w:rsidP="00192D14">
            <w:pPr>
              <w:pStyle w:val="Tabletext"/>
              <w:keepNext/>
              <w:jc w:val="center"/>
              <w:rPr>
                <w:i/>
                <w:iCs/>
              </w:rPr>
            </w:pPr>
            <w:r w:rsidRPr="00351901">
              <w:rPr>
                <w:iCs/>
              </w:rPr>
              <w:t>0.0096</w:t>
            </w:r>
          </w:p>
        </w:tc>
        <w:tc>
          <w:tcPr>
            <w:tcW w:w="1015" w:type="pct"/>
            <w:vMerge/>
            <w:shd w:val="clear" w:color="auto" w:fill="auto"/>
            <w:vAlign w:val="center"/>
          </w:tcPr>
          <w:p w14:paraId="21114AC2" w14:textId="77777777" w:rsidR="00940332" w:rsidRPr="00351901" w:rsidRDefault="00940332" w:rsidP="00192D14">
            <w:pPr>
              <w:pStyle w:val="Tabletext"/>
              <w:keepNext/>
              <w:jc w:val="center"/>
              <w:rPr>
                <w:iCs/>
              </w:rPr>
            </w:pPr>
          </w:p>
        </w:tc>
      </w:tr>
      <w:tr w:rsidR="00940332" w:rsidRPr="00D16A97" w14:paraId="693C3DEE" w14:textId="77777777" w:rsidTr="00192D14">
        <w:trPr>
          <w:cantSplit/>
          <w:tblHeader/>
        </w:trPr>
        <w:tc>
          <w:tcPr>
            <w:tcW w:w="5000" w:type="pct"/>
            <w:gridSpan w:val="5"/>
            <w:shd w:val="clear" w:color="auto" w:fill="auto"/>
            <w:vAlign w:val="center"/>
          </w:tcPr>
          <w:p w14:paraId="1FD92A66" w14:textId="77777777" w:rsidR="00940332" w:rsidRPr="00351901" w:rsidRDefault="00940332" w:rsidP="00192D14">
            <w:pPr>
              <w:pStyle w:val="Tabletext"/>
              <w:keepNext/>
              <w:rPr>
                <w:b/>
                <w:bCs/>
                <w:iCs/>
              </w:rPr>
            </w:pPr>
            <w:r w:rsidRPr="00351901">
              <w:rPr>
                <w:b/>
                <w:bCs/>
                <w:iCs/>
              </w:rPr>
              <w:t>Current Scenario</w:t>
            </w:r>
            <w:r w:rsidRPr="00351901">
              <w:rPr>
                <w:b/>
                <w:bCs/>
                <w:iCs/>
                <w:vertAlign w:val="superscript"/>
              </w:rPr>
              <w:t>a</w:t>
            </w:r>
            <w:r w:rsidRPr="00351901">
              <w:rPr>
                <w:b/>
                <w:bCs/>
                <w:iCs/>
              </w:rPr>
              <w:t xml:space="preserve"> – Overall ICER with current restrictions and proportions based on utilisation</w:t>
            </w:r>
            <w:r w:rsidRPr="00351901">
              <w:rPr>
                <w:b/>
                <w:bCs/>
                <w:iCs/>
                <w:vertAlign w:val="superscript"/>
              </w:rPr>
              <w:t>c</w:t>
            </w:r>
          </w:p>
        </w:tc>
      </w:tr>
      <w:tr w:rsidR="00940332" w:rsidRPr="00D16A97" w14:paraId="6985A24A" w14:textId="77777777" w:rsidTr="00192D14">
        <w:trPr>
          <w:cantSplit/>
        </w:trPr>
        <w:tc>
          <w:tcPr>
            <w:tcW w:w="934" w:type="pct"/>
            <w:shd w:val="clear" w:color="auto" w:fill="auto"/>
            <w:vAlign w:val="center"/>
          </w:tcPr>
          <w:p w14:paraId="4720BA1D" w14:textId="60B1BF69" w:rsidR="00940332" w:rsidRPr="00351901" w:rsidRDefault="00940332" w:rsidP="00192D14">
            <w:pPr>
              <w:pStyle w:val="Tabletext"/>
              <w:keepNext/>
              <w:rPr>
                <w:i/>
                <w:iCs/>
              </w:rPr>
            </w:pPr>
            <w:r w:rsidRPr="00351901">
              <w:rPr>
                <w:iCs/>
              </w:rPr>
              <w:t>Costs</w:t>
            </w:r>
            <w:r w:rsidR="00351901" w:rsidRPr="00351901">
              <w:rPr>
                <w:iCs/>
              </w:rPr>
              <w:t xml:space="preserve"> ($)</w:t>
            </w:r>
          </w:p>
        </w:tc>
        <w:tc>
          <w:tcPr>
            <w:tcW w:w="1017" w:type="pct"/>
            <w:shd w:val="clear" w:color="auto" w:fill="auto"/>
          </w:tcPr>
          <w:p w14:paraId="4D90BE87" w14:textId="31D4F453" w:rsidR="00940332" w:rsidRPr="00351901" w:rsidRDefault="005C2556" w:rsidP="00192D14">
            <w:pPr>
              <w:pStyle w:val="Tabletext"/>
              <w:keepNext/>
              <w:jc w:val="center"/>
              <w:rPr>
                <w:i/>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7" w:type="pct"/>
            <w:shd w:val="clear" w:color="auto" w:fill="auto"/>
          </w:tcPr>
          <w:p w14:paraId="44EA32A2" w14:textId="77777777" w:rsidR="00940332" w:rsidRPr="00AB12BF" w:rsidRDefault="00940332" w:rsidP="00192D14">
            <w:pPr>
              <w:pStyle w:val="Tabletext"/>
              <w:keepNext/>
              <w:jc w:val="center"/>
              <w:rPr>
                <w:i/>
                <w:iCs/>
                <w:highlight w:val="darkGray"/>
              </w:rPr>
            </w:pPr>
            <w:r w:rsidRPr="00457EB6">
              <w:rPr>
                <w:iCs/>
              </w:rPr>
              <w:t>$310.47</w:t>
            </w:r>
          </w:p>
        </w:tc>
        <w:tc>
          <w:tcPr>
            <w:tcW w:w="1017" w:type="pct"/>
            <w:shd w:val="clear" w:color="auto" w:fill="auto"/>
          </w:tcPr>
          <w:p w14:paraId="67A558C6" w14:textId="746BCB74" w:rsidR="00940332" w:rsidRPr="00351901" w:rsidRDefault="005C2556" w:rsidP="00192D14">
            <w:pPr>
              <w:pStyle w:val="Tabletext"/>
              <w:keepNext/>
              <w:jc w:val="center"/>
              <w:rPr>
                <w:i/>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4D4BA1A9" w14:textId="5CD4EDD6" w:rsidR="00940332" w:rsidRPr="00351901" w:rsidRDefault="005C2556" w:rsidP="00192D14">
            <w:pPr>
              <w:pStyle w:val="Tabletext"/>
              <w:keepNext/>
              <w:jc w:val="center"/>
              <w:rPr>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r w:rsidR="00AB12BF">
              <w:rPr>
                <w:vertAlign w:val="superscript"/>
              </w:rPr>
              <w:t>1</w:t>
            </w:r>
          </w:p>
        </w:tc>
      </w:tr>
      <w:tr w:rsidR="00940332" w:rsidRPr="00D16A97" w14:paraId="5EC5D7BB" w14:textId="77777777" w:rsidTr="00192D14">
        <w:trPr>
          <w:cantSplit/>
        </w:trPr>
        <w:tc>
          <w:tcPr>
            <w:tcW w:w="934" w:type="pct"/>
            <w:shd w:val="clear" w:color="auto" w:fill="auto"/>
            <w:vAlign w:val="center"/>
          </w:tcPr>
          <w:p w14:paraId="46AFDF2D" w14:textId="77777777" w:rsidR="00940332" w:rsidRPr="00351901" w:rsidRDefault="00940332" w:rsidP="00192D14">
            <w:pPr>
              <w:pStyle w:val="Tabletext"/>
              <w:keepNext/>
              <w:rPr>
                <w:i/>
                <w:iCs/>
              </w:rPr>
            </w:pPr>
            <w:r w:rsidRPr="00351901">
              <w:rPr>
                <w:iCs/>
              </w:rPr>
              <w:t>QALYS lost</w:t>
            </w:r>
          </w:p>
        </w:tc>
        <w:tc>
          <w:tcPr>
            <w:tcW w:w="1017" w:type="pct"/>
            <w:shd w:val="clear" w:color="auto" w:fill="auto"/>
          </w:tcPr>
          <w:p w14:paraId="6411A992" w14:textId="77777777" w:rsidR="00940332" w:rsidRPr="00351901" w:rsidRDefault="00940332" w:rsidP="00192D14">
            <w:pPr>
              <w:pStyle w:val="Tabletext"/>
              <w:keepNext/>
              <w:jc w:val="center"/>
              <w:rPr>
                <w:i/>
                <w:iCs/>
              </w:rPr>
            </w:pPr>
            <w:r w:rsidRPr="00351901">
              <w:rPr>
                <w:iCs/>
              </w:rPr>
              <w:t>-0.0549</w:t>
            </w:r>
          </w:p>
        </w:tc>
        <w:tc>
          <w:tcPr>
            <w:tcW w:w="1017" w:type="pct"/>
            <w:shd w:val="clear" w:color="auto" w:fill="auto"/>
          </w:tcPr>
          <w:p w14:paraId="14A33948" w14:textId="77777777" w:rsidR="00940332" w:rsidRPr="00351901" w:rsidRDefault="00940332" w:rsidP="00192D14">
            <w:pPr>
              <w:pStyle w:val="Tabletext"/>
              <w:keepNext/>
              <w:jc w:val="center"/>
              <w:rPr>
                <w:i/>
                <w:iCs/>
              </w:rPr>
            </w:pPr>
            <w:r w:rsidRPr="00351901">
              <w:rPr>
                <w:iCs/>
              </w:rPr>
              <w:t>-0.0715</w:t>
            </w:r>
          </w:p>
        </w:tc>
        <w:tc>
          <w:tcPr>
            <w:tcW w:w="1017" w:type="pct"/>
            <w:shd w:val="clear" w:color="auto" w:fill="auto"/>
          </w:tcPr>
          <w:p w14:paraId="54D94091" w14:textId="77777777" w:rsidR="00940332" w:rsidRPr="00351901" w:rsidRDefault="00940332" w:rsidP="00192D14">
            <w:pPr>
              <w:pStyle w:val="Tabletext"/>
              <w:keepNext/>
              <w:jc w:val="center"/>
              <w:rPr>
                <w:i/>
                <w:iCs/>
              </w:rPr>
            </w:pPr>
            <w:r w:rsidRPr="00351901">
              <w:rPr>
                <w:iCs/>
              </w:rPr>
              <w:t>0.0166</w:t>
            </w:r>
          </w:p>
        </w:tc>
        <w:tc>
          <w:tcPr>
            <w:tcW w:w="1015" w:type="pct"/>
            <w:vMerge/>
            <w:shd w:val="clear" w:color="auto" w:fill="auto"/>
            <w:vAlign w:val="center"/>
          </w:tcPr>
          <w:p w14:paraId="2D8EEA78" w14:textId="77777777" w:rsidR="00940332" w:rsidRPr="00351901" w:rsidRDefault="00940332" w:rsidP="00192D14">
            <w:pPr>
              <w:pStyle w:val="Tabletext"/>
              <w:keepNext/>
              <w:jc w:val="center"/>
              <w:rPr>
                <w:iCs/>
              </w:rPr>
            </w:pPr>
          </w:p>
        </w:tc>
      </w:tr>
      <w:tr w:rsidR="00940332" w:rsidRPr="00D16A97" w14:paraId="6F224D96" w14:textId="77777777" w:rsidTr="00192D14">
        <w:trPr>
          <w:cantSplit/>
          <w:tblHeader/>
        </w:trPr>
        <w:tc>
          <w:tcPr>
            <w:tcW w:w="5000" w:type="pct"/>
            <w:gridSpan w:val="5"/>
            <w:shd w:val="clear" w:color="auto" w:fill="auto"/>
            <w:vAlign w:val="center"/>
          </w:tcPr>
          <w:p w14:paraId="66F20E7A" w14:textId="77777777" w:rsidR="00940332" w:rsidRPr="00351901" w:rsidRDefault="00940332" w:rsidP="00192D14">
            <w:pPr>
              <w:pStyle w:val="Tabletext"/>
              <w:keepNext/>
              <w:rPr>
                <w:b/>
                <w:bCs/>
                <w:iCs/>
              </w:rPr>
            </w:pPr>
            <w:r w:rsidRPr="00351901">
              <w:rPr>
                <w:b/>
                <w:bCs/>
                <w:iCs/>
              </w:rPr>
              <w:t>Revised Scenario</w:t>
            </w:r>
            <w:r w:rsidRPr="00351901">
              <w:rPr>
                <w:b/>
                <w:bCs/>
                <w:iCs/>
                <w:vertAlign w:val="superscript"/>
              </w:rPr>
              <w:t>b</w:t>
            </w:r>
            <w:r w:rsidRPr="00351901">
              <w:rPr>
                <w:b/>
                <w:bCs/>
                <w:iCs/>
              </w:rPr>
              <w:t xml:space="preserve"> – Overall ICER with price reduction corresponding to PBAC advice (ICER ≤$15,000/QALY in all subgroups)</w:t>
            </w:r>
            <w:r w:rsidRPr="00351901">
              <w:rPr>
                <w:b/>
                <w:bCs/>
                <w:iCs/>
                <w:vertAlign w:val="superscript"/>
              </w:rPr>
              <w:t>c</w:t>
            </w:r>
          </w:p>
        </w:tc>
      </w:tr>
      <w:tr w:rsidR="00940332" w:rsidRPr="00D16A97" w14:paraId="2E47806D" w14:textId="77777777" w:rsidTr="00192D14">
        <w:trPr>
          <w:cantSplit/>
        </w:trPr>
        <w:tc>
          <w:tcPr>
            <w:tcW w:w="934" w:type="pct"/>
            <w:shd w:val="clear" w:color="auto" w:fill="auto"/>
            <w:vAlign w:val="center"/>
          </w:tcPr>
          <w:p w14:paraId="12076995" w14:textId="46FAED34" w:rsidR="00940332" w:rsidRPr="00351901" w:rsidRDefault="00940332" w:rsidP="00192D14">
            <w:pPr>
              <w:pStyle w:val="Tabletext"/>
              <w:keepNext/>
              <w:rPr>
                <w:i/>
                <w:iCs/>
              </w:rPr>
            </w:pPr>
            <w:r w:rsidRPr="00351901">
              <w:rPr>
                <w:iCs/>
              </w:rPr>
              <w:t>Costs</w:t>
            </w:r>
            <w:r w:rsidR="00351901" w:rsidRPr="00351901">
              <w:rPr>
                <w:iCs/>
              </w:rPr>
              <w:t xml:space="preserve"> ($)</w:t>
            </w:r>
          </w:p>
        </w:tc>
        <w:tc>
          <w:tcPr>
            <w:tcW w:w="1017" w:type="pct"/>
            <w:shd w:val="clear" w:color="auto" w:fill="auto"/>
          </w:tcPr>
          <w:p w14:paraId="416A36CC" w14:textId="560E2C20" w:rsidR="00940332" w:rsidRPr="00351901" w:rsidRDefault="005C2556" w:rsidP="00192D14">
            <w:pPr>
              <w:pStyle w:val="Tabletext"/>
              <w:keepNext/>
              <w:jc w:val="center"/>
              <w:rPr>
                <w:i/>
                <w:iCs/>
                <w:highlight w:val="darkGray"/>
              </w:rPr>
            </w:pPr>
            <w:r w:rsidRPr="005C2556">
              <w:t xml:space="preserve"> </w:t>
            </w:r>
            <w:r w:rsidR="0003145F" w:rsidRPr="0003145F">
              <w:rPr>
                <w:color w:val="000000"/>
                <w:shd w:val="solid" w:color="000000" w:fill="000000"/>
                <w14:textFill>
                  <w14:solidFill>
                    <w14:srgbClr w14:val="000000">
                      <w14:alpha w14:val="100000"/>
                    </w14:srgbClr>
                  </w14:solidFill>
                </w14:textFill>
              </w:rPr>
              <w:t>|</w:t>
            </w:r>
            <w:r w:rsidRPr="005C2556">
              <w:t xml:space="preserve"> </w:t>
            </w:r>
          </w:p>
        </w:tc>
        <w:tc>
          <w:tcPr>
            <w:tcW w:w="1017" w:type="pct"/>
            <w:shd w:val="clear" w:color="auto" w:fill="auto"/>
          </w:tcPr>
          <w:p w14:paraId="22C4F665" w14:textId="77777777" w:rsidR="00940332" w:rsidRPr="00AB12BF" w:rsidRDefault="00940332" w:rsidP="00192D14">
            <w:pPr>
              <w:pStyle w:val="Tabletext"/>
              <w:keepNext/>
              <w:jc w:val="center"/>
              <w:rPr>
                <w:i/>
                <w:iCs/>
                <w:highlight w:val="darkGray"/>
              </w:rPr>
            </w:pPr>
            <w:r w:rsidRPr="00457EB6">
              <w:t>$310.47</w:t>
            </w:r>
          </w:p>
        </w:tc>
        <w:tc>
          <w:tcPr>
            <w:tcW w:w="1017" w:type="pct"/>
            <w:shd w:val="clear" w:color="auto" w:fill="auto"/>
          </w:tcPr>
          <w:p w14:paraId="792D42B3" w14:textId="7CA5DAE4" w:rsidR="00940332" w:rsidRPr="00351901" w:rsidRDefault="005C2556" w:rsidP="00192D14">
            <w:pPr>
              <w:pStyle w:val="Tabletext"/>
              <w:keepNext/>
              <w:jc w:val="center"/>
              <w:rPr>
                <w:i/>
                <w:iCs/>
              </w:rPr>
            </w:pPr>
            <w:r w:rsidRPr="005C2556">
              <w:t xml:space="preserve"> </w:t>
            </w:r>
            <w:r w:rsidR="0003145F" w:rsidRPr="0003145F">
              <w:rPr>
                <w:color w:val="000000"/>
                <w:shd w:val="solid" w:color="000000" w:fill="000000"/>
                <w14:textFill>
                  <w14:solidFill>
                    <w14:srgbClr w14:val="000000">
                      <w14:alpha w14:val="100000"/>
                    </w14:srgbClr>
                  </w14:solidFill>
                </w14:textFill>
              </w:rPr>
              <w:t>|</w:t>
            </w:r>
            <w:r w:rsidR="0082204E">
              <w:t xml:space="preserve"> </w:t>
            </w:r>
          </w:p>
        </w:tc>
        <w:tc>
          <w:tcPr>
            <w:tcW w:w="1015" w:type="pct"/>
            <w:vMerge w:val="restart"/>
            <w:shd w:val="clear" w:color="auto" w:fill="auto"/>
            <w:vAlign w:val="center"/>
          </w:tcPr>
          <w:p w14:paraId="5864CE34" w14:textId="32B57BC4" w:rsidR="00940332" w:rsidRPr="00351901" w:rsidRDefault="005C2556" w:rsidP="00192D14">
            <w:pPr>
              <w:pStyle w:val="Tabletext"/>
              <w:keepNext/>
              <w:jc w:val="center"/>
              <w:rPr>
                <w:iCs/>
              </w:rPr>
            </w:pPr>
            <w:r w:rsidRPr="005C2556">
              <w:rPr>
                <w:iCs/>
              </w:rPr>
              <w:t xml:space="preserve"> </w:t>
            </w:r>
            <w:r w:rsidR="0003145F" w:rsidRPr="0003145F">
              <w:rPr>
                <w:iCs/>
                <w:color w:val="000000"/>
                <w:shd w:val="solid" w:color="000000" w:fill="000000"/>
                <w14:textFill>
                  <w14:solidFill>
                    <w14:srgbClr w14:val="000000">
                      <w14:alpha w14:val="100000"/>
                    </w14:srgbClr>
                  </w14:solidFill>
                </w14:textFill>
              </w:rPr>
              <w:t>|</w:t>
            </w:r>
            <w:r w:rsidR="00AB12BF">
              <w:rPr>
                <w:vertAlign w:val="superscript"/>
              </w:rPr>
              <w:t>5</w:t>
            </w:r>
          </w:p>
        </w:tc>
      </w:tr>
      <w:tr w:rsidR="00940332" w:rsidRPr="00D16A97" w14:paraId="15D8E01F" w14:textId="77777777" w:rsidTr="00192D14">
        <w:trPr>
          <w:cantSplit/>
        </w:trPr>
        <w:tc>
          <w:tcPr>
            <w:tcW w:w="934" w:type="pct"/>
            <w:shd w:val="clear" w:color="auto" w:fill="auto"/>
            <w:vAlign w:val="center"/>
          </w:tcPr>
          <w:p w14:paraId="08169FC8" w14:textId="77777777" w:rsidR="00940332" w:rsidRPr="00D16A97" w:rsidRDefault="00940332" w:rsidP="00192D14">
            <w:pPr>
              <w:pStyle w:val="Tabletext"/>
              <w:keepNext/>
              <w:rPr>
                <w:i/>
                <w:iCs/>
              </w:rPr>
            </w:pPr>
            <w:r w:rsidRPr="00D16A97">
              <w:rPr>
                <w:iCs/>
              </w:rPr>
              <w:t>QALYS lost</w:t>
            </w:r>
          </w:p>
        </w:tc>
        <w:tc>
          <w:tcPr>
            <w:tcW w:w="1017" w:type="pct"/>
            <w:shd w:val="clear" w:color="auto" w:fill="auto"/>
          </w:tcPr>
          <w:p w14:paraId="66FC6863" w14:textId="77777777" w:rsidR="00940332" w:rsidRPr="00D16A97" w:rsidRDefault="00940332" w:rsidP="00192D14">
            <w:pPr>
              <w:pStyle w:val="Tabletext"/>
              <w:keepNext/>
              <w:jc w:val="center"/>
              <w:rPr>
                <w:i/>
                <w:iCs/>
                <w:highlight w:val="yellow"/>
              </w:rPr>
            </w:pPr>
            <w:r w:rsidRPr="00D16A97">
              <w:rPr>
                <w:iCs/>
              </w:rPr>
              <w:t>-0.0549</w:t>
            </w:r>
          </w:p>
        </w:tc>
        <w:tc>
          <w:tcPr>
            <w:tcW w:w="1017" w:type="pct"/>
            <w:shd w:val="clear" w:color="auto" w:fill="auto"/>
          </w:tcPr>
          <w:p w14:paraId="7C3D88A9" w14:textId="77777777" w:rsidR="00940332" w:rsidRPr="00D16A97" w:rsidRDefault="00940332" w:rsidP="00192D14">
            <w:pPr>
              <w:pStyle w:val="Tabletext"/>
              <w:keepNext/>
              <w:jc w:val="center"/>
              <w:rPr>
                <w:i/>
                <w:iCs/>
                <w:highlight w:val="yellow"/>
              </w:rPr>
            </w:pPr>
            <w:r w:rsidRPr="00D16A97">
              <w:rPr>
                <w:iCs/>
              </w:rPr>
              <w:t>-0.0715</w:t>
            </w:r>
          </w:p>
        </w:tc>
        <w:tc>
          <w:tcPr>
            <w:tcW w:w="1017" w:type="pct"/>
            <w:shd w:val="clear" w:color="auto" w:fill="auto"/>
          </w:tcPr>
          <w:p w14:paraId="5FB0AE68" w14:textId="77777777" w:rsidR="00940332" w:rsidRPr="00D16A97" w:rsidRDefault="00940332" w:rsidP="00192D14">
            <w:pPr>
              <w:pStyle w:val="Tabletext"/>
              <w:keepNext/>
              <w:jc w:val="center"/>
              <w:rPr>
                <w:i/>
                <w:iCs/>
                <w:highlight w:val="yellow"/>
              </w:rPr>
            </w:pPr>
            <w:r w:rsidRPr="00D16A97">
              <w:rPr>
                <w:iCs/>
              </w:rPr>
              <w:t>0.0166</w:t>
            </w:r>
          </w:p>
        </w:tc>
        <w:tc>
          <w:tcPr>
            <w:tcW w:w="1015" w:type="pct"/>
            <w:vMerge/>
            <w:shd w:val="clear" w:color="auto" w:fill="auto"/>
            <w:vAlign w:val="center"/>
          </w:tcPr>
          <w:p w14:paraId="181FC518" w14:textId="77777777" w:rsidR="00940332" w:rsidRPr="00D16A97" w:rsidRDefault="00940332" w:rsidP="00192D14">
            <w:pPr>
              <w:pStyle w:val="Tabletext"/>
              <w:keepNext/>
              <w:jc w:val="center"/>
              <w:rPr>
                <w:iCs/>
                <w:highlight w:val="yellow"/>
              </w:rPr>
            </w:pPr>
          </w:p>
        </w:tc>
      </w:tr>
    </w:tbl>
    <w:p w14:paraId="2C638A4A" w14:textId="758790FF" w:rsidR="00351901" w:rsidRPr="00351901" w:rsidRDefault="00351901" w:rsidP="00351901">
      <w:pPr>
        <w:rPr>
          <w:rFonts w:ascii="Arial Narrow" w:hAnsi="Arial Narrow"/>
          <w:iCs/>
          <w:sz w:val="18"/>
          <w:szCs w:val="18"/>
        </w:rPr>
      </w:pPr>
      <w:bookmarkStart w:id="145" w:name="_Hlk151674469"/>
      <w:bookmarkEnd w:id="142"/>
      <w:bookmarkEnd w:id="144"/>
      <w:r w:rsidRPr="00351901">
        <w:rPr>
          <w:rFonts w:ascii="Arial Narrow" w:hAnsi="Arial Narrow"/>
          <w:sz w:val="18"/>
          <w:szCs w:val="22"/>
          <w:vertAlign w:val="superscript"/>
        </w:rPr>
        <w:t>a</w:t>
      </w:r>
      <w:r w:rsidRPr="00351901">
        <w:rPr>
          <w:rFonts w:ascii="Arial Narrow" w:hAnsi="Arial Narrow"/>
          <w:iCs/>
          <w:sz w:val="18"/>
          <w:szCs w:val="18"/>
        </w:rPr>
        <w:t xml:space="preserve"> The risk-share proposal proposed in the molnupiravir submission means that a fixed price does not apply for molnupiravir. The effective DPMQ for molnupiravir reduces as volume increases. The price applied for molnupiravir in the common model assumes utilisation of oral antivirals of 766,498 units, which is similar to utilisation over the past 12 months, which results in an effective ex-manufacturer price of $</w:t>
      </w:r>
      <w:r w:rsidR="005C2556" w:rsidRPr="005C2556">
        <w:rPr>
          <w:rFonts w:ascii="Arial Narrow" w:hAnsi="Arial Narrow"/>
          <w:iCs/>
          <w:sz w:val="18"/>
          <w:szCs w:val="18"/>
        </w:rPr>
        <w:t xml:space="preserve"> </w:t>
      </w:r>
      <w:r w:rsidR="0003145F" w:rsidRPr="0003145F">
        <w:rPr>
          <w:rFonts w:ascii="Arial Narrow" w:hAnsi="Arial Narrow"/>
          <w:iCs/>
          <w:color w:val="000000"/>
          <w:spacing w:val="36"/>
          <w:sz w:val="18"/>
          <w:szCs w:val="18"/>
          <w:shd w:val="solid" w:color="000000" w:fill="000000"/>
          <w:fitText w:val="268" w:id="-1031606516"/>
          <w14:textFill>
            <w14:solidFill>
              <w14:srgbClr w14:val="000000">
                <w14:alpha w14:val="100000"/>
              </w14:srgbClr>
            </w14:solidFill>
          </w14:textFill>
        </w:rPr>
        <w:t xml:space="preserve">|  </w:t>
      </w:r>
      <w:r w:rsidR="0003145F" w:rsidRPr="0003145F">
        <w:rPr>
          <w:rFonts w:ascii="Arial Narrow" w:hAnsi="Arial Narrow"/>
          <w:iCs/>
          <w:color w:val="000000"/>
          <w:spacing w:val="2"/>
          <w:sz w:val="18"/>
          <w:szCs w:val="18"/>
          <w:shd w:val="solid" w:color="000000" w:fill="000000"/>
          <w:fitText w:val="268" w:id="-1031606516"/>
          <w14:textFill>
            <w14:solidFill>
              <w14:srgbClr w14:val="000000">
                <w14:alpha w14:val="100000"/>
              </w14:srgbClr>
            </w14:solidFill>
          </w14:textFill>
        </w:rPr>
        <w:t>|</w:t>
      </w:r>
      <w:r w:rsidRPr="00351901">
        <w:rPr>
          <w:rFonts w:ascii="Arial Narrow" w:hAnsi="Arial Narrow"/>
          <w:iCs/>
          <w:sz w:val="18"/>
          <w:szCs w:val="18"/>
        </w:rPr>
        <w:t xml:space="preserve"> per pack (equating to an effective DPMQ of $</w:t>
      </w:r>
      <w:r w:rsidR="005C2556" w:rsidRPr="005C2556">
        <w:rPr>
          <w:rFonts w:ascii="Arial Narrow" w:hAnsi="Arial Narrow"/>
          <w:iCs/>
          <w:sz w:val="18"/>
          <w:szCs w:val="18"/>
        </w:rPr>
        <w:t xml:space="preserve"> </w:t>
      </w:r>
      <w:r w:rsidR="0003145F" w:rsidRPr="0003145F">
        <w:rPr>
          <w:rFonts w:ascii="Arial Narrow" w:hAnsi="Arial Narrow"/>
          <w:iCs/>
          <w:color w:val="000000"/>
          <w:spacing w:val="36"/>
          <w:sz w:val="18"/>
          <w:szCs w:val="18"/>
          <w:shd w:val="solid" w:color="000000" w:fill="000000"/>
          <w:fitText w:val="268" w:id="-1031606515"/>
          <w14:textFill>
            <w14:solidFill>
              <w14:srgbClr w14:val="000000">
                <w14:alpha w14:val="100000"/>
              </w14:srgbClr>
            </w14:solidFill>
          </w14:textFill>
        </w:rPr>
        <w:t xml:space="preserve">|  </w:t>
      </w:r>
      <w:r w:rsidR="0003145F" w:rsidRPr="0003145F">
        <w:rPr>
          <w:rFonts w:ascii="Arial Narrow" w:hAnsi="Arial Narrow"/>
          <w:iCs/>
          <w:color w:val="000000"/>
          <w:spacing w:val="2"/>
          <w:sz w:val="18"/>
          <w:szCs w:val="18"/>
          <w:shd w:val="solid" w:color="000000" w:fill="000000"/>
          <w:fitText w:val="268" w:id="-1031606515"/>
          <w14:textFill>
            <w14:solidFill>
              <w14:srgbClr w14:val="000000">
                <w14:alpha w14:val="100000"/>
              </w14:srgbClr>
            </w14:solidFill>
          </w14:textFill>
        </w:rPr>
        <w:t>|</w:t>
      </w:r>
      <w:r w:rsidRPr="00351901">
        <w:rPr>
          <w:rFonts w:ascii="Arial Narrow" w:hAnsi="Arial Narrow"/>
          <w:iCs/>
          <w:sz w:val="18"/>
          <w:szCs w:val="18"/>
        </w:rPr>
        <w:t xml:space="preserve">). </w:t>
      </w:r>
    </w:p>
    <w:p w14:paraId="01BD0038" w14:textId="0DECE345" w:rsidR="00351901" w:rsidRPr="00351901" w:rsidRDefault="00351901" w:rsidP="00351901">
      <w:pPr>
        <w:rPr>
          <w:rFonts w:ascii="Arial Narrow" w:hAnsi="Arial Narrow"/>
          <w:iCs/>
          <w:sz w:val="18"/>
          <w:szCs w:val="18"/>
        </w:rPr>
      </w:pPr>
      <w:r w:rsidRPr="00351901">
        <w:rPr>
          <w:rFonts w:ascii="Arial Narrow" w:hAnsi="Arial Narrow"/>
          <w:sz w:val="18"/>
          <w:szCs w:val="22"/>
          <w:vertAlign w:val="superscript"/>
        </w:rPr>
        <w:t>b</w:t>
      </w:r>
      <w:r w:rsidRPr="00351901">
        <w:rPr>
          <w:rFonts w:ascii="Arial Narrow" w:hAnsi="Arial Narrow"/>
          <w:iCs/>
          <w:sz w:val="18"/>
          <w:szCs w:val="18"/>
        </w:rPr>
        <w:t xml:space="preserve"> The molnupiravir </w:t>
      </w:r>
      <w:r w:rsidRPr="00351901">
        <w:rPr>
          <w:rFonts w:ascii="Arial Narrow" w:hAnsi="Arial Narrow"/>
          <w:sz w:val="18"/>
          <w:szCs w:val="18"/>
        </w:rPr>
        <w:t>weighted DPMQ in the revised scenario is $</w:t>
      </w:r>
      <w:r w:rsidR="005C2556" w:rsidRPr="005C2556">
        <w:rPr>
          <w:rFonts w:ascii="Arial Narrow" w:hAnsi="Arial Narrow"/>
          <w:sz w:val="18"/>
          <w:szCs w:val="18"/>
        </w:rPr>
        <w:t xml:space="preserve"> </w:t>
      </w:r>
      <w:r w:rsidR="0003145F" w:rsidRPr="0003145F">
        <w:rPr>
          <w:rFonts w:ascii="Arial Narrow" w:hAnsi="Arial Narrow"/>
          <w:color w:val="000000"/>
          <w:spacing w:val="36"/>
          <w:sz w:val="18"/>
          <w:szCs w:val="18"/>
          <w:shd w:val="solid" w:color="000000" w:fill="000000"/>
          <w:fitText w:val="268" w:id="-1031606514"/>
          <w14:textFill>
            <w14:solidFill>
              <w14:srgbClr w14:val="000000">
                <w14:alpha w14:val="100000"/>
              </w14:srgbClr>
            </w14:solidFill>
          </w14:textFill>
        </w:rPr>
        <w:t xml:space="preserve">|  </w:t>
      </w:r>
      <w:r w:rsidR="0003145F" w:rsidRPr="0003145F">
        <w:rPr>
          <w:rFonts w:ascii="Arial Narrow" w:hAnsi="Arial Narrow"/>
          <w:color w:val="000000"/>
          <w:spacing w:val="2"/>
          <w:sz w:val="18"/>
          <w:szCs w:val="18"/>
          <w:shd w:val="solid" w:color="000000" w:fill="000000"/>
          <w:fitText w:val="268" w:id="-1031606514"/>
          <w14:textFill>
            <w14:solidFill>
              <w14:srgbClr w14:val="000000">
                <w14:alpha w14:val="100000"/>
              </w14:srgbClr>
            </w14:solidFill>
          </w14:textFill>
        </w:rPr>
        <w:t>|</w:t>
      </w:r>
      <w:r w:rsidRPr="00351901">
        <w:rPr>
          <w:rFonts w:ascii="Arial Narrow" w:hAnsi="Arial Narrow"/>
          <w:sz w:val="18"/>
          <w:szCs w:val="18"/>
        </w:rPr>
        <w:t xml:space="preserve"> (</w:t>
      </w:r>
      <w:r w:rsidR="005C2556" w:rsidRPr="005C2556">
        <w:rPr>
          <w:rFonts w:ascii="Arial Narrow" w:hAnsi="Arial Narrow"/>
          <w:sz w:val="18"/>
          <w:szCs w:val="18"/>
        </w:rPr>
        <w:t xml:space="preserve"> </w:t>
      </w:r>
      <w:r w:rsidR="0003145F" w:rsidRPr="0003145F">
        <w:rPr>
          <w:rFonts w:ascii="Arial Narrow" w:hAnsi="Arial Narrow"/>
          <w:color w:val="000000"/>
          <w:spacing w:val="36"/>
          <w:sz w:val="18"/>
          <w:szCs w:val="18"/>
          <w:shd w:val="solid" w:color="000000" w:fill="000000"/>
          <w:fitText w:val="268" w:id="-1031606513"/>
          <w14:textFill>
            <w14:solidFill>
              <w14:srgbClr w14:val="000000">
                <w14:alpha w14:val="100000"/>
              </w14:srgbClr>
            </w14:solidFill>
          </w14:textFill>
        </w:rPr>
        <w:t xml:space="preserve">|  </w:t>
      </w:r>
      <w:r w:rsidR="0003145F" w:rsidRPr="0003145F">
        <w:rPr>
          <w:rFonts w:ascii="Arial Narrow" w:hAnsi="Arial Narrow"/>
          <w:color w:val="000000"/>
          <w:spacing w:val="2"/>
          <w:sz w:val="18"/>
          <w:szCs w:val="18"/>
          <w:shd w:val="solid" w:color="000000" w:fill="000000"/>
          <w:fitText w:val="268" w:id="-1031606513"/>
          <w14:textFill>
            <w14:solidFill>
              <w14:srgbClr w14:val="000000">
                <w14:alpha w14:val="100000"/>
              </w14:srgbClr>
            </w14:solidFill>
          </w14:textFill>
        </w:rPr>
        <w:t>|</w:t>
      </w:r>
      <w:r w:rsidRPr="00351901">
        <w:rPr>
          <w:rFonts w:ascii="Arial Narrow" w:hAnsi="Arial Narrow"/>
          <w:sz w:val="18"/>
          <w:szCs w:val="18"/>
        </w:rPr>
        <w:t>% reduction from proposed Tier 1 price DPMQ of $</w:t>
      </w:r>
      <w:r w:rsidR="005C2556" w:rsidRPr="005C2556">
        <w:rPr>
          <w:rFonts w:ascii="Arial Narrow" w:hAnsi="Arial Narrow"/>
          <w:sz w:val="18"/>
          <w:szCs w:val="18"/>
        </w:rPr>
        <w:t xml:space="preserve"> </w:t>
      </w:r>
      <w:r w:rsidR="0003145F" w:rsidRPr="0003145F">
        <w:rPr>
          <w:rFonts w:ascii="Arial Narrow" w:hAnsi="Arial Narrow"/>
          <w:color w:val="000000"/>
          <w:spacing w:val="36"/>
          <w:sz w:val="18"/>
          <w:szCs w:val="18"/>
          <w:shd w:val="solid" w:color="000000" w:fill="000000"/>
          <w:fitText w:val="268" w:id="-1031606512"/>
          <w14:textFill>
            <w14:solidFill>
              <w14:srgbClr w14:val="000000">
                <w14:alpha w14:val="100000"/>
              </w14:srgbClr>
            </w14:solidFill>
          </w14:textFill>
        </w:rPr>
        <w:t xml:space="preserve">|  </w:t>
      </w:r>
      <w:r w:rsidR="0003145F" w:rsidRPr="0003145F">
        <w:rPr>
          <w:rFonts w:ascii="Arial Narrow" w:hAnsi="Arial Narrow"/>
          <w:color w:val="000000"/>
          <w:spacing w:val="2"/>
          <w:sz w:val="18"/>
          <w:szCs w:val="18"/>
          <w:shd w:val="solid" w:color="000000" w:fill="000000"/>
          <w:fitText w:val="268" w:id="-1031606512"/>
          <w14:textFill>
            <w14:solidFill>
              <w14:srgbClr w14:val="000000">
                <w14:alpha w14:val="100000"/>
              </w14:srgbClr>
            </w14:solidFill>
          </w14:textFill>
        </w:rPr>
        <w:t>|</w:t>
      </w:r>
      <w:r w:rsidRPr="00351901">
        <w:rPr>
          <w:rFonts w:ascii="Arial Narrow" w:hAnsi="Arial Narrow"/>
          <w:sz w:val="18"/>
          <w:szCs w:val="18"/>
        </w:rPr>
        <w:t xml:space="preserve"> based on AEMP of $</w:t>
      </w:r>
      <w:r w:rsidR="005C2556" w:rsidRPr="005C2556">
        <w:rPr>
          <w:rFonts w:ascii="Arial Narrow" w:hAnsi="Arial Narrow"/>
          <w:sz w:val="18"/>
          <w:szCs w:val="18"/>
        </w:rPr>
        <w:t xml:space="preserve"> </w:t>
      </w:r>
      <w:r w:rsidR="0003145F" w:rsidRPr="0003145F">
        <w:rPr>
          <w:rFonts w:ascii="Arial Narrow" w:hAnsi="Arial Narrow"/>
          <w:color w:val="000000"/>
          <w:spacing w:val="40"/>
          <w:sz w:val="18"/>
          <w:szCs w:val="18"/>
          <w:shd w:val="solid" w:color="000000" w:fill="000000"/>
          <w:fitText w:val="280" w:id="-1031606528"/>
          <w14:textFill>
            <w14:solidFill>
              <w14:srgbClr w14:val="000000">
                <w14:alpha w14:val="100000"/>
              </w14:srgbClr>
            </w14:solidFill>
          </w14:textFill>
        </w:rPr>
        <w:t xml:space="preserve">|  </w:t>
      </w:r>
      <w:r w:rsidR="0003145F" w:rsidRPr="0003145F">
        <w:rPr>
          <w:rFonts w:ascii="Arial Narrow" w:hAnsi="Arial Narrow"/>
          <w:color w:val="000000"/>
          <w:spacing w:val="2"/>
          <w:sz w:val="18"/>
          <w:szCs w:val="18"/>
          <w:shd w:val="solid" w:color="000000" w:fill="000000"/>
          <w:fitText w:val="280" w:id="-1031606528"/>
          <w14:textFill>
            <w14:solidFill>
              <w14:srgbClr w14:val="000000">
                <w14:alpha w14:val="100000"/>
              </w14:srgbClr>
            </w14:solidFill>
          </w14:textFill>
        </w:rPr>
        <w:t>|</w:t>
      </w:r>
      <w:r w:rsidRPr="00351901">
        <w:rPr>
          <w:rFonts w:ascii="Arial Narrow" w:hAnsi="Arial Narrow"/>
          <w:sz w:val="18"/>
          <w:szCs w:val="18"/>
        </w:rPr>
        <w:t xml:space="preserve"> </w:t>
      </w:r>
      <w:r w:rsidRPr="00F6443F">
        <w:rPr>
          <w:rFonts w:ascii="Arial Narrow" w:hAnsi="Arial Narrow"/>
          <w:sz w:val="18"/>
          <w:szCs w:val="18"/>
        </w:rPr>
        <w:t xml:space="preserve">and </w:t>
      </w:r>
      <w:r w:rsidR="005C2556" w:rsidRPr="005C2556">
        <w:rPr>
          <w:rFonts w:ascii="Arial Narrow" w:hAnsi="Arial Narrow"/>
          <w:sz w:val="18"/>
          <w:szCs w:val="18"/>
        </w:rPr>
        <w:t xml:space="preserve"> </w:t>
      </w:r>
      <w:r w:rsidR="0003145F" w:rsidRPr="0003145F">
        <w:rPr>
          <w:rFonts w:ascii="Arial Narrow" w:hAnsi="Arial Narrow"/>
          <w:color w:val="000000"/>
          <w:spacing w:val="36"/>
          <w:sz w:val="18"/>
          <w:szCs w:val="18"/>
          <w:shd w:val="solid" w:color="000000" w:fill="000000"/>
          <w:fitText w:val="268" w:id="-1031606527"/>
          <w14:textFill>
            <w14:solidFill>
              <w14:srgbClr w14:val="000000">
                <w14:alpha w14:val="100000"/>
              </w14:srgbClr>
            </w14:solidFill>
          </w14:textFill>
        </w:rPr>
        <w:t xml:space="preserve">|  </w:t>
      </w:r>
      <w:r w:rsidR="0003145F" w:rsidRPr="0003145F">
        <w:rPr>
          <w:rFonts w:ascii="Arial Narrow" w:hAnsi="Arial Narrow"/>
          <w:color w:val="000000"/>
          <w:spacing w:val="2"/>
          <w:sz w:val="18"/>
          <w:szCs w:val="18"/>
          <w:shd w:val="solid" w:color="000000" w:fill="000000"/>
          <w:fitText w:val="268" w:id="-1031606527"/>
          <w14:textFill>
            <w14:solidFill>
              <w14:srgbClr w14:val="000000">
                <w14:alpha w14:val="100000"/>
              </w14:srgbClr>
            </w14:solidFill>
          </w14:textFill>
        </w:rPr>
        <w:t>|</w:t>
      </w:r>
      <w:r w:rsidRPr="00F6443F">
        <w:rPr>
          <w:rFonts w:ascii="Arial Narrow" w:hAnsi="Arial Narrow"/>
          <w:sz w:val="18"/>
          <w:szCs w:val="18"/>
        </w:rPr>
        <w:t>%</w:t>
      </w:r>
      <w:r w:rsidRPr="00351901">
        <w:rPr>
          <w:rFonts w:ascii="Arial Narrow" w:hAnsi="Arial Narrow"/>
          <w:sz w:val="18"/>
          <w:szCs w:val="18"/>
        </w:rPr>
        <w:t xml:space="preserve"> reduction from the current DPMQ of $1,102.24). The effective DPMQ for each individual subgroup is shown in </w:t>
      </w:r>
      <w:r w:rsidRPr="00351901">
        <w:rPr>
          <w:rFonts w:ascii="Arial Narrow" w:hAnsi="Arial Narrow"/>
          <w:sz w:val="18"/>
          <w:szCs w:val="18"/>
        </w:rPr>
        <w:fldChar w:fldCharType="begin" w:fldLock="1"/>
      </w:r>
      <w:r w:rsidRPr="00351901">
        <w:rPr>
          <w:rFonts w:ascii="Arial Narrow" w:hAnsi="Arial Narrow"/>
          <w:sz w:val="18"/>
          <w:szCs w:val="18"/>
        </w:rPr>
        <w:instrText xml:space="preserve"> REF _Ref150005603 \h  \* MERGEFORMAT </w:instrText>
      </w:r>
      <w:r w:rsidRPr="00351901">
        <w:rPr>
          <w:rFonts w:ascii="Arial Narrow" w:hAnsi="Arial Narrow"/>
          <w:sz w:val="18"/>
          <w:szCs w:val="18"/>
        </w:rPr>
      </w:r>
      <w:r w:rsidRPr="00351901">
        <w:rPr>
          <w:rFonts w:ascii="Arial Narrow" w:hAnsi="Arial Narrow"/>
          <w:sz w:val="18"/>
          <w:szCs w:val="18"/>
        </w:rPr>
        <w:fldChar w:fldCharType="separate"/>
      </w:r>
      <w:r w:rsidRPr="00351901">
        <w:rPr>
          <w:rFonts w:ascii="Arial Narrow" w:hAnsi="Arial Narrow"/>
          <w:sz w:val="18"/>
          <w:szCs w:val="18"/>
        </w:rPr>
        <w:t>Table 25</w:t>
      </w:r>
      <w:r w:rsidRPr="00351901">
        <w:rPr>
          <w:rFonts w:ascii="Arial Narrow" w:hAnsi="Arial Narrow"/>
          <w:sz w:val="18"/>
          <w:szCs w:val="18"/>
        </w:rPr>
        <w:fldChar w:fldCharType="end"/>
      </w:r>
      <w:r w:rsidRPr="00351901">
        <w:rPr>
          <w:rFonts w:ascii="Arial Narrow" w:hAnsi="Arial Narrow"/>
          <w:sz w:val="18"/>
          <w:szCs w:val="18"/>
        </w:rPr>
        <w:t>.</w:t>
      </w:r>
    </w:p>
    <w:p w14:paraId="734071E0" w14:textId="3774C7D8" w:rsidR="00351901" w:rsidRDefault="00351901" w:rsidP="00AB12BF">
      <w:pPr>
        <w:rPr>
          <w:rFonts w:ascii="Arial Narrow" w:hAnsi="Arial Narrow"/>
          <w:iCs/>
          <w:sz w:val="18"/>
          <w:szCs w:val="18"/>
        </w:rPr>
      </w:pPr>
      <w:r w:rsidRPr="00351901">
        <w:rPr>
          <w:rFonts w:ascii="Arial Narrow" w:hAnsi="Arial Narrow"/>
          <w:sz w:val="18"/>
          <w:szCs w:val="22"/>
          <w:vertAlign w:val="superscript"/>
        </w:rPr>
        <w:t>c</w:t>
      </w:r>
      <w:r w:rsidRPr="00351901">
        <w:rPr>
          <w:rFonts w:ascii="Arial Narrow" w:hAnsi="Arial Narrow"/>
          <w:iCs/>
          <w:sz w:val="18"/>
          <w:szCs w:val="18"/>
        </w:rPr>
        <w:t xml:space="preserve"> The proportions applied in this analysis are 70+= 55%; 50-69 with risk factors =20%; 30+ First Nations with risk factors =16%; 18+ immunocompromised or previously hospitalised for COVID-19 =9%, </w:t>
      </w:r>
      <w:r w:rsidRPr="00351901">
        <w:rPr>
          <w:rFonts w:ascii="Arial Narrow" w:hAnsi="Arial Narrow"/>
          <w:sz w:val="18"/>
          <w:szCs w:val="18"/>
        </w:rPr>
        <w:t xml:space="preserve">shown in </w:t>
      </w:r>
      <w:r w:rsidRPr="00351901">
        <w:rPr>
          <w:rFonts w:ascii="Arial Narrow" w:hAnsi="Arial Narrow"/>
          <w:sz w:val="18"/>
          <w:szCs w:val="18"/>
        </w:rPr>
        <w:fldChar w:fldCharType="begin" w:fldLock="1"/>
      </w:r>
      <w:r w:rsidRPr="00351901">
        <w:rPr>
          <w:rFonts w:ascii="Arial Narrow" w:hAnsi="Arial Narrow"/>
          <w:sz w:val="18"/>
          <w:szCs w:val="18"/>
        </w:rPr>
        <w:instrText xml:space="preserve"> REF _Ref150005603 \h  \* MERGEFORMAT </w:instrText>
      </w:r>
      <w:r w:rsidRPr="00351901">
        <w:rPr>
          <w:rFonts w:ascii="Arial Narrow" w:hAnsi="Arial Narrow"/>
          <w:sz w:val="18"/>
          <w:szCs w:val="18"/>
        </w:rPr>
      </w:r>
      <w:r w:rsidRPr="00351901">
        <w:rPr>
          <w:rFonts w:ascii="Arial Narrow" w:hAnsi="Arial Narrow"/>
          <w:sz w:val="18"/>
          <w:szCs w:val="18"/>
        </w:rPr>
        <w:fldChar w:fldCharType="separate"/>
      </w:r>
      <w:r w:rsidRPr="00351901">
        <w:rPr>
          <w:rFonts w:ascii="Arial Narrow" w:hAnsi="Arial Narrow"/>
          <w:sz w:val="18"/>
          <w:szCs w:val="18"/>
        </w:rPr>
        <w:t>Table 25</w:t>
      </w:r>
      <w:r w:rsidRPr="00351901">
        <w:rPr>
          <w:rFonts w:ascii="Arial Narrow" w:hAnsi="Arial Narrow"/>
          <w:sz w:val="18"/>
          <w:szCs w:val="18"/>
        </w:rPr>
        <w:fldChar w:fldCharType="end"/>
      </w:r>
      <w:r w:rsidRPr="00351901">
        <w:rPr>
          <w:rFonts w:ascii="Arial Narrow" w:hAnsi="Arial Narrow"/>
          <w:iCs/>
          <w:sz w:val="18"/>
          <w:szCs w:val="18"/>
        </w:rPr>
        <w:t>.</w:t>
      </w:r>
    </w:p>
    <w:p w14:paraId="45645FA4" w14:textId="77777777" w:rsidR="00AB12BF" w:rsidRPr="009A6D58" w:rsidRDefault="00AB12BF" w:rsidP="00AB12B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6B5FFEE" w14:textId="77777777" w:rsidR="00AB12BF" w:rsidRPr="009A6D58" w:rsidRDefault="00AB12BF" w:rsidP="00AB12B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B12BF">
        <w:rPr>
          <w:rFonts w:ascii="Arial Narrow" w:hAnsi="Arial Narrow"/>
          <w:i/>
          <w:sz w:val="18"/>
          <w:szCs w:val="18"/>
        </w:rPr>
        <w:t>$35,000 to &lt; $45,000</w:t>
      </w:r>
    </w:p>
    <w:p w14:paraId="7F280FC5" w14:textId="77777777" w:rsidR="00AB12BF" w:rsidRPr="009A6D58" w:rsidRDefault="00AB12BF" w:rsidP="00AB12B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B12BF">
        <w:rPr>
          <w:rFonts w:ascii="Arial Narrow" w:hAnsi="Arial Narrow"/>
          <w:i/>
          <w:sz w:val="18"/>
          <w:szCs w:val="18"/>
        </w:rPr>
        <w:t>$15,000 to &lt; $25,000</w:t>
      </w:r>
    </w:p>
    <w:p w14:paraId="3EF1EF41" w14:textId="77777777" w:rsidR="00AB12BF" w:rsidRDefault="00AB12BF" w:rsidP="00AB12B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B12BF">
        <w:rPr>
          <w:rFonts w:ascii="Arial Narrow" w:hAnsi="Arial Narrow"/>
          <w:i/>
          <w:sz w:val="18"/>
          <w:szCs w:val="18"/>
        </w:rPr>
        <w:t>$25,000 to &lt; $35,000</w:t>
      </w:r>
    </w:p>
    <w:p w14:paraId="62745FA9" w14:textId="77777777" w:rsidR="00AB12BF" w:rsidRDefault="00AB12BF" w:rsidP="00AB12B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B12BF">
        <w:rPr>
          <w:rFonts w:ascii="Arial Narrow" w:hAnsi="Arial Narrow"/>
          <w:i/>
          <w:sz w:val="18"/>
          <w:szCs w:val="18"/>
        </w:rPr>
        <w:t>$55,000 to &lt; $75,000</w:t>
      </w:r>
    </w:p>
    <w:p w14:paraId="16237A3F" w14:textId="126CBCAA" w:rsidR="00AB12BF" w:rsidRPr="00AB12BF" w:rsidRDefault="00AB12BF" w:rsidP="00AB12BF">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AB12BF">
        <w:rPr>
          <w:rFonts w:ascii="Arial Narrow" w:hAnsi="Arial Narrow"/>
          <w:i/>
          <w:sz w:val="18"/>
          <w:szCs w:val="18"/>
        </w:rPr>
        <w:t>$5,000 to &lt; $15,000</w:t>
      </w:r>
    </w:p>
    <w:p w14:paraId="1B601883" w14:textId="1AAC313D" w:rsidR="00940332" w:rsidRPr="00AB12BF" w:rsidRDefault="00940332" w:rsidP="00AB12BF">
      <w:pPr>
        <w:pStyle w:val="3-BodyText"/>
        <w:widowControl w:val="0"/>
        <w:numPr>
          <w:ilvl w:val="1"/>
          <w:numId w:val="1"/>
        </w:numPr>
      </w:pPr>
      <w:bookmarkStart w:id="146" w:name="_Hlk152772802"/>
      <w:r w:rsidRPr="00D16A97">
        <w:rPr>
          <w:iCs/>
        </w:rPr>
        <w:t xml:space="preserve">The revised scenario in </w:t>
      </w:r>
      <w:r w:rsidRPr="00D16A97">
        <w:rPr>
          <w:iCs/>
        </w:rPr>
        <w:fldChar w:fldCharType="begin" w:fldLock="1"/>
      </w:r>
      <w:r w:rsidRPr="00D16A97">
        <w:rPr>
          <w:iCs/>
        </w:rPr>
        <w:instrText xml:space="preserve"> REF _Ref148201429 \h </w:instrText>
      </w:r>
      <w:r w:rsidRPr="00D16A97">
        <w:rPr>
          <w:iCs/>
        </w:rPr>
      </w:r>
      <w:r w:rsidRPr="00D16A97">
        <w:rPr>
          <w:iCs/>
        </w:rPr>
        <w:fldChar w:fldCharType="separate"/>
      </w:r>
      <w:r w:rsidRPr="00D16A97">
        <w:rPr>
          <w:iCs/>
        </w:rPr>
        <w:t>Table 24</w:t>
      </w:r>
      <w:r w:rsidRPr="00D16A97">
        <w:rPr>
          <w:iCs/>
        </w:rPr>
        <w:fldChar w:fldCharType="end"/>
      </w:r>
      <w:r w:rsidRPr="00D16A97">
        <w:rPr>
          <w:iCs/>
        </w:rPr>
        <w:t xml:space="preserve"> corresponds to PBAC advice that the ICER should be no greater than $15,000/QALY in any subgroup (see paragraph </w:t>
      </w:r>
      <w:r w:rsidRPr="00D16A97">
        <w:rPr>
          <w:iCs/>
        </w:rPr>
        <w:fldChar w:fldCharType="begin" w:fldLock="1"/>
      </w:r>
      <w:r w:rsidRPr="00D16A97">
        <w:rPr>
          <w:iCs/>
        </w:rPr>
        <w:instrText xml:space="preserve"> REF _Ref152081168 \r \h </w:instrText>
      </w:r>
      <w:r w:rsidRPr="00D16A97">
        <w:rPr>
          <w:iCs/>
        </w:rPr>
      </w:r>
      <w:r w:rsidRPr="00D16A97">
        <w:rPr>
          <w:iCs/>
        </w:rPr>
        <w:fldChar w:fldCharType="separate"/>
      </w:r>
      <w:r w:rsidR="00872953">
        <w:rPr>
          <w:iCs/>
        </w:rPr>
        <w:t>14.8</w:t>
      </w:r>
      <w:r w:rsidRPr="00D16A97">
        <w:rPr>
          <w:iCs/>
        </w:rPr>
        <w:fldChar w:fldCharType="end"/>
      </w:r>
      <w:r w:rsidRPr="00D16A97">
        <w:rPr>
          <w:iCs/>
        </w:rPr>
        <w:t xml:space="preserve">). The effective DPMQ corresponding to this ICER threshold in each individual subgroup is </w:t>
      </w:r>
      <w:bookmarkStart w:id="147" w:name="_Hlk151671676"/>
      <w:r w:rsidRPr="00D16A97">
        <w:rPr>
          <w:iCs/>
        </w:rPr>
        <w:t>shown in</w:t>
      </w:r>
      <w:bookmarkEnd w:id="147"/>
      <w:r w:rsidRPr="00D16A97">
        <w:rPr>
          <w:iCs/>
        </w:rPr>
        <w:t xml:space="preserve"> </w:t>
      </w:r>
      <w:r w:rsidRPr="00D16A97">
        <w:rPr>
          <w:iCs/>
        </w:rPr>
        <w:fldChar w:fldCharType="begin" w:fldLock="1"/>
      </w:r>
      <w:r w:rsidRPr="00D16A97">
        <w:rPr>
          <w:iCs/>
        </w:rPr>
        <w:instrText xml:space="preserve"> REF _Ref150005603 \h </w:instrText>
      </w:r>
      <w:r w:rsidRPr="00D16A97">
        <w:rPr>
          <w:iCs/>
        </w:rPr>
      </w:r>
      <w:r w:rsidRPr="00D16A97">
        <w:rPr>
          <w:iCs/>
        </w:rPr>
        <w:fldChar w:fldCharType="separate"/>
      </w:r>
      <w:r w:rsidRPr="00D16A97">
        <w:t>Table 25</w:t>
      </w:r>
      <w:r w:rsidRPr="00D16A97">
        <w:rPr>
          <w:iCs/>
        </w:rPr>
        <w:fldChar w:fldCharType="end"/>
      </w:r>
      <w:r w:rsidRPr="00D16A97">
        <w:rPr>
          <w:iCs/>
        </w:rPr>
        <w:t>, as well as the assumed distribution of patients across populations used for calculation of the weighted effective DPMQ.</w:t>
      </w:r>
      <w:r w:rsidRPr="00D16A97">
        <w:t xml:space="preserve"> The PBAC noted the results suggest that a substantial price reduction is required to achieve cost-effectiveness based on plausible inputs. </w:t>
      </w:r>
    </w:p>
    <w:p w14:paraId="509912FC" w14:textId="77777777" w:rsidR="00940332" w:rsidRPr="00D16A97" w:rsidRDefault="00940332" w:rsidP="00940332">
      <w:pPr>
        <w:pStyle w:val="Caption"/>
      </w:pPr>
      <w:bookmarkStart w:id="148" w:name="_Ref150005603"/>
      <w:bookmarkEnd w:id="146"/>
      <w:r w:rsidRPr="00D16A97">
        <w:t xml:space="preserve">Table </w:t>
      </w:r>
      <w:r w:rsidR="00567EAC">
        <w:fldChar w:fldCharType="begin" w:fldLock="1"/>
      </w:r>
      <w:r w:rsidR="00567EAC">
        <w:instrText xml:space="preserve"> SEQ Table \* ARABIC </w:instrText>
      </w:r>
      <w:r w:rsidR="00567EAC">
        <w:fldChar w:fldCharType="separate"/>
      </w:r>
      <w:r w:rsidRPr="00D16A97">
        <w:t>25</w:t>
      </w:r>
      <w:r w:rsidR="00567EAC">
        <w:fldChar w:fldCharType="end"/>
      </w:r>
      <w:bookmarkEnd w:id="148"/>
      <w:r w:rsidRPr="00D16A97">
        <w:t>: Effective DPMQ of molnupiravir required for each individual population to achieve ICER of $15,000/QALY</w:t>
      </w:r>
    </w:p>
    <w:tbl>
      <w:tblPr>
        <w:tblStyle w:val="TableGrid"/>
        <w:tblW w:w="0" w:type="auto"/>
        <w:tblLook w:val="04A0" w:firstRow="1" w:lastRow="0" w:firstColumn="1" w:lastColumn="0" w:noHBand="0" w:noVBand="1"/>
      </w:tblPr>
      <w:tblGrid>
        <w:gridCol w:w="1821"/>
        <w:gridCol w:w="1519"/>
        <w:gridCol w:w="1428"/>
        <w:gridCol w:w="1354"/>
        <w:gridCol w:w="1354"/>
        <w:gridCol w:w="1541"/>
      </w:tblGrid>
      <w:tr w:rsidR="00940332" w:rsidRPr="00D16A97" w14:paraId="5FE63E24" w14:textId="77777777" w:rsidTr="00192D14">
        <w:tc>
          <w:tcPr>
            <w:tcW w:w="1821" w:type="dxa"/>
          </w:tcPr>
          <w:p w14:paraId="1B7A2CA2" w14:textId="77777777" w:rsidR="00940332" w:rsidRPr="00D16A97" w:rsidRDefault="00940332" w:rsidP="00192D14">
            <w:pPr>
              <w:rPr>
                <w:rFonts w:ascii="Arial Narrow" w:hAnsi="Arial Narrow"/>
                <w:b/>
                <w:bCs/>
                <w:sz w:val="20"/>
                <w:szCs w:val="20"/>
              </w:rPr>
            </w:pPr>
          </w:p>
        </w:tc>
        <w:tc>
          <w:tcPr>
            <w:tcW w:w="1519" w:type="dxa"/>
          </w:tcPr>
          <w:p w14:paraId="390F0996" w14:textId="77777777" w:rsidR="00940332" w:rsidRPr="00D16A97" w:rsidRDefault="00940332" w:rsidP="00192D14">
            <w:pPr>
              <w:jc w:val="center"/>
              <w:rPr>
                <w:rFonts w:ascii="Arial Narrow" w:hAnsi="Arial Narrow"/>
                <w:b/>
                <w:bCs/>
                <w:sz w:val="20"/>
                <w:szCs w:val="20"/>
              </w:rPr>
            </w:pPr>
            <w:r w:rsidRPr="00D16A97">
              <w:rPr>
                <w:rFonts w:ascii="Arial Narrow" w:hAnsi="Arial Narrow"/>
                <w:b/>
                <w:bCs/>
                <w:sz w:val="20"/>
                <w:szCs w:val="20"/>
              </w:rPr>
              <w:t>Weighted effective DPMQ</w:t>
            </w:r>
          </w:p>
        </w:tc>
        <w:tc>
          <w:tcPr>
            <w:tcW w:w="1428" w:type="dxa"/>
          </w:tcPr>
          <w:p w14:paraId="10EF84F4" w14:textId="77777777" w:rsidR="00940332" w:rsidRPr="00D16A97" w:rsidRDefault="00940332" w:rsidP="00192D14">
            <w:pPr>
              <w:jc w:val="center"/>
              <w:rPr>
                <w:rFonts w:ascii="Arial Narrow" w:hAnsi="Arial Narrow"/>
                <w:b/>
                <w:bCs/>
                <w:sz w:val="20"/>
                <w:szCs w:val="20"/>
              </w:rPr>
            </w:pPr>
            <w:r w:rsidRPr="00D16A97">
              <w:rPr>
                <w:rFonts w:ascii="Arial Narrow" w:hAnsi="Arial Narrow"/>
                <w:b/>
                <w:bCs/>
                <w:sz w:val="20"/>
                <w:szCs w:val="20"/>
              </w:rPr>
              <w:t>Effective DPMQ in</w:t>
            </w:r>
            <w:r w:rsidRPr="00D16A97">
              <w:rPr>
                <w:rFonts w:ascii="Arial Narrow" w:hAnsi="Arial Narrow"/>
                <w:b/>
                <w:bCs/>
                <w:sz w:val="20"/>
                <w:szCs w:val="20"/>
              </w:rPr>
              <w:br/>
              <w:t>70+ population</w:t>
            </w:r>
          </w:p>
        </w:tc>
        <w:tc>
          <w:tcPr>
            <w:tcW w:w="1354" w:type="dxa"/>
          </w:tcPr>
          <w:p w14:paraId="4FCC46BA" w14:textId="77777777" w:rsidR="00940332" w:rsidRPr="00D16A97" w:rsidRDefault="00940332" w:rsidP="00192D14">
            <w:pPr>
              <w:jc w:val="center"/>
              <w:rPr>
                <w:rFonts w:ascii="Arial Narrow" w:hAnsi="Arial Narrow"/>
                <w:b/>
                <w:bCs/>
                <w:sz w:val="20"/>
                <w:szCs w:val="20"/>
              </w:rPr>
            </w:pPr>
            <w:r w:rsidRPr="00D16A97">
              <w:rPr>
                <w:rFonts w:ascii="Arial Narrow" w:hAnsi="Arial Narrow"/>
                <w:b/>
                <w:bCs/>
                <w:sz w:val="20"/>
                <w:szCs w:val="20"/>
              </w:rPr>
              <w:t>Effective DPMQ in</w:t>
            </w:r>
          </w:p>
          <w:p w14:paraId="6AC22F59" w14:textId="77777777" w:rsidR="00940332" w:rsidRPr="00D16A97" w:rsidRDefault="00940332" w:rsidP="00192D14">
            <w:pPr>
              <w:jc w:val="center"/>
              <w:rPr>
                <w:rFonts w:ascii="Arial Narrow" w:hAnsi="Arial Narrow"/>
                <w:b/>
                <w:bCs/>
                <w:sz w:val="20"/>
                <w:szCs w:val="20"/>
              </w:rPr>
            </w:pPr>
            <w:r w:rsidRPr="00D16A97">
              <w:rPr>
                <w:rFonts w:ascii="Arial Narrow" w:hAnsi="Arial Narrow"/>
                <w:b/>
                <w:bCs/>
                <w:sz w:val="20"/>
                <w:szCs w:val="20"/>
              </w:rPr>
              <w:t xml:space="preserve">50-69 +RF </w:t>
            </w:r>
          </w:p>
        </w:tc>
        <w:tc>
          <w:tcPr>
            <w:tcW w:w="1354" w:type="dxa"/>
          </w:tcPr>
          <w:p w14:paraId="369F6B1C" w14:textId="77777777" w:rsidR="00940332" w:rsidRPr="00D16A97" w:rsidRDefault="00940332" w:rsidP="00192D14">
            <w:pPr>
              <w:jc w:val="center"/>
              <w:rPr>
                <w:rFonts w:ascii="Arial Narrow" w:hAnsi="Arial Narrow"/>
                <w:b/>
                <w:bCs/>
                <w:sz w:val="20"/>
                <w:szCs w:val="20"/>
              </w:rPr>
            </w:pPr>
            <w:r w:rsidRPr="00D16A97">
              <w:rPr>
                <w:rFonts w:ascii="Arial Narrow" w:hAnsi="Arial Narrow"/>
                <w:b/>
                <w:bCs/>
                <w:sz w:val="20"/>
                <w:szCs w:val="20"/>
              </w:rPr>
              <w:t>Effective DPMQ in</w:t>
            </w:r>
            <w:r w:rsidRPr="00D16A97">
              <w:rPr>
                <w:rFonts w:ascii="Arial Narrow" w:hAnsi="Arial Narrow"/>
                <w:b/>
                <w:bCs/>
                <w:sz w:val="20"/>
                <w:szCs w:val="20"/>
              </w:rPr>
              <w:br/>
              <w:t>First Nations</w:t>
            </w:r>
          </w:p>
        </w:tc>
        <w:tc>
          <w:tcPr>
            <w:tcW w:w="1541" w:type="dxa"/>
          </w:tcPr>
          <w:p w14:paraId="1CDCDBBA" w14:textId="77777777" w:rsidR="00940332" w:rsidRPr="00D16A97" w:rsidRDefault="00940332" w:rsidP="00192D14">
            <w:pPr>
              <w:jc w:val="center"/>
              <w:rPr>
                <w:rFonts w:ascii="Arial Narrow" w:hAnsi="Arial Narrow"/>
                <w:b/>
                <w:bCs/>
                <w:sz w:val="20"/>
                <w:szCs w:val="20"/>
              </w:rPr>
            </w:pPr>
            <w:r w:rsidRPr="00D16A97">
              <w:rPr>
                <w:rFonts w:ascii="Arial Narrow" w:hAnsi="Arial Narrow"/>
                <w:b/>
                <w:bCs/>
                <w:sz w:val="20"/>
                <w:szCs w:val="20"/>
              </w:rPr>
              <w:t>Effective DPMQ in 18+ immune compromised</w:t>
            </w:r>
          </w:p>
        </w:tc>
      </w:tr>
      <w:tr w:rsidR="00940332" w:rsidRPr="00D16A97" w14:paraId="7ED5CE55" w14:textId="77777777" w:rsidTr="00192D14">
        <w:tc>
          <w:tcPr>
            <w:tcW w:w="1821" w:type="dxa"/>
          </w:tcPr>
          <w:p w14:paraId="1EEAE789" w14:textId="77777777" w:rsidR="00940332" w:rsidRPr="00D16A97" w:rsidRDefault="00940332" w:rsidP="00192D14">
            <w:pPr>
              <w:rPr>
                <w:rFonts w:ascii="Arial Narrow" w:hAnsi="Arial Narrow"/>
                <w:sz w:val="20"/>
                <w:szCs w:val="20"/>
              </w:rPr>
            </w:pPr>
            <w:r w:rsidRPr="00D16A97">
              <w:rPr>
                <w:rFonts w:ascii="Arial Narrow" w:hAnsi="Arial Narrow"/>
                <w:sz w:val="20"/>
                <w:szCs w:val="20"/>
              </w:rPr>
              <w:t>Proportions</w:t>
            </w:r>
            <w:r w:rsidRPr="00D16A97">
              <w:rPr>
                <w:rFonts w:ascii="Arial Narrow" w:hAnsi="Arial Narrow"/>
                <w:sz w:val="20"/>
                <w:szCs w:val="20"/>
                <w:vertAlign w:val="superscript"/>
              </w:rPr>
              <w:t>a</w:t>
            </w:r>
          </w:p>
        </w:tc>
        <w:tc>
          <w:tcPr>
            <w:tcW w:w="1519" w:type="dxa"/>
          </w:tcPr>
          <w:p w14:paraId="34C1414C"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n/a</w:t>
            </w:r>
          </w:p>
        </w:tc>
        <w:tc>
          <w:tcPr>
            <w:tcW w:w="1428" w:type="dxa"/>
          </w:tcPr>
          <w:p w14:paraId="74F2C1DE"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55.1%</w:t>
            </w:r>
          </w:p>
        </w:tc>
        <w:tc>
          <w:tcPr>
            <w:tcW w:w="1354" w:type="dxa"/>
          </w:tcPr>
          <w:p w14:paraId="200469DF"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19.6%</w:t>
            </w:r>
          </w:p>
        </w:tc>
        <w:tc>
          <w:tcPr>
            <w:tcW w:w="1354" w:type="dxa"/>
          </w:tcPr>
          <w:p w14:paraId="645E4C2D"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16.4%</w:t>
            </w:r>
          </w:p>
        </w:tc>
        <w:tc>
          <w:tcPr>
            <w:tcW w:w="1541" w:type="dxa"/>
          </w:tcPr>
          <w:p w14:paraId="109D5515" w14:textId="77777777" w:rsidR="00940332" w:rsidRPr="00D16A97" w:rsidRDefault="00940332" w:rsidP="00192D14">
            <w:pPr>
              <w:jc w:val="center"/>
              <w:rPr>
                <w:rFonts w:ascii="Arial Narrow" w:hAnsi="Arial Narrow"/>
                <w:sz w:val="20"/>
                <w:szCs w:val="20"/>
              </w:rPr>
            </w:pPr>
            <w:r w:rsidRPr="00D16A97">
              <w:rPr>
                <w:rFonts w:ascii="Arial Narrow" w:hAnsi="Arial Narrow"/>
                <w:sz w:val="20"/>
                <w:szCs w:val="20"/>
              </w:rPr>
              <w:t>8.9%</w:t>
            </w:r>
          </w:p>
        </w:tc>
      </w:tr>
      <w:tr w:rsidR="00940332" w:rsidRPr="00D16A97" w14:paraId="241CDE7A" w14:textId="77777777" w:rsidTr="00192D14">
        <w:tc>
          <w:tcPr>
            <w:tcW w:w="1821" w:type="dxa"/>
          </w:tcPr>
          <w:p w14:paraId="6B598C8F" w14:textId="733D4B26" w:rsidR="00940332" w:rsidRPr="00D16A97" w:rsidRDefault="00940332" w:rsidP="00192D14">
            <w:pPr>
              <w:rPr>
                <w:rFonts w:ascii="Arial Narrow" w:hAnsi="Arial Narrow"/>
                <w:sz w:val="20"/>
                <w:szCs w:val="20"/>
              </w:rPr>
            </w:pPr>
            <w:r w:rsidRPr="00D16A97">
              <w:rPr>
                <w:rFonts w:ascii="Arial Narrow" w:hAnsi="Arial Narrow"/>
                <w:sz w:val="20"/>
                <w:szCs w:val="20"/>
              </w:rPr>
              <w:t>Effective DPMQ</w:t>
            </w:r>
            <w:r w:rsidR="00457EB6">
              <w:rPr>
                <w:rFonts w:ascii="Arial Narrow" w:hAnsi="Arial Narrow"/>
                <w:sz w:val="20"/>
                <w:szCs w:val="20"/>
              </w:rPr>
              <w:t xml:space="preserve"> ($)</w:t>
            </w:r>
          </w:p>
        </w:tc>
        <w:tc>
          <w:tcPr>
            <w:tcW w:w="1519" w:type="dxa"/>
          </w:tcPr>
          <w:p w14:paraId="6572498D" w14:textId="5D84E744" w:rsidR="00940332" w:rsidRPr="00AB12BF"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28" w:type="dxa"/>
          </w:tcPr>
          <w:p w14:paraId="6C7C8CF2" w14:textId="45C176C7" w:rsidR="00940332" w:rsidRPr="00AB12BF"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54" w:type="dxa"/>
          </w:tcPr>
          <w:p w14:paraId="0138213F" w14:textId="1472FC57" w:rsidR="00940332" w:rsidRPr="00AB12BF" w:rsidRDefault="005C2556" w:rsidP="00192D14">
            <w:pPr>
              <w:jc w:val="center"/>
              <w:rPr>
                <w:rFonts w:ascii="Arial Narrow" w:hAnsi="Arial Narrow"/>
                <w:b/>
                <w:bCs/>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354" w:type="dxa"/>
          </w:tcPr>
          <w:p w14:paraId="61600EC7" w14:textId="62368BF1" w:rsidR="00940332" w:rsidRPr="00AB12BF"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541" w:type="dxa"/>
          </w:tcPr>
          <w:p w14:paraId="3D23DE88" w14:textId="52CAE178" w:rsidR="00940332" w:rsidRPr="00AB12BF"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5BA09C62" w14:textId="5BBD1C05" w:rsidR="00940332" w:rsidRPr="00AB12BF" w:rsidRDefault="00940332" w:rsidP="00AB12BF">
      <w:pPr>
        <w:spacing w:after="120"/>
        <w:rPr>
          <w:rFonts w:ascii="Arial Narrow" w:hAnsi="Arial Narrow"/>
          <w:iCs/>
          <w:sz w:val="18"/>
          <w:szCs w:val="18"/>
        </w:rPr>
      </w:pPr>
      <w:r w:rsidRPr="00AB12BF">
        <w:rPr>
          <w:rFonts w:ascii="Arial Narrow" w:hAnsi="Arial Narrow"/>
          <w:iCs/>
          <w:sz w:val="18"/>
          <w:szCs w:val="18"/>
        </w:rPr>
        <w:t>a. As observed in prescribing of oral antivirals the 6 months ending 24 Sep 2023, shown rounded to one decimal place.</w:t>
      </w:r>
      <w:bookmarkEnd w:id="145"/>
    </w:p>
    <w:p w14:paraId="3B9C4255" w14:textId="52AA0593" w:rsidR="00940332" w:rsidRPr="00D16A97" w:rsidRDefault="00940332" w:rsidP="00940332">
      <w:pPr>
        <w:pStyle w:val="3-BodyText"/>
        <w:numPr>
          <w:ilvl w:val="1"/>
          <w:numId w:val="1"/>
        </w:numPr>
      </w:pPr>
      <w:bookmarkStart w:id="149" w:name="_Ref152084864"/>
      <w:bookmarkStart w:id="150" w:name="_Hlk151032149"/>
      <w:bookmarkStart w:id="151" w:name="_Hlk150953735"/>
      <w:r w:rsidRPr="00D16A97">
        <w:lastRenderedPageBreak/>
        <w:t>The PBAC noted the limitations of the evidence base available to inform the treatment effect assumed to be associated with molnupiravir in the economic model (</w:t>
      </w:r>
      <w:r w:rsidRPr="00D16A97">
        <w:fldChar w:fldCharType="begin" w:fldLock="1"/>
      </w:r>
      <w:r w:rsidRPr="00D16A97">
        <w:instrText xml:space="preserve"> REF _Ref104804098 \h  \* MERGEFORMAT </w:instrText>
      </w:r>
      <w:r w:rsidRPr="00D16A97">
        <w:fldChar w:fldCharType="separate"/>
      </w:r>
      <w:r w:rsidRPr="00D16A97">
        <w:t>Table 6</w:t>
      </w:r>
      <w:r w:rsidRPr="00D16A97">
        <w:fldChar w:fldCharType="end"/>
      </w:r>
      <w:r w:rsidRPr="00D16A97">
        <w:t>), and uncertainties associated with estimation of future benefits of treatment which could vary according to future population characteristics, such as vaccination rate, and based on disease characteristics, such as virulence of SARS-CoV-2 variants.</w:t>
      </w:r>
      <w:bookmarkEnd w:id="149"/>
      <w:r w:rsidRPr="00D16A97">
        <w:t xml:space="preserve"> </w:t>
      </w:r>
    </w:p>
    <w:bookmarkEnd w:id="150"/>
    <w:bookmarkEnd w:id="151"/>
    <w:p w14:paraId="74A9827B" w14:textId="77777777" w:rsidR="00940332" w:rsidRPr="00D16A97" w:rsidRDefault="00940332" w:rsidP="00940332">
      <w:pPr>
        <w:pStyle w:val="3-BodyText"/>
        <w:numPr>
          <w:ilvl w:val="1"/>
          <w:numId w:val="1"/>
        </w:numPr>
      </w:pPr>
      <w:r w:rsidRPr="00D16A97">
        <w:t xml:space="preserve">A multivariate sensitivity analysis (MSA) was </w:t>
      </w:r>
      <w:proofErr w:type="gramStart"/>
      <w:r w:rsidRPr="00D16A97">
        <w:t>conducted</w:t>
      </w:r>
      <w:proofErr w:type="gramEnd"/>
      <w:r w:rsidRPr="00D16A97">
        <w:t xml:space="preserve"> </w:t>
      </w:r>
      <w:r w:rsidRPr="00D16A97">
        <w:rPr>
          <w:iCs/>
        </w:rPr>
        <w:t xml:space="preserve">and the results are presented in </w:t>
      </w:r>
      <w:r w:rsidRPr="00D16A97">
        <w:rPr>
          <w:iCs/>
        </w:rPr>
        <w:fldChar w:fldCharType="begin" w:fldLock="1"/>
      </w:r>
      <w:r w:rsidRPr="00D16A97">
        <w:rPr>
          <w:iCs/>
        </w:rPr>
        <w:instrText xml:space="preserve"> REF _Ref151028140 \h </w:instrText>
      </w:r>
      <w:r w:rsidRPr="00D16A97">
        <w:rPr>
          <w:iCs/>
        </w:rPr>
      </w:r>
      <w:r w:rsidRPr="00D16A97">
        <w:rPr>
          <w:iCs/>
        </w:rPr>
        <w:fldChar w:fldCharType="separate"/>
      </w:r>
      <w:r w:rsidRPr="00D16A97">
        <w:rPr>
          <w:iCs/>
        </w:rPr>
        <w:t>Table 26</w:t>
      </w:r>
      <w:r w:rsidRPr="00D16A97">
        <w:rPr>
          <w:iCs/>
        </w:rPr>
        <w:fldChar w:fldCharType="end"/>
      </w:r>
      <w:r w:rsidRPr="00D16A97">
        <w:rPr>
          <w:iCs/>
        </w:rPr>
        <w:t xml:space="preserve"> to explore these uncertainties. </w:t>
      </w:r>
      <w:r w:rsidRPr="00D16A97">
        <w:t xml:space="preserve">This analysis applies assumptions that are more favourable to the intervention than was applied in the evaluation common model shown in </w:t>
      </w:r>
      <w:r w:rsidRPr="00D16A97">
        <w:fldChar w:fldCharType="begin" w:fldLock="1"/>
      </w:r>
      <w:r w:rsidRPr="00D16A97">
        <w:instrText xml:space="preserve"> REF _Ref148201874 \h </w:instrText>
      </w:r>
      <w:r w:rsidRPr="00D16A97">
        <w:fldChar w:fldCharType="separate"/>
      </w:r>
      <w:r w:rsidRPr="00D16A97">
        <w:rPr>
          <w:iCs/>
        </w:rPr>
        <w:t>Table 23</w:t>
      </w:r>
      <w:r w:rsidRPr="00D16A97">
        <w:fldChar w:fldCharType="end"/>
      </w:r>
      <w:r w:rsidRPr="00D16A97">
        <w:t>, as follows:</w:t>
      </w:r>
    </w:p>
    <w:p w14:paraId="25FF8D17" w14:textId="77777777" w:rsidR="00940332" w:rsidRPr="00D16A97" w:rsidRDefault="00940332" w:rsidP="000B527B">
      <w:pPr>
        <w:pStyle w:val="ListParagraph"/>
        <w:numPr>
          <w:ilvl w:val="0"/>
          <w:numId w:val="35"/>
        </w:numPr>
        <w:spacing w:line="259" w:lineRule="auto"/>
        <w:ind w:left="1418" w:hanging="567"/>
      </w:pPr>
      <w:r w:rsidRPr="00D16A97">
        <w:t xml:space="preserve">Odds ratio (OR) is the result obtained by meta-analysis of results from the original high-risk trial and from the high-risk subgroups of the more contemporary trials i.e., for molnupiravir, OR = 0.703 (see </w:t>
      </w:r>
      <w:r w:rsidRPr="00D16A97">
        <w:fldChar w:fldCharType="begin" w:fldLock="1"/>
      </w:r>
      <w:r w:rsidRPr="00D16A97">
        <w:instrText xml:space="preserve"> REF _Ref150873540 \h  \* MERGEFORMAT </w:instrText>
      </w:r>
      <w:r w:rsidRPr="00D16A97">
        <w:fldChar w:fldCharType="separate"/>
      </w:r>
      <w:r w:rsidRPr="00D16A97">
        <w:t>Figure 8</w:t>
      </w:r>
      <w:r w:rsidRPr="00D16A97">
        <w:fldChar w:fldCharType="end"/>
      </w:r>
      <w:r w:rsidRPr="00D16A97">
        <w:t>).</w:t>
      </w:r>
    </w:p>
    <w:p w14:paraId="57D46E1E" w14:textId="77777777" w:rsidR="00940332" w:rsidRPr="00D16A97" w:rsidRDefault="00940332" w:rsidP="00940332">
      <w:pPr>
        <w:pStyle w:val="ListParagraph"/>
        <w:numPr>
          <w:ilvl w:val="0"/>
          <w:numId w:val="35"/>
        </w:numPr>
        <w:spacing w:after="160" w:line="259" w:lineRule="auto"/>
        <w:ind w:left="1418" w:hanging="567"/>
        <w:contextualSpacing/>
      </w:pPr>
      <w:r w:rsidRPr="00D16A97">
        <w:t>Baseline risks of death are increased by 50% compared to those applied in the base common evaluation model and are thus 1.5%, 0.5%, 1.0%, and 1.5% for the 70+, 50-69 with two risk factors, First Nations with risk factors, and 18+ immunocompromised or previously hospitalised for COVID-19 populations, respectively.</w:t>
      </w:r>
    </w:p>
    <w:p w14:paraId="5F9DA4CE" w14:textId="6E3025A1" w:rsidR="00940332" w:rsidRPr="00D16A97" w:rsidRDefault="00940332" w:rsidP="002D7322">
      <w:pPr>
        <w:pStyle w:val="3-BodyText"/>
        <w:numPr>
          <w:ilvl w:val="1"/>
          <w:numId w:val="1"/>
        </w:numPr>
      </w:pPr>
      <w:r w:rsidRPr="000B527B">
        <w:rPr>
          <w:iCs/>
        </w:rPr>
        <w:t xml:space="preserve">The PBAC’s advice in relation to the MSA is provided in paragraph </w:t>
      </w:r>
      <w:r w:rsidRPr="000B527B">
        <w:rPr>
          <w:iCs/>
        </w:rPr>
        <w:fldChar w:fldCharType="begin" w:fldLock="1"/>
      </w:r>
      <w:r w:rsidRPr="000B527B">
        <w:rPr>
          <w:iCs/>
        </w:rPr>
        <w:instrText xml:space="preserve"> REF _Ref152779058 \r \h </w:instrText>
      </w:r>
      <w:r w:rsidRPr="000B527B">
        <w:rPr>
          <w:iCs/>
        </w:rPr>
      </w:r>
      <w:r w:rsidRPr="000B527B">
        <w:rPr>
          <w:iCs/>
        </w:rPr>
        <w:fldChar w:fldCharType="separate"/>
      </w:r>
      <w:r w:rsidR="00872953" w:rsidRPr="000B527B">
        <w:rPr>
          <w:iCs/>
        </w:rPr>
        <w:t>14.12</w:t>
      </w:r>
      <w:r w:rsidRPr="000B527B">
        <w:rPr>
          <w:iCs/>
        </w:rPr>
        <w:fldChar w:fldCharType="end"/>
      </w:r>
      <w:r w:rsidRPr="000B527B">
        <w:rPr>
          <w:iCs/>
        </w:rPr>
        <w:t>.</w:t>
      </w:r>
    </w:p>
    <w:p w14:paraId="3DC86720" w14:textId="77777777" w:rsidR="00940332" w:rsidRPr="00D16A97" w:rsidRDefault="00940332" w:rsidP="000B527B">
      <w:pPr>
        <w:pStyle w:val="Caption"/>
        <w:rPr>
          <w:iCs/>
        </w:rPr>
      </w:pPr>
      <w:bookmarkStart w:id="152" w:name="_Ref151028140"/>
      <w:r w:rsidRPr="00D16A97">
        <w:rPr>
          <w:iCs/>
        </w:rPr>
        <w:lastRenderedPageBreak/>
        <w:t xml:space="preserve">Table </w:t>
      </w:r>
      <w:r w:rsidRPr="00D16A97">
        <w:rPr>
          <w:iCs/>
        </w:rPr>
        <w:fldChar w:fldCharType="begin" w:fldLock="1"/>
      </w:r>
      <w:r w:rsidRPr="00D16A97">
        <w:rPr>
          <w:iCs/>
        </w:rPr>
        <w:instrText xml:space="preserve"> SEQ Table \* ARABIC </w:instrText>
      </w:r>
      <w:r w:rsidRPr="00D16A97">
        <w:rPr>
          <w:iCs/>
        </w:rPr>
        <w:fldChar w:fldCharType="separate"/>
      </w:r>
      <w:r w:rsidRPr="00D16A97">
        <w:rPr>
          <w:iCs/>
        </w:rPr>
        <w:t>26</w:t>
      </w:r>
      <w:r w:rsidRPr="00D16A97">
        <w:rPr>
          <w:iCs/>
        </w:rPr>
        <w:fldChar w:fldCharType="end"/>
      </w:r>
      <w:bookmarkEnd w:id="152"/>
      <w:r w:rsidRPr="00D16A97">
        <w:rPr>
          <w:iCs/>
        </w:rPr>
        <w:t>: Results of the alternative economic evaluation – molnupiravir (</w:t>
      </w:r>
      <w:r w:rsidRPr="00D16A97">
        <w:t>multivariate sensitivity analysis</w:t>
      </w:r>
      <w:r w:rsidRPr="00D16A97">
        <w:rPr>
          <w:iC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844"/>
        <w:gridCol w:w="1844"/>
        <w:gridCol w:w="1844"/>
        <w:gridCol w:w="1841"/>
      </w:tblGrid>
      <w:tr w:rsidR="00940332" w:rsidRPr="00D16A97" w14:paraId="47282C53" w14:textId="77777777" w:rsidTr="00192D14">
        <w:trPr>
          <w:cantSplit/>
          <w:tblHeader/>
        </w:trPr>
        <w:tc>
          <w:tcPr>
            <w:tcW w:w="934" w:type="pct"/>
            <w:shd w:val="clear" w:color="auto" w:fill="auto"/>
          </w:tcPr>
          <w:p w14:paraId="4C290CDE" w14:textId="77777777" w:rsidR="00940332" w:rsidRPr="00D16A97" w:rsidRDefault="00940332" w:rsidP="000B527B">
            <w:pPr>
              <w:pStyle w:val="Tabletext"/>
              <w:keepNext/>
              <w:keepLines/>
              <w:jc w:val="center"/>
              <w:rPr>
                <w:b/>
                <w:bCs/>
                <w:i/>
                <w:iCs/>
                <w:szCs w:val="20"/>
              </w:rPr>
            </w:pPr>
          </w:p>
        </w:tc>
        <w:tc>
          <w:tcPr>
            <w:tcW w:w="1017" w:type="pct"/>
            <w:shd w:val="clear" w:color="auto" w:fill="auto"/>
          </w:tcPr>
          <w:p w14:paraId="5DDF7D1C" w14:textId="77777777" w:rsidR="00940332" w:rsidRPr="00D16A97" w:rsidRDefault="00940332" w:rsidP="000B527B">
            <w:pPr>
              <w:pStyle w:val="Tabletext"/>
              <w:keepNext/>
              <w:keepLines/>
              <w:jc w:val="center"/>
              <w:rPr>
                <w:b/>
                <w:bCs/>
                <w:iCs/>
                <w:szCs w:val="20"/>
              </w:rPr>
            </w:pPr>
            <w:r w:rsidRPr="00D16A97">
              <w:rPr>
                <w:b/>
                <w:bCs/>
                <w:iCs/>
                <w:szCs w:val="20"/>
              </w:rPr>
              <w:t>Molnupiravir</w:t>
            </w:r>
          </w:p>
        </w:tc>
        <w:tc>
          <w:tcPr>
            <w:tcW w:w="1017" w:type="pct"/>
            <w:shd w:val="clear" w:color="auto" w:fill="auto"/>
          </w:tcPr>
          <w:p w14:paraId="61CF7A8E" w14:textId="77777777" w:rsidR="00940332" w:rsidRPr="00D16A97" w:rsidRDefault="00940332" w:rsidP="000B527B">
            <w:pPr>
              <w:pStyle w:val="Tabletext"/>
              <w:keepNext/>
              <w:keepLines/>
              <w:jc w:val="center"/>
              <w:rPr>
                <w:b/>
                <w:bCs/>
                <w:i/>
                <w:iCs/>
                <w:szCs w:val="20"/>
                <w:highlight w:val="yellow"/>
              </w:rPr>
            </w:pPr>
            <w:r w:rsidRPr="00D16A97">
              <w:rPr>
                <w:b/>
                <w:bCs/>
                <w:iCs/>
                <w:szCs w:val="20"/>
              </w:rPr>
              <w:t>Placebo</w:t>
            </w:r>
          </w:p>
        </w:tc>
        <w:tc>
          <w:tcPr>
            <w:tcW w:w="1017" w:type="pct"/>
            <w:shd w:val="clear" w:color="auto" w:fill="auto"/>
          </w:tcPr>
          <w:p w14:paraId="6F9D7C30" w14:textId="77777777" w:rsidR="00940332" w:rsidRPr="00D16A97" w:rsidRDefault="00940332" w:rsidP="000B527B">
            <w:pPr>
              <w:pStyle w:val="Tabletext"/>
              <w:keepNext/>
              <w:keepLines/>
              <w:jc w:val="center"/>
              <w:rPr>
                <w:b/>
                <w:bCs/>
                <w:i/>
                <w:iCs/>
                <w:szCs w:val="20"/>
                <w:highlight w:val="yellow"/>
              </w:rPr>
            </w:pPr>
            <w:r w:rsidRPr="00D16A97">
              <w:rPr>
                <w:b/>
                <w:bCs/>
                <w:iCs/>
                <w:szCs w:val="20"/>
              </w:rPr>
              <w:t>Increment</w:t>
            </w:r>
          </w:p>
        </w:tc>
        <w:tc>
          <w:tcPr>
            <w:tcW w:w="1015" w:type="pct"/>
            <w:shd w:val="clear" w:color="auto" w:fill="auto"/>
          </w:tcPr>
          <w:p w14:paraId="07B23F24" w14:textId="77777777" w:rsidR="00940332" w:rsidRPr="00D16A97" w:rsidRDefault="00940332" w:rsidP="000B527B">
            <w:pPr>
              <w:pStyle w:val="Tabletext"/>
              <w:keepNext/>
              <w:keepLines/>
              <w:jc w:val="center"/>
              <w:rPr>
                <w:b/>
                <w:bCs/>
                <w:iCs/>
                <w:szCs w:val="20"/>
              </w:rPr>
            </w:pPr>
            <w:r w:rsidRPr="00D16A97">
              <w:rPr>
                <w:b/>
                <w:bCs/>
                <w:iCs/>
                <w:szCs w:val="20"/>
              </w:rPr>
              <w:t>ICER</w:t>
            </w:r>
          </w:p>
          <w:p w14:paraId="5C2D0BBD" w14:textId="77777777" w:rsidR="00940332" w:rsidRPr="00D16A97" w:rsidRDefault="00940332" w:rsidP="000B527B">
            <w:pPr>
              <w:pStyle w:val="Tabletext"/>
              <w:keepNext/>
              <w:keepLines/>
              <w:jc w:val="center"/>
              <w:rPr>
                <w:b/>
                <w:bCs/>
                <w:iCs/>
                <w:szCs w:val="20"/>
              </w:rPr>
            </w:pPr>
            <w:r w:rsidRPr="00D16A97">
              <w:rPr>
                <w:b/>
                <w:bCs/>
                <w:iCs/>
                <w:szCs w:val="20"/>
              </w:rPr>
              <w:t>per QALY</w:t>
            </w:r>
          </w:p>
        </w:tc>
      </w:tr>
      <w:tr w:rsidR="00940332" w:rsidRPr="00D16A97" w14:paraId="0E02C12D" w14:textId="77777777" w:rsidTr="00192D14">
        <w:trPr>
          <w:cantSplit/>
          <w:tblHeader/>
        </w:trPr>
        <w:tc>
          <w:tcPr>
            <w:tcW w:w="5000" w:type="pct"/>
            <w:gridSpan w:val="5"/>
            <w:shd w:val="clear" w:color="auto" w:fill="auto"/>
            <w:vAlign w:val="center"/>
          </w:tcPr>
          <w:p w14:paraId="6B393DBF" w14:textId="77777777" w:rsidR="00940332" w:rsidRPr="00D16A97" w:rsidRDefault="00940332" w:rsidP="000B527B">
            <w:pPr>
              <w:pStyle w:val="Tabletext"/>
              <w:keepNext/>
              <w:keepLines/>
              <w:rPr>
                <w:b/>
                <w:bCs/>
                <w:iCs/>
                <w:szCs w:val="20"/>
              </w:rPr>
            </w:pPr>
            <w:r w:rsidRPr="00D16A97">
              <w:rPr>
                <w:b/>
                <w:bCs/>
                <w:iCs/>
                <w:szCs w:val="20"/>
              </w:rPr>
              <w:t>Cohort: Aged ≥ 70</w:t>
            </w:r>
          </w:p>
        </w:tc>
      </w:tr>
      <w:tr w:rsidR="00940332" w:rsidRPr="00D16A97" w14:paraId="3E7FFFB3" w14:textId="77777777" w:rsidTr="00192D14">
        <w:trPr>
          <w:cantSplit/>
        </w:trPr>
        <w:tc>
          <w:tcPr>
            <w:tcW w:w="934" w:type="pct"/>
            <w:shd w:val="clear" w:color="auto" w:fill="auto"/>
            <w:vAlign w:val="center"/>
          </w:tcPr>
          <w:p w14:paraId="1AB98755" w14:textId="77777777" w:rsidR="00940332" w:rsidRPr="00D16A97" w:rsidRDefault="00940332" w:rsidP="000B527B">
            <w:pPr>
              <w:pStyle w:val="Tabletext"/>
              <w:keepNext/>
              <w:keepLines/>
              <w:rPr>
                <w:i/>
                <w:iCs/>
                <w:szCs w:val="20"/>
                <w:highlight w:val="yellow"/>
              </w:rPr>
            </w:pPr>
            <w:r w:rsidRPr="00D16A97">
              <w:rPr>
                <w:iCs/>
                <w:szCs w:val="20"/>
              </w:rPr>
              <w:t>Costs</w:t>
            </w:r>
          </w:p>
        </w:tc>
        <w:tc>
          <w:tcPr>
            <w:tcW w:w="1017" w:type="pct"/>
            <w:shd w:val="clear" w:color="auto" w:fill="auto"/>
            <w:vAlign w:val="bottom"/>
          </w:tcPr>
          <w:p w14:paraId="5A899341" w14:textId="361B3845"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7" w:type="pct"/>
            <w:shd w:val="clear" w:color="auto" w:fill="auto"/>
            <w:vAlign w:val="bottom"/>
          </w:tcPr>
          <w:p w14:paraId="6AE31A79" w14:textId="77777777" w:rsidR="00940332" w:rsidRPr="00AB12BF" w:rsidRDefault="00940332" w:rsidP="000B527B">
            <w:pPr>
              <w:pStyle w:val="Tabletext"/>
              <w:keepNext/>
              <w:keepLines/>
              <w:jc w:val="center"/>
              <w:rPr>
                <w:i/>
                <w:iCs/>
                <w:szCs w:val="20"/>
                <w:highlight w:val="darkGray"/>
              </w:rPr>
            </w:pPr>
            <w:r w:rsidRPr="00457EB6">
              <w:rPr>
                <w:rFonts w:cs="Calibri"/>
                <w:color w:val="000000"/>
                <w:szCs w:val="20"/>
              </w:rPr>
              <w:t>$1,026.64</w:t>
            </w:r>
          </w:p>
        </w:tc>
        <w:tc>
          <w:tcPr>
            <w:tcW w:w="1017" w:type="pct"/>
            <w:shd w:val="clear" w:color="auto" w:fill="auto"/>
            <w:vAlign w:val="bottom"/>
          </w:tcPr>
          <w:p w14:paraId="257B8972" w14:textId="1732E549"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0F54AD10" w14:textId="5E523FCE" w:rsidR="00940332" w:rsidRPr="00AB12BF" w:rsidRDefault="005C2556" w:rsidP="000B527B">
            <w:pPr>
              <w:keepNext/>
              <w:keepLines/>
              <w:jc w:val="center"/>
              <w:rPr>
                <w:rFonts w:ascii="Arial Narrow" w:hAnsi="Arial Narrow" w:cs="Calibri"/>
                <w:color w:val="000000"/>
                <w:sz w:val="20"/>
                <w:szCs w:val="20"/>
                <w:highlight w:val="darkGray"/>
              </w:rPr>
            </w:pPr>
            <w:r w:rsidRPr="005C2556">
              <w:rPr>
                <w:rFonts w:ascii="Arial Narrow" w:hAnsi="Arial Narrow" w:cs="Calibri"/>
                <w:color w:val="000000"/>
                <w:sz w:val="20"/>
                <w:szCs w:val="20"/>
              </w:rPr>
              <w:t xml:space="preserve"> </w:t>
            </w:r>
            <w:r w:rsidR="0003145F" w:rsidRPr="0003145F">
              <w:rPr>
                <w:rFonts w:ascii="Arial Narrow" w:hAnsi="Arial Narrow" w:cs="Calibri"/>
                <w:color w:val="000000"/>
                <w:sz w:val="20"/>
                <w:szCs w:val="20"/>
                <w:shd w:val="solid" w:color="000000" w:fill="000000"/>
                <w14:textFill>
                  <w14:solidFill>
                    <w14:srgbClr w14:val="000000">
                      <w14:alpha w14:val="100000"/>
                    </w14:srgbClr>
                  </w14:solidFill>
                </w14:textFill>
              </w:rPr>
              <w:t>|</w:t>
            </w:r>
            <w:r w:rsidR="00AB12BF" w:rsidRPr="00AB12BF">
              <w:rPr>
                <w:rFonts w:ascii="Arial Narrow" w:hAnsi="Arial Narrow" w:cs="Calibri"/>
                <w:color w:val="000000"/>
                <w:sz w:val="20"/>
                <w:szCs w:val="20"/>
                <w:vertAlign w:val="superscript"/>
              </w:rPr>
              <w:t>1</w:t>
            </w:r>
          </w:p>
        </w:tc>
      </w:tr>
      <w:tr w:rsidR="00940332" w:rsidRPr="00D16A97" w14:paraId="2327ECDD" w14:textId="77777777" w:rsidTr="00192D14">
        <w:trPr>
          <w:cantSplit/>
        </w:trPr>
        <w:tc>
          <w:tcPr>
            <w:tcW w:w="934" w:type="pct"/>
            <w:shd w:val="clear" w:color="auto" w:fill="auto"/>
            <w:vAlign w:val="center"/>
          </w:tcPr>
          <w:p w14:paraId="4F815B68" w14:textId="77777777" w:rsidR="00940332" w:rsidRPr="00D16A97" w:rsidRDefault="00940332" w:rsidP="000B527B">
            <w:pPr>
              <w:pStyle w:val="Tabletext"/>
              <w:keepNext/>
              <w:keepLines/>
              <w:rPr>
                <w:i/>
                <w:iCs/>
                <w:szCs w:val="20"/>
                <w:highlight w:val="yellow"/>
              </w:rPr>
            </w:pPr>
            <w:r w:rsidRPr="00D16A97">
              <w:rPr>
                <w:iCs/>
                <w:szCs w:val="20"/>
              </w:rPr>
              <w:t>QALYS lost</w:t>
            </w:r>
          </w:p>
        </w:tc>
        <w:tc>
          <w:tcPr>
            <w:tcW w:w="1017" w:type="pct"/>
            <w:shd w:val="clear" w:color="auto" w:fill="auto"/>
            <w:vAlign w:val="bottom"/>
          </w:tcPr>
          <w:p w14:paraId="309C7568"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-0.0284</w:t>
            </w:r>
          </w:p>
        </w:tc>
        <w:tc>
          <w:tcPr>
            <w:tcW w:w="1017" w:type="pct"/>
            <w:shd w:val="clear" w:color="auto" w:fill="auto"/>
            <w:vAlign w:val="bottom"/>
          </w:tcPr>
          <w:p w14:paraId="7D50DB56"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-0.0689</w:t>
            </w:r>
          </w:p>
        </w:tc>
        <w:tc>
          <w:tcPr>
            <w:tcW w:w="1017" w:type="pct"/>
            <w:shd w:val="clear" w:color="auto" w:fill="auto"/>
            <w:vAlign w:val="bottom"/>
          </w:tcPr>
          <w:p w14:paraId="21FB7A2A"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0.0277</w:t>
            </w:r>
          </w:p>
        </w:tc>
        <w:tc>
          <w:tcPr>
            <w:tcW w:w="1015" w:type="pct"/>
            <w:vMerge/>
            <w:shd w:val="clear" w:color="auto" w:fill="auto"/>
            <w:vAlign w:val="center"/>
          </w:tcPr>
          <w:p w14:paraId="478A63EA" w14:textId="77777777" w:rsidR="00940332" w:rsidRPr="00D16A97" w:rsidRDefault="00940332" w:rsidP="000B527B">
            <w:pPr>
              <w:pStyle w:val="Tabletext"/>
              <w:keepNext/>
              <w:keepLines/>
              <w:jc w:val="center"/>
              <w:rPr>
                <w:iCs/>
                <w:szCs w:val="20"/>
              </w:rPr>
            </w:pPr>
          </w:p>
        </w:tc>
      </w:tr>
      <w:tr w:rsidR="00940332" w:rsidRPr="00D16A97" w14:paraId="7237E32D" w14:textId="77777777" w:rsidTr="00192D14">
        <w:trPr>
          <w:cantSplit/>
          <w:tblHeader/>
        </w:trPr>
        <w:tc>
          <w:tcPr>
            <w:tcW w:w="5000" w:type="pct"/>
            <w:gridSpan w:val="5"/>
            <w:shd w:val="clear" w:color="auto" w:fill="auto"/>
            <w:vAlign w:val="center"/>
          </w:tcPr>
          <w:p w14:paraId="4DB6A07E" w14:textId="77777777" w:rsidR="00940332" w:rsidRPr="00D16A97" w:rsidRDefault="00940332" w:rsidP="000B527B">
            <w:pPr>
              <w:pStyle w:val="Tabletext"/>
              <w:keepNext/>
              <w:keepLines/>
              <w:rPr>
                <w:b/>
                <w:bCs/>
                <w:iCs/>
                <w:szCs w:val="20"/>
              </w:rPr>
            </w:pPr>
            <w:r w:rsidRPr="00D16A97">
              <w:rPr>
                <w:b/>
                <w:bCs/>
                <w:iCs/>
                <w:szCs w:val="20"/>
              </w:rPr>
              <w:t>Cohort: Aged ≥18 and immune-compromised</w:t>
            </w:r>
          </w:p>
        </w:tc>
      </w:tr>
      <w:tr w:rsidR="00940332" w:rsidRPr="00D16A97" w14:paraId="0018B18D" w14:textId="77777777" w:rsidTr="00192D14">
        <w:trPr>
          <w:cantSplit/>
        </w:trPr>
        <w:tc>
          <w:tcPr>
            <w:tcW w:w="934" w:type="pct"/>
            <w:shd w:val="clear" w:color="auto" w:fill="auto"/>
            <w:vAlign w:val="center"/>
          </w:tcPr>
          <w:p w14:paraId="65133AA5" w14:textId="77777777" w:rsidR="00940332" w:rsidRPr="00D16A97" w:rsidRDefault="00940332" w:rsidP="000B527B">
            <w:pPr>
              <w:pStyle w:val="Tabletext"/>
              <w:keepNext/>
              <w:keepLines/>
              <w:rPr>
                <w:i/>
                <w:iCs/>
                <w:szCs w:val="20"/>
                <w:highlight w:val="yellow"/>
              </w:rPr>
            </w:pPr>
            <w:r w:rsidRPr="00D16A97">
              <w:rPr>
                <w:iCs/>
                <w:szCs w:val="20"/>
              </w:rPr>
              <w:t>Costs</w:t>
            </w:r>
          </w:p>
        </w:tc>
        <w:tc>
          <w:tcPr>
            <w:tcW w:w="1017" w:type="pct"/>
            <w:shd w:val="clear" w:color="auto" w:fill="auto"/>
            <w:vAlign w:val="bottom"/>
          </w:tcPr>
          <w:p w14:paraId="2DBDAB2D" w14:textId="68CB8890"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7" w:type="pct"/>
            <w:shd w:val="clear" w:color="auto" w:fill="auto"/>
            <w:vAlign w:val="bottom"/>
          </w:tcPr>
          <w:p w14:paraId="605CB204" w14:textId="77777777" w:rsidR="00940332" w:rsidRPr="00AB12BF" w:rsidRDefault="00940332" w:rsidP="000B527B">
            <w:pPr>
              <w:pStyle w:val="Tabletext"/>
              <w:keepNext/>
              <w:keepLines/>
              <w:jc w:val="center"/>
              <w:rPr>
                <w:i/>
                <w:iCs/>
                <w:szCs w:val="20"/>
                <w:highlight w:val="darkGray"/>
              </w:rPr>
            </w:pPr>
            <w:r w:rsidRPr="00457EB6">
              <w:rPr>
                <w:rFonts w:cs="Calibri"/>
                <w:color w:val="000000"/>
                <w:szCs w:val="20"/>
              </w:rPr>
              <w:t>$969.99</w:t>
            </w:r>
          </w:p>
        </w:tc>
        <w:tc>
          <w:tcPr>
            <w:tcW w:w="1017" w:type="pct"/>
            <w:shd w:val="clear" w:color="auto" w:fill="auto"/>
            <w:vAlign w:val="bottom"/>
          </w:tcPr>
          <w:p w14:paraId="5F262708" w14:textId="4DBEBDB2"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55B4471B" w14:textId="535B7CC5" w:rsidR="00940332" w:rsidRPr="00AB12BF" w:rsidRDefault="005C2556" w:rsidP="000B527B">
            <w:pPr>
              <w:keepNext/>
              <w:keepLines/>
              <w:jc w:val="center"/>
              <w:rPr>
                <w:rFonts w:ascii="Arial Narrow" w:hAnsi="Arial Narrow" w:cs="Calibri"/>
                <w:color w:val="000000"/>
                <w:sz w:val="20"/>
                <w:szCs w:val="20"/>
                <w:highlight w:val="darkGray"/>
              </w:rPr>
            </w:pPr>
            <w:r w:rsidRPr="005C2556">
              <w:rPr>
                <w:rFonts w:ascii="Arial Narrow" w:hAnsi="Arial Narrow" w:cs="Calibri"/>
                <w:color w:val="000000"/>
                <w:sz w:val="20"/>
                <w:szCs w:val="20"/>
              </w:rPr>
              <w:t xml:space="preserve"> </w:t>
            </w:r>
            <w:r w:rsidR="0003145F" w:rsidRPr="0003145F">
              <w:rPr>
                <w:rFonts w:ascii="Arial Narrow" w:hAnsi="Arial Narrow" w:cs="Calibri"/>
                <w:color w:val="000000"/>
                <w:sz w:val="20"/>
                <w:szCs w:val="20"/>
                <w:shd w:val="solid" w:color="000000" w:fill="000000"/>
                <w14:textFill>
                  <w14:solidFill>
                    <w14:srgbClr w14:val="000000">
                      <w14:alpha w14:val="100000"/>
                    </w14:srgbClr>
                  </w14:solidFill>
                </w14:textFill>
              </w:rPr>
              <w:t>|</w:t>
            </w:r>
            <w:r w:rsidR="00AB12BF">
              <w:rPr>
                <w:rFonts w:ascii="Arial Narrow" w:hAnsi="Arial Narrow" w:cs="Calibri"/>
                <w:color w:val="000000"/>
                <w:sz w:val="20"/>
                <w:szCs w:val="20"/>
                <w:vertAlign w:val="superscript"/>
              </w:rPr>
              <w:t>2</w:t>
            </w:r>
          </w:p>
        </w:tc>
      </w:tr>
      <w:tr w:rsidR="00940332" w:rsidRPr="00D16A97" w14:paraId="693B2F36" w14:textId="77777777" w:rsidTr="00192D14">
        <w:trPr>
          <w:cantSplit/>
        </w:trPr>
        <w:tc>
          <w:tcPr>
            <w:tcW w:w="934" w:type="pct"/>
            <w:shd w:val="clear" w:color="auto" w:fill="auto"/>
            <w:vAlign w:val="center"/>
          </w:tcPr>
          <w:p w14:paraId="4E60206D" w14:textId="77777777" w:rsidR="00940332" w:rsidRPr="00D16A97" w:rsidRDefault="00940332" w:rsidP="000B527B">
            <w:pPr>
              <w:pStyle w:val="Tabletext"/>
              <w:keepNext/>
              <w:keepLines/>
              <w:rPr>
                <w:i/>
                <w:iCs/>
                <w:szCs w:val="20"/>
                <w:highlight w:val="yellow"/>
              </w:rPr>
            </w:pPr>
            <w:r w:rsidRPr="00D16A97">
              <w:rPr>
                <w:iCs/>
                <w:szCs w:val="20"/>
              </w:rPr>
              <w:t>QALYS lost</w:t>
            </w:r>
          </w:p>
        </w:tc>
        <w:tc>
          <w:tcPr>
            <w:tcW w:w="1017" w:type="pct"/>
            <w:shd w:val="clear" w:color="auto" w:fill="auto"/>
            <w:vAlign w:val="bottom"/>
          </w:tcPr>
          <w:p w14:paraId="58C8C3E6"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-0.0680</w:t>
            </w:r>
          </w:p>
        </w:tc>
        <w:tc>
          <w:tcPr>
            <w:tcW w:w="1017" w:type="pct"/>
            <w:shd w:val="clear" w:color="auto" w:fill="auto"/>
            <w:vAlign w:val="bottom"/>
          </w:tcPr>
          <w:p w14:paraId="29102EEA"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-0.1662</w:t>
            </w:r>
          </w:p>
        </w:tc>
        <w:tc>
          <w:tcPr>
            <w:tcW w:w="1017" w:type="pct"/>
            <w:shd w:val="clear" w:color="auto" w:fill="auto"/>
            <w:vAlign w:val="bottom"/>
          </w:tcPr>
          <w:p w14:paraId="6CE4911C"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0.0674</w:t>
            </w:r>
          </w:p>
        </w:tc>
        <w:tc>
          <w:tcPr>
            <w:tcW w:w="1015" w:type="pct"/>
            <w:vMerge/>
            <w:shd w:val="clear" w:color="auto" w:fill="auto"/>
            <w:vAlign w:val="center"/>
          </w:tcPr>
          <w:p w14:paraId="179FD1AA" w14:textId="77777777" w:rsidR="00940332" w:rsidRPr="00D16A97" w:rsidRDefault="00940332" w:rsidP="000B527B">
            <w:pPr>
              <w:pStyle w:val="Tabletext"/>
              <w:keepNext/>
              <w:keepLines/>
              <w:jc w:val="center"/>
              <w:rPr>
                <w:iCs/>
                <w:szCs w:val="20"/>
              </w:rPr>
            </w:pPr>
          </w:p>
        </w:tc>
      </w:tr>
      <w:tr w:rsidR="00940332" w:rsidRPr="00D16A97" w14:paraId="7362435E" w14:textId="77777777" w:rsidTr="00192D14">
        <w:trPr>
          <w:cantSplit/>
          <w:tblHeader/>
        </w:trPr>
        <w:tc>
          <w:tcPr>
            <w:tcW w:w="5000" w:type="pct"/>
            <w:gridSpan w:val="5"/>
            <w:shd w:val="clear" w:color="auto" w:fill="auto"/>
            <w:vAlign w:val="center"/>
          </w:tcPr>
          <w:p w14:paraId="1E8F1D43" w14:textId="77777777" w:rsidR="00940332" w:rsidRPr="00D16A97" w:rsidRDefault="00940332" w:rsidP="000B527B">
            <w:pPr>
              <w:pStyle w:val="Tabletext"/>
              <w:keepNext/>
              <w:keepLines/>
              <w:rPr>
                <w:b/>
                <w:bCs/>
                <w:iCs/>
                <w:szCs w:val="20"/>
              </w:rPr>
            </w:pPr>
            <w:r w:rsidRPr="00D16A97">
              <w:rPr>
                <w:b/>
                <w:bCs/>
                <w:iCs/>
                <w:szCs w:val="20"/>
              </w:rPr>
              <w:t>Cohort: Aboriginal and Torres Strait Islander people aged ≥ 30 and ≥ 1 risk factor</w:t>
            </w:r>
          </w:p>
        </w:tc>
      </w:tr>
      <w:tr w:rsidR="00940332" w:rsidRPr="00D16A97" w14:paraId="02D31B6D" w14:textId="77777777" w:rsidTr="00192D14">
        <w:trPr>
          <w:cantSplit/>
        </w:trPr>
        <w:tc>
          <w:tcPr>
            <w:tcW w:w="934" w:type="pct"/>
            <w:shd w:val="clear" w:color="auto" w:fill="auto"/>
            <w:vAlign w:val="center"/>
          </w:tcPr>
          <w:p w14:paraId="1BBF578D" w14:textId="77777777" w:rsidR="00940332" w:rsidRPr="00D16A97" w:rsidRDefault="00940332" w:rsidP="000B527B">
            <w:pPr>
              <w:pStyle w:val="Tabletext"/>
              <w:keepNext/>
              <w:keepLines/>
              <w:rPr>
                <w:i/>
                <w:iCs/>
                <w:szCs w:val="20"/>
                <w:highlight w:val="yellow"/>
              </w:rPr>
            </w:pPr>
            <w:r w:rsidRPr="00D16A97">
              <w:rPr>
                <w:iCs/>
                <w:szCs w:val="20"/>
              </w:rPr>
              <w:t>Costs</w:t>
            </w:r>
          </w:p>
        </w:tc>
        <w:tc>
          <w:tcPr>
            <w:tcW w:w="1017" w:type="pct"/>
            <w:shd w:val="clear" w:color="auto" w:fill="auto"/>
            <w:vAlign w:val="bottom"/>
          </w:tcPr>
          <w:p w14:paraId="168E6D01" w14:textId="09F42333"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7" w:type="pct"/>
            <w:shd w:val="clear" w:color="auto" w:fill="auto"/>
            <w:vAlign w:val="bottom"/>
          </w:tcPr>
          <w:p w14:paraId="70F87C5A" w14:textId="77777777" w:rsidR="00940332" w:rsidRPr="00AB12BF" w:rsidRDefault="00940332" w:rsidP="000B527B">
            <w:pPr>
              <w:pStyle w:val="Tabletext"/>
              <w:keepNext/>
              <w:keepLines/>
              <w:jc w:val="center"/>
              <w:rPr>
                <w:i/>
                <w:iCs/>
                <w:szCs w:val="20"/>
                <w:highlight w:val="darkGray"/>
              </w:rPr>
            </w:pPr>
            <w:r w:rsidRPr="00457EB6">
              <w:rPr>
                <w:rFonts w:cs="Calibri"/>
                <w:color w:val="000000"/>
                <w:szCs w:val="20"/>
              </w:rPr>
              <w:t>$913.68</w:t>
            </w:r>
          </w:p>
        </w:tc>
        <w:tc>
          <w:tcPr>
            <w:tcW w:w="1017" w:type="pct"/>
            <w:shd w:val="clear" w:color="auto" w:fill="auto"/>
            <w:vAlign w:val="bottom"/>
          </w:tcPr>
          <w:p w14:paraId="07C7835B" w14:textId="5CF2BD81"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0C06FAE0" w14:textId="3E8B37A9" w:rsidR="00940332" w:rsidRPr="00AB12BF" w:rsidRDefault="005C2556" w:rsidP="000B527B">
            <w:pPr>
              <w:keepNext/>
              <w:keepLines/>
              <w:jc w:val="center"/>
              <w:rPr>
                <w:rFonts w:ascii="Arial Narrow" w:hAnsi="Arial Narrow" w:cs="Calibri"/>
                <w:color w:val="000000"/>
                <w:sz w:val="20"/>
                <w:szCs w:val="20"/>
                <w:highlight w:val="darkGray"/>
              </w:rPr>
            </w:pPr>
            <w:r w:rsidRPr="005C2556">
              <w:rPr>
                <w:rFonts w:ascii="Arial Narrow" w:hAnsi="Arial Narrow" w:cs="Calibri"/>
                <w:color w:val="000000"/>
                <w:sz w:val="20"/>
                <w:szCs w:val="20"/>
              </w:rPr>
              <w:t xml:space="preserve"> </w:t>
            </w:r>
            <w:r w:rsidR="0003145F" w:rsidRPr="0003145F">
              <w:rPr>
                <w:rFonts w:ascii="Arial Narrow" w:hAnsi="Arial Narrow" w:cs="Calibri"/>
                <w:color w:val="000000"/>
                <w:sz w:val="20"/>
                <w:szCs w:val="20"/>
                <w:shd w:val="solid" w:color="000000" w:fill="000000"/>
                <w14:textFill>
                  <w14:solidFill>
                    <w14:srgbClr w14:val="000000">
                      <w14:alpha w14:val="100000"/>
                    </w14:srgbClr>
                  </w14:solidFill>
                </w14:textFill>
              </w:rPr>
              <w:t>|</w:t>
            </w:r>
            <w:r w:rsidR="00AB12BF" w:rsidRPr="00AB12BF">
              <w:rPr>
                <w:rFonts w:ascii="Arial Narrow" w:hAnsi="Arial Narrow" w:cs="Calibri"/>
                <w:color w:val="000000"/>
                <w:sz w:val="20"/>
                <w:szCs w:val="20"/>
                <w:vertAlign w:val="superscript"/>
              </w:rPr>
              <w:t>1</w:t>
            </w:r>
          </w:p>
        </w:tc>
      </w:tr>
      <w:tr w:rsidR="00940332" w:rsidRPr="00D16A97" w14:paraId="464C154D" w14:textId="77777777" w:rsidTr="00192D14">
        <w:trPr>
          <w:cantSplit/>
        </w:trPr>
        <w:tc>
          <w:tcPr>
            <w:tcW w:w="934" w:type="pct"/>
            <w:shd w:val="clear" w:color="auto" w:fill="auto"/>
            <w:vAlign w:val="center"/>
          </w:tcPr>
          <w:p w14:paraId="77CFD2FA" w14:textId="77777777" w:rsidR="00940332" w:rsidRPr="00D16A97" w:rsidRDefault="00940332" w:rsidP="000B527B">
            <w:pPr>
              <w:pStyle w:val="Tabletext"/>
              <w:keepNext/>
              <w:keepLines/>
              <w:rPr>
                <w:i/>
                <w:iCs/>
                <w:szCs w:val="20"/>
                <w:highlight w:val="yellow"/>
              </w:rPr>
            </w:pPr>
            <w:r w:rsidRPr="00D16A97">
              <w:rPr>
                <w:iCs/>
                <w:szCs w:val="20"/>
              </w:rPr>
              <w:t>QALYS lost</w:t>
            </w:r>
          </w:p>
        </w:tc>
        <w:tc>
          <w:tcPr>
            <w:tcW w:w="1017" w:type="pct"/>
            <w:shd w:val="clear" w:color="auto" w:fill="auto"/>
            <w:vAlign w:val="bottom"/>
          </w:tcPr>
          <w:p w14:paraId="7ADDAB5E"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-0.0376</w:t>
            </w:r>
          </w:p>
        </w:tc>
        <w:tc>
          <w:tcPr>
            <w:tcW w:w="1017" w:type="pct"/>
            <w:shd w:val="clear" w:color="auto" w:fill="auto"/>
            <w:vAlign w:val="bottom"/>
          </w:tcPr>
          <w:p w14:paraId="2504314E"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-0.0922</w:t>
            </w:r>
          </w:p>
        </w:tc>
        <w:tc>
          <w:tcPr>
            <w:tcW w:w="1017" w:type="pct"/>
            <w:shd w:val="clear" w:color="auto" w:fill="auto"/>
            <w:vAlign w:val="bottom"/>
          </w:tcPr>
          <w:p w14:paraId="2CE4566D"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0.0378</w:t>
            </w:r>
          </w:p>
        </w:tc>
        <w:tc>
          <w:tcPr>
            <w:tcW w:w="1015" w:type="pct"/>
            <w:vMerge/>
            <w:shd w:val="clear" w:color="auto" w:fill="auto"/>
            <w:vAlign w:val="center"/>
          </w:tcPr>
          <w:p w14:paraId="4ED46C50" w14:textId="77777777" w:rsidR="00940332" w:rsidRPr="00D16A97" w:rsidRDefault="00940332" w:rsidP="000B527B">
            <w:pPr>
              <w:pStyle w:val="Tabletext"/>
              <w:keepNext/>
              <w:keepLines/>
              <w:jc w:val="center"/>
              <w:rPr>
                <w:iCs/>
                <w:szCs w:val="20"/>
              </w:rPr>
            </w:pPr>
          </w:p>
        </w:tc>
      </w:tr>
      <w:tr w:rsidR="00940332" w:rsidRPr="00D16A97" w14:paraId="17AA2BC0" w14:textId="77777777" w:rsidTr="00192D14">
        <w:trPr>
          <w:cantSplit/>
          <w:tblHeader/>
        </w:trPr>
        <w:tc>
          <w:tcPr>
            <w:tcW w:w="5000" w:type="pct"/>
            <w:gridSpan w:val="5"/>
            <w:shd w:val="clear" w:color="auto" w:fill="auto"/>
            <w:vAlign w:val="center"/>
          </w:tcPr>
          <w:p w14:paraId="6FD9F573" w14:textId="77777777" w:rsidR="00940332" w:rsidRPr="00D16A97" w:rsidRDefault="00940332" w:rsidP="000B527B">
            <w:pPr>
              <w:pStyle w:val="Tabletext"/>
              <w:keepNext/>
              <w:keepLines/>
              <w:rPr>
                <w:b/>
                <w:bCs/>
                <w:iCs/>
                <w:szCs w:val="20"/>
              </w:rPr>
            </w:pPr>
            <w:r w:rsidRPr="00D16A97">
              <w:rPr>
                <w:b/>
                <w:bCs/>
                <w:iCs/>
                <w:szCs w:val="20"/>
              </w:rPr>
              <w:t>Cohort: Aged 50-69 &amp; ≥ 2 risk factors</w:t>
            </w:r>
          </w:p>
        </w:tc>
      </w:tr>
      <w:tr w:rsidR="00940332" w:rsidRPr="00D16A97" w14:paraId="216DF608" w14:textId="77777777" w:rsidTr="00192D14">
        <w:trPr>
          <w:cantSplit/>
        </w:trPr>
        <w:tc>
          <w:tcPr>
            <w:tcW w:w="934" w:type="pct"/>
            <w:shd w:val="clear" w:color="auto" w:fill="auto"/>
            <w:vAlign w:val="center"/>
          </w:tcPr>
          <w:p w14:paraId="765D18AC" w14:textId="77777777" w:rsidR="00940332" w:rsidRPr="00D16A97" w:rsidRDefault="00940332" w:rsidP="000B527B">
            <w:pPr>
              <w:pStyle w:val="Tabletext"/>
              <w:keepNext/>
              <w:keepLines/>
              <w:rPr>
                <w:i/>
                <w:iCs/>
                <w:szCs w:val="20"/>
                <w:highlight w:val="yellow"/>
              </w:rPr>
            </w:pPr>
            <w:r w:rsidRPr="00D16A97">
              <w:rPr>
                <w:iCs/>
                <w:szCs w:val="20"/>
              </w:rPr>
              <w:t>Costs</w:t>
            </w:r>
          </w:p>
        </w:tc>
        <w:tc>
          <w:tcPr>
            <w:tcW w:w="1017" w:type="pct"/>
            <w:shd w:val="clear" w:color="auto" w:fill="auto"/>
            <w:vAlign w:val="bottom"/>
          </w:tcPr>
          <w:p w14:paraId="6C8879F7" w14:textId="0A86DA09"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7" w:type="pct"/>
            <w:shd w:val="clear" w:color="auto" w:fill="auto"/>
            <w:vAlign w:val="bottom"/>
          </w:tcPr>
          <w:p w14:paraId="4ABBDFC2" w14:textId="77777777" w:rsidR="00940332" w:rsidRPr="00AB12BF" w:rsidRDefault="00940332" w:rsidP="000B527B">
            <w:pPr>
              <w:pStyle w:val="Tabletext"/>
              <w:keepNext/>
              <w:keepLines/>
              <w:jc w:val="center"/>
              <w:rPr>
                <w:i/>
                <w:iCs/>
                <w:szCs w:val="20"/>
                <w:highlight w:val="darkGray"/>
              </w:rPr>
            </w:pPr>
            <w:r w:rsidRPr="00457EB6">
              <w:rPr>
                <w:rFonts w:cs="Calibri"/>
                <w:color w:val="000000"/>
                <w:szCs w:val="20"/>
              </w:rPr>
              <w:t>$847.62</w:t>
            </w:r>
          </w:p>
        </w:tc>
        <w:tc>
          <w:tcPr>
            <w:tcW w:w="1017" w:type="pct"/>
            <w:shd w:val="clear" w:color="auto" w:fill="auto"/>
            <w:vAlign w:val="bottom"/>
          </w:tcPr>
          <w:p w14:paraId="2483E607" w14:textId="4125BA1D"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731C5822" w14:textId="2E0053AB" w:rsidR="00940332" w:rsidRPr="00AB12BF" w:rsidRDefault="005C2556" w:rsidP="000B527B">
            <w:pPr>
              <w:keepNext/>
              <w:keepLines/>
              <w:jc w:val="center"/>
              <w:rPr>
                <w:rFonts w:ascii="Arial Narrow" w:hAnsi="Arial Narrow"/>
                <w:iCs/>
                <w:sz w:val="20"/>
                <w:szCs w:val="20"/>
                <w:highlight w:val="darkGray"/>
              </w:rPr>
            </w:pPr>
            <w:r w:rsidRPr="005C2556">
              <w:rPr>
                <w:rFonts w:ascii="Arial Narrow" w:hAnsi="Arial Narrow" w:cs="Calibri"/>
                <w:color w:val="000000"/>
                <w:sz w:val="20"/>
                <w:szCs w:val="20"/>
              </w:rPr>
              <w:t xml:space="preserve"> </w:t>
            </w:r>
            <w:r w:rsidR="0003145F" w:rsidRPr="0003145F">
              <w:rPr>
                <w:rFonts w:ascii="Arial Narrow" w:hAnsi="Arial Narrow" w:cs="Calibri"/>
                <w:color w:val="000000"/>
                <w:sz w:val="20"/>
                <w:szCs w:val="20"/>
                <w:shd w:val="solid" w:color="000000" w:fill="000000"/>
                <w14:textFill>
                  <w14:solidFill>
                    <w14:srgbClr w14:val="000000">
                      <w14:alpha w14:val="100000"/>
                    </w14:srgbClr>
                  </w14:solidFill>
                </w14:textFill>
              </w:rPr>
              <w:t>|</w:t>
            </w:r>
            <w:r w:rsidR="00AB12BF">
              <w:rPr>
                <w:rFonts w:ascii="Arial Narrow" w:hAnsi="Arial Narrow" w:cs="Calibri"/>
                <w:color w:val="000000"/>
                <w:sz w:val="20"/>
                <w:szCs w:val="20"/>
                <w:vertAlign w:val="superscript"/>
              </w:rPr>
              <w:t>3</w:t>
            </w:r>
          </w:p>
        </w:tc>
      </w:tr>
      <w:tr w:rsidR="00940332" w:rsidRPr="00D16A97" w14:paraId="22C6FC3C" w14:textId="77777777" w:rsidTr="00192D14">
        <w:trPr>
          <w:cantSplit/>
        </w:trPr>
        <w:tc>
          <w:tcPr>
            <w:tcW w:w="934" w:type="pct"/>
            <w:shd w:val="clear" w:color="auto" w:fill="auto"/>
            <w:vAlign w:val="center"/>
          </w:tcPr>
          <w:p w14:paraId="1284571E" w14:textId="77777777" w:rsidR="00940332" w:rsidRPr="00D16A97" w:rsidRDefault="00940332" w:rsidP="000B527B">
            <w:pPr>
              <w:pStyle w:val="Tabletext"/>
              <w:keepNext/>
              <w:keepLines/>
              <w:rPr>
                <w:i/>
                <w:iCs/>
                <w:szCs w:val="20"/>
                <w:highlight w:val="yellow"/>
              </w:rPr>
            </w:pPr>
            <w:r w:rsidRPr="00D16A97">
              <w:rPr>
                <w:iCs/>
                <w:szCs w:val="20"/>
              </w:rPr>
              <w:t>QALYS lost</w:t>
            </w:r>
          </w:p>
        </w:tc>
        <w:tc>
          <w:tcPr>
            <w:tcW w:w="1017" w:type="pct"/>
            <w:shd w:val="clear" w:color="auto" w:fill="auto"/>
            <w:vAlign w:val="bottom"/>
          </w:tcPr>
          <w:p w14:paraId="7A0ED4F0"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-0.0175</w:t>
            </w:r>
          </w:p>
        </w:tc>
        <w:tc>
          <w:tcPr>
            <w:tcW w:w="1017" w:type="pct"/>
            <w:shd w:val="clear" w:color="auto" w:fill="auto"/>
            <w:vAlign w:val="bottom"/>
          </w:tcPr>
          <w:p w14:paraId="260C007D"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-0.0431</w:t>
            </w:r>
          </w:p>
        </w:tc>
        <w:tc>
          <w:tcPr>
            <w:tcW w:w="1017" w:type="pct"/>
            <w:shd w:val="clear" w:color="auto" w:fill="auto"/>
            <w:vAlign w:val="bottom"/>
          </w:tcPr>
          <w:p w14:paraId="357B7448"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0.0178</w:t>
            </w:r>
          </w:p>
        </w:tc>
        <w:tc>
          <w:tcPr>
            <w:tcW w:w="1015" w:type="pct"/>
            <w:vMerge/>
            <w:shd w:val="clear" w:color="auto" w:fill="auto"/>
            <w:vAlign w:val="center"/>
          </w:tcPr>
          <w:p w14:paraId="5C28C2D3" w14:textId="77777777" w:rsidR="00940332" w:rsidRPr="00D16A97" w:rsidRDefault="00940332" w:rsidP="000B527B">
            <w:pPr>
              <w:pStyle w:val="Tabletext"/>
              <w:keepNext/>
              <w:keepLines/>
              <w:jc w:val="center"/>
              <w:rPr>
                <w:iCs/>
                <w:szCs w:val="20"/>
              </w:rPr>
            </w:pPr>
          </w:p>
        </w:tc>
      </w:tr>
      <w:tr w:rsidR="00940332" w:rsidRPr="00D16A97" w14:paraId="66D3BD96" w14:textId="77777777" w:rsidTr="00192D14">
        <w:trPr>
          <w:cantSplit/>
          <w:tblHeader/>
        </w:trPr>
        <w:tc>
          <w:tcPr>
            <w:tcW w:w="5000" w:type="pct"/>
            <w:gridSpan w:val="5"/>
            <w:shd w:val="clear" w:color="auto" w:fill="auto"/>
            <w:vAlign w:val="center"/>
          </w:tcPr>
          <w:p w14:paraId="46C74CA2" w14:textId="77777777" w:rsidR="00940332" w:rsidRPr="00D16A97" w:rsidRDefault="00940332" w:rsidP="000B527B">
            <w:pPr>
              <w:pStyle w:val="Tabletext"/>
              <w:keepNext/>
              <w:keepLines/>
              <w:rPr>
                <w:b/>
                <w:bCs/>
                <w:iCs/>
                <w:szCs w:val="20"/>
              </w:rPr>
            </w:pPr>
            <w:r w:rsidRPr="00D16A97">
              <w:rPr>
                <w:b/>
                <w:bCs/>
                <w:iCs/>
                <w:szCs w:val="20"/>
              </w:rPr>
              <w:t>MSA Current Scenario</w:t>
            </w:r>
            <w:r w:rsidRPr="00D16A97">
              <w:rPr>
                <w:b/>
                <w:bCs/>
                <w:iCs/>
                <w:szCs w:val="20"/>
                <w:vertAlign w:val="superscript"/>
              </w:rPr>
              <w:t>a</w:t>
            </w:r>
            <w:r w:rsidRPr="00D16A97">
              <w:rPr>
                <w:b/>
                <w:bCs/>
                <w:iCs/>
                <w:szCs w:val="20"/>
              </w:rPr>
              <w:t xml:space="preserve"> – Overall ICER with current restrictions and proportions based on utilisation</w:t>
            </w:r>
            <w:r w:rsidRPr="00D16A97">
              <w:rPr>
                <w:b/>
                <w:bCs/>
                <w:iCs/>
                <w:szCs w:val="20"/>
                <w:vertAlign w:val="superscript"/>
              </w:rPr>
              <w:t>c</w:t>
            </w:r>
          </w:p>
        </w:tc>
      </w:tr>
      <w:tr w:rsidR="00940332" w:rsidRPr="00D16A97" w14:paraId="18BE4763" w14:textId="77777777" w:rsidTr="00192D14">
        <w:trPr>
          <w:cantSplit/>
        </w:trPr>
        <w:tc>
          <w:tcPr>
            <w:tcW w:w="934" w:type="pct"/>
            <w:shd w:val="clear" w:color="auto" w:fill="auto"/>
            <w:vAlign w:val="center"/>
          </w:tcPr>
          <w:p w14:paraId="641D226B" w14:textId="77777777" w:rsidR="00940332" w:rsidRPr="00D16A97" w:rsidRDefault="00940332" w:rsidP="000B527B">
            <w:pPr>
              <w:pStyle w:val="Tabletext"/>
              <w:keepNext/>
              <w:keepLines/>
              <w:rPr>
                <w:i/>
                <w:iCs/>
                <w:szCs w:val="20"/>
                <w:highlight w:val="yellow"/>
              </w:rPr>
            </w:pPr>
            <w:r w:rsidRPr="00D16A97">
              <w:rPr>
                <w:iCs/>
                <w:szCs w:val="20"/>
              </w:rPr>
              <w:t>Costs</w:t>
            </w:r>
          </w:p>
        </w:tc>
        <w:tc>
          <w:tcPr>
            <w:tcW w:w="1017" w:type="pct"/>
            <w:shd w:val="clear" w:color="auto" w:fill="auto"/>
            <w:vAlign w:val="bottom"/>
          </w:tcPr>
          <w:p w14:paraId="4CBE5789" w14:textId="71E23923"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7" w:type="pct"/>
            <w:shd w:val="clear" w:color="auto" w:fill="auto"/>
            <w:vAlign w:val="bottom"/>
          </w:tcPr>
          <w:p w14:paraId="3D30F57E" w14:textId="77777777" w:rsidR="00940332" w:rsidRPr="00AB12BF" w:rsidRDefault="00940332" w:rsidP="000B527B">
            <w:pPr>
              <w:pStyle w:val="Tabletext"/>
              <w:keepNext/>
              <w:keepLines/>
              <w:jc w:val="center"/>
              <w:rPr>
                <w:i/>
                <w:iCs/>
                <w:szCs w:val="20"/>
                <w:highlight w:val="darkGray"/>
              </w:rPr>
            </w:pPr>
            <w:r w:rsidRPr="00457EB6">
              <w:rPr>
                <w:rFonts w:cs="Calibri"/>
                <w:color w:val="000000"/>
                <w:szCs w:val="20"/>
              </w:rPr>
              <w:t>$967.90</w:t>
            </w:r>
          </w:p>
        </w:tc>
        <w:tc>
          <w:tcPr>
            <w:tcW w:w="1017" w:type="pct"/>
            <w:shd w:val="clear" w:color="auto" w:fill="auto"/>
            <w:vAlign w:val="bottom"/>
          </w:tcPr>
          <w:p w14:paraId="1A46AAA2" w14:textId="2CA98264" w:rsidR="00940332" w:rsidRPr="00AB12BF" w:rsidRDefault="005C2556" w:rsidP="000B527B">
            <w:pPr>
              <w:pStyle w:val="Tabletext"/>
              <w:keepNext/>
              <w:keepLines/>
              <w:jc w:val="center"/>
              <w:rPr>
                <w:i/>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240CC3BF" w14:textId="68FC7388" w:rsidR="00940332" w:rsidRPr="00AB12BF" w:rsidRDefault="005C2556" w:rsidP="000B527B">
            <w:pPr>
              <w:pStyle w:val="Tabletext"/>
              <w:keepNext/>
              <w:keepLines/>
              <w:jc w:val="center"/>
              <w:rPr>
                <w:iCs/>
                <w:szCs w:val="20"/>
                <w:highlight w:val="darkGray"/>
              </w:rPr>
            </w:pPr>
            <w:r w:rsidRPr="005C2556">
              <w:rPr>
                <w:rFonts w:cs="Calibri"/>
                <w:color w:val="000000"/>
                <w:szCs w:val="20"/>
              </w:rPr>
              <w:t xml:space="preserve"> </w:t>
            </w:r>
            <w:r w:rsidR="0003145F" w:rsidRPr="0003145F">
              <w:rPr>
                <w:rFonts w:cs="Calibri"/>
                <w:color w:val="000000"/>
                <w:szCs w:val="20"/>
                <w:shd w:val="solid" w:color="000000" w:fill="000000"/>
                <w14:textFill>
                  <w14:solidFill>
                    <w14:srgbClr w14:val="000000">
                      <w14:alpha w14:val="100000"/>
                    </w14:srgbClr>
                  </w14:solidFill>
                </w14:textFill>
              </w:rPr>
              <w:t>|</w:t>
            </w:r>
            <w:r w:rsidR="00AB12BF" w:rsidRPr="00AB12BF">
              <w:rPr>
                <w:rFonts w:cs="Calibri"/>
                <w:color w:val="000000"/>
                <w:szCs w:val="20"/>
                <w:vertAlign w:val="superscript"/>
              </w:rPr>
              <w:t>1</w:t>
            </w:r>
          </w:p>
        </w:tc>
      </w:tr>
      <w:tr w:rsidR="00940332" w:rsidRPr="00D16A97" w14:paraId="3EB63F9E" w14:textId="77777777" w:rsidTr="00192D14">
        <w:trPr>
          <w:cantSplit/>
        </w:trPr>
        <w:tc>
          <w:tcPr>
            <w:tcW w:w="934" w:type="pct"/>
            <w:shd w:val="clear" w:color="auto" w:fill="auto"/>
            <w:vAlign w:val="center"/>
          </w:tcPr>
          <w:p w14:paraId="56C56200" w14:textId="77777777" w:rsidR="00940332" w:rsidRPr="00D16A97" w:rsidRDefault="00940332" w:rsidP="000B527B">
            <w:pPr>
              <w:pStyle w:val="Tabletext"/>
              <w:keepNext/>
              <w:keepLines/>
              <w:rPr>
                <w:i/>
                <w:iCs/>
                <w:szCs w:val="20"/>
                <w:highlight w:val="yellow"/>
              </w:rPr>
            </w:pPr>
            <w:r w:rsidRPr="00D16A97">
              <w:rPr>
                <w:iCs/>
                <w:szCs w:val="20"/>
              </w:rPr>
              <w:t>QALYS lost</w:t>
            </w:r>
          </w:p>
        </w:tc>
        <w:tc>
          <w:tcPr>
            <w:tcW w:w="1017" w:type="pct"/>
            <w:shd w:val="clear" w:color="auto" w:fill="auto"/>
            <w:vAlign w:val="bottom"/>
          </w:tcPr>
          <w:p w14:paraId="6D4D8D50"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-0.0313</w:t>
            </w:r>
          </w:p>
        </w:tc>
        <w:tc>
          <w:tcPr>
            <w:tcW w:w="1017" w:type="pct"/>
            <w:shd w:val="clear" w:color="auto" w:fill="auto"/>
            <w:vAlign w:val="bottom"/>
          </w:tcPr>
          <w:p w14:paraId="533324CE"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-0.0763</w:t>
            </w:r>
          </w:p>
        </w:tc>
        <w:tc>
          <w:tcPr>
            <w:tcW w:w="1017" w:type="pct"/>
            <w:shd w:val="clear" w:color="auto" w:fill="auto"/>
            <w:vAlign w:val="bottom"/>
          </w:tcPr>
          <w:p w14:paraId="6C17DEA8" w14:textId="77777777" w:rsidR="00940332" w:rsidRPr="00D16A97" w:rsidRDefault="00940332" w:rsidP="000B527B">
            <w:pPr>
              <w:pStyle w:val="Tabletext"/>
              <w:keepNext/>
              <w:keepLines/>
              <w:jc w:val="center"/>
              <w:rPr>
                <w:i/>
                <w:iCs/>
                <w:szCs w:val="20"/>
                <w:highlight w:val="yellow"/>
              </w:rPr>
            </w:pPr>
            <w:r w:rsidRPr="00D16A97">
              <w:rPr>
                <w:rFonts w:cs="Calibri"/>
                <w:color w:val="000000"/>
                <w:szCs w:val="20"/>
              </w:rPr>
              <w:t>0.0309</w:t>
            </w:r>
          </w:p>
        </w:tc>
        <w:tc>
          <w:tcPr>
            <w:tcW w:w="1015" w:type="pct"/>
            <w:vMerge/>
            <w:shd w:val="clear" w:color="auto" w:fill="auto"/>
            <w:vAlign w:val="center"/>
          </w:tcPr>
          <w:p w14:paraId="6AC5BB7B" w14:textId="77777777" w:rsidR="00940332" w:rsidRPr="00D16A97" w:rsidRDefault="00940332" w:rsidP="000B527B">
            <w:pPr>
              <w:pStyle w:val="Tabletext"/>
              <w:keepNext/>
              <w:keepLines/>
              <w:jc w:val="center"/>
              <w:rPr>
                <w:iCs/>
                <w:szCs w:val="20"/>
              </w:rPr>
            </w:pPr>
          </w:p>
        </w:tc>
      </w:tr>
      <w:tr w:rsidR="00940332" w:rsidRPr="00D16A97" w14:paraId="2A959F26" w14:textId="77777777" w:rsidTr="00192D14">
        <w:trPr>
          <w:cantSplit/>
          <w:tblHeader/>
        </w:trPr>
        <w:tc>
          <w:tcPr>
            <w:tcW w:w="5000" w:type="pct"/>
            <w:gridSpan w:val="5"/>
            <w:shd w:val="clear" w:color="auto" w:fill="auto"/>
            <w:vAlign w:val="center"/>
          </w:tcPr>
          <w:p w14:paraId="70B35375" w14:textId="77777777" w:rsidR="00940332" w:rsidRPr="00D16A97" w:rsidRDefault="00940332" w:rsidP="000B527B">
            <w:pPr>
              <w:pStyle w:val="Tabletext"/>
              <w:keepNext/>
              <w:keepLines/>
              <w:rPr>
                <w:b/>
                <w:bCs/>
                <w:iCs/>
                <w:szCs w:val="20"/>
              </w:rPr>
            </w:pPr>
            <w:r w:rsidRPr="00D16A97">
              <w:rPr>
                <w:b/>
                <w:bCs/>
                <w:iCs/>
                <w:szCs w:val="20"/>
              </w:rPr>
              <w:t>MSA Revised Scenario</w:t>
            </w:r>
            <w:r w:rsidRPr="00D16A97">
              <w:rPr>
                <w:b/>
                <w:bCs/>
                <w:iCs/>
                <w:szCs w:val="20"/>
                <w:vertAlign w:val="superscript"/>
              </w:rPr>
              <w:t>b</w:t>
            </w:r>
            <w:r w:rsidRPr="00D16A97">
              <w:rPr>
                <w:b/>
                <w:bCs/>
                <w:iCs/>
                <w:szCs w:val="20"/>
              </w:rPr>
              <w:t xml:space="preserve"> – Overall ICER with price reduction corresponding to PBAC advice (ICER ≤$15,000/QALY in all subgroups)</w:t>
            </w:r>
            <w:r w:rsidRPr="00D16A97">
              <w:rPr>
                <w:b/>
                <w:bCs/>
                <w:iCs/>
                <w:szCs w:val="20"/>
                <w:vertAlign w:val="superscript"/>
              </w:rPr>
              <w:t>c</w:t>
            </w:r>
          </w:p>
        </w:tc>
      </w:tr>
      <w:tr w:rsidR="00940332" w:rsidRPr="00D16A97" w14:paraId="481FE499" w14:textId="77777777" w:rsidTr="00192D14">
        <w:trPr>
          <w:cantSplit/>
        </w:trPr>
        <w:tc>
          <w:tcPr>
            <w:tcW w:w="934" w:type="pct"/>
            <w:shd w:val="clear" w:color="auto" w:fill="auto"/>
            <w:vAlign w:val="center"/>
          </w:tcPr>
          <w:p w14:paraId="49074128" w14:textId="77777777" w:rsidR="00940332" w:rsidRPr="00D16A97" w:rsidRDefault="00940332" w:rsidP="000B527B">
            <w:pPr>
              <w:pStyle w:val="Tabletext"/>
              <w:keepNext/>
              <w:keepLines/>
              <w:rPr>
                <w:i/>
                <w:iCs/>
                <w:szCs w:val="20"/>
              </w:rPr>
            </w:pPr>
            <w:r w:rsidRPr="00D16A97">
              <w:rPr>
                <w:iCs/>
                <w:szCs w:val="20"/>
              </w:rPr>
              <w:t>Costs</w:t>
            </w:r>
          </w:p>
        </w:tc>
        <w:tc>
          <w:tcPr>
            <w:tcW w:w="1017" w:type="pct"/>
            <w:shd w:val="clear" w:color="auto" w:fill="auto"/>
          </w:tcPr>
          <w:p w14:paraId="365B78E5" w14:textId="41DE887A" w:rsidR="00940332" w:rsidRPr="00AB12BF" w:rsidRDefault="005C2556" w:rsidP="000B527B">
            <w:pPr>
              <w:pStyle w:val="Tabletext"/>
              <w:keepNext/>
              <w:keepLines/>
              <w:jc w:val="center"/>
              <w:rPr>
                <w:i/>
                <w:iCs/>
                <w:szCs w:val="20"/>
                <w:highlight w:val="darkGray"/>
              </w:rPr>
            </w:pPr>
            <w:r w:rsidRPr="005C2556">
              <w:rPr>
                <w:szCs w:val="20"/>
              </w:rPr>
              <w:t xml:space="preserve"> </w:t>
            </w:r>
            <w:r w:rsidR="0003145F" w:rsidRPr="0003145F">
              <w:rPr>
                <w:color w:val="000000"/>
                <w:szCs w:val="20"/>
                <w:shd w:val="solid" w:color="000000" w:fill="000000"/>
                <w14:textFill>
                  <w14:solidFill>
                    <w14:srgbClr w14:val="000000">
                      <w14:alpha w14:val="100000"/>
                    </w14:srgbClr>
                  </w14:solidFill>
                </w14:textFill>
              </w:rPr>
              <w:t>|</w:t>
            </w:r>
          </w:p>
        </w:tc>
        <w:tc>
          <w:tcPr>
            <w:tcW w:w="1017" w:type="pct"/>
            <w:shd w:val="clear" w:color="auto" w:fill="auto"/>
          </w:tcPr>
          <w:p w14:paraId="6E39A91A" w14:textId="77777777" w:rsidR="00940332" w:rsidRPr="00AB12BF" w:rsidRDefault="00940332" w:rsidP="000B527B">
            <w:pPr>
              <w:pStyle w:val="Tabletext"/>
              <w:keepNext/>
              <w:keepLines/>
              <w:jc w:val="center"/>
              <w:rPr>
                <w:i/>
                <w:iCs/>
                <w:szCs w:val="20"/>
                <w:highlight w:val="darkGray"/>
              </w:rPr>
            </w:pPr>
            <w:r w:rsidRPr="00457EB6">
              <w:rPr>
                <w:szCs w:val="20"/>
              </w:rPr>
              <w:t>$749.42</w:t>
            </w:r>
          </w:p>
        </w:tc>
        <w:tc>
          <w:tcPr>
            <w:tcW w:w="1017" w:type="pct"/>
            <w:shd w:val="clear" w:color="auto" w:fill="auto"/>
          </w:tcPr>
          <w:p w14:paraId="35194853" w14:textId="4A19ADFA" w:rsidR="00940332" w:rsidRPr="00AB12BF" w:rsidRDefault="005C2556" w:rsidP="000B527B">
            <w:pPr>
              <w:pStyle w:val="Tabletext"/>
              <w:keepNext/>
              <w:keepLines/>
              <w:jc w:val="center"/>
              <w:rPr>
                <w:i/>
                <w:iCs/>
                <w:szCs w:val="20"/>
                <w:highlight w:val="darkGray"/>
              </w:rPr>
            </w:pPr>
            <w:r w:rsidRPr="005C2556">
              <w:rPr>
                <w:szCs w:val="20"/>
              </w:rPr>
              <w:t xml:space="preserve"> </w:t>
            </w:r>
            <w:r w:rsidR="0003145F" w:rsidRPr="0003145F">
              <w:rPr>
                <w:color w:val="000000"/>
                <w:szCs w:val="20"/>
                <w:shd w:val="solid" w:color="000000" w:fill="000000"/>
                <w14:textFill>
                  <w14:solidFill>
                    <w14:srgbClr w14:val="000000">
                      <w14:alpha w14:val="100000"/>
                    </w14:srgbClr>
                  </w14:solidFill>
                </w14:textFill>
              </w:rPr>
              <w:t>|</w:t>
            </w:r>
          </w:p>
        </w:tc>
        <w:tc>
          <w:tcPr>
            <w:tcW w:w="1015" w:type="pct"/>
            <w:vMerge w:val="restart"/>
            <w:shd w:val="clear" w:color="auto" w:fill="auto"/>
            <w:vAlign w:val="center"/>
          </w:tcPr>
          <w:p w14:paraId="25F877FD" w14:textId="1743A23B" w:rsidR="00940332" w:rsidRPr="00AB12BF" w:rsidRDefault="005C2556" w:rsidP="000B527B">
            <w:pPr>
              <w:pStyle w:val="Tabletext"/>
              <w:keepNext/>
              <w:keepLines/>
              <w:jc w:val="center"/>
              <w:rPr>
                <w:iCs/>
                <w:szCs w:val="20"/>
                <w:highlight w:val="darkGray"/>
              </w:rPr>
            </w:pPr>
            <w:r w:rsidRPr="005C2556">
              <w:rPr>
                <w:iCs/>
                <w:szCs w:val="20"/>
              </w:rPr>
              <w:t xml:space="preserve"> </w:t>
            </w:r>
            <w:r w:rsidR="0003145F" w:rsidRPr="0003145F">
              <w:rPr>
                <w:iCs/>
                <w:color w:val="000000"/>
                <w:szCs w:val="20"/>
                <w:shd w:val="solid" w:color="000000" w:fill="000000"/>
                <w14:textFill>
                  <w14:solidFill>
                    <w14:srgbClr w14:val="000000">
                      <w14:alpha w14:val="100000"/>
                    </w14:srgbClr>
                  </w14:solidFill>
                </w14:textFill>
              </w:rPr>
              <w:t>|</w:t>
            </w:r>
            <w:r w:rsidR="00AB12BF">
              <w:rPr>
                <w:rFonts w:cs="Calibri"/>
                <w:color w:val="000000"/>
                <w:szCs w:val="20"/>
                <w:vertAlign w:val="superscript"/>
              </w:rPr>
              <w:t>2</w:t>
            </w:r>
          </w:p>
        </w:tc>
      </w:tr>
      <w:tr w:rsidR="00940332" w:rsidRPr="00D16A97" w14:paraId="4464F317" w14:textId="77777777" w:rsidTr="00192D14">
        <w:trPr>
          <w:cantSplit/>
        </w:trPr>
        <w:tc>
          <w:tcPr>
            <w:tcW w:w="934" w:type="pct"/>
            <w:shd w:val="clear" w:color="auto" w:fill="auto"/>
            <w:vAlign w:val="center"/>
          </w:tcPr>
          <w:p w14:paraId="0A91AA8F" w14:textId="77777777" w:rsidR="00940332" w:rsidRPr="00D16A97" w:rsidRDefault="00940332" w:rsidP="000B527B">
            <w:pPr>
              <w:pStyle w:val="Tabletext"/>
              <w:keepNext/>
              <w:keepLines/>
              <w:rPr>
                <w:i/>
                <w:iCs/>
                <w:szCs w:val="20"/>
              </w:rPr>
            </w:pPr>
            <w:r w:rsidRPr="00D16A97">
              <w:rPr>
                <w:iCs/>
                <w:szCs w:val="20"/>
              </w:rPr>
              <w:t>QALYS lost</w:t>
            </w:r>
          </w:p>
        </w:tc>
        <w:tc>
          <w:tcPr>
            <w:tcW w:w="1017" w:type="pct"/>
            <w:shd w:val="clear" w:color="auto" w:fill="auto"/>
          </w:tcPr>
          <w:p w14:paraId="1148F5C9" w14:textId="77777777" w:rsidR="00940332" w:rsidRPr="00D16A97" w:rsidRDefault="00940332" w:rsidP="000B527B">
            <w:pPr>
              <w:pStyle w:val="Tabletext"/>
              <w:keepNext/>
              <w:keepLines/>
              <w:jc w:val="center"/>
              <w:rPr>
                <w:i/>
                <w:iCs/>
                <w:szCs w:val="20"/>
                <w:highlight w:val="yellow"/>
              </w:rPr>
            </w:pPr>
            <w:r w:rsidRPr="00D16A97">
              <w:rPr>
                <w:szCs w:val="20"/>
              </w:rPr>
              <w:t>-0.0313</w:t>
            </w:r>
          </w:p>
        </w:tc>
        <w:tc>
          <w:tcPr>
            <w:tcW w:w="1017" w:type="pct"/>
            <w:shd w:val="clear" w:color="auto" w:fill="auto"/>
          </w:tcPr>
          <w:p w14:paraId="3709DE96" w14:textId="77777777" w:rsidR="00940332" w:rsidRPr="00D16A97" w:rsidRDefault="00940332" w:rsidP="000B527B">
            <w:pPr>
              <w:pStyle w:val="Tabletext"/>
              <w:keepNext/>
              <w:keepLines/>
              <w:jc w:val="center"/>
              <w:rPr>
                <w:i/>
                <w:iCs/>
                <w:szCs w:val="20"/>
                <w:highlight w:val="yellow"/>
              </w:rPr>
            </w:pPr>
            <w:r w:rsidRPr="00D16A97">
              <w:rPr>
                <w:szCs w:val="20"/>
              </w:rPr>
              <w:t>-0.0763</w:t>
            </w:r>
          </w:p>
        </w:tc>
        <w:tc>
          <w:tcPr>
            <w:tcW w:w="1017" w:type="pct"/>
            <w:shd w:val="clear" w:color="auto" w:fill="auto"/>
          </w:tcPr>
          <w:p w14:paraId="10ACEDAC" w14:textId="77777777" w:rsidR="00940332" w:rsidRPr="00D16A97" w:rsidRDefault="00940332" w:rsidP="000B527B">
            <w:pPr>
              <w:pStyle w:val="Tabletext"/>
              <w:keepNext/>
              <w:keepLines/>
              <w:jc w:val="center"/>
              <w:rPr>
                <w:i/>
                <w:iCs/>
                <w:szCs w:val="20"/>
                <w:highlight w:val="yellow"/>
              </w:rPr>
            </w:pPr>
            <w:r w:rsidRPr="00D16A97">
              <w:rPr>
                <w:szCs w:val="20"/>
              </w:rPr>
              <w:t>0.0309</w:t>
            </w:r>
          </w:p>
        </w:tc>
        <w:tc>
          <w:tcPr>
            <w:tcW w:w="1015" w:type="pct"/>
            <w:vMerge/>
            <w:shd w:val="clear" w:color="auto" w:fill="auto"/>
            <w:vAlign w:val="center"/>
          </w:tcPr>
          <w:p w14:paraId="55269668" w14:textId="77777777" w:rsidR="00940332" w:rsidRPr="00D16A97" w:rsidRDefault="00940332" w:rsidP="000B527B">
            <w:pPr>
              <w:pStyle w:val="Tabletext"/>
              <w:keepNext/>
              <w:keepLines/>
              <w:jc w:val="center"/>
              <w:rPr>
                <w:iCs/>
                <w:szCs w:val="20"/>
                <w:highlight w:val="yellow"/>
              </w:rPr>
            </w:pPr>
          </w:p>
        </w:tc>
      </w:tr>
    </w:tbl>
    <w:p w14:paraId="5DF63243" w14:textId="7EA221EB" w:rsidR="00AB12BF" w:rsidRPr="00AB12BF" w:rsidRDefault="00AB12BF" w:rsidP="000B527B">
      <w:pPr>
        <w:keepNext/>
        <w:keepLines/>
        <w:rPr>
          <w:rFonts w:ascii="Arial Narrow" w:hAnsi="Arial Narrow"/>
          <w:iCs/>
          <w:sz w:val="18"/>
          <w:szCs w:val="18"/>
        </w:rPr>
      </w:pPr>
      <w:bookmarkStart w:id="153" w:name="_Toc144920976"/>
      <w:bookmarkStart w:id="154" w:name="_Toc145506604"/>
      <w:r w:rsidRPr="00AB12BF">
        <w:rPr>
          <w:rFonts w:ascii="Arial Narrow" w:hAnsi="Arial Narrow"/>
          <w:iCs/>
          <w:sz w:val="18"/>
          <w:szCs w:val="18"/>
        </w:rPr>
        <w:t>a. The risk-share proposal proposed in the molnupiravir submission means that a fixed price does not apply for molnupiravir. The effective DPMQ for molnupiravir reduces as volume increases. The price applied for molnupiravir in the common model assumes utilisation of oral antivirals of 766,498 units, which is similar to utilisation over the past 12 months, which results in an effective ex-manufacturer price of $</w:t>
      </w:r>
      <w:r w:rsidR="005C2556" w:rsidRPr="005C2556">
        <w:rPr>
          <w:rFonts w:ascii="Arial Narrow" w:hAnsi="Arial Narrow"/>
          <w:iCs/>
          <w:sz w:val="18"/>
          <w:szCs w:val="18"/>
        </w:rPr>
        <w:t xml:space="preserve"> </w:t>
      </w:r>
      <w:r w:rsidR="0003145F" w:rsidRPr="0003145F">
        <w:rPr>
          <w:rFonts w:ascii="Arial Narrow" w:hAnsi="Arial Narrow"/>
          <w:iCs/>
          <w:color w:val="000000"/>
          <w:spacing w:val="36"/>
          <w:sz w:val="18"/>
          <w:szCs w:val="18"/>
          <w:shd w:val="solid" w:color="000000" w:fill="000000"/>
          <w:fitText w:val="268" w:id="-1031606526"/>
          <w14:textFill>
            <w14:solidFill>
              <w14:srgbClr w14:val="000000">
                <w14:alpha w14:val="100000"/>
              </w14:srgbClr>
            </w14:solidFill>
          </w14:textFill>
        </w:rPr>
        <w:t xml:space="preserve">|  </w:t>
      </w:r>
      <w:r w:rsidR="0003145F" w:rsidRPr="0003145F">
        <w:rPr>
          <w:rFonts w:ascii="Arial Narrow" w:hAnsi="Arial Narrow"/>
          <w:iCs/>
          <w:color w:val="000000"/>
          <w:spacing w:val="2"/>
          <w:sz w:val="18"/>
          <w:szCs w:val="18"/>
          <w:shd w:val="solid" w:color="000000" w:fill="000000"/>
          <w:fitText w:val="268" w:id="-1031606526"/>
          <w14:textFill>
            <w14:solidFill>
              <w14:srgbClr w14:val="000000">
                <w14:alpha w14:val="100000"/>
              </w14:srgbClr>
            </w14:solidFill>
          </w14:textFill>
        </w:rPr>
        <w:t>|</w:t>
      </w:r>
      <w:r w:rsidRPr="00AB12BF">
        <w:rPr>
          <w:rFonts w:ascii="Arial Narrow" w:hAnsi="Arial Narrow"/>
          <w:iCs/>
          <w:sz w:val="18"/>
          <w:szCs w:val="18"/>
        </w:rPr>
        <w:t xml:space="preserve"> per pack (equating to an effective DPMQ of $</w:t>
      </w:r>
      <w:r w:rsidR="005C2556" w:rsidRPr="005C2556">
        <w:rPr>
          <w:rFonts w:ascii="Arial Narrow" w:hAnsi="Arial Narrow"/>
          <w:iCs/>
          <w:sz w:val="18"/>
          <w:szCs w:val="18"/>
        </w:rPr>
        <w:t xml:space="preserve"> </w:t>
      </w:r>
      <w:r w:rsidR="0003145F" w:rsidRPr="0003145F">
        <w:rPr>
          <w:rFonts w:ascii="Arial Narrow" w:hAnsi="Arial Narrow"/>
          <w:iCs/>
          <w:color w:val="000000"/>
          <w:spacing w:val="36"/>
          <w:sz w:val="18"/>
          <w:szCs w:val="18"/>
          <w:shd w:val="solid" w:color="000000" w:fill="000000"/>
          <w:fitText w:val="268" w:id="-1031606525"/>
          <w14:textFill>
            <w14:solidFill>
              <w14:srgbClr w14:val="000000">
                <w14:alpha w14:val="100000"/>
              </w14:srgbClr>
            </w14:solidFill>
          </w14:textFill>
        </w:rPr>
        <w:t xml:space="preserve">|  </w:t>
      </w:r>
      <w:r w:rsidR="0003145F" w:rsidRPr="0003145F">
        <w:rPr>
          <w:rFonts w:ascii="Arial Narrow" w:hAnsi="Arial Narrow"/>
          <w:iCs/>
          <w:color w:val="000000"/>
          <w:spacing w:val="2"/>
          <w:sz w:val="18"/>
          <w:szCs w:val="18"/>
          <w:shd w:val="solid" w:color="000000" w:fill="000000"/>
          <w:fitText w:val="268" w:id="-1031606525"/>
          <w14:textFill>
            <w14:solidFill>
              <w14:srgbClr w14:val="000000">
                <w14:alpha w14:val="100000"/>
              </w14:srgbClr>
            </w14:solidFill>
          </w14:textFill>
        </w:rPr>
        <w:t>|</w:t>
      </w:r>
      <w:r w:rsidRPr="00AB12BF">
        <w:rPr>
          <w:rFonts w:ascii="Arial Narrow" w:hAnsi="Arial Narrow"/>
          <w:iCs/>
          <w:sz w:val="18"/>
          <w:szCs w:val="18"/>
        </w:rPr>
        <w:t xml:space="preserve">). </w:t>
      </w:r>
    </w:p>
    <w:p w14:paraId="3696750C" w14:textId="3E062219" w:rsidR="00AB12BF" w:rsidRDefault="00AB12BF" w:rsidP="000B527B">
      <w:pPr>
        <w:keepNext/>
        <w:keepLines/>
        <w:rPr>
          <w:rFonts w:ascii="Arial Narrow" w:hAnsi="Arial Narrow"/>
          <w:sz w:val="18"/>
          <w:szCs w:val="18"/>
        </w:rPr>
      </w:pPr>
      <w:r w:rsidRPr="00AB12BF">
        <w:rPr>
          <w:rFonts w:ascii="Arial Narrow" w:hAnsi="Arial Narrow"/>
          <w:iCs/>
          <w:sz w:val="18"/>
          <w:szCs w:val="18"/>
        </w:rPr>
        <w:t xml:space="preserve">b. The molnupiravir </w:t>
      </w:r>
      <w:r w:rsidRPr="00AB12BF">
        <w:rPr>
          <w:rFonts w:ascii="Arial Narrow" w:hAnsi="Arial Narrow"/>
          <w:sz w:val="18"/>
          <w:szCs w:val="18"/>
        </w:rPr>
        <w:t>weighted DPMQ in the revised scenario is $</w:t>
      </w:r>
      <w:r w:rsidR="005C2556" w:rsidRPr="005C2556">
        <w:rPr>
          <w:rFonts w:ascii="Arial Narrow" w:hAnsi="Arial Narrow"/>
          <w:sz w:val="18"/>
          <w:szCs w:val="18"/>
        </w:rPr>
        <w:t xml:space="preserve"> </w:t>
      </w:r>
      <w:r w:rsidR="0003145F" w:rsidRPr="0003145F">
        <w:rPr>
          <w:rFonts w:ascii="Arial Narrow" w:hAnsi="Arial Narrow"/>
          <w:color w:val="000000"/>
          <w:spacing w:val="9"/>
          <w:sz w:val="18"/>
          <w:szCs w:val="18"/>
          <w:shd w:val="solid" w:color="000000" w:fill="000000"/>
          <w:fitText w:val="281" w:id="-1031606524"/>
          <w14:textFill>
            <w14:solidFill>
              <w14:srgbClr w14:val="000000">
                <w14:alpha w14:val="100000"/>
              </w14:srgbClr>
            </w14:solidFill>
          </w14:textFill>
        </w:rPr>
        <w:t>||  |</w:t>
      </w:r>
      <w:r w:rsidR="0003145F" w:rsidRPr="0003145F">
        <w:rPr>
          <w:rFonts w:ascii="Arial Narrow" w:hAnsi="Arial Narrow"/>
          <w:color w:val="000000"/>
          <w:spacing w:val="1"/>
          <w:sz w:val="18"/>
          <w:szCs w:val="18"/>
          <w:shd w:val="solid" w:color="000000" w:fill="000000"/>
          <w:fitText w:val="281" w:id="-1031606524"/>
          <w14:textFill>
            <w14:solidFill>
              <w14:srgbClr w14:val="000000">
                <w14:alpha w14:val="100000"/>
              </w14:srgbClr>
            </w14:solidFill>
          </w14:textFill>
        </w:rPr>
        <w:t>|</w:t>
      </w:r>
      <w:r w:rsidRPr="00AB12BF">
        <w:rPr>
          <w:rFonts w:ascii="Arial Narrow" w:hAnsi="Arial Narrow"/>
          <w:sz w:val="18"/>
          <w:szCs w:val="18"/>
        </w:rPr>
        <w:t xml:space="preserve"> (</w:t>
      </w:r>
      <w:r w:rsidR="005C2556" w:rsidRPr="005C2556">
        <w:rPr>
          <w:rFonts w:ascii="Arial Narrow" w:hAnsi="Arial Narrow"/>
          <w:sz w:val="18"/>
          <w:szCs w:val="18"/>
        </w:rPr>
        <w:t xml:space="preserve"> </w:t>
      </w:r>
      <w:r w:rsidR="0003145F" w:rsidRPr="0003145F">
        <w:rPr>
          <w:rFonts w:ascii="Arial Narrow" w:hAnsi="Arial Narrow"/>
          <w:color w:val="000000"/>
          <w:spacing w:val="9"/>
          <w:sz w:val="18"/>
          <w:szCs w:val="18"/>
          <w:shd w:val="solid" w:color="000000" w:fill="000000"/>
          <w:fitText w:val="281" w:id="-1031606523"/>
          <w14:textFill>
            <w14:solidFill>
              <w14:srgbClr w14:val="000000">
                <w14:alpha w14:val="100000"/>
              </w14:srgbClr>
            </w14:solidFill>
          </w14:textFill>
        </w:rPr>
        <w:t>||  |</w:t>
      </w:r>
      <w:r w:rsidR="0003145F" w:rsidRPr="0003145F">
        <w:rPr>
          <w:rFonts w:ascii="Arial Narrow" w:hAnsi="Arial Narrow"/>
          <w:color w:val="000000"/>
          <w:spacing w:val="1"/>
          <w:sz w:val="18"/>
          <w:szCs w:val="18"/>
          <w:shd w:val="solid" w:color="000000" w:fill="000000"/>
          <w:fitText w:val="281" w:id="-1031606523"/>
          <w14:textFill>
            <w14:solidFill>
              <w14:srgbClr w14:val="000000">
                <w14:alpha w14:val="100000"/>
              </w14:srgbClr>
            </w14:solidFill>
          </w14:textFill>
        </w:rPr>
        <w:t>|</w:t>
      </w:r>
      <w:r w:rsidRPr="00AB12BF">
        <w:rPr>
          <w:rFonts w:ascii="Arial Narrow" w:hAnsi="Arial Narrow"/>
          <w:sz w:val="18"/>
          <w:szCs w:val="18"/>
        </w:rPr>
        <w:t>% reduction from proposed Tier 1 price DPMQ of $</w:t>
      </w:r>
      <w:r w:rsidR="005C2556" w:rsidRPr="005C2556">
        <w:rPr>
          <w:rFonts w:ascii="Arial Narrow" w:hAnsi="Arial Narrow"/>
          <w:sz w:val="18"/>
          <w:szCs w:val="18"/>
        </w:rPr>
        <w:t xml:space="preserve"> </w:t>
      </w:r>
      <w:r w:rsidR="0003145F" w:rsidRPr="0003145F">
        <w:rPr>
          <w:rFonts w:ascii="Arial Narrow" w:hAnsi="Arial Narrow"/>
          <w:color w:val="000000"/>
          <w:spacing w:val="9"/>
          <w:sz w:val="18"/>
          <w:szCs w:val="18"/>
          <w:shd w:val="solid" w:color="000000" w:fill="000000"/>
          <w:fitText w:val="281" w:id="-1031606522"/>
          <w14:textFill>
            <w14:solidFill>
              <w14:srgbClr w14:val="000000">
                <w14:alpha w14:val="100000"/>
              </w14:srgbClr>
            </w14:solidFill>
          </w14:textFill>
        </w:rPr>
        <w:t>||  |</w:t>
      </w:r>
      <w:r w:rsidR="0003145F" w:rsidRPr="0003145F">
        <w:rPr>
          <w:rFonts w:ascii="Arial Narrow" w:hAnsi="Arial Narrow"/>
          <w:color w:val="000000"/>
          <w:spacing w:val="1"/>
          <w:sz w:val="18"/>
          <w:szCs w:val="18"/>
          <w:shd w:val="solid" w:color="000000" w:fill="000000"/>
          <w:fitText w:val="281" w:id="-1031606522"/>
          <w14:textFill>
            <w14:solidFill>
              <w14:srgbClr w14:val="000000">
                <w14:alpha w14:val="100000"/>
              </w14:srgbClr>
            </w14:solidFill>
          </w14:textFill>
        </w:rPr>
        <w:t>|</w:t>
      </w:r>
      <w:r w:rsidRPr="00AB12BF">
        <w:rPr>
          <w:rFonts w:ascii="Arial Narrow" w:hAnsi="Arial Narrow"/>
          <w:sz w:val="18"/>
          <w:szCs w:val="18"/>
        </w:rPr>
        <w:t xml:space="preserve"> based on AEMP of $</w:t>
      </w:r>
      <w:r w:rsidR="005C2556" w:rsidRPr="005C2556">
        <w:rPr>
          <w:rFonts w:ascii="Arial Narrow" w:hAnsi="Arial Narrow"/>
          <w:sz w:val="18"/>
          <w:szCs w:val="18"/>
        </w:rPr>
        <w:t xml:space="preserve"> </w:t>
      </w:r>
      <w:r w:rsidR="0003145F" w:rsidRPr="0003145F">
        <w:rPr>
          <w:rFonts w:ascii="Arial Narrow" w:hAnsi="Arial Narrow"/>
          <w:color w:val="000000"/>
          <w:spacing w:val="36"/>
          <w:sz w:val="18"/>
          <w:szCs w:val="18"/>
          <w:shd w:val="solid" w:color="000000" w:fill="000000"/>
          <w:fitText w:val="268" w:id="-1031606521"/>
          <w14:textFill>
            <w14:solidFill>
              <w14:srgbClr w14:val="000000">
                <w14:alpha w14:val="100000"/>
              </w14:srgbClr>
            </w14:solidFill>
          </w14:textFill>
        </w:rPr>
        <w:t xml:space="preserve">|  </w:t>
      </w:r>
      <w:r w:rsidR="0003145F" w:rsidRPr="0003145F">
        <w:rPr>
          <w:rFonts w:ascii="Arial Narrow" w:hAnsi="Arial Narrow"/>
          <w:color w:val="000000"/>
          <w:spacing w:val="2"/>
          <w:sz w:val="18"/>
          <w:szCs w:val="18"/>
          <w:shd w:val="solid" w:color="000000" w:fill="000000"/>
          <w:fitText w:val="268" w:id="-1031606521"/>
          <w14:textFill>
            <w14:solidFill>
              <w14:srgbClr w14:val="000000">
                <w14:alpha w14:val="100000"/>
              </w14:srgbClr>
            </w14:solidFill>
          </w14:textFill>
        </w:rPr>
        <w:t>|</w:t>
      </w:r>
      <w:r w:rsidRPr="00AB12BF">
        <w:rPr>
          <w:rFonts w:ascii="Arial Narrow" w:hAnsi="Arial Narrow"/>
          <w:sz w:val="18"/>
          <w:szCs w:val="18"/>
        </w:rPr>
        <w:t>).</w:t>
      </w:r>
    </w:p>
    <w:p w14:paraId="70B551DF" w14:textId="45152879" w:rsidR="00AB12BF" w:rsidRDefault="00AB12BF" w:rsidP="000B527B">
      <w:pPr>
        <w:keepNext/>
        <w:keepLines/>
        <w:rPr>
          <w:rFonts w:ascii="Arial Narrow" w:hAnsi="Arial Narrow"/>
          <w:iCs/>
          <w:sz w:val="18"/>
          <w:szCs w:val="18"/>
        </w:rPr>
      </w:pPr>
      <w:r w:rsidRPr="00AB12BF">
        <w:rPr>
          <w:rFonts w:ascii="Arial Narrow" w:hAnsi="Arial Narrow"/>
          <w:iCs/>
          <w:sz w:val="18"/>
          <w:szCs w:val="18"/>
        </w:rPr>
        <w:t xml:space="preserve">c. The proportions applied in this analysis are 70+= 55%; 50-69 with risk factors =20%; 30+ First Nations with risk factors =16%; 18+ immunocompromised or previously hospitalised for COVID-19 =9%, shown in </w:t>
      </w:r>
      <w:r w:rsidRPr="00AB12BF">
        <w:rPr>
          <w:rFonts w:ascii="Arial Narrow" w:hAnsi="Arial Narrow"/>
          <w:sz w:val="18"/>
          <w:szCs w:val="18"/>
        </w:rPr>
        <w:fldChar w:fldCharType="begin" w:fldLock="1"/>
      </w:r>
      <w:r w:rsidRPr="00AB12BF">
        <w:rPr>
          <w:rFonts w:ascii="Arial Narrow" w:hAnsi="Arial Narrow"/>
          <w:sz w:val="18"/>
          <w:szCs w:val="18"/>
        </w:rPr>
        <w:instrText xml:space="preserve"> REF _Ref150005603 \h  \* MERGEFORMAT </w:instrText>
      </w:r>
      <w:r w:rsidRPr="00AB12BF">
        <w:rPr>
          <w:rFonts w:ascii="Arial Narrow" w:hAnsi="Arial Narrow"/>
          <w:sz w:val="18"/>
          <w:szCs w:val="18"/>
        </w:rPr>
      </w:r>
      <w:r w:rsidRPr="00AB12BF">
        <w:rPr>
          <w:rFonts w:ascii="Arial Narrow" w:hAnsi="Arial Narrow"/>
          <w:sz w:val="18"/>
          <w:szCs w:val="18"/>
        </w:rPr>
        <w:fldChar w:fldCharType="separate"/>
      </w:r>
      <w:r w:rsidRPr="00AB12BF">
        <w:rPr>
          <w:rFonts w:ascii="Arial Narrow" w:hAnsi="Arial Narrow"/>
          <w:sz w:val="18"/>
          <w:szCs w:val="18"/>
        </w:rPr>
        <w:t>Table 25</w:t>
      </w:r>
      <w:r w:rsidRPr="00AB12BF">
        <w:rPr>
          <w:rFonts w:ascii="Arial Narrow" w:hAnsi="Arial Narrow"/>
          <w:sz w:val="18"/>
          <w:szCs w:val="18"/>
        </w:rPr>
        <w:fldChar w:fldCharType="end"/>
      </w:r>
      <w:r w:rsidRPr="00AB12BF">
        <w:rPr>
          <w:rFonts w:ascii="Arial Narrow" w:hAnsi="Arial Narrow"/>
          <w:iCs/>
          <w:sz w:val="18"/>
          <w:szCs w:val="18"/>
        </w:rPr>
        <w:t>.</w:t>
      </w:r>
    </w:p>
    <w:p w14:paraId="4AC254A9" w14:textId="77777777" w:rsidR="00AB12BF" w:rsidRPr="009A6D58" w:rsidRDefault="00AB12BF" w:rsidP="000B527B">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C36B0DD" w14:textId="777A3EB2" w:rsidR="00AB12BF" w:rsidRPr="009A6D58" w:rsidRDefault="00AB12BF" w:rsidP="000B527B">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B12BF">
        <w:rPr>
          <w:rFonts w:ascii="Arial Narrow" w:hAnsi="Arial Narrow"/>
          <w:i/>
          <w:sz w:val="18"/>
          <w:szCs w:val="18"/>
        </w:rPr>
        <w:t>$15,000 to &lt; $25,000</w:t>
      </w:r>
      <w:r>
        <w:rPr>
          <w:rFonts w:ascii="Arial Narrow" w:hAnsi="Arial Narrow"/>
          <w:i/>
          <w:sz w:val="18"/>
          <w:szCs w:val="18"/>
        </w:rPr>
        <w:t xml:space="preserve"> </w:t>
      </w:r>
    </w:p>
    <w:p w14:paraId="792BBD1D" w14:textId="29FFEA1C" w:rsidR="00AB12BF" w:rsidRPr="009A6D58" w:rsidRDefault="00AB12BF" w:rsidP="000B527B">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B12BF">
        <w:rPr>
          <w:rFonts w:ascii="Arial Narrow" w:hAnsi="Arial Narrow"/>
          <w:i/>
          <w:sz w:val="18"/>
          <w:szCs w:val="18"/>
        </w:rPr>
        <w:t>$5,000 to &lt; $15,000</w:t>
      </w:r>
    </w:p>
    <w:p w14:paraId="57BE7F00" w14:textId="649841BD" w:rsidR="00AB12BF" w:rsidRPr="00AB12BF" w:rsidRDefault="00AB12BF" w:rsidP="00AB12BF">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B12BF">
        <w:rPr>
          <w:rFonts w:ascii="Arial Narrow" w:hAnsi="Arial Narrow"/>
          <w:i/>
          <w:sz w:val="18"/>
          <w:szCs w:val="18"/>
        </w:rPr>
        <w:t>$35,000 to &lt; $45,000</w:t>
      </w:r>
      <w:r>
        <w:rPr>
          <w:rFonts w:ascii="Arial Narrow" w:hAnsi="Arial Narrow"/>
          <w:i/>
          <w:sz w:val="18"/>
          <w:szCs w:val="18"/>
        </w:rPr>
        <w:t xml:space="preserve"> </w:t>
      </w:r>
    </w:p>
    <w:p w14:paraId="7A936A79" w14:textId="2790951D" w:rsidR="00940332" w:rsidRPr="00D16A97" w:rsidRDefault="00940332" w:rsidP="00AB12BF">
      <w:pPr>
        <w:pStyle w:val="4-SubsectionHeading"/>
      </w:pPr>
      <w:r w:rsidRPr="00D16A97">
        <w:t>Drug cost/patient/course</w:t>
      </w:r>
      <w:bookmarkEnd w:id="153"/>
      <w:bookmarkEnd w:id="154"/>
    </w:p>
    <w:p w14:paraId="04689255" w14:textId="37C7939D" w:rsidR="00940332" w:rsidRPr="00D16A97" w:rsidRDefault="00940332" w:rsidP="00940332">
      <w:pPr>
        <w:pStyle w:val="3-BodyText"/>
        <w:numPr>
          <w:ilvl w:val="1"/>
          <w:numId w:val="1"/>
        </w:numPr>
      </w:pPr>
      <w:r w:rsidRPr="00D16A97">
        <w:t>The proposed dispensed price per course of treatment with molnupiravir is $</w:t>
      </w:r>
      <w:r w:rsidR="005C2556" w:rsidRPr="005C2556">
        <w:t xml:space="preserve"> </w:t>
      </w:r>
      <w:r w:rsidR="0003145F" w:rsidRPr="0003145F">
        <w:rPr>
          <w:color w:val="000000"/>
          <w:w w:val="60"/>
          <w:shd w:val="solid" w:color="000000" w:fill="000000"/>
          <w:fitText w:val="468" w:id="-1031606520"/>
          <w14:textFill>
            <w14:solidFill>
              <w14:srgbClr w14:val="000000">
                <w14:alpha w14:val="100000"/>
              </w14:srgbClr>
            </w14:solidFill>
          </w14:textFill>
        </w:rPr>
        <w:t>|||  |||</w:t>
      </w:r>
      <w:r w:rsidRPr="00D16A97">
        <w:t xml:space="preserve"> based on the Tier 1 price proposed in the submission. </w:t>
      </w:r>
    </w:p>
    <w:p w14:paraId="4F5323F5" w14:textId="77777777" w:rsidR="00940332" w:rsidRPr="00D16A97" w:rsidRDefault="00940332" w:rsidP="00940332">
      <w:pPr>
        <w:pStyle w:val="4-SubsectionHeading"/>
      </w:pPr>
      <w:r w:rsidRPr="00D16A97">
        <w:t>Estimated PBS usage &amp; financial implications</w:t>
      </w:r>
    </w:p>
    <w:p w14:paraId="43975209" w14:textId="77777777" w:rsidR="00940332" w:rsidRPr="00D16A97" w:rsidRDefault="00940332" w:rsidP="00940332">
      <w:pPr>
        <w:pStyle w:val="3-BodyText"/>
        <w:numPr>
          <w:ilvl w:val="1"/>
          <w:numId w:val="1"/>
        </w:numPr>
      </w:pPr>
      <w:r w:rsidRPr="00D16A97">
        <w:t xml:space="preserve">This submission was not considered by DUSC. </w:t>
      </w:r>
    </w:p>
    <w:p w14:paraId="1F32E98E" w14:textId="08CED1E2" w:rsidR="00940332" w:rsidRPr="006865CE" w:rsidRDefault="00940332" w:rsidP="006865CE">
      <w:pPr>
        <w:pStyle w:val="3-BodyText"/>
        <w:numPr>
          <w:ilvl w:val="1"/>
          <w:numId w:val="1"/>
        </w:numPr>
        <w:rPr>
          <w:b/>
          <w:bCs/>
        </w:rPr>
      </w:pPr>
      <w:bookmarkStart w:id="155" w:name="_Ref148181872"/>
      <w:r w:rsidRPr="00D16A97">
        <w:t xml:space="preserve">Financial estimates in a range of scenarios (base case, low use, medium use, and high use) were presented in the submission. Estimates (corrected) of annual expenditure on molnupiravir range from </w:t>
      </w:r>
      <w:r w:rsidR="006865CE" w:rsidRPr="006865CE">
        <w:t>$100 million to &lt; $200 million</w:t>
      </w:r>
      <w:r w:rsidR="006865CE">
        <w:t xml:space="preserve"> </w:t>
      </w:r>
      <w:r w:rsidRPr="00D16A97">
        <w:t xml:space="preserve">in Year 1 of the low use scenario to </w:t>
      </w:r>
      <w:r w:rsidR="0073350C" w:rsidRPr="0073350C">
        <w:t>$300 million to &lt; $400 million</w:t>
      </w:r>
      <w:r w:rsidR="0073350C">
        <w:t xml:space="preserve"> </w:t>
      </w:r>
      <w:r w:rsidRPr="00D16A97">
        <w:t>in Year 6 in the high use scenario (</w:t>
      </w:r>
      <w:r w:rsidRPr="00D16A97">
        <w:fldChar w:fldCharType="begin" w:fldLock="1"/>
      </w:r>
      <w:r w:rsidRPr="00D16A97">
        <w:instrText xml:space="preserve"> REF _Ref148059847 \h </w:instrText>
      </w:r>
      <w:r w:rsidRPr="00D16A97">
        <w:fldChar w:fldCharType="separate"/>
      </w:r>
      <w:r w:rsidRPr="00D16A97">
        <w:t>Table 27</w:t>
      </w:r>
      <w:r w:rsidRPr="00D16A97">
        <w:fldChar w:fldCharType="end"/>
      </w:r>
      <w:r w:rsidRPr="00D16A97">
        <w:t xml:space="preserve">). </w:t>
      </w:r>
      <w:bookmarkEnd w:id="155"/>
    </w:p>
    <w:p w14:paraId="7F36AE98" w14:textId="77777777" w:rsidR="00940332" w:rsidRPr="00D16A97" w:rsidRDefault="00940332" w:rsidP="00940332">
      <w:pPr>
        <w:pStyle w:val="3-BodyText"/>
        <w:numPr>
          <w:ilvl w:val="1"/>
          <w:numId w:val="1"/>
        </w:numPr>
        <w:rPr>
          <w:iCs/>
        </w:rPr>
      </w:pPr>
      <w:bookmarkStart w:id="156" w:name="_Ref148181874"/>
      <w:bookmarkStart w:id="157" w:name="_Ref151029363"/>
      <w:r w:rsidRPr="00D16A97">
        <w:t>The submission claimed that, based on feedback from GPs regarding the broad range of situations where nirmatrelvir and ritonavir is unsuitable</w:t>
      </w:r>
      <w:r w:rsidRPr="00780B46">
        <w:t>, a 55%</w:t>
      </w:r>
      <w:r w:rsidRPr="00D16A97">
        <w:t xml:space="preserve"> market share for molnupiravir should be maintained. </w:t>
      </w:r>
      <w:r w:rsidRPr="00D16A97">
        <w:rPr>
          <w:iCs/>
        </w:rPr>
        <w:t xml:space="preserve">The ESC considered this was an overestimate of </w:t>
      </w:r>
      <w:r w:rsidRPr="00D16A97">
        <w:rPr>
          <w:iCs/>
        </w:rPr>
        <w:lastRenderedPageBreak/>
        <w:t>the extent of use that would be appropriate for molnupiravir, given that dose reductions or pausing of treatments that potentially interact with nirmatrelvir and ritonavir is possible in a substantial proportion of patients in whom a potential interaction is reported</w:t>
      </w:r>
      <w:bookmarkEnd w:id="156"/>
      <w:r w:rsidRPr="00D16A97">
        <w:rPr>
          <w:iCs/>
        </w:rPr>
        <w:t>. The PBAC noted that some sources estimated a much lower proportion of patients would be unsuitable for treatment with nirmatrelvir and ritonavir, such as t</w:t>
      </w:r>
      <w:r w:rsidRPr="00D16A97">
        <w:t>wo publications that reported approximately 15% of patients had a possible contraindication (Lim 2022</w:t>
      </w:r>
      <w:r w:rsidRPr="00D16A97">
        <w:rPr>
          <w:rStyle w:val="FootnoteReference"/>
        </w:rPr>
        <w:footnoteReference w:id="30"/>
      </w:r>
      <w:r w:rsidRPr="00D16A97">
        <w:t xml:space="preserve"> and Hoertel 2022</w:t>
      </w:r>
      <w:r w:rsidRPr="00D16A97">
        <w:rPr>
          <w:rStyle w:val="FootnoteReference"/>
        </w:rPr>
        <w:footnoteReference w:id="31"/>
      </w:r>
      <w:r w:rsidRPr="00D16A97">
        <w:t>)</w:t>
      </w:r>
      <w:bookmarkEnd w:id="157"/>
      <w:r w:rsidRPr="00D16A97">
        <w:t>. The PBAC noted that the utilisation of molnupiravir in Australia appeared relatively high compared with other countries, for example in September 2023 it was reported that molnupiravir had comprised approximately 3% of all oral antiviral dispensing in New Zealand in recent months</w:t>
      </w:r>
      <w:r w:rsidRPr="00D16A97">
        <w:rPr>
          <w:rStyle w:val="FootnoteReference"/>
        </w:rPr>
        <w:footnoteReference w:id="32"/>
      </w:r>
      <w:r w:rsidRPr="00D16A97">
        <w:t>.</w:t>
      </w:r>
    </w:p>
    <w:p w14:paraId="6FD4FE64" w14:textId="77777777" w:rsidR="00940332" w:rsidRPr="00D16A97" w:rsidRDefault="00940332" w:rsidP="00940332">
      <w:pPr>
        <w:pStyle w:val="3-BodyText"/>
        <w:numPr>
          <w:ilvl w:val="1"/>
          <w:numId w:val="1"/>
        </w:numPr>
      </w:pPr>
      <w:r w:rsidRPr="00D16A97">
        <w:t xml:space="preserve">The submission modelled scenarios reflecting COVID waves of varying amplitudes based on variations observed in annual flu waves. The submission described these as follows: </w:t>
      </w:r>
    </w:p>
    <w:p w14:paraId="59304839" w14:textId="77777777" w:rsidR="00940332" w:rsidRPr="00D16A97" w:rsidRDefault="00940332" w:rsidP="00940332">
      <w:pPr>
        <w:pStyle w:val="3-BodyText"/>
        <w:numPr>
          <w:ilvl w:val="1"/>
          <w:numId w:val="28"/>
        </w:numPr>
        <w:ind w:left="1145" w:hanging="425"/>
      </w:pPr>
      <w:r w:rsidRPr="00D16A97">
        <w:t xml:space="preserve">Base Case: to reflect an annual mild OAV wave, analogous to that observed in 2023 (19 week wave) with the remaining weeks estimated at background rate (4,372 OAV scripts, lowest week to date). </w:t>
      </w:r>
    </w:p>
    <w:p w14:paraId="2C4FA353" w14:textId="77777777" w:rsidR="00940332" w:rsidRPr="00D16A97" w:rsidRDefault="00940332" w:rsidP="00940332">
      <w:pPr>
        <w:pStyle w:val="3-BodyText"/>
        <w:numPr>
          <w:ilvl w:val="1"/>
          <w:numId w:val="28"/>
        </w:numPr>
        <w:ind w:left="1145" w:hanging="425"/>
      </w:pPr>
      <w:r w:rsidRPr="00D16A97">
        <w:t xml:space="preserve">Low scenario: based on 52 weeks of usage at the background rate (lowest OAV week so far). </w:t>
      </w:r>
    </w:p>
    <w:p w14:paraId="06398138" w14:textId="77777777" w:rsidR="00940332" w:rsidRPr="00D16A97" w:rsidRDefault="00940332" w:rsidP="00940332">
      <w:pPr>
        <w:pStyle w:val="3-BodyText"/>
        <w:numPr>
          <w:ilvl w:val="1"/>
          <w:numId w:val="28"/>
        </w:numPr>
        <w:ind w:left="1145" w:hanging="425"/>
      </w:pPr>
      <w:r w:rsidRPr="00D16A97">
        <w:t>Medium scenario: analogous to two mild waves.</w:t>
      </w:r>
    </w:p>
    <w:p w14:paraId="671F018E" w14:textId="77777777" w:rsidR="00940332" w:rsidRPr="00D16A97" w:rsidRDefault="00940332" w:rsidP="00940332">
      <w:pPr>
        <w:pStyle w:val="3-BodyText"/>
        <w:numPr>
          <w:ilvl w:val="1"/>
          <w:numId w:val="28"/>
        </w:numPr>
        <w:ind w:left="1145" w:hanging="425"/>
      </w:pPr>
      <w:r w:rsidRPr="00D16A97">
        <w:t xml:space="preserve">High scenario: OAV scripts as observed in the 12 months ending August 2023 accounting for a large spike in utilisation as per Dec 22-Jan 23. </w:t>
      </w:r>
    </w:p>
    <w:p w14:paraId="2B8B97FA" w14:textId="38994C6B" w:rsidR="00940332" w:rsidRPr="00D16A97" w:rsidRDefault="00940332" w:rsidP="00940332">
      <w:pPr>
        <w:pStyle w:val="3-BodyText"/>
        <w:numPr>
          <w:ilvl w:val="1"/>
          <w:numId w:val="1"/>
        </w:numPr>
      </w:pPr>
      <w:bookmarkStart w:id="158" w:name="_Ref150945639"/>
      <w:r w:rsidRPr="00D16A97">
        <w:t xml:space="preserve">The submission stated that the Prescriber bag listing (Medical Practitioner and Nurse Practitioner) for molnupiravir (PBS item 13144T) may no longer be necessary, due to relatively low utilisation, and did not estimate utilisation for this item. The July 2023 submission estimated approximately </w:t>
      </w:r>
      <w:r w:rsidR="00B23905" w:rsidRPr="00B23905">
        <w:t>10,000 to &lt; 20,000</w:t>
      </w:r>
      <w:r w:rsidR="00B23905">
        <w:t xml:space="preserve"> </w:t>
      </w:r>
      <w:r w:rsidRPr="00D16A97">
        <w:t xml:space="preserve">Prescriber Bag prescriptions per year over six years, compared with </w:t>
      </w:r>
      <w:r w:rsidR="00B23905" w:rsidRPr="00B23905">
        <w:t>600,000 to &lt; 700,000</w:t>
      </w:r>
      <w:r w:rsidR="00B23905">
        <w:t xml:space="preserve"> </w:t>
      </w:r>
      <w:r w:rsidRPr="00D16A97">
        <w:t xml:space="preserve">prescriptions each year for the General Schedule listing of molnupiravir (Table 17). If the Prescriber bag listing is maintained, the utilisation for this item (shown in </w:t>
      </w:r>
      <w:r w:rsidRPr="00D16A97">
        <w:fldChar w:fldCharType="begin" w:fldLock="1"/>
      </w:r>
      <w:r w:rsidRPr="00D16A97">
        <w:instrText xml:space="preserve"> REF _Ref104805295 \h </w:instrText>
      </w:r>
      <w:r w:rsidRPr="00D16A97">
        <w:fldChar w:fldCharType="separate"/>
      </w:r>
      <w:r w:rsidRPr="00D16A97">
        <w:t>Table 17</w:t>
      </w:r>
      <w:r w:rsidRPr="00D16A97">
        <w:fldChar w:fldCharType="end"/>
      </w:r>
      <w:r w:rsidRPr="00D16A97">
        <w:t>) must be added to the estimates.</w:t>
      </w:r>
      <w:bookmarkEnd w:id="158"/>
    </w:p>
    <w:p w14:paraId="2552212C" w14:textId="77777777" w:rsidR="00940332" w:rsidRPr="00D16A97" w:rsidRDefault="00940332" w:rsidP="00940332">
      <w:pPr>
        <w:pStyle w:val="3-BodyText"/>
        <w:numPr>
          <w:ilvl w:val="1"/>
          <w:numId w:val="1"/>
        </w:numPr>
      </w:pPr>
      <w:r w:rsidRPr="00D16A97">
        <w:t xml:space="preserve">Financial estimates presented in the submission (corrected to apply the appropriate dispensed prices) are summarised in </w:t>
      </w:r>
      <w:r w:rsidRPr="00D16A97">
        <w:fldChar w:fldCharType="begin" w:fldLock="1"/>
      </w:r>
      <w:r w:rsidRPr="00D16A97">
        <w:instrText xml:space="preserve"> REF _Ref148059847 \h </w:instrText>
      </w:r>
      <w:r w:rsidRPr="00D16A97">
        <w:fldChar w:fldCharType="separate"/>
      </w:r>
      <w:r w:rsidRPr="00D16A97">
        <w:t>Table 27</w:t>
      </w:r>
      <w:r w:rsidRPr="00D16A97">
        <w:fldChar w:fldCharType="end"/>
      </w:r>
      <w:r w:rsidRPr="00D16A97">
        <w:t xml:space="preserve">. Note, this table </w:t>
      </w:r>
      <w:r w:rsidRPr="00D16A97">
        <w:lastRenderedPageBreak/>
        <w:t>assumes the proposed price tiers apply for 6 years (however the submission proposed a three year deed).</w:t>
      </w:r>
    </w:p>
    <w:p w14:paraId="5ACF562C" w14:textId="77777777" w:rsidR="00940332" w:rsidRPr="00D16A97" w:rsidRDefault="00940332" w:rsidP="00940332">
      <w:pPr>
        <w:pStyle w:val="Caption"/>
        <w:rPr>
          <w:bCs w:val="0"/>
        </w:rPr>
      </w:pPr>
      <w:bookmarkStart w:id="159" w:name="_Ref148059847"/>
      <w:r w:rsidRPr="00D16A97">
        <w:t xml:space="preserve">Table </w:t>
      </w:r>
      <w:r w:rsidR="00567EAC">
        <w:fldChar w:fldCharType="begin" w:fldLock="1"/>
      </w:r>
      <w:r w:rsidR="00567EAC">
        <w:instrText xml:space="preserve"> SEQ Table \* ARABIC </w:instrText>
      </w:r>
      <w:r w:rsidR="00567EAC">
        <w:fldChar w:fldCharType="separate"/>
      </w:r>
      <w:r w:rsidRPr="00D16A97">
        <w:t>27</w:t>
      </w:r>
      <w:r w:rsidR="00567EAC">
        <w:fldChar w:fldCharType="end"/>
      </w:r>
      <w:bookmarkEnd w:id="159"/>
      <w:r w:rsidRPr="00D16A97">
        <w:t>:</w:t>
      </w:r>
      <w:r w:rsidRPr="00D16A97">
        <w:tab/>
        <w:t>Financial estimates proposed in the submission</w:t>
      </w:r>
      <w:r w:rsidRPr="00D16A97">
        <w:rPr>
          <w:vertAlign w:val="superscript"/>
        </w:rPr>
        <w:t>a</w:t>
      </w:r>
    </w:p>
    <w:tbl>
      <w:tblPr>
        <w:tblStyle w:val="TableGrid"/>
        <w:tblW w:w="8995" w:type="dxa"/>
        <w:tblCellMar>
          <w:left w:w="28" w:type="dxa"/>
          <w:right w:w="28" w:type="dxa"/>
        </w:tblCellMar>
        <w:tblLook w:val="04A0" w:firstRow="1" w:lastRow="0" w:firstColumn="1" w:lastColumn="0" w:noHBand="0" w:noVBand="1"/>
      </w:tblPr>
      <w:tblGrid>
        <w:gridCol w:w="1769"/>
        <w:gridCol w:w="1226"/>
        <w:gridCol w:w="1200"/>
        <w:gridCol w:w="1200"/>
        <w:gridCol w:w="1200"/>
        <w:gridCol w:w="1200"/>
        <w:gridCol w:w="1200"/>
      </w:tblGrid>
      <w:tr w:rsidR="00940332" w:rsidRPr="00D16A97" w14:paraId="54F92BA3" w14:textId="77777777" w:rsidTr="00192D14">
        <w:trPr>
          <w:trHeight w:val="475"/>
        </w:trPr>
        <w:tc>
          <w:tcPr>
            <w:tcW w:w="1769" w:type="dxa"/>
            <w:shd w:val="clear" w:color="auto" w:fill="F2F2F2" w:themeFill="background1" w:themeFillShade="F2"/>
            <w:vAlign w:val="center"/>
          </w:tcPr>
          <w:p w14:paraId="5F29B0DF" w14:textId="77777777" w:rsidR="00940332" w:rsidRPr="00D16A97" w:rsidRDefault="00940332" w:rsidP="00192D14">
            <w:pPr>
              <w:keepNext/>
              <w:spacing w:line="259" w:lineRule="auto"/>
              <w:jc w:val="left"/>
              <w:rPr>
                <w:rFonts w:ascii="Arial Narrow" w:hAnsi="Arial Narrow"/>
                <w:b/>
                <w:bCs/>
                <w:sz w:val="20"/>
                <w:szCs w:val="20"/>
              </w:rPr>
            </w:pPr>
            <w:r w:rsidRPr="00D16A97">
              <w:rPr>
                <w:rFonts w:ascii="Arial Narrow" w:hAnsi="Arial Narrow"/>
                <w:b/>
                <w:bCs/>
                <w:sz w:val="20"/>
                <w:szCs w:val="20"/>
              </w:rPr>
              <w:t xml:space="preserve"> Base case</w:t>
            </w:r>
          </w:p>
        </w:tc>
        <w:tc>
          <w:tcPr>
            <w:tcW w:w="1226" w:type="dxa"/>
            <w:shd w:val="clear" w:color="auto" w:fill="F2F2F2" w:themeFill="background1" w:themeFillShade="F2"/>
            <w:vAlign w:val="center"/>
          </w:tcPr>
          <w:p w14:paraId="5D734183"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2024</w:t>
            </w:r>
          </w:p>
        </w:tc>
        <w:tc>
          <w:tcPr>
            <w:tcW w:w="1200" w:type="dxa"/>
            <w:shd w:val="clear" w:color="auto" w:fill="F2F2F2" w:themeFill="background1" w:themeFillShade="F2"/>
            <w:vAlign w:val="center"/>
          </w:tcPr>
          <w:p w14:paraId="29A52B03"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2025</w:t>
            </w:r>
          </w:p>
        </w:tc>
        <w:tc>
          <w:tcPr>
            <w:tcW w:w="1200" w:type="dxa"/>
            <w:shd w:val="clear" w:color="auto" w:fill="F2F2F2" w:themeFill="background1" w:themeFillShade="F2"/>
            <w:vAlign w:val="center"/>
          </w:tcPr>
          <w:p w14:paraId="406FE58F"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2026</w:t>
            </w:r>
          </w:p>
        </w:tc>
        <w:tc>
          <w:tcPr>
            <w:tcW w:w="1200" w:type="dxa"/>
            <w:shd w:val="clear" w:color="auto" w:fill="F2F2F2" w:themeFill="background1" w:themeFillShade="F2"/>
            <w:vAlign w:val="center"/>
          </w:tcPr>
          <w:p w14:paraId="1FC68621"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2027</w:t>
            </w:r>
          </w:p>
        </w:tc>
        <w:tc>
          <w:tcPr>
            <w:tcW w:w="1200" w:type="dxa"/>
            <w:shd w:val="clear" w:color="auto" w:fill="F2F2F2" w:themeFill="background1" w:themeFillShade="F2"/>
            <w:vAlign w:val="center"/>
          </w:tcPr>
          <w:p w14:paraId="1E145809"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2028</w:t>
            </w:r>
          </w:p>
        </w:tc>
        <w:tc>
          <w:tcPr>
            <w:tcW w:w="1200" w:type="dxa"/>
            <w:shd w:val="clear" w:color="auto" w:fill="F2F2F2" w:themeFill="background1" w:themeFillShade="F2"/>
            <w:vAlign w:val="center"/>
          </w:tcPr>
          <w:p w14:paraId="0D822604" w14:textId="77777777" w:rsidR="00940332" w:rsidRPr="00D16A97" w:rsidRDefault="00940332" w:rsidP="00192D14">
            <w:pPr>
              <w:keepNext/>
              <w:spacing w:line="259" w:lineRule="auto"/>
              <w:jc w:val="center"/>
              <w:rPr>
                <w:rFonts w:ascii="Arial Narrow" w:hAnsi="Arial Narrow"/>
                <w:b/>
                <w:bCs/>
                <w:sz w:val="20"/>
                <w:szCs w:val="20"/>
              </w:rPr>
            </w:pPr>
            <w:r w:rsidRPr="00D16A97">
              <w:rPr>
                <w:rFonts w:ascii="Arial Narrow" w:hAnsi="Arial Narrow"/>
                <w:b/>
                <w:bCs/>
                <w:sz w:val="20"/>
                <w:szCs w:val="20"/>
              </w:rPr>
              <w:t>2029</w:t>
            </w:r>
          </w:p>
        </w:tc>
      </w:tr>
      <w:tr w:rsidR="00940332" w:rsidRPr="00D16A97" w14:paraId="7517B104" w14:textId="77777777" w:rsidTr="00192D14">
        <w:tc>
          <w:tcPr>
            <w:tcW w:w="1769" w:type="dxa"/>
            <w:vAlign w:val="center"/>
          </w:tcPr>
          <w:p w14:paraId="760BF14A" w14:textId="77777777" w:rsidR="00940332" w:rsidRPr="00D16A97" w:rsidRDefault="00940332" w:rsidP="00192D14">
            <w:pPr>
              <w:keepNext/>
              <w:spacing w:line="259" w:lineRule="auto"/>
              <w:jc w:val="left"/>
              <w:rPr>
                <w:rFonts w:ascii="Arial Narrow" w:hAnsi="Arial Narrow"/>
                <w:sz w:val="20"/>
                <w:szCs w:val="20"/>
              </w:rPr>
            </w:pPr>
            <w:r w:rsidRPr="00D16A97">
              <w:rPr>
                <w:rFonts w:ascii="Arial Narrow" w:hAnsi="Arial Narrow"/>
                <w:sz w:val="20"/>
                <w:szCs w:val="20"/>
              </w:rPr>
              <w:t>Total OAV market</w:t>
            </w:r>
          </w:p>
        </w:tc>
        <w:tc>
          <w:tcPr>
            <w:tcW w:w="1226" w:type="dxa"/>
            <w:vAlign w:val="center"/>
          </w:tcPr>
          <w:p w14:paraId="4334A55C" w14:textId="6F8428D6"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519"/>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519"/>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519"/>
                <w14:textFill>
                  <w14:solidFill>
                    <w14:srgbClr w14:val="000000">
                      <w14:alpha w14:val="100000"/>
                    </w14:srgbClr>
                  </w14:solidFill>
                </w14:textFill>
              </w:rPr>
              <w:t xml:space="preserve">　</w:t>
            </w:r>
            <w:r w:rsidR="00B23905" w:rsidRPr="00B23905">
              <w:rPr>
                <w:rFonts w:ascii="Arial Narrow" w:hAnsi="Arial Narrow"/>
                <w:sz w:val="20"/>
                <w:szCs w:val="20"/>
                <w:vertAlign w:val="superscript"/>
              </w:rPr>
              <w:t>1</w:t>
            </w:r>
          </w:p>
        </w:tc>
        <w:tc>
          <w:tcPr>
            <w:tcW w:w="1200" w:type="dxa"/>
            <w:vAlign w:val="center"/>
          </w:tcPr>
          <w:p w14:paraId="55B88F77" w14:textId="75F406B5"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51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518"/>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518"/>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2464A84A" w14:textId="1717C426"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51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517"/>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517"/>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4498F37A" w14:textId="40FBC851"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51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516"/>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516"/>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3AC16BEF" w14:textId="23291CA6"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515"/>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515"/>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515"/>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295676C8" w14:textId="77A2D0BA"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514"/>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514"/>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514"/>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r>
      <w:tr w:rsidR="00940332" w:rsidRPr="00D16A97" w14:paraId="71A1F508" w14:textId="77777777" w:rsidTr="00192D14">
        <w:tc>
          <w:tcPr>
            <w:tcW w:w="1769" w:type="dxa"/>
            <w:vAlign w:val="center"/>
          </w:tcPr>
          <w:p w14:paraId="28EEE8E8" w14:textId="77777777" w:rsidR="00940332" w:rsidRPr="00D16A97" w:rsidRDefault="00940332" w:rsidP="00192D14">
            <w:pPr>
              <w:keepNext/>
              <w:spacing w:line="259" w:lineRule="auto"/>
              <w:ind w:left="255"/>
              <w:jc w:val="left"/>
              <w:rPr>
                <w:rFonts w:ascii="Arial Narrow" w:hAnsi="Arial Narrow"/>
                <w:sz w:val="20"/>
                <w:szCs w:val="20"/>
              </w:rPr>
            </w:pPr>
            <w:r w:rsidRPr="00D16A97">
              <w:rPr>
                <w:rFonts w:ascii="Arial Narrow" w:hAnsi="Arial Narrow"/>
                <w:sz w:val="20"/>
                <w:szCs w:val="20"/>
              </w:rPr>
              <w:t>Molnupiravir Rx</w:t>
            </w:r>
          </w:p>
        </w:tc>
        <w:tc>
          <w:tcPr>
            <w:tcW w:w="1226" w:type="dxa"/>
            <w:vAlign w:val="center"/>
          </w:tcPr>
          <w:p w14:paraId="7069C8E5" w14:textId="42284408"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513"/>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513"/>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513"/>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254CF75F" w14:textId="79055FC2"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512"/>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512"/>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512"/>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14BACCDC" w14:textId="6A4C4BC0"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52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528"/>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528"/>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5D51C320" w14:textId="5152D8DF"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52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527"/>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527"/>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24B78D1A" w14:textId="4A33511E"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52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526"/>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526"/>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30ACD631" w14:textId="6A4FBDD5"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525"/>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525"/>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525"/>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r>
      <w:tr w:rsidR="00940332" w:rsidRPr="00D16A97" w14:paraId="3A0FA91E" w14:textId="77777777" w:rsidTr="00192D14">
        <w:tc>
          <w:tcPr>
            <w:tcW w:w="1769" w:type="dxa"/>
            <w:vAlign w:val="center"/>
          </w:tcPr>
          <w:p w14:paraId="6D422EF0" w14:textId="76AAFBAB"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Effective average DPMQ</w:t>
            </w:r>
            <w:r w:rsidR="0061435A">
              <w:rPr>
                <w:rFonts w:ascii="Arial Narrow" w:hAnsi="Arial Narrow"/>
                <w:sz w:val="20"/>
                <w:szCs w:val="20"/>
              </w:rPr>
              <w:t xml:space="preserve"> ($)</w:t>
            </w:r>
          </w:p>
        </w:tc>
        <w:tc>
          <w:tcPr>
            <w:tcW w:w="1226" w:type="dxa"/>
            <w:vAlign w:val="center"/>
          </w:tcPr>
          <w:p w14:paraId="1F0F90EB" w14:textId="5535222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33375838" w14:textId="5ABCD8B7"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6D4035CE" w14:textId="2EEE0D62"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535D1B64" w14:textId="767E6A9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35F0B966" w14:textId="2248C933"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6F05515F" w14:textId="1B973E4A"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5ADE670E" w14:textId="77777777" w:rsidTr="00192D14">
        <w:tc>
          <w:tcPr>
            <w:tcW w:w="1769" w:type="dxa"/>
            <w:vAlign w:val="center"/>
          </w:tcPr>
          <w:p w14:paraId="05D7A444" w14:textId="77777777" w:rsidR="00940332" w:rsidRPr="00D16A97" w:rsidRDefault="00940332" w:rsidP="00192D14">
            <w:pPr>
              <w:keepNext/>
              <w:spacing w:line="259" w:lineRule="auto"/>
              <w:jc w:val="left"/>
              <w:rPr>
                <w:rFonts w:ascii="Arial Narrow" w:hAnsi="Arial Narrow"/>
                <w:b/>
                <w:bCs/>
                <w:sz w:val="20"/>
                <w:szCs w:val="20"/>
              </w:rPr>
            </w:pPr>
            <w:r w:rsidRPr="00D16A97">
              <w:rPr>
                <w:rFonts w:ascii="Arial Narrow" w:hAnsi="Arial Narrow"/>
                <w:b/>
                <w:bCs/>
                <w:sz w:val="20"/>
                <w:szCs w:val="20"/>
              </w:rPr>
              <w:t>Total effective PBS expenditure for molnupiravir</w:t>
            </w:r>
          </w:p>
        </w:tc>
        <w:tc>
          <w:tcPr>
            <w:tcW w:w="1226" w:type="dxa"/>
            <w:vAlign w:val="center"/>
          </w:tcPr>
          <w:p w14:paraId="3CC5794E" w14:textId="2DE97DE4"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51" w:id="-1031606524"/>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51" w:id="-1031606524"/>
                <w14:textFill>
                  <w14:solidFill>
                    <w14:srgbClr w14:val="000000">
                      <w14:alpha w14:val="100000"/>
                    </w14:srgbClr>
                  </w14:solidFill>
                </w14:textFill>
              </w:rPr>
              <w:t>|</w:t>
            </w:r>
            <w:r w:rsidR="0003145F" w:rsidRPr="0003145F">
              <w:rPr>
                <w:rFonts w:ascii="Arial Narrow" w:hAnsi="Arial Narrow" w:hint="eastAsia"/>
                <w:b/>
                <w:bCs/>
                <w:color w:val="000000"/>
                <w:spacing w:val="-15"/>
                <w:w w:val="15"/>
                <w:sz w:val="20"/>
                <w:szCs w:val="20"/>
                <w:shd w:val="solid" w:color="000000" w:fill="000000"/>
                <w:fitText w:val="51" w:id="-1031606524"/>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7ECB6C70" w14:textId="67CBFEF0"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523"/>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523"/>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523"/>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5D0C1359" w14:textId="17E149FD"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52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522"/>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522"/>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334F378B" w14:textId="304103E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521"/>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521"/>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521"/>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01128CCB" w14:textId="40CFE871"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520"/>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520"/>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520"/>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3FAFEB30" w14:textId="68FC66EA"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519"/>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519"/>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519"/>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r>
      <w:tr w:rsidR="00940332" w:rsidRPr="00D16A97" w14:paraId="0E0A4302" w14:textId="77777777" w:rsidTr="00192D14">
        <w:tc>
          <w:tcPr>
            <w:tcW w:w="1769" w:type="dxa"/>
            <w:vAlign w:val="center"/>
          </w:tcPr>
          <w:p w14:paraId="2124687E" w14:textId="77777777"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Patient co-payments</w:t>
            </w:r>
          </w:p>
        </w:tc>
        <w:tc>
          <w:tcPr>
            <w:tcW w:w="1226" w:type="dxa"/>
            <w:vAlign w:val="center"/>
          </w:tcPr>
          <w:p w14:paraId="0CC96C8A" w14:textId="133AFF70"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518"/>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518"/>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518"/>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2655978B" w14:textId="468BF13E"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51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517"/>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517"/>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3CA365D2" w14:textId="181A16D2"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51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516"/>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516"/>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6385F736" w14:textId="0F3DFF1D"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515"/>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515"/>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515"/>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2569CF3A" w14:textId="5FA9C466"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514"/>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514"/>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514"/>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673F9A2B" w14:textId="2A3AAED4"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513"/>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513"/>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513"/>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r>
      <w:tr w:rsidR="00940332" w:rsidRPr="00D16A97" w14:paraId="2679176A" w14:textId="77777777" w:rsidTr="00192D14">
        <w:tc>
          <w:tcPr>
            <w:tcW w:w="1769" w:type="dxa"/>
            <w:vAlign w:val="center"/>
          </w:tcPr>
          <w:p w14:paraId="3AB95FF8" w14:textId="77777777" w:rsidR="00940332" w:rsidRPr="00D16A97" w:rsidRDefault="00940332" w:rsidP="00192D14">
            <w:pPr>
              <w:keepNext/>
              <w:jc w:val="left"/>
              <w:rPr>
                <w:rFonts w:ascii="Arial Narrow" w:hAnsi="Arial Narrow"/>
                <w:b/>
                <w:bCs/>
                <w:sz w:val="20"/>
                <w:szCs w:val="20"/>
              </w:rPr>
            </w:pPr>
            <w:r w:rsidRPr="00D16A97">
              <w:rPr>
                <w:rFonts w:ascii="Arial Narrow" w:hAnsi="Arial Narrow"/>
                <w:b/>
                <w:bCs/>
                <w:sz w:val="20"/>
                <w:szCs w:val="20"/>
              </w:rPr>
              <w:t>Net government expenditure</w:t>
            </w:r>
          </w:p>
        </w:tc>
        <w:tc>
          <w:tcPr>
            <w:tcW w:w="1226" w:type="dxa"/>
            <w:vAlign w:val="center"/>
          </w:tcPr>
          <w:p w14:paraId="74A3886E" w14:textId="549207C0"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51" w:id="-103160651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51" w:id="-1031606512"/>
                <w14:textFill>
                  <w14:solidFill>
                    <w14:srgbClr w14:val="000000">
                      <w14:alpha w14:val="100000"/>
                    </w14:srgbClr>
                  </w14:solidFill>
                </w14:textFill>
              </w:rPr>
              <w:t>|</w:t>
            </w:r>
            <w:r w:rsidR="0003145F" w:rsidRPr="0003145F">
              <w:rPr>
                <w:rFonts w:ascii="Arial Narrow" w:hAnsi="Arial Narrow" w:hint="eastAsia"/>
                <w:b/>
                <w:bCs/>
                <w:color w:val="000000"/>
                <w:spacing w:val="-15"/>
                <w:w w:val="15"/>
                <w:sz w:val="20"/>
                <w:szCs w:val="20"/>
                <w:shd w:val="solid" w:color="000000" w:fill="000000"/>
                <w:fitText w:val="51" w:id="-1031606512"/>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40B5CDE9" w14:textId="6FB68BB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528"/>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528"/>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528"/>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19A9377E" w14:textId="1599E51C"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527"/>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527"/>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527"/>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0BC29A11" w14:textId="3580A3A4"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526"/>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526"/>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526"/>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439D47FB" w14:textId="352A3D89"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7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72"/>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72"/>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03DF3ECE" w14:textId="063D9938"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71"/>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71"/>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71"/>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r>
      <w:tr w:rsidR="00940332" w:rsidRPr="00D16A97" w14:paraId="4C2BC92A" w14:textId="77777777" w:rsidTr="00192D14">
        <w:tc>
          <w:tcPr>
            <w:tcW w:w="1769" w:type="dxa"/>
            <w:shd w:val="clear" w:color="auto" w:fill="F2F2F2" w:themeFill="background1" w:themeFillShade="F2"/>
            <w:vAlign w:val="center"/>
          </w:tcPr>
          <w:p w14:paraId="0E84084A" w14:textId="77777777" w:rsidR="00940332" w:rsidRPr="00D16A97" w:rsidRDefault="00940332" w:rsidP="00192D14">
            <w:pPr>
              <w:keepNext/>
              <w:jc w:val="left"/>
              <w:rPr>
                <w:rFonts w:ascii="Arial Narrow" w:hAnsi="Arial Narrow"/>
                <w:sz w:val="20"/>
                <w:szCs w:val="20"/>
              </w:rPr>
            </w:pPr>
            <w:r w:rsidRPr="00D16A97">
              <w:rPr>
                <w:rFonts w:ascii="Arial Narrow" w:hAnsi="Arial Narrow"/>
                <w:b/>
                <w:bCs/>
                <w:sz w:val="20"/>
                <w:szCs w:val="20"/>
              </w:rPr>
              <w:t>Low case</w:t>
            </w:r>
          </w:p>
        </w:tc>
        <w:tc>
          <w:tcPr>
            <w:tcW w:w="1226" w:type="dxa"/>
            <w:shd w:val="clear" w:color="auto" w:fill="F2F2F2" w:themeFill="background1" w:themeFillShade="F2"/>
            <w:vAlign w:val="center"/>
          </w:tcPr>
          <w:p w14:paraId="7A3EBCFF"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2024</w:t>
            </w:r>
          </w:p>
        </w:tc>
        <w:tc>
          <w:tcPr>
            <w:tcW w:w="1200" w:type="dxa"/>
            <w:shd w:val="clear" w:color="auto" w:fill="F2F2F2" w:themeFill="background1" w:themeFillShade="F2"/>
            <w:vAlign w:val="center"/>
          </w:tcPr>
          <w:p w14:paraId="53E572BB"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2025</w:t>
            </w:r>
          </w:p>
        </w:tc>
        <w:tc>
          <w:tcPr>
            <w:tcW w:w="1200" w:type="dxa"/>
            <w:shd w:val="clear" w:color="auto" w:fill="F2F2F2" w:themeFill="background1" w:themeFillShade="F2"/>
            <w:vAlign w:val="center"/>
          </w:tcPr>
          <w:p w14:paraId="246F3F96"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2026</w:t>
            </w:r>
          </w:p>
        </w:tc>
        <w:tc>
          <w:tcPr>
            <w:tcW w:w="1200" w:type="dxa"/>
            <w:shd w:val="clear" w:color="auto" w:fill="F2F2F2" w:themeFill="background1" w:themeFillShade="F2"/>
            <w:vAlign w:val="center"/>
          </w:tcPr>
          <w:p w14:paraId="5AE71430"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2027</w:t>
            </w:r>
          </w:p>
        </w:tc>
        <w:tc>
          <w:tcPr>
            <w:tcW w:w="1200" w:type="dxa"/>
            <w:shd w:val="clear" w:color="auto" w:fill="F2F2F2" w:themeFill="background1" w:themeFillShade="F2"/>
            <w:vAlign w:val="center"/>
          </w:tcPr>
          <w:p w14:paraId="6DFE6634"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2028</w:t>
            </w:r>
          </w:p>
        </w:tc>
        <w:tc>
          <w:tcPr>
            <w:tcW w:w="1200" w:type="dxa"/>
            <w:shd w:val="clear" w:color="auto" w:fill="F2F2F2" w:themeFill="background1" w:themeFillShade="F2"/>
            <w:vAlign w:val="center"/>
          </w:tcPr>
          <w:p w14:paraId="53A3C0E4"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2029</w:t>
            </w:r>
          </w:p>
        </w:tc>
      </w:tr>
      <w:tr w:rsidR="00940332" w:rsidRPr="00D16A97" w14:paraId="6A476BC4" w14:textId="77777777" w:rsidTr="00192D14">
        <w:tc>
          <w:tcPr>
            <w:tcW w:w="1769" w:type="dxa"/>
            <w:vAlign w:val="center"/>
          </w:tcPr>
          <w:p w14:paraId="46D11E09" w14:textId="77777777"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Total OAV market</w:t>
            </w:r>
          </w:p>
        </w:tc>
        <w:tc>
          <w:tcPr>
            <w:tcW w:w="1226" w:type="dxa"/>
            <w:vAlign w:val="center"/>
          </w:tcPr>
          <w:p w14:paraId="5F7A0793" w14:textId="23E9BC54"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70"/>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70"/>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70"/>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6781771B" w14:textId="1872D06A"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9"/>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9"/>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6CC32571" w14:textId="059A6AC9"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8"/>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8"/>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158049B4" w14:textId="18F799BF"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7"/>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7"/>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7598365C" w14:textId="10C3A7F5"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6"/>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6"/>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c>
          <w:tcPr>
            <w:tcW w:w="1200" w:type="dxa"/>
            <w:vAlign w:val="center"/>
          </w:tcPr>
          <w:p w14:paraId="6B6A5B8F" w14:textId="467BA4C0"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5"/>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5"/>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5"/>
                <w14:textFill>
                  <w14:solidFill>
                    <w14:srgbClr w14:val="000000">
                      <w14:alpha w14:val="100000"/>
                    </w14:srgbClr>
                  </w14:solidFill>
                </w14:textFill>
              </w:rPr>
              <w:t xml:space="preserve">　</w:t>
            </w:r>
            <w:r w:rsidR="0073350C">
              <w:rPr>
                <w:rFonts w:ascii="Arial Narrow" w:hAnsi="Arial Narrow"/>
                <w:sz w:val="20"/>
                <w:szCs w:val="20"/>
                <w:vertAlign w:val="superscript"/>
              </w:rPr>
              <w:t>2</w:t>
            </w:r>
          </w:p>
        </w:tc>
      </w:tr>
      <w:tr w:rsidR="00940332" w:rsidRPr="00D16A97" w14:paraId="0907CDDB" w14:textId="77777777" w:rsidTr="00192D14">
        <w:tc>
          <w:tcPr>
            <w:tcW w:w="1769" w:type="dxa"/>
            <w:vAlign w:val="center"/>
          </w:tcPr>
          <w:p w14:paraId="50FE30EB" w14:textId="77777777" w:rsidR="00940332" w:rsidRPr="00D16A97" w:rsidRDefault="00940332" w:rsidP="00192D14">
            <w:pPr>
              <w:keepNext/>
              <w:ind w:left="255"/>
              <w:jc w:val="left"/>
              <w:rPr>
                <w:rFonts w:ascii="Arial Narrow" w:hAnsi="Arial Narrow"/>
                <w:sz w:val="20"/>
                <w:szCs w:val="20"/>
              </w:rPr>
            </w:pPr>
            <w:r w:rsidRPr="00D16A97">
              <w:rPr>
                <w:rFonts w:ascii="Arial Narrow" w:hAnsi="Arial Narrow"/>
                <w:sz w:val="20"/>
                <w:szCs w:val="20"/>
              </w:rPr>
              <w:t>Molnupiravir Rx</w:t>
            </w:r>
          </w:p>
        </w:tc>
        <w:tc>
          <w:tcPr>
            <w:tcW w:w="1226" w:type="dxa"/>
            <w:vAlign w:val="center"/>
          </w:tcPr>
          <w:p w14:paraId="42A784BB" w14:textId="0FAED441"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64"/>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64"/>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64"/>
                <w14:textFill>
                  <w14:solidFill>
                    <w14:srgbClr w14:val="000000">
                      <w14:alpha w14:val="100000"/>
                    </w14:srgbClr>
                  </w14:solidFill>
                </w14:textFill>
              </w:rPr>
              <w:t xml:space="preserve">　</w:t>
            </w:r>
            <w:r w:rsidR="0073350C">
              <w:rPr>
                <w:rFonts w:ascii="Arial Narrow" w:hAnsi="Arial Narrow"/>
                <w:sz w:val="20"/>
                <w:szCs w:val="20"/>
                <w:vertAlign w:val="superscript"/>
              </w:rPr>
              <w:t>5</w:t>
            </w:r>
          </w:p>
        </w:tc>
        <w:tc>
          <w:tcPr>
            <w:tcW w:w="1200" w:type="dxa"/>
            <w:vAlign w:val="center"/>
          </w:tcPr>
          <w:p w14:paraId="2F9BE036" w14:textId="5293D774"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3"/>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3"/>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3"/>
                <w14:textFill>
                  <w14:solidFill>
                    <w14:srgbClr w14:val="000000">
                      <w14:alpha w14:val="100000"/>
                    </w14:srgbClr>
                  </w14:solidFill>
                </w14:textFill>
              </w:rPr>
              <w:t xml:space="preserve">　</w:t>
            </w:r>
            <w:r w:rsidR="0073350C">
              <w:rPr>
                <w:rFonts w:ascii="Arial Narrow" w:hAnsi="Arial Narrow"/>
                <w:sz w:val="20"/>
                <w:szCs w:val="20"/>
                <w:vertAlign w:val="superscript"/>
              </w:rPr>
              <w:t>5</w:t>
            </w:r>
          </w:p>
        </w:tc>
        <w:tc>
          <w:tcPr>
            <w:tcW w:w="1200" w:type="dxa"/>
            <w:vAlign w:val="center"/>
          </w:tcPr>
          <w:p w14:paraId="09F54F23" w14:textId="1CF4E77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2"/>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2"/>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2"/>
                <w14:textFill>
                  <w14:solidFill>
                    <w14:srgbClr w14:val="000000">
                      <w14:alpha w14:val="100000"/>
                    </w14:srgbClr>
                  </w14:solidFill>
                </w14:textFill>
              </w:rPr>
              <w:t xml:space="preserve">　</w:t>
            </w:r>
            <w:r w:rsidR="0073350C">
              <w:rPr>
                <w:rFonts w:ascii="Arial Narrow" w:hAnsi="Arial Narrow"/>
                <w:sz w:val="20"/>
                <w:szCs w:val="20"/>
                <w:vertAlign w:val="superscript"/>
              </w:rPr>
              <w:t>5</w:t>
            </w:r>
          </w:p>
        </w:tc>
        <w:tc>
          <w:tcPr>
            <w:tcW w:w="1200" w:type="dxa"/>
            <w:vAlign w:val="center"/>
          </w:tcPr>
          <w:p w14:paraId="22E9AB30" w14:textId="4D3F472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1"/>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1"/>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1"/>
                <w14:textFill>
                  <w14:solidFill>
                    <w14:srgbClr w14:val="000000">
                      <w14:alpha w14:val="100000"/>
                    </w14:srgbClr>
                  </w14:solidFill>
                </w14:textFill>
              </w:rPr>
              <w:t xml:space="preserve">　</w:t>
            </w:r>
            <w:r w:rsidR="0073350C">
              <w:rPr>
                <w:rFonts w:ascii="Arial Narrow" w:hAnsi="Arial Narrow"/>
                <w:sz w:val="20"/>
                <w:szCs w:val="20"/>
                <w:vertAlign w:val="superscript"/>
              </w:rPr>
              <w:t>5</w:t>
            </w:r>
          </w:p>
        </w:tc>
        <w:tc>
          <w:tcPr>
            <w:tcW w:w="1200" w:type="dxa"/>
            <w:vAlign w:val="center"/>
          </w:tcPr>
          <w:p w14:paraId="79591020" w14:textId="4D213A1F"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0"/>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0"/>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0"/>
                <w14:textFill>
                  <w14:solidFill>
                    <w14:srgbClr w14:val="000000">
                      <w14:alpha w14:val="100000"/>
                    </w14:srgbClr>
                  </w14:solidFill>
                </w14:textFill>
              </w:rPr>
              <w:t xml:space="preserve">　</w:t>
            </w:r>
            <w:r w:rsidR="0073350C">
              <w:rPr>
                <w:rFonts w:ascii="Arial Narrow" w:hAnsi="Arial Narrow"/>
                <w:sz w:val="20"/>
                <w:szCs w:val="20"/>
                <w:vertAlign w:val="superscript"/>
              </w:rPr>
              <w:t>5</w:t>
            </w:r>
          </w:p>
        </w:tc>
        <w:tc>
          <w:tcPr>
            <w:tcW w:w="1200" w:type="dxa"/>
            <w:vAlign w:val="center"/>
          </w:tcPr>
          <w:p w14:paraId="68CC8499" w14:textId="1897D6EC"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5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59"/>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59"/>
                <w14:textFill>
                  <w14:solidFill>
                    <w14:srgbClr w14:val="000000">
                      <w14:alpha w14:val="100000"/>
                    </w14:srgbClr>
                  </w14:solidFill>
                </w14:textFill>
              </w:rPr>
              <w:t xml:space="preserve">　</w:t>
            </w:r>
            <w:r w:rsidR="0073350C">
              <w:rPr>
                <w:rFonts w:ascii="Arial Narrow" w:hAnsi="Arial Narrow"/>
                <w:sz w:val="20"/>
                <w:szCs w:val="20"/>
                <w:vertAlign w:val="superscript"/>
              </w:rPr>
              <w:t>5</w:t>
            </w:r>
          </w:p>
        </w:tc>
      </w:tr>
      <w:tr w:rsidR="00940332" w:rsidRPr="00D16A97" w14:paraId="47DB959D" w14:textId="77777777" w:rsidTr="00192D14">
        <w:tc>
          <w:tcPr>
            <w:tcW w:w="1769" w:type="dxa"/>
            <w:vAlign w:val="center"/>
          </w:tcPr>
          <w:p w14:paraId="0B711018" w14:textId="7AA245B7"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Effective average DPMQ</w:t>
            </w:r>
            <w:r w:rsidR="0061435A">
              <w:rPr>
                <w:rFonts w:ascii="Arial Narrow" w:hAnsi="Arial Narrow"/>
                <w:sz w:val="20"/>
                <w:szCs w:val="20"/>
              </w:rPr>
              <w:t xml:space="preserve"> ($)</w:t>
            </w:r>
          </w:p>
        </w:tc>
        <w:tc>
          <w:tcPr>
            <w:tcW w:w="1226" w:type="dxa"/>
            <w:vAlign w:val="center"/>
          </w:tcPr>
          <w:p w14:paraId="0B8331C7" w14:textId="73ED2B4E"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43195697" w14:textId="5B6DBFCA"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3E1BBAA5" w14:textId="324EFC24"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48D412F9" w14:textId="5974235B"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0AE8BBCB" w14:textId="7CE4C0EB"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1D790C5A" w14:textId="1CEC7B46"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6DB476D3" w14:textId="77777777" w:rsidTr="00192D14">
        <w:tc>
          <w:tcPr>
            <w:tcW w:w="1769" w:type="dxa"/>
            <w:vAlign w:val="center"/>
          </w:tcPr>
          <w:p w14:paraId="4E07755C" w14:textId="77777777" w:rsidR="00940332" w:rsidRPr="00D16A97" w:rsidRDefault="00940332" w:rsidP="00192D14">
            <w:pPr>
              <w:keepNext/>
              <w:jc w:val="left"/>
              <w:rPr>
                <w:rFonts w:ascii="Arial Narrow" w:hAnsi="Arial Narrow"/>
                <w:sz w:val="20"/>
                <w:szCs w:val="20"/>
              </w:rPr>
            </w:pPr>
            <w:r w:rsidRPr="00D16A97">
              <w:rPr>
                <w:rFonts w:ascii="Arial Narrow" w:hAnsi="Arial Narrow"/>
                <w:b/>
                <w:bCs/>
                <w:sz w:val="20"/>
                <w:szCs w:val="20"/>
              </w:rPr>
              <w:t>Total effective PBS expenditure for molnupiravir</w:t>
            </w:r>
          </w:p>
        </w:tc>
        <w:tc>
          <w:tcPr>
            <w:tcW w:w="1226" w:type="dxa"/>
            <w:vAlign w:val="center"/>
          </w:tcPr>
          <w:p w14:paraId="0F2E35A6" w14:textId="724D8F9A"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51" w:id="-1031606258"/>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51" w:id="-1031606258"/>
                <w14:textFill>
                  <w14:solidFill>
                    <w14:srgbClr w14:val="000000">
                      <w14:alpha w14:val="100000"/>
                    </w14:srgbClr>
                  </w14:solidFill>
                </w14:textFill>
              </w:rPr>
              <w:t>|</w:t>
            </w:r>
            <w:r w:rsidR="0003145F" w:rsidRPr="0003145F">
              <w:rPr>
                <w:rFonts w:ascii="Arial Narrow" w:hAnsi="Arial Narrow" w:hint="eastAsia"/>
                <w:b/>
                <w:bCs/>
                <w:color w:val="000000"/>
                <w:spacing w:val="-15"/>
                <w:w w:val="15"/>
                <w:sz w:val="20"/>
                <w:szCs w:val="20"/>
                <w:shd w:val="solid" w:color="000000" w:fill="000000"/>
                <w:fitText w:val="51" w:id="-1031606258"/>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7ACCD201" w14:textId="732F541E"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57"/>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57"/>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57"/>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1EA1731E" w14:textId="2502F4B9"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56"/>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56"/>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56"/>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32C9F807" w14:textId="7C5BA646"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7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72"/>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72"/>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093CEBE1" w14:textId="58ADC5AE"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71"/>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71"/>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71"/>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0131C739" w14:textId="623A2652"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70"/>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70"/>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70"/>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r>
      <w:tr w:rsidR="00940332" w:rsidRPr="00D16A97" w14:paraId="6495CD31" w14:textId="77777777" w:rsidTr="00192D14">
        <w:tc>
          <w:tcPr>
            <w:tcW w:w="1769" w:type="dxa"/>
            <w:vAlign w:val="center"/>
          </w:tcPr>
          <w:p w14:paraId="3F3F616F" w14:textId="77777777"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Patient co-payments</w:t>
            </w:r>
          </w:p>
        </w:tc>
        <w:tc>
          <w:tcPr>
            <w:tcW w:w="1226" w:type="dxa"/>
            <w:vAlign w:val="center"/>
          </w:tcPr>
          <w:p w14:paraId="7D89AA2D" w14:textId="1FF9DD37"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69"/>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69"/>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69"/>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25526BCC" w14:textId="2FB4E7C6"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8"/>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8"/>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65FE36DE" w14:textId="4AE71E1A"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7"/>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7"/>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648BC09B" w14:textId="4C806B12"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6"/>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6"/>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6068F1F8" w14:textId="217ECFE5"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5"/>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5"/>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5"/>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35179401" w14:textId="3B490E83"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4"/>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4"/>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4"/>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r>
      <w:tr w:rsidR="00940332" w:rsidRPr="00D16A97" w14:paraId="1AA38EE4" w14:textId="77777777" w:rsidTr="00192D14">
        <w:tc>
          <w:tcPr>
            <w:tcW w:w="1769" w:type="dxa"/>
            <w:vAlign w:val="center"/>
          </w:tcPr>
          <w:p w14:paraId="61EDC10B" w14:textId="77777777" w:rsidR="00940332" w:rsidRPr="00D16A97" w:rsidRDefault="00940332" w:rsidP="00192D14">
            <w:pPr>
              <w:keepNext/>
              <w:jc w:val="left"/>
              <w:rPr>
                <w:rFonts w:ascii="Arial Narrow" w:hAnsi="Arial Narrow"/>
                <w:b/>
                <w:bCs/>
                <w:sz w:val="20"/>
                <w:szCs w:val="20"/>
              </w:rPr>
            </w:pPr>
            <w:r w:rsidRPr="00D16A97">
              <w:rPr>
                <w:rFonts w:ascii="Arial Narrow" w:hAnsi="Arial Narrow"/>
                <w:b/>
                <w:bCs/>
                <w:sz w:val="20"/>
                <w:szCs w:val="20"/>
              </w:rPr>
              <w:t>Net government expenditure</w:t>
            </w:r>
          </w:p>
        </w:tc>
        <w:tc>
          <w:tcPr>
            <w:tcW w:w="1226" w:type="dxa"/>
            <w:vAlign w:val="center"/>
          </w:tcPr>
          <w:p w14:paraId="7913A094" w14:textId="676813A6"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51" w:id="-1031606263"/>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51" w:id="-1031606263"/>
                <w14:textFill>
                  <w14:solidFill>
                    <w14:srgbClr w14:val="000000">
                      <w14:alpha w14:val="100000"/>
                    </w14:srgbClr>
                  </w14:solidFill>
                </w14:textFill>
              </w:rPr>
              <w:t>|</w:t>
            </w:r>
            <w:r w:rsidR="0003145F" w:rsidRPr="0003145F">
              <w:rPr>
                <w:rFonts w:ascii="Arial Narrow" w:hAnsi="Arial Narrow" w:hint="eastAsia"/>
                <w:b/>
                <w:bCs/>
                <w:color w:val="000000"/>
                <w:spacing w:val="-15"/>
                <w:w w:val="15"/>
                <w:sz w:val="20"/>
                <w:szCs w:val="20"/>
                <w:shd w:val="solid" w:color="000000" w:fill="000000"/>
                <w:fitText w:val="51" w:id="-1031606263"/>
                <w14:textFill>
                  <w14:solidFill>
                    <w14:srgbClr w14:val="000000">
                      <w14:alpha w14:val="100000"/>
                    </w14:srgbClr>
                  </w14:solidFill>
                </w14:textFill>
              </w:rPr>
              <w:t xml:space="preserve">　</w:t>
            </w:r>
            <w:r w:rsidR="0073350C">
              <w:rPr>
                <w:rFonts w:ascii="Arial Narrow" w:hAnsi="Arial Narrow"/>
                <w:sz w:val="20"/>
                <w:szCs w:val="20"/>
                <w:vertAlign w:val="superscript"/>
              </w:rPr>
              <w:t>6</w:t>
            </w:r>
          </w:p>
        </w:tc>
        <w:tc>
          <w:tcPr>
            <w:tcW w:w="1200" w:type="dxa"/>
            <w:vAlign w:val="center"/>
          </w:tcPr>
          <w:p w14:paraId="010448F4" w14:textId="6109551D"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6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62"/>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62"/>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1C6F5D6F" w14:textId="7D45DF9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61"/>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61"/>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61"/>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776025EB" w14:textId="7AF1B30F"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60"/>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60"/>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60"/>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3E9B8F5C" w14:textId="47127E6F"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59"/>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59"/>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59"/>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c>
          <w:tcPr>
            <w:tcW w:w="1200" w:type="dxa"/>
            <w:vAlign w:val="center"/>
          </w:tcPr>
          <w:p w14:paraId="70D79CB4" w14:textId="7578EA4F"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58"/>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58"/>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58"/>
                <w14:textFill>
                  <w14:solidFill>
                    <w14:srgbClr w14:val="000000">
                      <w14:alpha w14:val="100000"/>
                    </w14:srgbClr>
                  </w14:solidFill>
                </w14:textFill>
              </w:rPr>
              <w:t xml:space="preserve">　</w:t>
            </w:r>
            <w:r w:rsidR="0073350C">
              <w:rPr>
                <w:rFonts w:ascii="Arial Narrow" w:hAnsi="Arial Narrow"/>
                <w:sz w:val="20"/>
                <w:szCs w:val="20"/>
                <w:vertAlign w:val="superscript"/>
              </w:rPr>
              <w:t>3</w:t>
            </w:r>
          </w:p>
        </w:tc>
      </w:tr>
      <w:tr w:rsidR="00940332" w:rsidRPr="00D16A97" w14:paraId="66922C46" w14:textId="77777777" w:rsidTr="00192D14">
        <w:tc>
          <w:tcPr>
            <w:tcW w:w="1769" w:type="dxa"/>
            <w:shd w:val="clear" w:color="auto" w:fill="F2F2F2" w:themeFill="background1" w:themeFillShade="F2"/>
            <w:vAlign w:val="center"/>
          </w:tcPr>
          <w:p w14:paraId="0FAD9114" w14:textId="77777777" w:rsidR="00940332" w:rsidRPr="00D16A97" w:rsidRDefault="00940332" w:rsidP="00192D14">
            <w:pPr>
              <w:keepNext/>
              <w:jc w:val="left"/>
              <w:rPr>
                <w:rFonts w:ascii="Arial Narrow" w:hAnsi="Arial Narrow"/>
                <w:sz w:val="20"/>
                <w:szCs w:val="20"/>
              </w:rPr>
            </w:pPr>
            <w:r w:rsidRPr="00D16A97">
              <w:rPr>
                <w:rFonts w:ascii="Arial Narrow" w:hAnsi="Arial Narrow"/>
                <w:b/>
                <w:bCs/>
                <w:sz w:val="20"/>
                <w:szCs w:val="20"/>
              </w:rPr>
              <w:t xml:space="preserve"> Medium case</w:t>
            </w:r>
          </w:p>
        </w:tc>
        <w:tc>
          <w:tcPr>
            <w:tcW w:w="1226" w:type="dxa"/>
            <w:shd w:val="clear" w:color="auto" w:fill="F2F2F2" w:themeFill="background1" w:themeFillShade="F2"/>
            <w:vAlign w:val="center"/>
          </w:tcPr>
          <w:p w14:paraId="10A3745A"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2024</w:t>
            </w:r>
          </w:p>
        </w:tc>
        <w:tc>
          <w:tcPr>
            <w:tcW w:w="1200" w:type="dxa"/>
            <w:shd w:val="clear" w:color="auto" w:fill="F2F2F2" w:themeFill="background1" w:themeFillShade="F2"/>
            <w:vAlign w:val="center"/>
          </w:tcPr>
          <w:p w14:paraId="69B34A21"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2025</w:t>
            </w:r>
          </w:p>
        </w:tc>
        <w:tc>
          <w:tcPr>
            <w:tcW w:w="1200" w:type="dxa"/>
            <w:shd w:val="clear" w:color="auto" w:fill="F2F2F2" w:themeFill="background1" w:themeFillShade="F2"/>
            <w:vAlign w:val="center"/>
          </w:tcPr>
          <w:p w14:paraId="1E2FBEFD"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2026</w:t>
            </w:r>
          </w:p>
        </w:tc>
        <w:tc>
          <w:tcPr>
            <w:tcW w:w="1200" w:type="dxa"/>
            <w:shd w:val="clear" w:color="auto" w:fill="F2F2F2" w:themeFill="background1" w:themeFillShade="F2"/>
            <w:vAlign w:val="center"/>
          </w:tcPr>
          <w:p w14:paraId="28BEB213"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2027</w:t>
            </w:r>
          </w:p>
        </w:tc>
        <w:tc>
          <w:tcPr>
            <w:tcW w:w="1200" w:type="dxa"/>
            <w:shd w:val="clear" w:color="auto" w:fill="F2F2F2" w:themeFill="background1" w:themeFillShade="F2"/>
            <w:vAlign w:val="center"/>
          </w:tcPr>
          <w:p w14:paraId="36C2454A"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2028</w:t>
            </w:r>
          </w:p>
        </w:tc>
        <w:tc>
          <w:tcPr>
            <w:tcW w:w="1200" w:type="dxa"/>
            <w:shd w:val="clear" w:color="auto" w:fill="F2F2F2" w:themeFill="background1" w:themeFillShade="F2"/>
            <w:vAlign w:val="center"/>
          </w:tcPr>
          <w:p w14:paraId="55E8FF2C"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2029</w:t>
            </w:r>
          </w:p>
        </w:tc>
      </w:tr>
      <w:tr w:rsidR="00940332" w:rsidRPr="00D16A97" w14:paraId="456BDBD8" w14:textId="77777777" w:rsidTr="00192D14">
        <w:tc>
          <w:tcPr>
            <w:tcW w:w="1769" w:type="dxa"/>
            <w:vAlign w:val="center"/>
          </w:tcPr>
          <w:p w14:paraId="10B96BD9" w14:textId="77777777" w:rsidR="00940332" w:rsidRPr="00D16A97" w:rsidRDefault="00940332" w:rsidP="00192D14">
            <w:pPr>
              <w:keepNext/>
              <w:spacing w:line="259" w:lineRule="auto"/>
              <w:jc w:val="left"/>
              <w:rPr>
                <w:rFonts w:ascii="Arial Narrow" w:hAnsi="Arial Narrow"/>
                <w:sz w:val="20"/>
                <w:szCs w:val="20"/>
              </w:rPr>
            </w:pPr>
            <w:r w:rsidRPr="00D16A97">
              <w:rPr>
                <w:rFonts w:ascii="Arial Narrow" w:hAnsi="Arial Narrow"/>
                <w:sz w:val="20"/>
                <w:szCs w:val="20"/>
              </w:rPr>
              <w:t>Total OAV market</w:t>
            </w:r>
          </w:p>
        </w:tc>
        <w:tc>
          <w:tcPr>
            <w:tcW w:w="1226" w:type="dxa"/>
            <w:vAlign w:val="center"/>
          </w:tcPr>
          <w:p w14:paraId="346B2552" w14:textId="76F7D734"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57"/>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57"/>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57"/>
                <w14:textFill>
                  <w14:solidFill>
                    <w14:srgbClr w14:val="000000">
                      <w14:alpha w14:val="100000"/>
                    </w14:srgbClr>
                  </w14:solidFill>
                </w14:textFill>
              </w:rPr>
              <w:t xml:space="preserve">　</w:t>
            </w:r>
            <w:r w:rsidR="0073350C">
              <w:rPr>
                <w:rFonts w:ascii="Arial Narrow" w:hAnsi="Arial Narrow"/>
                <w:sz w:val="20"/>
                <w:szCs w:val="20"/>
                <w:vertAlign w:val="superscript"/>
              </w:rPr>
              <w:t>7</w:t>
            </w:r>
          </w:p>
        </w:tc>
        <w:tc>
          <w:tcPr>
            <w:tcW w:w="1200" w:type="dxa"/>
            <w:vAlign w:val="center"/>
          </w:tcPr>
          <w:p w14:paraId="0D838B31" w14:textId="16EDDC58"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6"/>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6"/>
                <w14:textFill>
                  <w14:solidFill>
                    <w14:srgbClr w14:val="000000">
                      <w14:alpha w14:val="100000"/>
                    </w14:srgbClr>
                  </w14:solidFill>
                </w14:textFill>
              </w:rPr>
              <w:t xml:space="preserve">　</w:t>
            </w:r>
            <w:r w:rsidR="00757925">
              <w:rPr>
                <w:rFonts w:ascii="Arial Narrow" w:hAnsi="Arial Narrow"/>
                <w:sz w:val="20"/>
                <w:szCs w:val="20"/>
                <w:vertAlign w:val="superscript"/>
              </w:rPr>
              <w:t>12</w:t>
            </w:r>
          </w:p>
        </w:tc>
        <w:tc>
          <w:tcPr>
            <w:tcW w:w="1200" w:type="dxa"/>
            <w:vAlign w:val="center"/>
          </w:tcPr>
          <w:p w14:paraId="0A7F8675" w14:textId="0CA1B389"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72"/>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72"/>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72"/>
                <w14:textFill>
                  <w14:solidFill>
                    <w14:srgbClr w14:val="000000">
                      <w14:alpha w14:val="100000"/>
                    </w14:srgbClr>
                  </w14:solidFill>
                </w14:textFill>
              </w:rPr>
              <w:t xml:space="preserve">　</w:t>
            </w:r>
            <w:r w:rsidR="00757925">
              <w:rPr>
                <w:rFonts w:ascii="Arial Narrow" w:hAnsi="Arial Narrow"/>
                <w:sz w:val="20"/>
                <w:szCs w:val="20"/>
                <w:vertAlign w:val="superscript"/>
              </w:rPr>
              <w:t>12</w:t>
            </w:r>
          </w:p>
        </w:tc>
        <w:tc>
          <w:tcPr>
            <w:tcW w:w="1200" w:type="dxa"/>
            <w:vAlign w:val="center"/>
          </w:tcPr>
          <w:p w14:paraId="5955FE0F" w14:textId="58ED7343"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71"/>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71"/>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71"/>
                <w14:textFill>
                  <w14:solidFill>
                    <w14:srgbClr w14:val="000000">
                      <w14:alpha w14:val="100000"/>
                    </w14:srgbClr>
                  </w14:solidFill>
                </w14:textFill>
              </w:rPr>
              <w:t xml:space="preserve">　</w:t>
            </w:r>
            <w:r w:rsidR="00757925">
              <w:rPr>
                <w:rFonts w:ascii="Arial Narrow" w:hAnsi="Arial Narrow"/>
                <w:sz w:val="20"/>
                <w:szCs w:val="20"/>
                <w:vertAlign w:val="superscript"/>
              </w:rPr>
              <w:t>12</w:t>
            </w:r>
          </w:p>
        </w:tc>
        <w:tc>
          <w:tcPr>
            <w:tcW w:w="1200" w:type="dxa"/>
            <w:vAlign w:val="center"/>
          </w:tcPr>
          <w:p w14:paraId="53007132" w14:textId="0B453D44"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70"/>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70"/>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70"/>
                <w14:textFill>
                  <w14:solidFill>
                    <w14:srgbClr w14:val="000000">
                      <w14:alpha w14:val="100000"/>
                    </w14:srgbClr>
                  </w14:solidFill>
                </w14:textFill>
              </w:rPr>
              <w:t xml:space="preserve">　</w:t>
            </w:r>
            <w:r w:rsidR="00757925">
              <w:rPr>
                <w:rFonts w:ascii="Arial Narrow" w:hAnsi="Arial Narrow"/>
                <w:sz w:val="20"/>
                <w:szCs w:val="20"/>
                <w:vertAlign w:val="superscript"/>
              </w:rPr>
              <w:t>12</w:t>
            </w:r>
          </w:p>
        </w:tc>
        <w:tc>
          <w:tcPr>
            <w:tcW w:w="1200" w:type="dxa"/>
            <w:vAlign w:val="center"/>
          </w:tcPr>
          <w:p w14:paraId="53036CA5" w14:textId="7417A2C6"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6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69"/>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69"/>
                <w14:textFill>
                  <w14:solidFill>
                    <w14:srgbClr w14:val="000000">
                      <w14:alpha w14:val="100000"/>
                    </w14:srgbClr>
                  </w14:solidFill>
                </w14:textFill>
              </w:rPr>
              <w:t xml:space="preserve">　</w:t>
            </w:r>
            <w:r w:rsidR="00757925">
              <w:rPr>
                <w:rFonts w:ascii="Arial Narrow" w:hAnsi="Arial Narrow"/>
                <w:sz w:val="20"/>
                <w:szCs w:val="20"/>
                <w:vertAlign w:val="superscript"/>
              </w:rPr>
              <w:t>12</w:t>
            </w:r>
          </w:p>
        </w:tc>
      </w:tr>
      <w:tr w:rsidR="00940332" w:rsidRPr="00D16A97" w14:paraId="4364208C" w14:textId="77777777" w:rsidTr="00192D14">
        <w:tc>
          <w:tcPr>
            <w:tcW w:w="1769" w:type="dxa"/>
            <w:vAlign w:val="center"/>
          </w:tcPr>
          <w:p w14:paraId="55DDC881" w14:textId="77777777" w:rsidR="00940332" w:rsidRPr="00D16A97" w:rsidRDefault="00940332" w:rsidP="00192D14">
            <w:pPr>
              <w:keepNext/>
              <w:spacing w:line="259" w:lineRule="auto"/>
              <w:ind w:firstLine="255"/>
              <w:jc w:val="left"/>
              <w:rPr>
                <w:rFonts w:ascii="Arial Narrow" w:hAnsi="Arial Narrow"/>
                <w:sz w:val="20"/>
                <w:szCs w:val="20"/>
              </w:rPr>
            </w:pPr>
            <w:r w:rsidRPr="00D16A97">
              <w:rPr>
                <w:rFonts w:ascii="Arial Narrow" w:hAnsi="Arial Narrow"/>
                <w:sz w:val="20"/>
                <w:szCs w:val="20"/>
              </w:rPr>
              <w:t>Molnupiravir Rx</w:t>
            </w:r>
          </w:p>
        </w:tc>
        <w:tc>
          <w:tcPr>
            <w:tcW w:w="1226" w:type="dxa"/>
            <w:vAlign w:val="center"/>
          </w:tcPr>
          <w:p w14:paraId="3861F14D" w14:textId="6E9E400A"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68"/>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68"/>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68"/>
                <w14:textFill>
                  <w14:solidFill>
                    <w14:srgbClr w14:val="000000">
                      <w14:alpha w14:val="100000"/>
                    </w14:srgbClr>
                  </w14:solidFill>
                </w14:textFill>
              </w:rPr>
              <w:t xml:space="preserve">　</w:t>
            </w:r>
            <w:r w:rsidR="0073350C" w:rsidRPr="00B23905">
              <w:rPr>
                <w:rFonts w:ascii="Arial Narrow" w:hAnsi="Arial Narrow"/>
                <w:sz w:val="20"/>
                <w:szCs w:val="20"/>
                <w:vertAlign w:val="superscript"/>
              </w:rPr>
              <w:t>1</w:t>
            </w:r>
          </w:p>
        </w:tc>
        <w:tc>
          <w:tcPr>
            <w:tcW w:w="1200" w:type="dxa"/>
            <w:vAlign w:val="center"/>
          </w:tcPr>
          <w:p w14:paraId="2072FB27" w14:textId="3FAF738C"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7"/>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7"/>
                <w14:textFill>
                  <w14:solidFill>
                    <w14:srgbClr w14:val="000000">
                      <w14:alpha w14:val="100000"/>
                    </w14:srgbClr>
                  </w14:solidFill>
                </w14:textFill>
              </w:rPr>
              <w:t xml:space="preserve">　</w:t>
            </w:r>
            <w:r w:rsidR="0073350C" w:rsidRPr="00B23905">
              <w:rPr>
                <w:rFonts w:ascii="Arial Narrow" w:hAnsi="Arial Narrow"/>
                <w:sz w:val="20"/>
                <w:szCs w:val="20"/>
                <w:vertAlign w:val="superscript"/>
              </w:rPr>
              <w:t>1</w:t>
            </w:r>
          </w:p>
        </w:tc>
        <w:tc>
          <w:tcPr>
            <w:tcW w:w="1200" w:type="dxa"/>
            <w:vAlign w:val="center"/>
          </w:tcPr>
          <w:p w14:paraId="7619DB62" w14:textId="362F9E3F"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6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66"/>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66"/>
                <w14:textFill>
                  <w14:solidFill>
                    <w14:srgbClr w14:val="000000">
                      <w14:alpha w14:val="100000"/>
                    </w14:srgbClr>
                  </w14:solidFill>
                </w14:textFill>
              </w:rPr>
              <w:t xml:space="preserve">　</w:t>
            </w:r>
            <w:r w:rsidR="0073350C" w:rsidRPr="00B23905">
              <w:rPr>
                <w:rFonts w:ascii="Arial Narrow" w:hAnsi="Arial Narrow"/>
                <w:sz w:val="20"/>
                <w:szCs w:val="20"/>
                <w:vertAlign w:val="superscript"/>
              </w:rPr>
              <w:t>1</w:t>
            </w:r>
          </w:p>
        </w:tc>
        <w:tc>
          <w:tcPr>
            <w:tcW w:w="1200" w:type="dxa"/>
            <w:vAlign w:val="center"/>
          </w:tcPr>
          <w:p w14:paraId="59024519" w14:textId="25ADD535"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5"/>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5"/>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5"/>
                <w14:textFill>
                  <w14:solidFill>
                    <w14:srgbClr w14:val="000000">
                      <w14:alpha w14:val="100000"/>
                    </w14:srgbClr>
                  </w14:solidFill>
                </w14:textFill>
              </w:rPr>
              <w:t xml:space="preserve">　</w:t>
            </w:r>
            <w:r w:rsidR="0073350C" w:rsidRPr="00B23905">
              <w:rPr>
                <w:rFonts w:ascii="Arial Narrow" w:hAnsi="Arial Narrow"/>
                <w:sz w:val="20"/>
                <w:szCs w:val="20"/>
                <w:vertAlign w:val="superscript"/>
              </w:rPr>
              <w:t>1</w:t>
            </w:r>
          </w:p>
        </w:tc>
        <w:tc>
          <w:tcPr>
            <w:tcW w:w="1200" w:type="dxa"/>
            <w:vAlign w:val="center"/>
          </w:tcPr>
          <w:p w14:paraId="4721ABB8" w14:textId="5A07A55B"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4"/>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4"/>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4"/>
                <w14:textFill>
                  <w14:solidFill>
                    <w14:srgbClr w14:val="000000">
                      <w14:alpha w14:val="100000"/>
                    </w14:srgbClr>
                  </w14:solidFill>
                </w14:textFill>
              </w:rPr>
              <w:t xml:space="preserve">　</w:t>
            </w:r>
            <w:r w:rsidR="0073350C" w:rsidRPr="00B23905">
              <w:rPr>
                <w:rFonts w:ascii="Arial Narrow" w:hAnsi="Arial Narrow"/>
                <w:sz w:val="20"/>
                <w:szCs w:val="20"/>
                <w:vertAlign w:val="superscript"/>
              </w:rPr>
              <w:t>1</w:t>
            </w:r>
          </w:p>
        </w:tc>
        <w:tc>
          <w:tcPr>
            <w:tcW w:w="1200" w:type="dxa"/>
            <w:vAlign w:val="center"/>
          </w:tcPr>
          <w:p w14:paraId="71C5914D" w14:textId="74E15C15" w:rsidR="00940332" w:rsidRPr="00B23905" w:rsidRDefault="005C2556" w:rsidP="00192D14">
            <w:pPr>
              <w:keepNext/>
              <w:spacing w:line="259" w:lineRule="auto"/>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3"/>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3"/>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3"/>
                <w14:textFill>
                  <w14:solidFill>
                    <w14:srgbClr w14:val="000000">
                      <w14:alpha w14:val="100000"/>
                    </w14:srgbClr>
                  </w14:solidFill>
                </w14:textFill>
              </w:rPr>
              <w:t xml:space="preserve">　</w:t>
            </w:r>
            <w:r w:rsidR="0073350C" w:rsidRPr="00B23905">
              <w:rPr>
                <w:rFonts w:ascii="Arial Narrow" w:hAnsi="Arial Narrow"/>
                <w:sz w:val="20"/>
                <w:szCs w:val="20"/>
                <w:vertAlign w:val="superscript"/>
              </w:rPr>
              <w:t>1</w:t>
            </w:r>
          </w:p>
        </w:tc>
      </w:tr>
      <w:tr w:rsidR="00940332" w:rsidRPr="00D16A97" w14:paraId="0DBD05B5" w14:textId="77777777" w:rsidTr="00192D14">
        <w:tc>
          <w:tcPr>
            <w:tcW w:w="1769" w:type="dxa"/>
            <w:vAlign w:val="center"/>
          </w:tcPr>
          <w:p w14:paraId="73417226" w14:textId="1492FE1B"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Effective average DPMQ</w:t>
            </w:r>
            <w:r w:rsidR="0061435A">
              <w:rPr>
                <w:rFonts w:ascii="Arial Narrow" w:hAnsi="Arial Narrow"/>
                <w:sz w:val="20"/>
                <w:szCs w:val="20"/>
              </w:rPr>
              <w:t xml:space="preserve"> (</w:t>
            </w:r>
            <w:r w:rsidR="00C41B25">
              <w:rPr>
                <w:rFonts w:ascii="Arial Narrow" w:hAnsi="Arial Narrow"/>
                <w:sz w:val="20"/>
                <w:szCs w:val="20"/>
              </w:rPr>
              <w:t>$)</w:t>
            </w:r>
          </w:p>
        </w:tc>
        <w:tc>
          <w:tcPr>
            <w:tcW w:w="1226" w:type="dxa"/>
            <w:vAlign w:val="center"/>
          </w:tcPr>
          <w:p w14:paraId="30C50D19" w14:textId="09A59E71"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12944423" w14:textId="59937E91"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5D06B433" w14:textId="4D36C210"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653BFF49" w14:textId="34B72806"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49BD8FE6" w14:textId="0D5AD0EB"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0846587A" w14:textId="0D2419AA"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3ADE78A4" w14:textId="77777777" w:rsidTr="00192D14">
        <w:tc>
          <w:tcPr>
            <w:tcW w:w="1769" w:type="dxa"/>
            <w:vAlign w:val="center"/>
          </w:tcPr>
          <w:p w14:paraId="2790ABE0" w14:textId="77777777" w:rsidR="00940332" w:rsidRPr="00D16A97" w:rsidRDefault="00940332" w:rsidP="00192D14">
            <w:pPr>
              <w:keepNext/>
              <w:spacing w:line="259" w:lineRule="auto"/>
              <w:jc w:val="left"/>
              <w:rPr>
                <w:rFonts w:ascii="Arial Narrow" w:hAnsi="Arial Narrow"/>
                <w:sz w:val="20"/>
                <w:szCs w:val="20"/>
              </w:rPr>
            </w:pPr>
            <w:r w:rsidRPr="00D16A97">
              <w:rPr>
                <w:rFonts w:ascii="Arial Narrow" w:hAnsi="Arial Narrow"/>
                <w:b/>
                <w:bCs/>
                <w:sz w:val="20"/>
                <w:szCs w:val="20"/>
              </w:rPr>
              <w:t>Total effective PBS expenditure for molnupiravir</w:t>
            </w:r>
          </w:p>
        </w:tc>
        <w:tc>
          <w:tcPr>
            <w:tcW w:w="1226" w:type="dxa"/>
            <w:vAlign w:val="center"/>
          </w:tcPr>
          <w:p w14:paraId="741E6FE9" w14:textId="18A692E6"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51" w:id="-103160626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51" w:id="-1031606262"/>
                <w14:textFill>
                  <w14:solidFill>
                    <w14:srgbClr w14:val="000000">
                      <w14:alpha w14:val="100000"/>
                    </w14:srgbClr>
                  </w14:solidFill>
                </w14:textFill>
              </w:rPr>
              <w:t>|</w:t>
            </w:r>
            <w:r w:rsidR="0003145F" w:rsidRPr="0003145F">
              <w:rPr>
                <w:rFonts w:ascii="Arial Narrow" w:hAnsi="Arial Narrow" w:hint="eastAsia"/>
                <w:b/>
                <w:bCs/>
                <w:color w:val="000000"/>
                <w:spacing w:val="-15"/>
                <w:w w:val="15"/>
                <w:sz w:val="20"/>
                <w:szCs w:val="20"/>
                <w:shd w:val="solid" w:color="000000" w:fill="000000"/>
                <w:fitText w:val="51" w:id="-1031606262"/>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4EB83F0C" w14:textId="471DA712"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61"/>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61"/>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61"/>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0D577D83" w14:textId="5E5DA30F"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60"/>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60"/>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60"/>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7076CF5F" w14:textId="368EB50D"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59"/>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59"/>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59"/>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18FE65FA" w14:textId="2C6BEA91"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58"/>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58"/>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58"/>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729AE209" w14:textId="5BEDA99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57"/>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57"/>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57"/>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r>
      <w:tr w:rsidR="00940332" w:rsidRPr="00D16A97" w14:paraId="40EE47E0" w14:textId="77777777" w:rsidTr="00192D14">
        <w:tc>
          <w:tcPr>
            <w:tcW w:w="1769" w:type="dxa"/>
            <w:vAlign w:val="center"/>
          </w:tcPr>
          <w:p w14:paraId="03C711B6" w14:textId="77777777"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Patient co-payments</w:t>
            </w:r>
          </w:p>
        </w:tc>
        <w:tc>
          <w:tcPr>
            <w:tcW w:w="1226" w:type="dxa"/>
            <w:vAlign w:val="center"/>
          </w:tcPr>
          <w:p w14:paraId="06FF1656" w14:textId="19CA3026"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56"/>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56"/>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56"/>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0308A2F5" w14:textId="3AF64F47"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72"/>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72"/>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72"/>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7D604FF1" w14:textId="420EE78E"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71"/>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71"/>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71"/>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72E7C091" w14:textId="220A9BEA"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70"/>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70"/>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70"/>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3FD380B9" w14:textId="62208F81"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9"/>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9"/>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2FFE1166" w14:textId="718E1AB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8"/>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8"/>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r>
      <w:tr w:rsidR="00940332" w:rsidRPr="00D16A97" w14:paraId="2A1D2F14" w14:textId="77777777" w:rsidTr="00192D14">
        <w:tc>
          <w:tcPr>
            <w:tcW w:w="1769" w:type="dxa"/>
            <w:vAlign w:val="center"/>
          </w:tcPr>
          <w:p w14:paraId="104843B4" w14:textId="77777777" w:rsidR="00940332" w:rsidRPr="00D16A97" w:rsidRDefault="00940332" w:rsidP="00192D14">
            <w:pPr>
              <w:keepNext/>
              <w:jc w:val="left"/>
              <w:rPr>
                <w:rFonts w:ascii="Arial Narrow" w:hAnsi="Arial Narrow"/>
                <w:b/>
                <w:bCs/>
                <w:sz w:val="20"/>
                <w:szCs w:val="20"/>
              </w:rPr>
            </w:pPr>
            <w:r w:rsidRPr="00D16A97">
              <w:rPr>
                <w:rFonts w:ascii="Arial Narrow" w:hAnsi="Arial Narrow"/>
                <w:b/>
                <w:bCs/>
                <w:sz w:val="20"/>
                <w:szCs w:val="20"/>
              </w:rPr>
              <w:t>Net government expenditure</w:t>
            </w:r>
          </w:p>
        </w:tc>
        <w:tc>
          <w:tcPr>
            <w:tcW w:w="1226" w:type="dxa"/>
            <w:vAlign w:val="center"/>
          </w:tcPr>
          <w:p w14:paraId="3F5A1660" w14:textId="00B6170D"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51" w:id="-1031606267"/>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51" w:id="-1031606267"/>
                <w14:textFill>
                  <w14:solidFill>
                    <w14:srgbClr w14:val="000000">
                      <w14:alpha w14:val="100000"/>
                    </w14:srgbClr>
                  </w14:solidFill>
                </w14:textFill>
              </w:rPr>
              <w:t>|</w:t>
            </w:r>
            <w:r w:rsidR="0003145F" w:rsidRPr="0003145F">
              <w:rPr>
                <w:rFonts w:ascii="Arial Narrow" w:hAnsi="Arial Narrow" w:hint="eastAsia"/>
                <w:b/>
                <w:bCs/>
                <w:color w:val="000000"/>
                <w:spacing w:val="-15"/>
                <w:w w:val="15"/>
                <w:sz w:val="20"/>
                <w:szCs w:val="20"/>
                <w:shd w:val="solid" w:color="000000" w:fill="000000"/>
                <w:fitText w:val="51" w:id="-1031606267"/>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7E192D60" w14:textId="158B06C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66"/>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66"/>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66"/>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26EEA72D" w14:textId="7B9D803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3" w:id="-1031606265"/>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3" w:id="-1031606265"/>
                <w14:textFill>
                  <w14:solidFill>
                    <w14:srgbClr w14:val="000000">
                      <w14:alpha w14:val="100000"/>
                    </w14:srgbClr>
                  </w14:solidFill>
                </w14:textFill>
              </w:rPr>
              <w:t>|</w:t>
            </w:r>
            <w:r w:rsidR="0003145F" w:rsidRPr="0003145F">
              <w:rPr>
                <w:rFonts w:ascii="Arial Narrow" w:hAnsi="Arial Narrow" w:hint="eastAsia"/>
                <w:b/>
                <w:bCs/>
                <w:color w:val="000000"/>
                <w:spacing w:val="-3"/>
                <w:w w:val="15"/>
                <w:sz w:val="20"/>
                <w:szCs w:val="20"/>
                <w:shd w:val="solid" w:color="000000" w:fill="000000"/>
                <w:fitText w:val="63" w:id="-1031606265"/>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2C902105" w14:textId="1611C250"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64"/>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64"/>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64"/>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304F9515" w14:textId="0A1B4483"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63"/>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63"/>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63"/>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c>
          <w:tcPr>
            <w:tcW w:w="1200" w:type="dxa"/>
            <w:vAlign w:val="center"/>
          </w:tcPr>
          <w:p w14:paraId="78171F6A" w14:textId="6D0C6408"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15"/>
                <w:sz w:val="20"/>
                <w:szCs w:val="20"/>
                <w:shd w:val="solid" w:color="000000" w:fill="000000"/>
                <w:fitText w:val="62" w:id="-1031606262"/>
                <w14:textFill>
                  <w14:solidFill>
                    <w14:srgbClr w14:val="000000">
                      <w14:alpha w14:val="100000"/>
                    </w14:srgbClr>
                  </w14:solidFill>
                </w14:textFill>
              </w:rPr>
              <w:t xml:space="preserve">　</w:t>
            </w:r>
            <w:r w:rsidR="0003145F" w:rsidRPr="0003145F">
              <w:rPr>
                <w:rFonts w:ascii="Arial Narrow" w:hAnsi="Arial Narrow"/>
                <w:b/>
                <w:bCs/>
                <w:color w:val="000000"/>
                <w:w w:val="15"/>
                <w:sz w:val="20"/>
                <w:szCs w:val="20"/>
                <w:shd w:val="solid" w:color="000000" w:fill="000000"/>
                <w:fitText w:val="62" w:id="-1031606262"/>
                <w14:textFill>
                  <w14:solidFill>
                    <w14:srgbClr w14:val="000000">
                      <w14:alpha w14:val="100000"/>
                    </w14:srgbClr>
                  </w14:solidFill>
                </w14:textFill>
              </w:rPr>
              <w:t>|</w:t>
            </w:r>
            <w:r w:rsidR="0003145F" w:rsidRPr="0003145F">
              <w:rPr>
                <w:rFonts w:ascii="Arial Narrow" w:hAnsi="Arial Narrow" w:hint="eastAsia"/>
                <w:b/>
                <w:bCs/>
                <w:color w:val="000000"/>
                <w:spacing w:val="-4"/>
                <w:w w:val="15"/>
                <w:sz w:val="20"/>
                <w:szCs w:val="20"/>
                <w:shd w:val="solid" w:color="000000" w:fill="000000"/>
                <w:fitText w:val="62" w:id="-1031606262"/>
                <w14:textFill>
                  <w14:solidFill>
                    <w14:srgbClr w14:val="000000">
                      <w14:alpha w14:val="100000"/>
                    </w14:srgbClr>
                  </w14:solidFill>
                </w14:textFill>
              </w:rPr>
              <w:t xml:space="preserve">　</w:t>
            </w:r>
            <w:r w:rsidR="0073350C">
              <w:rPr>
                <w:rFonts w:ascii="Arial Narrow" w:hAnsi="Arial Narrow"/>
                <w:sz w:val="20"/>
                <w:szCs w:val="20"/>
                <w:vertAlign w:val="superscript"/>
              </w:rPr>
              <w:t>8</w:t>
            </w:r>
          </w:p>
        </w:tc>
      </w:tr>
      <w:tr w:rsidR="00940332" w:rsidRPr="00D16A97" w14:paraId="1476F7DB" w14:textId="77777777" w:rsidTr="00192D14">
        <w:tc>
          <w:tcPr>
            <w:tcW w:w="1769" w:type="dxa"/>
            <w:shd w:val="clear" w:color="auto" w:fill="F2F2F2" w:themeFill="background1" w:themeFillShade="F2"/>
            <w:vAlign w:val="center"/>
          </w:tcPr>
          <w:p w14:paraId="3CA3D8A0" w14:textId="77777777" w:rsidR="00940332" w:rsidRPr="00D16A97" w:rsidRDefault="00940332" w:rsidP="00192D14">
            <w:pPr>
              <w:keepNext/>
              <w:jc w:val="left"/>
              <w:rPr>
                <w:rFonts w:ascii="Arial Narrow" w:hAnsi="Arial Narrow"/>
                <w:sz w:val="20"/>
                <w:szCs w:val="20"/>
              </w:rPr>
            </w:pPr>
            <w:r w:rsidRPr="00D16A97">
              <w:rPr>
                <w:rFonts w:ascii="Arial Narrow" w:hAnsi="Arial Narrow"/>
                <w:b/>
                <w:bCs/>
                <w:sz w:val="20"/>
                <w:szCs w:val="20"/>
              </w:rPr>
              <w:t xml:space="preserve"> High case</w:t>
            </w:r>
          </w:p>
        </w:tc>
        <w:tc>
          <w:tcPr>
            <w:tcW w:w="1226" w:type="dxa"/>
            <w:shd w:val="clear" w:color="auto" w:fill="F2F2F2" w:themeFill="background1" w:themeFillShade="F2"/>
            <w:vAlign w:val="center"/>
          </w:tcPr>
          <w:p w14:paraId="74BA3B1A"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2024</w:t>
            </w:r>
          </w:p>
        </w:tc>
        <w:tc>
          <w:tcPr>
            <w:tcW w:w="1200" w:type="dxa"/>
            <w:shd w:val="clear" w:color="auto" w:fill="F2F2F2" w:themeFill="background1" w:themeFillShade="F2"/>
            <w:vAlign w:val="center"/>
          </w:tcPr>
          <w:p w14:paraId="277A5181"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2025</w:t>
            </w:r>
          </w:p>
        </w:tc>
        <w:tc>
          <w:tcPr>
            <w:tcW w:w="1200" w:type="dxa"/>
            <w:shd w:val="clear" w:color="auto" w:fill="F2F2F2" w:themeFill="background1" w:themeFillShade="F2"/>
            <w:vAlign w:val="center"/>
          </w:tcPr>
          <w:p w14:paraId="1A957B7C"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2026</w:t>
            </w:r>
          </w:p>
        </w:tc>
        <w:tc>
          <w:tcPr>
            <w:tcW w:w="1200" w:type="dxa"/>
            <w:shd w:val="clear" w:color="auto" w:fill="F2F2F2" w:themeFill="background1" w:themeFillShade="F2"/>
            <w:vAlign w:val="center"/>
          </w:tcPr>
          <w:p w14:paraId="73AF11AB"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2027</w:t>
            </w:r>
          </w:p>
        </w:tc>
        <w:tc>
          <w:tcPr>
            <w:tcW w:w="1200" w:type="dxa"/>
            <w:shd w:val="clear" w:color="auto" w:fill="F2F2F2" w:themeFill="background1" w:themeFillShade="F2"/>
            <w:vAlign w:val="center"/>
          </w:tcPr>
          <w:p w14:paraId="1E45D438"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2028</w:t>
            </w:r>
          </w:p>
        </w:tc>
        <w:tc>
          <w:tcPr>
            <w:tcW w:w="1200" w:type="dxa"/>
            <w:shd w:val="clear" w:color="auto" w:fill="F2F2F2" w:themeFill="background1" w:themeFillShade="F2"/>
            <w:vAlign w:val="center"/>
          </w:tcPr>
          <w:p w14:paraId="77EB2EFF" w14:textId="77777777" w:rsidR="00940332" w:rsidRPr="00D16A97" w:rsidRDefault="00940332" w:rsidP="00192D14">
            <w:pPr>
              <w:keepNext/>
              <w:jc w:val="center"/>
              <w:rPr>
                <w:rFonts w:ascii="Arial Narrow" w:hAnsi="Arial Narrow"/>
                <w:sz w:val="20"/>
                <w:szCs w:val="20"/>
              </w:rPr>
            </w:pPr>
            <w:r w:rsidRPr="00D16A97">
              <w:rPr>
                <w:rFonts w:ascii="Arial Narrow" w:hAnsi="Arial Narrow"/>
                <w:b/>
                <w:bCs/>
                <w:sz w:val="20"/>
                <w:szCs w:val="20"/>
              </w:rPr>
              <w:t>2029</w:t>
            </w:r>
          </w:p>
        </w:tc>
      </w:tr>
      <w:tr w:rsidR="00940332" w:rsidRPr="00D16A97" w14:paraId="1E824523" w14:textId="77777777" w:rsidTr="00192D14">
        <w:tc>
          <w:tcPr>
            <w:tcW w:w="1769" w:type="dxa"/>
            <w:vAlign w:val="center"/>
          </w:tcPr>
          <w:p w14:paraId="330F52EB" w14:textId="77777777"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Total OAV market</w:t>
            </w:r>
          </w:p>
        </w:tc>
        <w:tc>
          <w:tcPr>
            <w:tcW w:w="1226" w:type="dxa"/>
            <w:vAlign w:val="center"/>
          </w:tcPr>
          <w:p w14:paraId="6DECCA59" w14:textId="4F14FD77"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61"/>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61"/>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61"/>
                <w14:textFill>
                  <w14:solidFill>
                    <w14:srgbClr w14:val="000000">
                      <w14:alpha w14:val="100000"/>
                    </w14:srgbClr>
                  </w14:solidFill>
                </w14:textFill>
              </w:rPr>
              <w:t xml:space="preserve">　</w:t>
            </w:r>
            <w:r w:rsidR="0073350C">
              <w:rPr>
                <w:rFonts w:ascii="Arial Narrow" w:hAnsi="Arial Narrow"/>
                <w:sz w:val="20"/>
                <w:szCs w:val="20"/>
                <w:vertAlign w:val="superscript"/>
              </w:rPr>
              <w:t>9</w:t>
            </w:r>
          </w:p>
        </w:tc>
        <w:tc>
          <w:tcPr>
            <w:tcW w:w="1200" w:type="dxa"/>
            <w:vAlign w:val="center"/>
          </w:tcPr>
          <w:p w14:paraId="301BB563" w14:textId="42219B1F"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60"/>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60"/>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60"/>
                <w14:textFill>
                  <w14:solidFill>
                    <w14:srgbClr w14:val="000000">
                      <w14:alpha w14:val="100000"/>
                    </w14:srgbClr>
                  </w14:solidFill>
                </w14:textFill>
              </w:rPr>
              <w:t xml:space="preserve">　</w:t>
            </w:r>
            <w:r w:rsidR="00757925">
              <w:rPr>
                <w:rFonts w:ascii="Arial Narrow" w:hAnsi="Arial Narrow"/>
                <w:sz w:val="20"/>
                <w:szCs w:val="20"/>
                <w:vertAlign w:val="superscript"/>
              </w:rPr>
              <w:t>13</w:t>
            </w:r>
          </w:p>
        </w:tc>
        <w:tc>
          <w:tcPr>
            <w:tcW w:w="1200" w:type="dxa"/>
            <w:vAlign w:val="center"/>
          </w:tcPr>
          <w:p w14:paraId="320A76F3" w14:textId="5113061D"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9"/>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9"/>
                <w14:textFill>
                  <w14:solidFill>
                    <w14:srgbClr w14:val="000000">
                      <w14:alpha w14:val="100000"/>
                    </w14:srgbClr>
                  </w14:solidFill>
                </w14:textFill>
              </w:rPr>
              <w:t xml:space="preserve">　</w:t>
            </w:r>
            <w:r w:rsidR="00757925">
              <w:rPr>
                <w:rFonts w:ascii="Arial Narrow" w:hAnsi="Arial Narrow"/>
                <w:sz w:val="20"/>
                <w:szCs w:val="20"/>
                <w:vertAlign w:val="superscript"/>
              </w:rPr>
              <w:t>13</w:t>
            </w:r>
          </w:p>
        </w:tc>
        <w:tc>
          <w:tcPr>
            <w:tcW w:w="1200" w:type="dxa"/>
            <w:vAlign w:val="center"/>
          </w:tcPr>
          <w:p w14:paraId="568215E7" w14:textId="3D3EFB82"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8"/>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8"/>
                <w14:textFill>
                  <w14:solidFill>
                    <w14:srgbClr w14:val="000000">
                      <w14:alpha w14:val="100000"/>
                    </w14:srgbClr>
                  </w14:solidFill>
                </w14:textFill>
              </w:rPr>
              <w:t xml:space="preserve">　</w:t>
            </w:r>
            <w:r w:rsidR="00757925">
              <w:rPr>
                <w:rFonts w:ascii="Arial Narrow" w:hAnsi="Arial Narrow"/>
                <w:sz w:val="20"/>
                <w:szCs w:val="20"/>
                <w:vertAlign w:val="superscript"/>
              </w:rPr>
              <w:t>13</w:t>
            </w:r>
          </w:p>
        </w:tc>
        <w:tc>
          <w:tcPr>
            <w:tcW w:w="1200" w:type="dxa"/>
            <w:vAlign w:val="center"/>
          </w:tcPr>
          <w:p w14:paraId="578F1FA6" w14:textId="7493B4BD"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7"/>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7"/>
                <w14:textFill>
                  <w14:solidFill>
                    <w14:srgbClr w14:val="000000">
                      <w14:alpha w14:val="100000"/>
                    </w14:srgbClr>
                  </w14:solidFill>
                </w14:textFill>
              </w:rPr>
              <w:t xml:space="preserve">　</w:t>
            </w:r>
            <w:r w:rsidR="00757925">
              <w:rPr>
                <w:rFonts w:ascii="Arial Narrow" w:hAnsi="Arial Narrow"/>
                <w:sz w:val="20"/>
                <w:szCs w:val="20"/>
                <w:vertAlign w:val="superscript"/>
              </w:rPr>
              <w:t>13</w:t>
            </w:r>
          </w:p>
        </w:tc>
        <w:tc>
          <w:tcPr>
            <w:tcW w:w="1200" w:type="dxa"/>
            <w:vAlign w:val="center"/>
          </w:tcPr>
          <w:p w14:paraId="28BE1041" w14:textId="096B40A7"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6"/>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6"/>
                <w14:textFill>
                  <w14:solidFill>
                    <w14:srgbClr w14:val="000000">
                      <w14:alpha w14:val="100000"/>
                    </w14:srgbClr>
                  </w14:solidFill>
                </w14:textFill>
              </w:rPr>
              <w:t xml:space="preserve">　</w:t>
            </w:r>
            <w:r w:rsidR="00757925">
              <w:rPr>
                <w:rFonts w:ascii="Arial Narrow" w:hAnsi="Arial Narrow"/>
                <w:sz w:val="20"/>
                <w:szCs w:val="20"/>
                <w:vertAlign w:val="superscript"/>
              </w:rPr>
              <w:t>15</w:t>
            </w:r>
          </w:p>
        </w:tc>
      </w:tr>
      <w:tr w:rsidR="00940332" w:rsidRPr="00D16A97" w14:paraId="127894FA" w14:textId="77777777" w:rsidTr="00192D14">
        <w:tc>
          <w:tcPr>
            <w:tcW w:w="1769" w:type="dxa"/>
            <w:vAlign w:val="center"/>
          </w:tcPr>
          <w:p w14:paraId="06A31A0C" w14:textId="77777777" w:rsidR="00940332" w:rsidRPr="00D16A97" w:rsidRDefault="00940332" w:rsidP="00192D14">
            <w:pPr>
              <w:keepNext/>
              <w:ind w:firstLine="255"/>
              <w:jc w:val="left"/>
              <w:rPr>
                <w:rFonts w:ascii="Arial Narrow" w:hAnsi="Arial Narrow"/>
                <w:sz w:val="20"/>
                <w:szCs w:val="20"/>
              </w:rPr>
            </w:pPr>
            <w:r w:rsidRPr="00D16A97">
              <w:rPr>
                <w:rFonts w:ascii="Arial Narrow" w:hAnsi="Arial Narrow"/>
                <w:sz w:val="20"/>
                <w:szCs w:val="20"/>
              </w:rPr>
              <w:t>Molnupiravir Rx</w:t>
            </w:r>
          </w:p>
        </w:tc>
        <w:tc>
          <w:tcPr>
            <w:tcW w:w="1226" w:type="dxa"/>
            <w:vAlign w:val="center"/>
          </w:tcPr>
          <w:p w14:paraId="3A2AF907" w14:textId="369F5AD0"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72"/>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72"/>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72"/>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1DA06400" w14:textId="6E3F61E5"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71"/>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71"/>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71"/>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2D292167" w14:textId="4D5877EB"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70"/>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70"/>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70"/>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1DF3383F" w14:textId="3B9579D9"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6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69"/>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69"/>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16C19BD6" w14:textId="1E46D38D"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6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68"/>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68"/>
                <w14:textFill>
                  <w14:solidFill>
                    <w14:srgbClr w14:val="000000">
                      <w14:alpha w14:val="100000"/>
                    </w14:srgbClr>
                  </w14:solidFill>
                </w14:textFill>
              </w:rPr>
              <w:t xml:space="preserve">　</w:t>
            </w:r>
            <w:r w:rsidR="0073350C">
              <w:rPr>
                <w:rFonts w:ascii="Arial Narrow" w:hAnsi="Arial Narrow"/>
                <w:sz w:val="20"/>
                <w:szCs w:val="20"/>
                <w:vertAlign w:val="superscript"/>
              </w:rPr>
              <w:t>10</w:t>
            </w:r>
          </w:p>
        </w:tc>
        <w:tc>
          <w:tcPr>
            <w:tcW w:w="1200" w:type="dxa"/>
            <w:vAlign w:val="center"/>
          </w:tcPr>
          <w:p w14:paraId="1C841725" w14:textId="50924E2E"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7" w:id="-103160626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7" w:id="-1031606267"/>
                <w14:textFill>
                  <w14:solidFill>
                    <w14:srgbClr w14:val="000000">
                      <w14:alpha w14:val="100000"/>
                    </w14:srgbClr>
                  </w14:solidFill>
                </w14:textFill>
              </w:rPr>
              <w:t>|</w:t>
            </w:r>
            <w:r w:rsidR="0003145F" w:rsidRPr="0003145F">
              <w:rPr>
                <w:rFonts w:ascii="Arial Narrow" w:hAnsi="Arial Narrow" w:hint="eastAsia"/>
                <w:color w:val="000000"/>
                <w:spacing w:val="-28"/>
                <w:w w:val="15"/>
                <w:sz w:val="20"/>
                <w:szCs w:val="20"/>
                <w:shd w:val="solid" w:color="000000" w:fill="000000"/>
                <w:fitText w:val="37" w:id="-1031606267"/>
                <w14:textFill>
                  <w14:solidFill>
                    <w14:srgbClr w14:val="000000">
                      <w14:alpha w14:val="100000"/>
                    </w14:srgbClr>
                  </w14:solidFill>
                </w14:textFill>
              </w:rPr>
              <w:t xml:space="preserve">　</w:t>
            </w:r>
            <w:r w:rsidR="0073350C">
              <w:rPr>
                <w:rFonts w:ascii="Arial Narrow" w:hAnsi="Arial Narrow"/>
                <w:sz w:val="20"/>
                <w:szCs w:val="20"/>
                <w:vertAlign w:val="superscript"/>
              </w:rPr>
              <w:t>7</w:t>
            </w:r>
          </w:p>
        </w:tc>
      </w:tr>
      <w:tr w:rsidR="00940332" w:rsidRPr="00D16A97" w14:paraId="00CDEAD8" w14:textId="77777777" w:rsidTr="00192D14">
        <w:tc>
          <w:tcPr>
            <w:tcW w:w="1769" w:type="dxa"/>
            <w:vAlign w:val="center"/>
          </w:tcPr>
          <w:p w14:paraId="36F7E694" w14:textId="0ED02421" w:rsidR="00940332" w:rsidRPr="00D16A97" w:rsidRDefault="00940332" w:rsidP="00192D14">
            <w:pPr>
              <w:keepNext/>
              <w:jc w:val="left"/>
              <w:rPr>
                <w:rFonts w:ascii="Arial Narrow" w:hAnsi="Arial Narrow"/>
                <w:sz w:val="20"/>
                <w:szCs w:val="20"/>
              </w:rPr>
            </w:pPr>
            <w:r w:rsidRPr="00D16A97">
              <w:rPr>
                <w:rFonts w:ascii="Arial Narrow" w:hAnsi="Arial Narrow"/>
                <w:sz w:val="20"/>
                <w:szCs w:val="20"/>
              </w:rPr>
              <w:t>Effective average DPMQ</w:t>
            </w:r>
            <w:r w:rsidR="00C41B25">
              <w:rPr>
                <w:rFonts w:ascii="Arial Narrow" w:hAnsi="Arial Narrow"/>
                <w:sz w:val="20"/>
                <w:szCs w:val="20"/>
              </w:rPr>
              <w:t xml:space="preserve"> ($)</w:t>
            </w:r>
          </w:p>
        </w:tc>
        <w:tc>
          <w:tcPr>
            <w:tcW w:w="1226" w:type="dxa"/>
            <w:vAlign w:val="center"/>
          </w:tcPr>
          <w:p w14:paraId="5F55989A" w14:textId="1152A9B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71CC27CE" w14:textId="716C1E4B"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401FFE33" w14:textId="7FBD40CE"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2667C7D1" w14:textId="605980F4"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766955DE" w14:textId="1F41DFD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00" w:type="dxa"/>
            <w:vAlign w:val="center"/>
          </w:tcPr>
          <w:p w14:paraId="421027A6" w14:textId="19B93C78" w:rsidR="00940332" w:rsidRPr="00B23905" w:rsidRDefault="005C2556" w:rsidP="00192D14">
            <w:pPr>
              <w:keepNext/>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color w:val="000000"/>
                <w:sz w:val="20"/>
                <w:szCs w:val="20"/>
                <w:shd w:val="solid" w:color="000000" w:fill="000000"/>
                <w14:textFill>
                  <w14:solidFill>
                    <w14:srgbClr w14:val="000000">
                      <w14:alpha w14:val="100000"/>
                    </w14:srgbClr>
                  </w14:solidFill>
                </w14:textFill>
              </w:rPr>
              <w:t>|</w:t>
            </w:r>
          </w:p>
        </w:tc>
      </w:tr>
      <w:tr w:rsidR="00940332" w:rsidRPr="00D16A97" w14:paraId="5F3AD3D3" w14:textId="77777777" w:rsidTr="00192D14">
        <w:tc>
          <w:tcPr>
            <w:tcW w:w="1769" w:type="dxa"/>
            <w:vAlign w:val="center"/>
          </w:tcPr>
          <w:p w14:paraId="76B70448" w14:textId="77777777" w:rsidR="00940332" w:rsidRPr="00D16A97" w:rsidRDefault="00940332" w:rsidP="00192D14">
            <w:pPr>
              <w:keepNext/>
              <w:spacing w:line="259" w:lineRule="auto"/>
              <w:jc w:val="left"/>
              <w:rPr>
                <w:rFonts w:ascii="Arial Narrow" w:hAnsi="Arial Narrow"/>
                <w:sz w:val="20"/>
                <w:szCs w:val="20"/>
              </w:rPr>
            </w:pPr>
            <w:r w:rsidRPr="00D16A97">
              <w:rPr>
                <w:rFonts w:ascii="Arial Narrow" w:hAnsi="Arial Narrow"/>
                <w:b/>
                <w:bCs/>
                <w:sz w:val="20"/>
                <w:szCs w:val="20"/>
              </w:rPr>
              <w:t>Total effective PBS expenditure for molnupiravir</w:t>
            </w:r>
          </w:p>
        </w:tc>
        <w:tc>
          <w:tcPr>
            <w:tcW w:w="1226" w:type="dxa"/>
            <w:vAlign w:val="center"/>
          </w:tcPr>
          <w:p w14:paraId="662C379D" w14:textId="28FB2962"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2"/>
                <w:sz w:val="20"/>
                <w:szCs w:val="20"/>
                <w:shd w:val="solid" w:color="000000" w:fill="000000"/>
                <w:fitText w:val="100" w:id="-1031606266"/>
                <w14:textFill>
                  <w14:solidFill>
                    <w14:srgbClr w14:val="000000">
                      <w14:alpha w14:val="100000"/>
                    </w14:srgbClr>
                  </w14:solidFill>
                </w14:textFill>
              </w:rPr>
              <w:t xml:space="preserve">　</w:t>
            </w:r>
            <w:r w:rsidR="0003145F" w:rsidRPr="0003145F">
              <w:rPr>
                <w:rFonts w:ascii="Arial Narrow" w:hAnsi="Arial Narrow"/>
                <w:b/>
                <w:bCs/>
                <w:color w:val="000000"/>
                <w:w w:val="22"/>
                <w:sz w:val="20"/>
                <w:szCs w:val="20"/>
                <w:shd w:val="solid" w:color="000000" w:fill="000000"/>
                <w:fitText w:val="100" w:id="-1031606266"/>
                <w14:textFill>
                  <w14:solidFill>
                    <w14:srgbClr w14:val="000000">
                      <w14:alpha w14:val="100000"/>
                    </w14:srgbClr>
                  </w14:solidFill>
                </w14:textFill>
              </w:rPr>
              <w:t>|</w:t>
            </w:r>
            <w:r w:rsidR="0003145F" w:rsidRPr="0003145F">
              <w:rPr>
                <w:rFonts w:ascii="Arial Narrow" w:hAnsi="Arial Narrow" w:hint="eastAsia"/>
                <w:b/>
                <w:bCs/>
                <w:color w:val="000000"/>
                <w:spacing w:val="2"/>
                <w:w w:val="22"/>
                <w:sz w:val="20"/>
                <w:szCs w:val="20"/>
                <w:shd w:val="solid" w:color="000000" w:fill="000000"/>
                <w:fitText w:val="100" w:id="-1031606266"/>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495E7859" w14:textId="7ECD745C"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5"/>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5"/>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5"/>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483BC0E7" w14:textId="36D9624D"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2" w:id="-1031606264"/>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2" w:id="-1031606264"/>
                <w14:textFill>
                  <w14:solidFill>
                    <w14:srgbClr w14:val="000000">
                      <w14:alpha w14:val="100000"/>
                    </w14:srgbClr>
                  </w14:solidFill>
                </w14:textFill>
              </w:rPr>
              <w:t>|</w:t>
            </w:r>
            <w:r w:rsidR="0003145F" w:rsidRPr="0003145F">
              <w:rPr>
                <w:rFonts w:ascii="Arial Narrow" w:hAnsi="Arial Narrow" w:hint="eastAsia"/>
                <w:b/>
                <w:bCs/>
                <w:color w:val="000000"/>
                <w:w w:val="25"/>
                <w:sz w:val="20"/>
                <w:szCs w:val="20"/>
                <w:shd w:val="solid" w:color="000000" w:fill="000000"/>
                <w:fitText w:val="112" w:id="-1031606264"/>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37643E34" w14:textId="366763C5"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3"/>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3"/>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3"/>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1BB31407" w14:textId="3349033C"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2"/>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2"/>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2"/>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401420CB" w14:textId="066581AB" w:rsidR="00940332" w:rsidRPr="00B23905" w:rsidRDefault="005C2556" w:rsidP="00192D14">
            <w:pPr>
              <w:keepNext/>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1"/>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1"/>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1"/>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r>
      <w:tr w:rsidR="00940332" w:rsidRPr="00D16A97" w14:paraId="5F376390" w14:textId="77777777" w:rsidTr="00192D14">
        <w:tc>
          <w:tcPr>
            <w:tcW w:w="1769" w:type="dxa"/>
            <w:vAlign w:val="center"/>
          </w:tcPr>
          <w:p w14:paraId="6EDD3BD0" w14:textId="77777777" w:rsidR="00940332" w:rsidRPr="00D16A97" w:rsidRDefault="00940332" w:rsidP="00192D14">
            <w:pPr>
              <w:jc w:val="left"/>
              <w:rPr>
                <w:rFonts w:ascii="Arial Narrow" w:hAnsi="Arial Narrow"/>
                <w:sz w:val="20"/>
                <w:szCs w:val="20"/>
              </w:rPr>
            </w:pPr>
            <w:r w:rsidRPr="00D16A97">
              <w:rPr>
                <w:rFonts w:ascii="Arial Narrow" w:hAnsi="Arial Narrow"/>
                <w:sz w:val="20"/>
                <w:szCs w:val="20"/>
              </w:rPr>
              <w:t>Patient co-payments</w:t>
            </w:r>
          </w:p>
        </w:tc>
        <w:tc>
          <w:tcPr>
            <w:tcW w:w="1226" w:type="dxa"/>
            <w:vAlign w:val="center"/>
          </w:tcPr>
          <w:p w14:paraId="384C8590" w14:textId="0BA59E13" w:rsidR="00940332" w:rsidRPr="00B23905"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567EAC">
              <w:rPr>
                <w:rFonts w:ascii="Arial Narrow" w:hAnsi="Arial Narrow" w:hint="eastAsia"/>
                <w:color w:val="000000"/>
                <w:w w:val="15"/>
                <w:sz w:val="20"/>
                <w:szCs w:val="20"/>
                <w:shd w:val="solid" w:color="000000" w:fill="000000"/>
                <w:fitText w:val="25" w:id="-1031606260"/>
                <w14:textFill>
                  <w14:solidFill>
                    <w14:srgbClr w14:val="000000">
                      <w14:alpha w14:val="100000"/>
                    </w14:srgbClr>
                  </w14:solidFill>
                </w14:textFill>
              </w:rPr>
              <w:t xml:space="preserve">　</w:t>
            </w:r>
            <w:r w:rsidR="0003145F" w:rsidRPr="00567EAC">
              <w:rPr>
                <w:rFonts w:ascii="Arial Narrow" w:hAnsi="Arial Narrow"/>
                <w:color w:val="000000"/>
                <w:w w:val="15"/>
                <w:sz w:val="20"/>
                <w:szCs w:val="20"/>
                <w:shd w:val="solid" w:color="000000" w:fill="000000"/>
                <w:fitText w:val="25" w:id="-1031606260"/>
                <w14:textFill>
                  <w14:solidFill>
                    <w14:srgbClr w14:val="000000">
                      <w14:alpha w14:val="100000"/>
                    </w14:srgbClr>
                  </w14:solidFill>
                </w14:textFill>
              </w:rPr>
              <w:t>|</w:t>
            </w:r>
            <w:r w:rsidR="0003145F" w:rsidRPr="00567EAC">
              <w:rPr>
                <w:rFonts w:ascii="Arial Narrow" w:hAnsi="Arial Narrow" w:hint="eastAsia"/>
                <w:color w:val="000000"/>
                <w:spacing w:val="-40"/>
                <w:w w:val="15"/>
                <w:sz w:val="20"/>
                <w:szCs w:val="20"/>
                <w:shd w:val="solid" w:color="000000" w:fill="000000"/>
                <w:fitText w:val="25" w:id="-1031606260"/>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6AACA779" w14:textId="6EE9DEC0" w:rsidR="00940332" w:rsidRPr="00B23905"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38" w:id="-1031606259"/>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38" w:id="-1031606259"/>
                <w14:textFill>
                  <w14:solidFill>
                    <w14:srgbClr w14:val="000000">
                      <w14:alpha w14:val="100000"/>
                    </w14:srgbClr>
                  </w14:solidFill>
                </w14:textFill>
              </w:rPr>
              <w:t>|</w:t>
            </w:r>
            <w:r w:rsidR="0003145F" w:rsidRPr="0003145F">
              <w:rPr>
                <w:rFonts w:ascii="Arial Narrow" w:hAnsi="Arial Narrow" w:hint="eastAsia"/>
                <w:color w:val="000000"/>
                <w:spacing w:val="-27"/>
                <w:w w:val="15"/>
                <w:sz w:val="20"/>
                <w:szCs w:val="20"/>
                <w:shd w:val="solid" w:color="000000" w:fill="000000"/>
                <w:fitText w:val="38" w:id="-1031606259"/>
                <w14:textFill>
                  <w14:solidFill>
                    <w14:srgbClr w14:val="000000">
                      <w14:alpha w14:val="100000"/>
                    </w14:srgbClr>
                  </w14:solidFill>
                </w14:textFill>
              </w:rPr>
              <w:t xml:space="preserve">　</w:t>
            </w:r>
            <w:r w:rsidR="0073350C">
              <w:rPr>
                <w:rFonts w:ascii="Arial Narrow" w:hAnsi="Arial Narrow"/>
                <w:sz w:val="20"/>
                <w:szCs w:val="20"/>
                <w:vertAlign w:val="superscript"/>
              </w:rPr>
              <w:t>4</w:t>
            </w:r>
          </w:p>
        </w:tc>
        <w:tc>
          <w:tcPr>
            <w:tcW w:w="1200" w:type="dxa"/>
            <w:vAlign w:val="center"/>
          </w:tcPr>
          <w:p w14:paraId="7CA1B5B4" w14:textId="6055B70A" w:rsidR="00940332" w:rsidRPr="00B23905"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8"/>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8"/>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8"/>
                <w14:textFill>
                  <w14:solidFill>
                    <w14:srgbClr w14:val="000000">
                      <w14:alpha w14:val="100000"/>
                    </w14:srgbClr>
                  </w14:solidFill>
                </w14:textFill>
              </w:rPr>
              <w:t xml:space="preserve">　</w:t>
            </w:r>
            <w:r w:rsidR="00757925">
              <w:rPr>
                <w:rFonts w:ascii="Arial Narrow" w:hAnsi="Arial Narrow"/>
                <w:sz w:val="20"/>
                <w:szCs w:val="20"/>
                <w:vertAlign w:val="superscript"/>
              </w:rPr>
              <w:t>14</w:t>
            </w:r>
          </w:p>
        </w:tc>
        <w:tc>
          <w:tcPr>
            <w:tcW w:w="1200" w:type="dxa"/>
            <w:vAlign w:val="center"/>
          </w:tcPr>
          <w:p w14:paraId="62C4B80B" w14:textId="7DCDF07C" w:rsidR="00940332" w:rsidRPr="00B23905"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7"/>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7"/>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7"/>
                <w14:textFill>
                  <w14:solidFill>
                    <w14:srgbClr w14:val="000000">
                      <w14:alpha w14:val="100000"/>
                    </w14:srgbClr>
                  </w14:solidFill>
                </w14:textFill>
              </w:rPr>
              <w:t xml:space="preserve">　</w:t>
            </w:r>
            <w:r w:rsidR="00757925">
              <w:rPr>
                <w:rFonts w:ascii="Arial Narrow" w:hAnsi="Arial Narrow"/>
                <w:sz w:val="20"/>
                <w:szCs w:val="20"/>
                <w:vertAlign w:val="superscript"/>
              </w:rPr>
              <w:t>14</w:t>
            </w:r>
          </w:p>
        </w:tc>
        <w:tc>
          <w:tcPr>
            <w:tcW w:w="1200" w:type="dxa"/>
            <w:vAlign w:val="center"/>
          </w:tcPr>
          <w:p w14:paraId="2FD56F5D" w14:textId="43B8F77E" w:rsidR="00940332" w:rsidRPr="00B23905"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56"/>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56"/>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56"/>
                <w14:textFill>
                  <w14:solidFill>
                    <w14:srgbClr w14:val="000000">
                      <w14:alpha w14:val="100000"/>
                    </w14:srgbClr>
                  </w14:solidFill>
                </w14:textFill>
              </w:rPr>
              <w:t xml:space="preserve">　</w:t>
            </w:r>
            <w:r w:rsidR="00757925">
              <w:rPr>
                <w:rFonts w:ascii="Arial Narrow" w:hAnsi="Arial Narrow"/>
                <w:sz w:val="20"/>
                <w:szCs w:val="20"/>
                <w:vertAlign w:val="superscript"/>
              </w:rPr>
              <w:t>14</w:t>
            </w:r>
          </w:p>
        </w:tc>
        <w:tc>
          <w:tcPr>
            <w:tcW w:w="1200" w:type="dxa"/>
            <w:vAlign w:val="center"/>
          </w:tcPr>
          <w:p w14:paraId="2A1E15CF" w14:textId="18B5A484" w:rsidR="00940332" w:rsidRPr="00B23905" w:rsidRDefault="005C2556" w:rsidP="00192D14">
            <w:pPr>
              <w:jc w:val="center"/>
              <w:rPr>
                <w:rFonts w:ascii="Arial Narrow" w:hAnsi="Arial Narrow"/>
                <w:sz w:val="20"/>
                <w:szCs w:val="20"/>
                <w:highlight w:val="darkGray"/>
              </w:rPr>
            </w:pPr>
            <w:r w:rsidRPr="005C2556">
              <w:rPr>
                <w:rFonts w:ascii="Arial Narrow" w:hAnsi="Arial Narrow"/>
                <w:sz w:val="20"/>
                <w:szCs w:val="20"/>
              </w:rPr>
              <w:t xml:space="preserve"> </w:t>
            </w:r>
            <w:r w:rsidR="0003145F" w:rsidRPr="0003145F">
              <w:rPr>
                <w:rFonts w:ascii="Arial Narrow" w:hAnsi="Arial Narrow" w:hint="eastAsia"/>
                <w:color w:val="000000"/>
                <w:w w:val="15"/>
                <w:sz w:val="20"/>
                <w:szCs w:val="20"/>
                <w:shd w:val="solid" w:color="000000" w:fill="000000"/>
                <w:fitText w:val="50" w:id="-1031606272"/>
                <w14:textFill>
                  <w14:solidFill>
                    <w14:srgbClr w14:val="000000">
                      <w14:alpha w14:val="100000"/>
                    </w14:srgbClr>
                  </w14:solidFill>
                </w14:textFill>
              </w:rPr>
              <w:t xml:space="preserve">　</w:t>
            </w:r>
            <w:r w:rsidR="0003145F" w:rsidRPr="0003145F">
              <w:rPr>
                <w:rFonts w:ascii="Arial Narrow" w:hAnsi="Arial Narrow"/>
                <w:color w:val="000000"/>
                <w:w w:val="15"/>
                <w:sz w:val="20"/>
                <w:szCs w:val="20"/>
                <w:shd w:val="solid" w:color="000000" w:fill="000000"/>
                <w:fitText w:val="50" w:id="-1031606272"/>
                <w14:textFill>
                  <w14:solidFill>
                    <w14:srgbClr w14:val="000000">
                      <w14:alpha w14:val="100000"/>
                    </w14:srgbClr>
                  </w14:solidFill>
                </w14:textFill>
              </w:rPr>
              <w:t>|</w:t>
            </w:r>
            <w:r w:rsidR="0003145F" w:rsidRPr="0003145F">
              <w:rPr>
                <w:rFonts w:ascii="Arial Narrow" w:hAnsi="Arial Narrow" w:hint="eastAsia"/>
                <w:color w:val="000000"/>
                <w:spacing w:val="-15"/>
                <w:w w:val="15"/>
                <w:sz w:val="20"/>
                <w:szCs w:val="20"/>
                <w:shd w:val="solid" w:color="000000" w:fill="000000"/>
                <w:fitText w:val="50" w:id="-1031606272"/>
                <w14:textFill>
                  <w14:solidFill>
                    <w14:srgbClr w14:val="000000">
                      <w14:alpha w14:val="100000"/>
                    </w14:srgbClr>
                  </w14:solidFill>
                </w14:textFill>
              </w:rPr>
              <w:t xml:space="preserve">　</w:t>
            </w:r>
            <w:r w:rsidR="00757925">
              <w:rPr>
                <w:rFonts w:ascii="Arial Narrow" w:hAnsi="Arial Narrow"/>
                <w:sz w:val="20"/>
                <w:szCs w:val="20"/>
                <w:vertAlign w:val="superscript"/>
              </w:rPr>
              <w:t>14</w:t>
            </w:r>
          </w:p>
        </w:tc>
      </w:tr>
      <w:tr w:rsidR="00940332" w:rsidRPr="00D16A97" w14:paraId="7BF5E271" w14:textId="77777777" w:rsidTr="00192D14">
        <w:tc>
          <w:tcPr>
            <w:tcW w:w="1769" w:type="dxa"/>
            <w:vAlign w:val="center"/>
          </w:tcPr>
          <w:p w14:paraId="6AF38272" w14:textId="77777777" w:rsidR="00940332" w:rsidRPr="00D16A97" w:rsidRDefault="00940332" w:rsidP="00192D14">
            <w:pPr>
              <w:jc w:val="left"/>
              <w:rPr>
                <w:rFonts w:ascii="Arial Narrow" w:hAnsi="Arial Narrow"/>
                <w:b/>
                <w:bCs/>
                <w:sz w:val="20"/>
                <w:szCs w:val="20"/>
              </w:rPr>
            </w:pPr>
            <w:r w:rsidRPr="00D16A97">
              <w:rPr>
                <w:rFonts w:ascii="Arial Narrow" w:hAnsi="Arial Narrow"/>
                <w:b/>
                <w:bCs/>
                <w:sz w:val="20"/>
                <w:szCs w:val="20"/>
              </w:rPr>
              <w:t>Net government expenditure</w:t>
            </w:r>
          </w:p>
        </w:tc>
        <w:tc>
          <w:tcPr>
            <w:tcW w:w="1226" w:type="dxa"/>
            <w:vAlign w:val="center"/>
          </w:tcPr>
          <w:p w14:paraId="1AE04847" w14:textId="49779DE5" w:rsidR="00940332" w:rsidRPr="00B23905" w:rsidRDefault="005C2556" w:rsidP="00192D14">
            <w:pPr>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2"/>
                <w:sz w:val="20"/>
                <w:szCs w:val="20"/>
                <w:shd w:val="solid" w:color="000000" w:fill="000000"/>
                <w:fitText w:val="100" w:id="-1031606271"/>
                <w14:textFill>
                  <w14:solidFill>
                    <w14:srgbClr w14:val="000000">
                      <w14:alpha w14:val="100000"/>
                    </w14:srgbClr>
                  </w14:solidFill>
                </w14:textFill>
              </w:rPr>
              <w:t xml:space="preserve">　</w:t>
            </w:r>
            <w:r w:rsidR="0003145F" w:rsidRPr="0003145F">
              <w:rPr>
                <w:rFonts w:ascii="Arial Narrow" w:hAnsi="Arial Narrow"/>
                <w:b/>
                <w:bCs/>
                <w:color w:val="000000"/>
                <w:w w:val="22"/>
                <w:sz w:val="20"/>
                <w:szCs w:val="20"/>
                <w:shd w:val="solid" w:color="000000" w:fill="000000"/>
                <w:fitText w:val="100" w:id="-1031606271"/>
                <w14:textFill>
                  <w14:solidFill>
                    <w14:srgbClr w14:val="000000">
                      <w14:alpha w14:val="100000"/>
                    </w14:srgbClr>
                  </w14:solidFill>
                </w14:textFill>
              </w:rPr>
              <w:t>|</w:t>
            </w:r>
            <w:r w:rsidR="0003145F" w:rsidRPr="0003145F">
              <w:rPr>
                <w:rFonts w:ascii="Arial Narrow" w:hAnsi="Arial Narrow" w:hint="eastAsia"/>
                <w:b/>
                <w:bCs/>
                <w:color w:val="000000"/>
                <w:spacing w:val="2"/>
                <w:w w:val="22"/>
                <w:sz w:val="20"/>
                <w:szCs w:val="20"/>
                <w:shd w:val="solid" w:color="000000" w:fill="000000"/>
                <w:fitText w:val="100" w:id="-1031606271"/>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29417ED2" w14:textId="3474D661" w:rsidR="00940332" w:rsidRPr="00B23905" w:rsidRDefault="005C2556" w:rsidP="00192D14">
            <w:pPr>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70"/>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70"/>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70"/>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50AB0C83" w14:textId="6B10052B" w:rsidR="00940332" w:rsidRPr="00B23905" w:rsidRDefault="005C2556" w:rsidP="00192D14">
            <w:pPr>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2" w:id="-1031606269"/>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2" w:id="-1031606269"/>
                <w14:textFill>
                  <w14:solidFill>
                    <w14:srgbClr w14:val="000000">
                      <w14:alpha w14:val="100000"/>
                    </w14:srgbClr>
                  </w14:solidFill>
                </w14:textFill>
              </w:rPr>
              <w:t>|</w:t>
            </w:r>
            <w:r w:rsidR="0003145F" w:rsidRPr="0003145F">
              <w:rPr>
                <w:rFonts w:ascii="Arial Narrow" w:hAnsi="Arial Narrow" w:hint="eastAsia"/>
                <w:b/>
                <w:bCs/>
                <w:color w:val="000000"/>
                <w:w w:val="25"/>
                <w:sz w:val="20"/>
                <w:szCs w:val="20"/>
                <w:shd w:val="solid" w:color="000000" w:fill="000000"/>
                <w:fitText w:val="112" w:id="-1031606269"/>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4D0BEFB5" w14:textId="3766E160" w:rsidR="00940332" w:rsidRPr="00B23905" w:rsidRDefault="005C2556" w:rsidP="00192D14">
            <w:pPr>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8"/>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8"/>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8"/>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5DF7BEBB" w14:textId="11240669" w:rsidR="00940332" w:rsidRPr="00B23905" w:rsidRDefault="005C2556" w:rsidP="00192D14">
            <w:pPr>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7"/>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7"/>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7"/>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c>
          <w:tcPr>
            <w:tcW w:w="1200" w:type="dxa"/>
            <w:vAlign w:val="center"/>
          </w:tcPr>
          <w:p w14:paraId="045CECD2" w14:textId="32A661FE" w:rsidR="00940332" w:rsidRPr="00B23905" w:rsidRDefault="005C2556" w:rsidP="00192D14">
            <w:pPr>
              <w:jc w:val="center"/>
              <w:rPr>
                <w:rFonts w:ascii="Arial Narrow" w:hAnsi="Arial Narrow"/>
                <w:b/>
                <w:bCs/>
                <w:sz w:val="20"/>
                <w:szCs w:val="20"/>
                <w:highlight w:val="darkGray"/>
              </w:rPr>
            </w:pPr>
            <w:r w:rsidRPr="005C2556">
              <w:rPr>
                <w:rFonts w:ascii="Arial Narrow" w:hAnsi="Arial Narrow"/>
                <w:b/>
                <w:bCs/>
                <w:sz w:val="20"/>
                <w:szCs w:val="20"/>
              </w:rPr>
              <w:t xml:space="preserve"> </w:t>
            </w:r>
            <w:r w:rsidR="0003145F" w:rsidRPr="0003145F">
              <w:rPr>
                <w:rFonts w:ascii="Arial Narrow" w:hAnsi="Arial Narrow" w:hint="eastAsia"/>
                <w:b/>
                <w:bCs/>
                <w:color w:val="000000"/>
                <w:w w:val="25"/>
                <w:sz w:val="20"/>
                <w:szCs w:val="20"/>
                <w:shd w:val="solid" w:color="000000" w:fill="000000"/>
                <w:fitText w:val="113" w:id="-1031606266"/>
                <w14:textFill>
                  <w14:solidFill>
                    <w14:srgbClr w14:val="000000">
                      <w14:alpha w14:val="100000"/>
                    </w14:srgbClr>
                  </w14:solidFill>
                </w14:textFill>
              </w:rPr>
              <w:t xml:space="preserve">　</w:t>
            </w:r>
            <w:r w:rsidR="0003145F" w:rsidRPr="0003145F">
              <w:rPr>
                <w:rFonts w:ascii="Arial Narrow" w:hAnsi="Arial Narrow"/>
                <w:b/>
                <w:bCs/>
                <w:color w:val="000000"/>
                <w:w w:val="25"/>
                <w:sz w:val="20"/>
                <w:szCs w:val="20"/>
                <w:shd w:val="solid" w:color="000000" w:fill="000000"/>
                <w:fitText w:val="113" w:id="-1031606266"/>
                <w14:textFill>
                  <w14:solidFill>
                    <w14:srgbClr w14:val="000000">
                      <w14:alpha w14:val="100000"/>
                    </w14:srgbClr>
                  </w14:solidFill>
                </w14:textFill>
              </w:rPr>
              <w:t>|</w:t>
            </w:r>
            <w:r w:rsidR="0003145F" w:rsidRPr="0003145F">
              <w:rPr>
                <w:rFonts w:ascii="Arial Narrow" w:hAnsi="Arial Narrow" w:hint="eastAsia"/>
                <w:b/>
                <w:bCs/>
                <w:color w:val="000000"/>
                <w:spacing w:val="1"/>
                <w:w w:val="25"/>
                <w:sz w:val="20"/>
                <w:szCs w:val="20"/>
                <w:shd w:val="solid" w:color="000000" w:fill="000000"/>
                <w:fitText w:val="113" w:id="-1031606266"/>
                <w14:textFill>
                  <w14:solidFill>
                    <w14:srgbClr w14:val="000000">
                      <w14:alpha w14:val="100000"/>
                    </w14:srgbClr>
                  </w14:solidFill>
                </w14:textFill>
              </w:rPr>
              <w:t xml:space="preserve">　</w:t>
            </w:r>
            <w:r w:rsidR="0073350C">
              <w:rPr>
                <w:rFonts w:ascii="Arial Narrow" w:hAnsi="Arial Narrow"/>
                <w:sz w:val="20"/>
                <w:szCs w:val="20"/>
                <w:vertAlign w:val="superscript"/>
              </w:rPr>
              <w:t>11</w:t>
            </w:r>
          </w:p>
        </w:tc>
      </w:tr>
    </w:tbl>
    <w:p w14:paraId="22FD050F" w14:textId="57CB6C08" w:rsidR="00940332" w:rsidRDefault="00940332" w:rsidP="00940332">
      <w:pPr>
        <w:rPr>
          <w:rFonts w:ascii="Arial Narrow" w:hAnsi="Arial Narrow"/>
          <w:sz w:val="18"/>
          <w:szCs w:val="18"/>
        </w:rPr>
      </w:pPr>
      <w:r w:rsidRPr="00B23905">
        <w:rPr>
          <w:rFonts w:ascii="Arial Narrow" w:hAnsi="Arial Narrow"/>
          <w:sz w:val="18"/>
          <w:szCs w:val="18"/>
        </w:rPr>
        <w:t xml:space="preserve">a. Estimated corrected to apply the appropriate dispensed prices. An average co-payment of $12.16 was assumed. </w:t>
      </w:r>
    </w:p>
    <w:p w14:paraId="45959DB9" w14:textId="77777777" w:rsidR="00757925" w:rsidRPr="009A6D58" w:rsidRDefault="00757925" w:rsidP="0075792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7D090CF" w14:textId="77777777" w:rsidR="00757925" w:rsidRPr="009A6D58" w:rsidRDefault="00757925" w:rsidP="0075792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23905">
        <w:rPr>
          <w:rFonts w:ascii="Arial Narrow" w:hAnsi="Arial Narrow"/>
          <w:i/>
          <w:sz w:val="18"/>
          <w:szCs w:val="18"/>
        </w:rPr>
        <w:t>300,000 to &lt; 400,000</w:t>
      </w:r>
    </w:p>
    <w:p w14:paraId="37501D6E" w14:textId="77777777" w:rsidR="00757925" w:rsidRPr="009A6D58" w:rsidRDefault="00757925" w:rsidP="0075792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2</w:t>
      </w:r>
      <w:r w:rsidRPr="00B23905">
        <w:rPr>
          <w:rFonts w:ascii="Arial Narrow" w:hAnsi="Arial Narrow"/>
          <w:i/>
          <w:sz w:val="18"/>
          <w:szCs w:val="18"/>
        </w:rPr>
        <w:t xml:space="preserve">00,000 to &lt; </w:t>
      </w:r>
      <w:r>
        <w:rPr>
          <w:rFonts w:ascii="Arial Narrow" w:hAnsi="Arial Narrow"/>
          <w:i/>
          <w:sz w:val="18"/>
          <w:szCs w:val="18"/>
        </w:rPr>
        <w:t>3</w:t>
      </w:r>
      <w:r w:rsidRPr="00B23905">
        <w:rPr>
          <w:rFonts w:ascii="Arial Narrow" w:hAnsi="Arial Narrow"/>
          <w:i/>
          <w:sz w:val="18"/>
          <w:szCs w:val="18"/>
        </w:rPr>
        <w:t>00,000</w:t>
      </w:r>
    </w:p>
    <w:p w14:paraId="1785E2B3" w14:textId="77777777" w:rsidR="00757925" w:rsidRDefault="00757925" w:rsidP="00757925">
      <w:pPr>
        <w:rPr>
          <w:rFonts w:ascii="Arial Narrow" w:hAnsi="Arial Narrow"/>
          <w:i/>
          <w:sz w:val="18"/>
          <w:szCs w:val="18"/>
        </w:rPr>
      </w:pPr>
      <w:r w:rsidRPr="009A6D58">
        <w:rPr>
          <w:rFonts w:ascii="Arial Narrow" w:hAnsi="Arial Narrow"/>
          <w:i/>
          <w:sz w:val="18"/>
          <w:szCs w:val="18"/>
          <w:vertAlign w:val="superscript"/>
        </w:rPr>
        <w:lastRenderedPageBreak/>
        <w:t>3</w:t>
      </w:r>
      <w:r>
        <w:rPr>
          <w:rFonts w:ascii="Arial Narrow" w:hAnsi="Arial Narrow"/>
          <w:i/>
          <w:sz w:val="18"/>
          <w:szCs w:val="18"/>
        </w:rPr>
        <w:t xml:space="preserve"> </w:t>
      </w:r>
      <w:r w:rsidRPr="0073350C">
        <w:rPr>
          <w:rFonts w:ascii="Arial Narrow" w:hAnsi="Arial Narrow"/>
          <w:i/>
          <w:sz w:val="18"/>
          <w:szCs w:val="18"/>
        </w:rPr>
        <w:t>$100 million to &lt; $200 million</w:t>
      </w:r>
    </w:p>
    <w:p w14:paraId="0656A96C" w14:textId="77777777" w:rsidR="00757925" w:rsidRDefault="00757925" w:rsidP="0075792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73350C">
        <w:rPr>
          <w:rFonts w:ascii="Arial Narrow" w:hAnsi="Arial Narrow"/>
          <w:i/>
          <w:sz w:val="18"/>
          <w:szCs w:val="18"/>
        </w:rPr>
        <w:t>$0 to &lt; $10 million</w:t>
      </w:r>
    </w:p>
    <w:p w14:paraId="45AE5725" w14:textId="77777777" w:rsidR="00757925" w:rsidRDefault="00757925" w:rsidP="0075792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1</w:t>
      </w:r>
      <w:r w:rsidRPr="00B23905">
        <w:rPr>
          <w:rFonts w:ascii="Arial Narrow" w:hAnsi="Arial Narrow"/>
          <w:i/>
          <w:sz w:val="18"/>
          <w:szCs w:val="18"/>
        </w:rPr>
        <w:t xml:space="preserve">00,000 to &lt; </w:t>
      </w:r>
      <w:r>
        <w:rPr>
          <w:rFonts w:ascii="Arial Narrow" w:hAnsi="Arial Narrow"/>
          <w:i/>
          <w:sz w:val="18"/>
          <w:szCs w:val="18"/>
        </w:rPr>
        <w:t>2</w:t>
      </w:r>
      <w:r w:rsidRPr="00B23905">
        <w:rPr>
          <w:rFonts w:ascii="Arial Narrow" w:hAnsi="Arial Narrow"/>
          <w:i/>
          <w:sz w:val="18"/>
          <w:szCs w:val="18"/>
        </w:rPr>
        <w:t>00,000</w:t>
      </w:r>
    </w:p>
    <w:p w14:paraId="4C520826" w14:textId="77777777" w:rsidR="00757925" w:rsidRDefault="00757925" w:rsidP="0075792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73350C">
        <w:rPr>
          <w:rFonts w:ascii="Arial Narrow" w:hAnsi="Arial Narrow"/>
          <w:i/>
          <w:sz w:val="18"/>
          <w:szCs w:val="18"/>
        </w:rPr>
        <w:t>$90 million to &lt; $100 million</w:t>
      </w:r>
    </w:p>
    <w:p w14:paraId="020F6E41" w14:textId="77777777" w:rsidR="00757925" w:rsidRPr="0073350C" w:rsidRDefault="00757925" w:rsidP="00757925">
      <w:pPr>
        <w:rPr>
          <w:rFonts w:ascii="Arial Narrow" w:hAnsi="Arial Narrow"/>
          <w:i/>
          <w:sz w:val="18"/>
          <w:szCs w:val="18"/>
        </w:rPr>
      </w:pPr>
      <w:r>
        <w:rPr>
          <w:rFonts w:ascii="Arial Narrow" w:hAnsi="Arial Narrow"/>
          <w:i/>
          <w:sz w:val="18"/>
          <w:szCs w:val="18"/>
          <w:vertAlign w:val="superscript"/>
        </w:rPr>
        <w:t xml:space="preserve">7 </w:t>
      </w:r>
      <w:r w:rsidRPr="0073350C">
        <w:rPr>
          <w:rFonts w:ascii="Arial Narrow" w:hAnsi="Arial Narrow"/>
          <w:i/>
          <w:sz w:val="18"/>
          <w:szCs w:val="18"/>
        </w:rPr>
        <w:t>500,000 to &lt; 600,000</w:t>
      </w:r>
    </w:p>
    <w:p w14:paraId="25055BED" w14:textId="77777777" w:rsidR="00757925" w:rsidRPr="0073350C" w:rsidRDefault="00757925" w:rsidP="00757925">
      <w:pPr>
        <w:rPr>
          <w:rFonts w:ascii="Arial Narrow" w:hAnsi="Arial Narrow"/>
          <w:i/>
          <w:sz w:val="18"/>
          <w:szCs w:val="18"/>
        </w:rPr>
      </w:pPr>
      <w:r>
        <w:rPr>
          <w:rFonts w:ascii="Arial Narrow" w:hAnsi="Arial Narrow"/>
          <w:i/>
          <w:sz w:val="18"/>
          <w:szCs w:val="18"/>
          <w:vertAlign w:val="superscript"/>
        </w:rPr>
        <w:t xml:space="preserve">8 </w:t>
      </w:r>
      <w:r w:rsidRPr="0073350C">
        <w:rPr>
          <w:rFonts w:ascii="Arial Narrow" w:hAnsi="Arial Narrow"/>
          <w:i/>
          <w:sz w:val="18"/>
          <w:szCs w:val="18"/>
        </w:rPr>
        <w:t>$200 million to &lt; $300 million</w:t>
      </w:r>
    </w:p>
    <w:p w14:paraId="59A4624C" w14:textId="77777777" w:rsidR="00757925" w:rsidRDefault="00757925" w:rsidP="00757925">
      <w:pPr>
        <w:rPr>
          <w:rFonts w:ascii="Arial Narrow" w:hAnsi="Arial Narrow"/>
          <w:i/>
          <w:sz w:val="18"/>
          <w:szCs w:val="18"/>
        </w:rPr>
      </w:pPr>
      <w:r>
        <w:rPr>
          <w:rFonts w:ascii="Arial Narrow" w:hAnsi="Arial Narrow"/>
          <w:i/>
          <w:sz w:val="18"/>
          <w:szCs w:val="18"/>
          <w:vertAlign w:val="superscript"/>
        </w:rPr>
        <w:t xml:space="preserve">9 </w:t>
      </w:r>
      <w:r w:rsidRPr="0073350C">
        <w:rPr>
          <w:rFonts w:ascii="Arial Narrow" w:hAnsi="Arial Narrow"/>
          <w:i/>
          <w:sz w:val="18"/>
          <w:szCs w:val="18"/>
        </w:rPr>
        <w:t>700,000 to &lt; 800,000</w:t>
      </w:r>
    </w:p>
    <w:p w14:paraId="125BEE3B" w14:textId="77777777" w:rsidR="00757925" w:rsidRPr="0073350C" w:rsidRDefault="00757925" w:rsidP="00757925">
      <w:pPr>
        <w:rPr>
          <w:rFonts w:ascii="Arial Narrow" w:hAnsi="Arial Narrow"/>
          <w:b/>
          <w:bCs/>
          <w:i/>
          <w:sz w:val="18"/>
          <w:szCs w:val="18"/>
        </w:rPr>
      </w:pPr>
      <w:r>
        <w:rPr>
          <w:rFonts w:ascii="Arial Narrow" w:hAnsi="Arial Narrow"/>
          <w:i/>
          <w:sz w:val="18"/>
          <w:szCs w:val="18"/>
          <w:vertAlign w:val="superscript"/>
        </w:rPr>
        <w:t xml:space="preserve">10 </w:t>
      </w:r>
      <w:r w:rsidRPr="0073350C">
        <w:rPr>
          <w:rFonts w:ascii="Arial Narrow" w:hAnsi="Arial Narrow"/>
          <w:i/>
          <w:sz w:val="18"/>
          <w:szCs w:val="18"/>
        </w:rPr>
        <w:t>400,000 to &lt; 500,000</w:t>
      </w:r>
    </w:p>
    <w:p w14:paraId="6BCF0122" w14:textId="77777777" w:rsidR="00757925" w:rsidRPr="0073350C" w:rsidRDefault="00757925" w:rsidP="00757925">
      <w:pPr>
        <w:rPr>
          <w:rFonts w:ascii="Arial Narrow" w:hAnsi="Arial Narrow"/>
          <w:i/>
          <w:sz w:val="18"/>
          <w:szCs w:val="18"/>
        </w:rPr>
      </w:pPr>
      <w:r>
        <w:rPr>
          <w:rFonts w:ascii="Arial Narrow" w:hAnsi="Arial Narrow"/>
          <w:i/>
          <w:sz w:val="18"/>
          <w:szCs w:val="18"/>
          <w:vertAlign w:val="superscript"/>
        </w:rPr>
        <w:t xml:space="preserve">11 </w:t>
      </w:r>
      <w:r w:rsidRPr="0073350C">
        <w:rPr>
          <w:rFonts w:ascii="Arial Narrow" w:hAnsi="Arial Narrow"/>
          <w:i/>
          <w:sz w:val="18"/>
          <w:szCs w:val="18"/>
        </w:rPr>
        <w:t>$300 million to &lt; $400 million</w:t>
      </w:r>
    </w:p>
    <w:p w14:paraId="7F6B5BED" w14:textId="77777777" w:rsidR="00757925" w:rsidRPr="00757925" w:rsidRDefault="00757925" w:rsidP="00757925">
      <w:pPr>
        <w:rPr>
          <w:rFonts w:ascii="Arial Narrow" w:hAnsi="Arial Narrow"/>
          <w:i/>
          <w:sz w:val="18"/>
          <w:szCs w:val="18"/>
        </w:rPr>
      </w:pPr>
      <w:r>
        <w:rPr>
          <w:rFonts w:ascii="Arial Narrow" w:hAnsi="Arial Narrow"/>
          <w:i/>
          <w:sz w:val="18"/>
          <w:szCs w:val="18"/>
          <w:vertAlign w:val="superscript"/>
        </w:rPr>
        <w:t xml:space="preserve">12 </w:t>
      </w:r>
      <w:r w:rsidRPr="00757925">
        <w:rPr>
          <w:rFonts w:ascii="Arial Narrow" w:hAnsi="Arial Narrow"/>
          <w:i/>
          <w:sz w:val="18"/>
          <w:szCs w:val="18"/>
        </w:rPr>
        <w:t>600,000 to &lt; 700,000</w:t>
      </w:r>
    </w:p>
    <w:p w14:paraId="54B28690" w14:textId="77777777" w:rsidR="00757925" w:rsidRPr="00757925" w:rsidRDefault="00757925" w:rsidP="00757925">
      <w:pPr>
        <w:rPr>
          <w:rFonts w:ascii="Arial Narrow" w:hAnsi="Arial Narrow"/>
          <w:i/>
          <w:sz w:val="18"/>
          <w:szCs w:val="18"/>
        </w:rPr>
      </w:pPr>
      <w:r>
        <w:rPr>
          <w:rFonts w:ascii="Arial Narrow" w:hAnsi="Arial Narrow"/>
          <w:i/>
          <w:sz w:val="18"/>
          <w:szCs w:val="18"/>
          <w:vertAlign w:val="superscript"/>
        </w:rPr>
        <w:t>13</w:t>
      </w:r>
      <w:r w:rsidRPr="00757925">
        <w:rPr>
          <w:rFonts w:ascii="Arial Narrow" w:hAnsi="Arial Narrow"/>
          <w:i/>
          <w:sz w:val="18"/>
          <w:szCs w:val="18"/>
        </w:rPr>
        <w:t xml:space="preserve"> 800,000 to &lt; 900,000</w:t>
      </w:r>
    </w:p>
    <w:p w14:paraId="5FE118B4" w14:textId="77777777" w:rsidR="00757925" w:rsidRDefault="00757925" w:rsidP="00757925">
      <w:pPr>
        <w:rPr>
          <w:rFonts w:ascii="Arial Narrow" w:hAnsi="Arial Narrow"/>
          <w:i/>
          <w:sz w:val="18"/>
          <w:szCs w:val="18"/>
        </w:rPr>
      </w:pPr>
      <w:r>
        <w:rPr>
          <w:rFonts w:ascii="Arial Narrow" w:hAnsi="Arial Narrow"/>
          <w:i/>
          <w:sz w:val="18"/>
          <w:szCs w:val="18"/>
          <w:vertAlign w:val="superscript"/>
        </w:rPr>
        <w:t xml:space="preserve">14 </w:t>
      </w:r>
      <w:r w:rsidRPr="00757925">
        <w:rPr>
          <w:rFonts w:ascii="Arial Narrow" w:hAnsi="Arial Narrow"/>
          <w:i/>
          <w:sz w:val="18"/>
          <w:szCs w:val="18"/>
        </w:rPr>
        <w:t>$10 million to &lt; $20 million</w:t>
      </w:r>
    </w:p>
    <w:p w14:paraId="31FC4C58" w14:textId="30F0A23B" w:rsidR="00757925" w:rsidRPr="00757925" w:rsidRDefault="00757925" w:rsidP="00757925">
      <w:pPr>
        <w:spacing w:after="120"/>
        <w:rPr>
          <w:rFonts w:ascii="Arial Narrow" w:hAnsi="Arial Narrow"/>
          <w:i/>
          <w:sz w:val="18"/>
          <w:szCs w:val="18"/>
        </w:rPr>
      </w:pPr>
      <w:r>
        <w:rPr>
          <w:rFonts w:ascii="Arial Narrow" w:hAnsi="Arial Narrow"/>
          <w:i/>
          <w:sz w:val="18"/>
          <w:szCs w:val="18"/>
          <w:vertAlign w:val="superscript"/>
        </w:rPr>
        <w:t xml:space="preserve">15 </w:t>
      </w:r>
      <w:r w:rsidRPr="00757925">
        <w:rPr>
          <w:rFonts w:ascii="Arial Narrow" w:hAnsi="Arial Narrow"/>
          <w:i/>
          <w:sz w:val="18"/>
          <w:szCs w:val="18"/>
        </w:rPr>
        <w:t>900,000 to &lt; 1,000,000</w:t>
      </w:r>
    </w:p>
    <w:p w14:paraId="5FB7DB9A" w14:textId="77777777" w:rsidR="00940332" w:rsidRPr="00D16A97" w:rsidRDefault="00940332" w:rsidP="00940332">
      <w:pPr>
        <w:pStyle w:val="4-SubsectionHeading"/>
      </w:pPr>
      <w:r w:rsidRPr="00D16A97">
        <w:t>Financial Management – Risk Sharing Arrangements</w:t>
      </w:r>
    </w:p>
    <w:p w14:paraId="2B7083E7" w14:textId="77777777" w:rsidR="00940332" w:rsidRPr="00D16A97" w:rsidRDefault="00940332" w:rsidP="00940332">
      <w:pPr>
        <w:pStyle w:val="3-BodyText"/>
        <w:keepNext/>
        <w:numPr>
          <w:ilvl w:val="1"/>
          <w:numId w:val="1"/>
        </w:numPr>
      </w:pPr>
      <w:r w:rsidRPr="00D16A97">
        <w:t xml:space="preserve">The submission proposed a 3-year price-volume agreement with pricing dependent on volume of oral antivirals (not based on molnupiravir use), including 5 tiers with 200,000 increments in prescription numbers. </w:t>
      </w:r>
    </w:p>
    <w:p w14:paraId="705F374D" w14:textId="7BC96C34" w:rsidR="00940332" w:rsidRPr="00757925" w:rsidRDefault="00940332" w:rsidP="00757925">
      <w:pPr>
        <w:ind w:firstLine="709"/>
        <w:rPr>
          <w:rFonts w:asciiTheme="minorHAnsi" w:hAnsiTheme="minorHAnsi"/>
          <w:i/>
        </w:rPr>
      </w:pPr>
      <w:r w:rsidRPr="00D16A97">
        <w:rPr>
          <w:rFonts w:asciiTheme="minorHAnsi" w:hAnsiTheme="minorHAnsi"/>
          <w:i/>
        </w:rPr>
        <w:t>For more detail on PBAC’s view, see section 1</w:t>
      </w:r>
      <w:r w:rsidR="00107485">
        <w:rPr>
          <w:rFonts w:asciiTheme="minorHAnsi" w:hAnsiTheme="minorHAnsi"/>
          <w:i/>
        </w:rPr>
        <w:t>4</w:t>
      </w:r>
      <w:r w:rsidRPr="00D16A97">
        <w:rPr>
          <w:rFonts w:asciiTheme="minorHAnsi" w:hAnsiTheme="minorHAnsi"/>
          <w:i/>
        </w:rPr>
        <w:t xml:space="preserve"> PBAC outcome.</w:t>
      </w:r>
      <w:bookmarkStart w:id="160" w:name="_Toc144920981"/>
      <w:bookmarkStart w:id="161" w:name="_Toc145506611"/>
    </w:p>
    <w:p w14:paraId="0FD976CB" w14:textId="77777777" w:rsidR="00940332" w:rsidRPr="00D16A97" w:rsidRDefault="00940332" w:rsidP="00940332">
      <w:pPr>
        <w:pStyle w:val="2-SectionHeading"/>
        <w:numPr>
          <w:ilvl w:val="0"/>
          <w:numId w:val="1"/>
        </w:numPr>
      </w:pPr>
      <w:r w:rsidRPr="00D16A97">
        <w:t>PBAC Outcome</w:t>
      </w:r>
    </w:p>
    <w:p w14:paraId="24AEF9ED" w14:textId="77777777" w:rsidR="00940332" w:rsidRPr="00D16A97" w:rsidRDefault="00940332" w:rsidP="00940332">
      <w:pPr>
        <w:widowControl w:val="0"/>
        <w:numPr>
          <w:ilvl w:val="1"/>
          <w:numId w:val="1"/>
        </w:numPr>
        <w:spacing w:after="120"/>
        <w:rPr>
          <w:rFonts w:asciiTheme="minorHAnsi" w:hAnsiTheme="minorHAnsi"/>
          <w:snapToGrid w:val="0"/>
        </w:rPr>
      </w:pPr>
      <w:r w:rsidRPr="00D16A97">
        <w:rPr>
          <w:snapToGrid w:val="0"/>
        </w:rPr>
        <w:t xml:space="preserve">The PBAC provided advice regarding molnupiravir (Lagevrio), for the treatment of patients with mild to moderate Coronavirus disease (COVID-19) who are at high risk of severe disease requiring hospitalisation. Consistent with its July 2023 advice, the PBAC considered that molnupiravir may be an appropriate treatment for patients who cannot use nirmatrelvir and ritonavir (Paxlovid). </w:t>
      </w:r>
      <w:bookmarkStart w:id="162" w:name="_Hlk150963903"/>
      <w:r w:rsidRPr="00D16A97">
        <w:rPr>
          <w:snapToGrid w:val="0"/>
        </w:rPr>
        <w:t>The PBAC noted that nirmatrelvir and ritonavir is a more effective treatment than molnupiravir, however nirmatrelvir and ritonavir is contraindicated in patients with severe renal or hepatic impairment, and contraindicated for use with certain other drugs, due to the risk of significant drug</w:t>
      </w:r>
      <w:r w:rsidRPr="00D16A97">
        <w:rPr>
          <w:snapToGrid w:val="0"/>
        </w:rPr>
        <w:noBreakHyphen/>
        <w:t>drug interactions. The PBAC noted that these contraindications are clinically important for some vulnerable patients and must be managed carefully by prescribers</w:t>
      </w:r>
      <w:bookmarkEnd w:id="162"/>
      <w:r w:rsidRPr="00D16A97">
        <w:rPr>
          <w:snapToGrid w:val="0"/>
        </w:rPr>
        <w:t xml:space="preserve">. The PBAC advised that </w:t>
      </w:r>
      <w:r w:rsidRPr="00D16A97">
        <w:t xml:space="preserve">the submission did not support continuation of the PBS listing with the current restriction criteria and proposed price of molnupiravir. The PBAC recommended changes to the restriction, and price of molnupiravir. The PBAC noted that the market share for molnupiravir remained higher than nirmatrelvir and ritonavir, which did not reflect clinical guidelines. The PBAC recommended that the sponsor and Department explore initiatives to support the safe and effective use of oral antiviral medicines for COVID-19, consistent with quality use of medicines (QUM) principles. </w:t>
      </w:r>
    </w:p>
    <w:p w14:paraId="67B6CB11" w14:textId="38328C78" w:rsidR="00940332" w:rsidRPr="00D16A97" w:rsidRDefault="00940332" w:rsidP="00940332">
      <w:pPr>
        <w:widowControl w:val="0"/>
        <w:numPr>
          <w:ilvl w:val="1"/>
          <w:numId w:val="1"/>
        </w:numPr>
        <w:spacing w:after="120"/>
        <w:rPr>
          <w:rFonts w:asciiTheme="minorHAnsi" w:hAnsiTheme="minorHAnsi"/>
          <w:snapToGrid w:val="0"/>
        </w:rPr>
      </w:pPr>
      <w:bookmarkStart w:id="163" w:name="_Ref150942444"/>
      <w:r w:rsidRPr="00D16A97">
        <w:t xml:space="preserve">The PBAC noted the submission’s proposal to formalise the current administrative advice regarding suitability for nirmatrelvir and ritonavir as a new clinical criterion </w:t>
      </w:r>
      <w:r w:rsidRPr="00D16A97">
        <w:rPr>
          <w:color w:val="000000" w:themeColor="text1"/>
        </w:rPr>
        <w:t xml:space="preserve">stating the drug should be considered for use only if nirmatrelvir and ritonavir is </w:t>
      </w:r>
      <w:r w:rsidR="009709BB">
        <w:rPr>
          <w:color w:val="000000" w:themeColor="text1"/>
        </w:rPr>
        <w:t>‘</w:t>
      </w:r>
      <w:r w:rsidRPr="00D16A97">
        <w:rPr>
          <w:color w:val="000000" w:themeColor="text1"/>
        </w:rPr>
        <w:t>contraindicated or otherwise unsuitable</w:t>
      </w:r>
      <w:r w:rsidR="009709BB">
        <w:rPr>
          <w:color w:val="000000" w:themeColor="text1"/>
        </w:rPr>
        <w:t>’</w:t>
      </w:r>
      <w:r w:rsidRPr="00D16A97">
        <w:t>. To increase use of the most effective treatment option when clinically appropriate, the PBAC considered the restriction should limit eligibility to patients strictly contraindicated for nirmatrelvir and ritonavir.</w:t>
      </w:r>
      <w:bookmarkEnd w:id="163"/>
      <w:r w:rsidRPr="00D16A97">
        <w:t xml:space="preserve"> </w:t>
      </w:r>
      <w:bookmarkStart w:id="164" w:name="_Hlk152088598"/>
      <w:r w:rsidRPr="00D16A97">
        <w:t>The PBAC considered that this change would be required to support continued listing.</w:t>
      </w:r>
      <w:bookmarkEnd w:id="164"/>
    </w:p>
    <w:p w14:paraId="6A994070" w14:textId="77777777" w:rsidR="00940332" w:rsidRPr="00D16A97" w:rsidRDefault="00940332" w:rsidP="00940332">
      <w:pPr>
        <w:widowControl w:val="0"/>
        <w:numPr>
          <w:ilvl w:val="1"/>
          <w:numId w:val="1"/>
        </w:numPr>
        <w:spacing w:after="120"/>
        <w:rPr>
          <w:rFonts w:asciiTheme="minorHAnsi" w:hAnsiTheme="minorHAnsi"/>
          <w:snapToGrid w:val="0"/>
        </w:rPr>
      </w:pPr>
      <w:r w:rsidRPr="00D16A97">
        <w:lastRenderedPageBreak/>
        <w:t>The PBAC advised that an Authority Required (STREAMLINED) restriction level remained appropriate.</w:t>
      </w:r>
    </w:p>
    <w:p w14:paraId="1449ECCB" w14:textId="745C8139" w:rsidR="00940332" w:rsidRPr="00D16A97" w:rsidRDefault="00940332" w:rsidP="00940332">
      <w:pPr>
        <w:widowControl w:val="0"/>
        <w:numPr>
          <w:ilvl w:val="1"/>
          <w:numId w:val="1"/>
        </w:numPr>
        <w:spacing w:after="120"/>
        <w:rPr>
          <w:rFonts w:asciiTheme="minorHAnsi" w:hAnsiTheme="minorHAnsi"/>
          <w:snapToGrid w:val="0"/>
        </w:rPr>
      </w:pPr>
      <w:r w:rsidRPr="00D16A97">
        <w:t xml:space="preserve">The PBAC advised that the Prescriber Bag listing should be maintained for molnupiravir to provide for patients requiring urgent treatment and contraindicated to </w:t>
      </w:r>
      <w:r w:rsidRPr="00D16A97">
        <w:rPr>
          <w:snapToGrid w:val="0"/>
        </w:rPr>
        <w:t>nirmatrelvir and ritonavir.</w:t>
      </w:r>
      <w:r w:rsidRPr="00D16A97">
        <w:t xml:space="preserve"> And the PBAC expected utilisation of the item to remain low (see paragraph </w:t>
      </w:r>
      <w:r w:rsidRPr="00D16A97">
        <w:fldChar w:fldCharType="begin" w:fldLock="1"/>
      </w:r>
      <w:r w:rsidRPr="00D16A97">
        <w:instrText xml:space="preserve"> REF _Ref150945639 \r \h </w:instrText>
      </w:r>
      <w:r w:rsidRPr="00D16A97">
        <w:fldChar w:fldCharType="separate"/>
      </w:r>
      <w:r w:rsidR="005E46B7">
        <w:t>13.30</w:t>
      </w:r>
      <w:r w:rsidRPr="00D16A97">
        <w:fldChar w:fldCharType="end"/>
      </w:r>
      <w:r w:rsidRPr="00D16A97">
        <w:t>).</w:t>
      </w:r>
    </w:p>
    <w:p w14:paraId="730DF4FF" w14:textId="2715FA9B" w:rsidR="00940332" w:rsidRPr="00D16A97" w:rsidRDefault="00940332" w:rsidP="00940332">
      <w:pPr>
        <w:pStyle w:val="3-BodyText"/>
        <w:widowControl w:val="0"/>
        <w:numPr>
          <w:ilvl w:val="1"/>
          <w:numId w:val="1"/>
        </w:numPr>
      </w:pPr>
      <w:bookmarkStart w:id="165" w:name="_Hlk151675477"/>
      <w:r w:rsidRPr="00D16A97">
        <w:t xml:space="preserve">The PBAC noted that the TGA approved Product Information for nirmatrelvir and ritonavir describes contraindications for use, including severe renal impairment, severe hepatic impairment and numerous drug-drug interactions. Nirmatrelvir and ritonavir is contraindicated for use with drugs that are highly dependent on CYP3A for </w:t>
      </w:r>
      <w:proofErr w:type="gramStart"/>
      <w:r w:rsidRPr="00D16A97">
        <w:t>clearance</w:t>
      </w:r>
      <w:proofErr w:type="gramEnd"/>
      <w:r w:rsidRPr="00D16A97">
        <w:t xml:space="preserve"> and for which elevated concentrations are associated with serious and/or life-threatening reactions. The PBAC proposed that a prescribing instruction should be added to the restriction for molnupiravir to refer prescribers to the Liverpool COVID-19 Drug interaction checker (www.covid19-druginteractions.org/checker) to assist with determination of contraindications to nirmatrelvir and ritonavir.</w:t>
      </w:r>
      <w:r w:rsidR="009769C8">
        <w:t xml:space="preserve"> </w:t>
      </w:r>
      <w:r w:rsidRPr="00D16A97">
        <w:t>The recommended restriction in Section 13 states that details of contraindications to nirmatrelvir and ritonavir can be found using the Liverpool COVID-19 Drug interaction checker or the TGA-approved Product Information for Paxlovid, and. The PBAC advised that when potential DDIs with nirmatrelvir and ritonavir are identified, the prescriber should consider if interacting regular medicines can be managed safely with additional monitoring and/or by temporarily withholding or adjusting the patient’s other medications consistent with NCET advice</w:t>
      </w:r>
      <w:r w:rsidRPr="00D16A97">
        <w:rPr>
          <w:rStyle w:val="FootnoteReference"/>
        </w:rPr>
        <w:footnoteReference w:id="33"/>
      </w:r>
      <w:r w:rsidRPr="00D16A97">
        <w:t>. The PBAC advised this remained a matter for prescriber judgement, and that the PBS restriction should specify that the reasons for contraindication to nirmatrelvir and ritonavir must be documented in the patient’s medical records.</w:t>
      </w:r>
      <w:bookmarkEnd w:id="165"/>
    </w:p>
    <w:p w14:paraId="797CBEE3" w14:textId="27084E23" w:rsidR="00940332" w:rsidRPr="00D16A97" w:rsidRDefault="00940332" w:rsidP="00940332">
      <w:pPr>
        <w:pStyle w:val="3-BodyText"/>
        <w:widowControl w:val="0"/>
        <w:numPr>
          <w:ilvl w:val="1"/>
          <w:numId w:val="1"/>
        </w:numPr>
      </w:pPr>
      <w:r w:rsidRPr="00D16A97">
        <w:t xml:space="preserve">In the context of the proposed changes to the restriction, the PBAC considered that the market share for molnupiravir should fall substantially, noting that published studies reported that approximately 15% of the population had a possible contraindication to nirmatrelvir and ritonavir (paragraph </w:t>
      </w:r>
      <w:r w:rsidRPr="00D16A97">
        <w:fldChar w:fldCharType="begin" w:fldLock="1"/>
      </w:r>
      <w:r w:rsidRPr="00D16A97">
        <w:instrText xml:space="preserve"> REF _Ref151029363 \r \h </w:instrText>
      </w:r>
      <w:r w:rsidRPr="00D16A97">
        <w:fldChar w:fldCharType="separate"/>
      </w:r>
      <w:r w:rsidR="00872953">
        <w:t>13.28</w:t>
      </w:r>
      <w:r w:rsidRPr="00D16A97">
        <w:fldChar w:fldCharType="end"/>
      </w:r>
      <w:r w:rsidRPr="00D16A97">
        <w:t xml:space="preserve">). The PBAC’s intention was that molnupiravir use should be restricted to a limited population with complex health needs (comorbidities) that require a treatment other than nirmatrelvir and ritonavir. </w:t>
      </w:r>
    </w:p>
    <w:p w14:paraId="41B40C2A" w14:textId="7CD2E90F" w:rsidR="00940332" w:rsidRPr="00D16A97" w:rsidRDefault="00940332" w:rsidP="00940332">
      <w:pPr>
        <w:pStyle w:val="3-BodyText"/>
        <w:widowControl w:val="0"/>
        <w:numPr>
          <w:ilvl w:val="1"/>
          <w:numId w:val="1"/>
        </w:numPr>
      </w:pPr>
      <w:r w:rsidRPr="00D16A97">
        <w:t>The PBAC noted that the submission proposed pricing tiers with ex-manufacturer prices between $</w:t>
      </w:r>
      <w:r w:rsidR="005C2556" w:rsidRPr="005C2556">
        <w:t xml:space="preserve"> </w:t>
      </w:r>
      <w:r w:rsidR="0003145F" w:rsidRPr="00567EAC">
        <w:rPr>
          <w:color w:val="000000"/>
          <w:w w:val="15"/>
          <w:shd w:val="solid" w:color="000000" w:fill="000000"/>
          <w:fitText w:val="-20" w:id="-1031606265"/>
          <w14:textFill>
            <w14:solidFill>
              <w14:srgbClr w14:val="000000">
                <w14:alpha w14:val="100000"/>
              </w14:srgbClr>
            </w14:solidFill>
          </w14:textFill>
        </w:rPr>
        <w:t xml:space="preserve">|  </w:t>
      </w:r>
      <w:r w:rsidR="0003145F" w:rsidRPr="00567EAC">
        <w:rPr>
          <w:color w:val="000000"/>
          <w:spacing w:val="-69"/>
          <w:w w:val="15"/>
          <w:shd w:val="solid" w:color="000000" w:fill="000000"/>
          <w:fitText w:val="-20" w:id="-1031606265"/>
          <w14:textFill>
            <w14:solidFill>
              <w14:srgbClr w14:val="000000">
                <w14:alpha w14:val="100000"/>
              </w14:srgbClr>
            </w14:solidFill>
          </w14:textFill>
        </w:rPr>
        <w:t>|</w:t>
      </w:r>
      <w:r w:rsidRPr="00D16A97">
        <w:t xml:space="preserve"> to $</w:t>
      </w:r>
      <w:r w:rsidR="005C2556" w:rsidRPr="005C2556">
        <w:t xml:space="preserve"> </w:t>
      </w:r>
      <w:r w:rsidR="0003145F" w:rsidRPr="00567EAC">
        <w:rPr>
          <w:color w:val="000000"/>
          <w:w w:val="15"/>
          <w:shd w:val="solid" w:color="000000" w:fill="000000"/>
          <w:fitText w:val="-20" w:id="-1031606264"/>
          <w14:textFill>
            <w14:solidFill>
              <w14:srgbClr w14:val="000000">
                <w14:alpha w14:val="100000"/>
              </w14:srgbClr>
            </w14:solidFill>
          </w14:textFill>
        </w:rPr>
        <w:t xml:space="preserve">|  </w:t>
      </w:r>
      <w:r w:rsidR="0003145F" w:rsidRPr="00567EAC">
        <w:rPr>
          <w:color w:val="000000"/>
          <w:spacing w:val="-69"/>
          <w:w w:val="15"/>
          <w:shd w:val="solid" w:color="000000" w:fill="000000"/>
          <w:fitText w:val="-20" w:id="-1031606264"/>
          <w14:textFill>
            <w14:solidFill>
              <w14:srgbClr w14:val="000000">
                <w14:alpha w14:val="100000"/>
              </w14:srgbClr>
            </w14:solidFill>
          </w14:textFill>
        </w:rPr>
        <w:t>|</w:t>
      </w:r>
      <w:r w:rsidRPr="00D16A97">
        <w:t xml:space="preserve"> for 40 capsules (</w:t>
      </w:r>
      <w:r w:rsidRPr="00D16A97">
        <w:fldChar w:fldCharType="begin" w:fldLock="1"/>
      </w:r>
      <w:r w:rsidRPr="00D16A97">
        <w:instrText xml:space="preserve"> REF _Ref147504544 \h </w:instrText>
      </w:r>
      <w:r w:rsidRPr="00D16A97">
        <w:fldChar w:fldCharType="separate"/>
      </w:r>
      <w:r w:rsidRPr="00D16A97">
        <w:t>Table 19</w:t>
      </w:r>
      <w:r w:rsidRPr="00D16A97">
        <w:fldChar w:fldCharType="end"/>
      </w:r>
      <w:r w:rsidRPr="00D16A97">
        <w:t>), which corresponded to an average effective ex-manufacturer price of $</w:t>
      </w:r>
      <w:r w:rsidR="005C2556" w:rsidRPr="005C2556">
        <w:t xml:space="preserve"> </w:t>
      </w:r>
      <w:r w:rsidR="0003145F" w:rsidRPr="00567EAC">
        <w:rPr>
          <w:color w:val="000000"/>
          <w:w w:val="15"/>
          <w:shd w:val="solid" w:color="000000" w:fill="000000"/>
          <w:fitText w:val="-20" w:id="-1031606263"/>
          <w14:textFill>
            <w14:solidFill>
              <w14:srgbClr w14:val="000000">
                <w14:alpha w14:val="100000"/>
              </w14:srgbClr>
            </w14:solidFill>
          </w14:textFill>
        </w:rPr>
        <w:t xml:space="preserve">|  </w:t>
      </w:r>
      <w:r w:rsidR="0003145F" w:rsidRPr="00567EAC">
        <w:rPr>
          <w:color w:val="000000"/>
          <w:spacing w:val="-69"/>
          <w:w w:val="15"/>
          <w:shd w:val="solid" w:color="000000" w:fill="000000"/>
          <w:fitText w:val="-20" w:id="-1031606263"/>
          <w14:textFill>
            <w14:solidFill>
              <w14:srgbClr w14:val="000000">
                <w14:alpha w14:val="100000"/>
              </w14:srgbClr>
            </w14:solidFill>
          </w14:textFill>
        </w:rPr>
        <w:t>|</w:t>
      </w:r>
      <w:r w:rsidRPr="00D16A97">
        <w:t xml:space="preserve"> based on the submission’s utilisation estimates over 3 years. This compared with a proposed ex-manufacturer price of $</w:t>
      </w:r>
      <w:r w:rsidR="005C2556" w:rsidRPr="005C2556">
        <w:t xml:space="preserve"> </w:t>
      </w:r>
      <w:r w:rsidR="0003145F" w:rsidRPr="00567EAC">
        <w:rPr>
          <w:color w:val="000000"/>
          <w:w w:val="15"/>
          <w:shd w:val="solid" w:color="000000" w:fill="000000"/>
          <w:fitText w:val="-20" w:id="-1031606262"/>
          <w14:textFill>
            <w14:solidFill>
              <w14:srgbClr w14:val="000000">
                <w14:alpha w14:val="100000"/>
              </w14:srgbClr>
            </w14:solidFill>
          </w14:textFill>
        </w:rPr>
        <w:t xml:space="preserve">|  </w:t>
      </w:r>
      <w:r w:rsidR="0003145F" w:rsidRPr="00567EAC">
        <w:rPr>
          <w:color w:val="000000"/>
          <w:spacing w:val="-69"/>
          <w:w w:val="15"/>
          <w:shd w:val="solid" w:color="000000" w:fill="000000"/>
          <w:fitText w:val="-20" w:id="-1031606262"/>
          <w14:textFill>
            <w14:solidFill>
              <w14:srgbClr w14:val="000000">
                <w14:alpha w14:val="100000"/>
              </w14:srgbClr>
            </w14:solidFill>
          </w14:textFill>
        </w:rPr>
        <w:t>|</w:t>
      </w:r>
      <w:r w:rsidRPr="00D16A97">
        <w:t xml:space="preserve"> for 40 capsules that was considered in July 2023. </w:t>
      </w:r>
      <w:r w:rsidRPr="00D16A97">
        <w:rPr>
          <w:color w:val="000000" w:themeColor="text1"/>
        </w:rPr>
        <w:t xml:space="preserve">The current approved ex-manufacturer price (AEMP) is $988 for a pack of 40 capsules. </w:t>
      </w:r>
      <w:r w:rsidRPr="00D16A97">
        <w:t xml:space="preserve">The PBAC did not support the sponsor’s pricing proposal based on a price-volume agreement </w:t>
      </w:r>
      <w:r w:rsidRPr="00D16A97">
        <w:lastRenderedPageBreak/>
        <w:t xml:space="preserve">and noted that the cost-effectiveness at the requested price was highly uncertain. The PBAC advised that a further price reduction is required from the price proposed in the submission because cost-effectiveness had not been demonstrated. </w:t>
      </w:r>
    </w:p>
    <w:p w14:paraId="33439148" w14:textId="3484537F" w:rsidR="00940332" w:rsidRPr="00757925" w:rsidRDefault="00940332" w:rsidP="00757925">
      <w:pPr>
        <w:widowControl w:val="0"/>
        <w:numPr>
          <w:ilvl w:val="1"/>
          <w:numId w:val="1"/>
        </w:numPr>
        <w:spacing w:after="120"/>
        <w:rPr>
          <w:rFonts w:asciiTheme="minorHAnsi" w:hAnsiTheme="minorHAnsi"/>
          <w:b/>
          <w:bCs/>
          <w:snapToGrid w:val="0"/>
        </w:rPr>
      </w:pPr>
      <w:bookmarkStart w:id="166" w:name="_Ref152081168"/>
      <w:r w:rsidRPr="00D16A97">
        <w:rPr>
          <w:rFonts w:asciiTheme="minorHAnsi" w:hAnsiTheme="minorHAnsi"/>
          <w:snapToGrid w:val="0"/>
        </w:rPr>
        <w:t xml:space="preserve">The PBAC noted the large patient population that was forecast by the submission, of </w:t>
      </w:r>
      <w:r w:rsidR="00757925" w:rsidRPr="00757925">
        <w:rPr>
          <w:rFonts w:asciiTheme="minorHAnsi" w:hAnsiTheme="minorHAnsi"/>
          <w:snapToGrid w:val="0"/>
        </w:rPr>
        <w:t>400,000 to &lt; 500,000</w:t>
      </w:r>
      <w:r w:rsidR="00757925">
        <w:rPr>
          <w:rFonts w:asciiTheme="minorHAnsi" w:hAnsiTheme="minorHAnsi"/>
          <w:b/>
          <w:bCs/>
          <w:snapToGrid w:val="0"/>
        </w:rPr>
        <w:t xml:space="preserve"> </w:t>
      </w:r>
      <w:bookmarkStart w:id="167" w:name="_Hlk152085826"/>
      <w:r w:rsidRPr="00757925">
        <w:rPr>
          <w:rFonts w:asciiTheme="minorHAnsi" w:hAnsiTheme="minorHAnsi"/>
          <w:snapToGrid w:val="0"/>
        </w:rPr>
        <w:t>patients to be treated with OAV per year</w:t>
      </w:r>
      <w:bookmarkEnd w:id="167"/>
      <w:r w:rsidRPr="00757925">
        <w:rPr>
          <w:rFonts w:asciiTheme="minorHAnsi" w:hAnsiTheme="minorHAnsi"/>
          <w:snapToGrid w:val="0"/>
        </w:rPr>
        <w:t xml:space="preserve"> in the base case, and </w:t>
      </w:r>
      <w:r w:rsidR="00757925" w:rsidRPr="00757925">
        <w:rPr>
          <w:rFonts w:asciiTheme="minorHAnsi" w:hAnsiTheme="minorHAnsi"/>
          <w:snapToGrid w:val="0"/>
        </w:rPr>
        <w:t>900,000 to &lt; 1,000,000</w:t>
      </w:r>
      <w:r w:rsidR="00757925">
        <w:rPr>
          <w:rFonts w:asciiTheme="minorHAnsi" w:hAnsiTheme="minorHAnsi"/>
          <w:snapToGrid w:val="0"/>
        </w:rPr>
        <w:t xml:space="preserve"> </w:t>
      </w:r>
      <w:r w:rsidRPr="00757925">
        <w:rPr>
          <w:rFonts w:asciiTheme="minorHAnsi" w:hAnsiTheme="minorHAnsi"/>
          <w:snapToGrid w:val="0"/>
        </w:rPr>
        <w:t>in one year of the submission’s high case estimates (</w:t>
      </w:r>
      <w:r w:rsidRPr="00757925">
        <w:rPr>
          <w:rFonts w:asciiTheme="minorHAnsi" w:hAnsiTheme="minorHAnsi"/>
          <w:snapToGrid w:val="0"/>
        </w:rPr>
        <w:fldChar w:fldCharType="begin" w:fldLock="1"/>
      </w:r>
      <w:r w:rsidRPr="00757925">
        <w:rPr>
          <w:rFonts w:asciiTheme="minorHAnsi" w:hAnsiTheme="minorHAnsi"/>
          <w:snapToGrid w:val="0"/>
        </w:rPr>
        <w:instrText xml:space="preserve"> REF _Ref148059847 \h  \* MERGEFORMAT </w:instrText>
      </w:r>
      <w:r w:rsidRPr="00757925">
        <w:rPr>
          <w:rFonts w:asciiTheme="minorHAnsi" w:hAnsiTheme="minorHAnsi"/>
          <w:snapToGrid w:val="0"/>
        </w:rPr>
      </w:r>
      <w:r w:rsidRPr="00757925">
        <w:rPr>
          <w:rFonts w:asciiTheme="minorHAnsi" w:hAnsiTheme="minorHAnsi"/>
          <w:snapToGrid w:val="0"/>
        </w:rPr>
        <w:fldChar w:fldCharType="separate"/>
      </w:r>
      <w:r w:rsidRPr="00D16A97">
        <w:t>Table 27</w:t>
      </w:r>
      <w:r w:rsidRPr="00757925">
        <w:rPr>
          <w:rFonts w:asciiTheme="minorHAnsi" w:hAnsiTheme="minorHAnsi"/>
          <w:snapToGrid w:val="0"/>
        </w:rPr>
        <w:fldChar w:fldCharType="end"/>
      </w:r>
      <w:r w:rsidRPr="00757925">
        <w:rPr>
          <w:rFonts w:asciiTheme="minorHAnsi" w:hAnsiTheme="minorHAnsi"/>
          <w:snapToGrid w:val="0"/>
        </w:rPr>
        <w:t>). The PBAC noted the significant budget impact that was estimated by the submission, and considered the opportunity cost associated with the proposed continuation of the PBS listing at the proposed price. The PBAC considered that in this situation, it was appropriate and necessary that the ICER that would define acceptable cost-effectiveness should be no greater than $15,000/QALY in any of the patient subgroups.</w:t>
      </w:r>
      <w:bookmarkEnd w:id="166"/>
    </w:p>
    <w:p w14:paraId="422951D2" w14:textId="0FF4AB40" w:rsidR="00940332" w:rsidRPr="00D16A97" w:rsidRDefault="00940332" w:rsidP="00940332">
      <w:pPr>
        <w:widowControl w:val="0"/>
        <w:numPr>
          <w:ilvl w:val="1"/>
          <w:numId w:val="1"/>
        </w:numPr>
        <w:spacing w:after="120"/>
        <w:rPr>
          <w:rFonts w:asciiTheme="minorHAnsi" w:hAnsiTheme="minorHAnsi"/>
          <w:snapToGrid w:val="0"/>
        </w:rPr>
      </w:pPr>
      <w:r w:rsidRPr="00D16A97">
        <w:rPr>
          <w:rFonts w:asciiTheme="minorHAnsi" w:hAnsiTheme="minorHAnsi"/>
          <w:snapToGrid w:val="0"/>
        </w:rPr>
        <w:t xml:space="preserve">The PBAC noted that the ICER for the 70+ cohort was similar to the overall weighted ICER (generated by weighting costs and weighting benefits, before calculating the ratio), however there was a wide range between the estimated ICERs for the subgroups shown in </w:t>
      </w:r>
      <w:r w:rsidRPr="00D16A97">
        <w:rPr>
          <w:rFonts w:asciiTheme="minorHAnsi" w:hAnsiTheme="minorHAnsi"/>
          <w:snapToGrid w:val="0"/>
        </w:rPr>
        <w:fldChar w:fldCharType="begin" w:fldLock="1"/>
      </w:r>
      <w:r w:rsidRPr="00D16A97">
        <w:rPr>
          <w:rFonts w:asciiTheme="minorHAnsi" w:hAnsiTheme="minorHAnsi"/>
          <w:snapToGrid w:val="0"/>
        </w:rPr>
        <w:instrText xml:space="preserve"> REF _Ref148201429 \h  \* MERGEFORMAT </w:instrText>
      </w:r>
      <w:r w:rsidRPr="00D16A97">
        <w:rPr>
          <w:rFonts w:asciiTheme="minorHAnsi" w:hAnsiTheme="minorHAnsi"/>
          <w:snapToGrid w:val="0"/>
        </w:rPr>
      </w:r>
      <w:r w:rsidRPr="00D16A97">
        <w:rPr>
          <w:rFonts w:asciiTheme="minorHAnsi" w:hAnsiTheme="minorHAnsi"/>
          <w:snapToGrid w:val="0"/>
        </w:rPr>
        <w:fldChar w:fldCharType="separate"/>
      </w:r>
      <w:r w:rsidRPr="00D16A97">
        <w:rPr>
          <w:iCs/>
        </w:rPr>
        <w:t>Table 24</w:t>
      </w:r>
      <w:r w:rsidRPr="00D16A97">
        <w:rPr>
          <w:rFonts w:asciiTheme="minorHAnsi" w:hAnsiTheme="minorHAnsi"/>
          <w:snapToGrid w:val="0"/>
        </w:rPr>
        <w:fldChar w:fldCharType="end"/>
      </w:r>
      <w:r w:rsidRPr="00D16A97">
        <w:rPr>
          <w:rFonts w:asciiTheme="minorHAnsi" w:hAnsiTheme="minorHAnsi"/>
          <w:snapToGrid w:val="0"/>
        </w:rPr>
        <w:t xml:space="preserve">. Given the limitations of the data available (see paragraph </w:t>
      </w:r>
      <w:r w:rsidRPr="00D16A97">
        <w:rPr>
          <w:rFonts w:asciiTheme="minorHAnsi" w:hAnsiTheme="minorHAnsi"/>
          <w:snapToGrid w:val="0"/>
        </w:rPr>
        <w:fldChar w:fldCharType="begin" w:fldLock="1"/>
      </w:r>
      <w:r w:rsidRPr="00D16A97">
        <w:rPr>
          <w:rFonts w:asciiTheme="minorHAnsi" w:hAnsiTheme="minorHAnsi"/>
          <w:snapToGrid w:val="0"/>
        </w:rPr>
        <w:instrText xml:space="preserve"> REF _Ref152084864 \r \h  \* MERGEFORMAT </w:instrText>
      </w:r>
      <w:r w:rsidRPr="00D16A97">
        <w:rPr>
          <w:rFonts w:asciiTheme="minorHAnsi" w:hAnsiTheme="minorHAnsi"/>
          <w:snapToGrid w:val="0"/>
        </w:rPr>
      </w:r>
      <w:r w:rsidRPr="00D16A97">
        <w:rPr>
          <w:rFonts w:asciiTheme="minorHAnsi" w:hAnsiTheme="minorHAnsi"/>
          <w:snapToGrid w:val="0"/>
        </w:rPr>
        <w:fldChar w:fldCharType="separate"/>
      </w:r>
      <w:r w:rsidR="00872953">
        <w:rPr>
          <w:rFonts w:asciiTheme="minorHAnsi" w:hAnsiTheme="minorHAnsi"/>
          <w:snapToGrid w:val="0"/>
        </w:rPr>
        <w:t>13.22</w:t>
      </w:r>
      <w:r w:rsidRPr="00D16A97">
        <w:rPr>
          <w:rFonts w:asciiTheme="minorHAnsi" w:hAnsiTheme="minorHAnsi"/>
          <w:snapToGrid w:val="0"/>
        </w:rPr>
        <w:fldChar w:fldCharType="end"/>
      </w:r>
      <w:r w:rsidRPr="00D16A97">
        <w:rPr>
          <w:rFonts w:asciiTheme="minorHAnsi" w:hAnsiTheme="minorHAnsi"/>
          <w:snapToGrid w:val="0"/>
        </w:rPr>
        <w:t>), the PBAC advised that it was not appropriate to value molnupiravir based on the overall weighted ICER, and instead the cost-effectiveness of molnupiravir should be assessed individually for each of the four patient subgroups because this would provide a more robust assessment</w:t>
      </w:r>
      <w:r w:rsidRPr="00D16A97">
        <w:t xml:space="preserve">. The PBAC noted the weighted effective DPMQ could then be calculated based on the </w:t>
      </w:r>
      <w:r w:rsidRPr="00D16A97">
        <w:rPr>
          <w:iCs/>
        </w:rPr>
        <w:t xml:space="preserve">assumed distribution of patients across populations as shown in </w:t>
      </w:r>
      <w:r w:rsidRPr="00D16A97">
        <w:rPr>
          <w:iCs/>
        </w:rPr>
        <w:fldChar w:fldCharType="begin" w:fldLock="1"/>
      </w:r>
      <w:r w:rsidRPr="00D16A97">
        <w:rPr>
          <w:iCs/>
        </w:rPr>
        <w:instrText xml:space="preserve"> REF _Ref150005603 \h  \* MERGEFORMAT </w:instrText>
      </w:r>
      <w:r w:rsidRPr="00D16A97">
        <w:rPr>
          <w:iCs/>
        </w:rPr>
      </w:r>
      <w:r w:rsidRPr="00D16A97">
        <w:rPr>
          <w:iCs/>
        </w:rPr>
        <w:fldChar w:fldCharType="separate"/>
      </w:r>
      <w:r w:rsidRPr="00D16A97">
        <w:t>Table 25</w:t>
      </w:r>
      <w:r w:rsidRPr="00D16A97">
        <w:rPr>
          <w:iCs/>
        </w:rPr>
        <w:fldChar w:fldCharType="end"/>
      </w:r>
      <w:r w:rsidRPr="00D16A97">
        <w:rPr>
          <w:rFonts w:asciiTheme="minorHAnsi" w:hAnsiTheme="minorHAnsi"/>
          <w:snapToGrid w:val="0"/>
        </w:rPr>
        <w:t>.</w:t>
      </w:r>
    </w:p>
    <w:p w14:paraId="4634B6E3" w14:textId="77777777" w:rsidR="00940332" w:rsidRPr="00D16A97" w:rsidRDefault="00940332" w:rsidP="00940332">
      <w:pPr>
        <w:pStyle w:val="3-BodyText"/>
        <w:numPr>
          <w:ilvl w:val="1"/>
          <w:numId w:val="1"/>
        </w:numPr>
      </w:pPr>
      <w:bookmarkStart w:id="168" w:name="_Ref150944056"/>
      <w:r w:rsidRPr="00D16A97">
        <w:t xml:space="preserve">The PBAC noted that timely access to OAV, including PBS listing to facilitate distribution through community pharmacy, had been an important component of Australia’s pandemic response, based on the best evidence available in early 2022 (see paragraph </w:t>
      </w:r>
      <w:r w:rsidRPr="00D16A97">
        <w:fldChar w:fldCharType="begin" w:fldLock="1"/>
      </w:r>
      <w:r w:rsidRPr="00D16A97">
        <w:instrText xml:space="preserve"> REF _Ref152077163 \r \h  \* MERGEFORMAT </w:instrText>
      </w:r>
      <w:r w:rsidRPr="00D16A97">
        <w:fldChar w:fldCharType="separate"/>
      </w:r>
      <w:r w:rsidRPr="00D16A97">
        <w:t>1.2</w:t>
      </w:r>
      <w:r w:rsidRPr="00D16A97">
        <w:fldChar w:fldCharType="end"/>
      </w:r>
      <w:r w:rsidRPr="00D16A97">
        <w:t xml:space="preserve">). </w:t>
      </w:r>
    </w:p>
    <w:p w14:paraId="6F58F4E2" w14:textId="690B6C65" w:rsidR="00940332" w:rsidRPr="00D16A97" w:rsidRDefault="00940332" w:rsidP="00940332">
      <w:pPr>
        <w:pStyle w:val="3-BodyText"/>
        <w:widowControl w:val="0"/>
        <w:numPr>
          <w:ilvl w:val="1"/>
          <w:numId w:val="1"/>
        </w:numPr>
      </w:pPr>
      <w:r w:rsidRPr="00D16A97">
        <w:t>Consistent with its advice in July 2023, based on the currently available clinical evidence, the PBAC considered that a substantial reduction in price would be required to support continued listing. The rationale for the requested price reduction was to overcome the uncertainty in cost</w:t>
      </w:r>
      <w:r w:rsidRPr="00D16A97">
        <w:noBreakHyphen/>
        <w:t xml:space="preserve">effectiveness arising from, in the main, uncertain extent of clinical benefit in the target populations. The PBAC noted the uncertainties in the submission’s economic evaluation described by the ESC (paragraphs </w:t>
      </w:r>
      <w:r w:rsidRPr="00D16A97">
        <w:fldChar w:fldCharType="begin" w:fldLock="1"/>
      </w:r>
      <w:r w:rsidRPr="00D16A97">
        <w:instrText xml:space="preserve"> REF _Ref151027982 \r \h </w:instrText>
      </w:r>
      <w:r w:rsidRPr="00D16A97">
        <w:fldChar w:fldCharType="separate"/>
      </w:r>
      <w:r w:rsidR="00872953">
        <w:t>13.11</w:t>
      </w:r>
      <w:r w:rsidRPr="00D16A97">
        <w:fldChar w:fldCharType="end"/>
      </w:r>
      <w:r w:rsidRPr="00D16A97">
        <w:t xml:space="preserve"> to </w:t>
      </w:r>
      <w:r w:rsidRPr="00D16A97">
        <w:fldChar w:fldCharType="begin" w:fldLock="1"/>
      </w:r>
      <w:r w:rsidRPr="00D16A97">
        <w:instrText xml:space="preserve"> REF _Ref148181823 \r \h </w:instrText>
      </w:r>
      <w:r w:rsidRPr="00D16A97">
        <w:fldChar w:fldCharType="separate"/>
      </w:r>
      <w:r w:rsidR="00872953">
        <w:t>13.14</w:t>
      </w:r>
      <w:r w:rsidRPr="00D16A97">
        <w:fldChar w:fldCharType="end"/>
      </w:r>
      <w:r w:rsidRPr="00D16A97">
        <w:t>). The PBAC considered that the submission did not demonstrate cost-effectiveness due to concerns about the inputs applied in the submission’s model. However, the revised economic analysis based on a simplified model, showed that molnupiravir could be considered cost-effective if the price were to be reduced such that the ICER does not exceed $15,000/QALY in any of the patient subgroups (</w:t>
      </w:r>
      <w:r w:rsidRPr="00D16A97">
        <w:fldChar w:fldCharType="begin" w:fldLock="1"/>
      </w:r>
      <w:r w:rsidRPr="00D16A97">
        <w:instrText xml:space="preserve"> REF _Ref148201429 \h </w:instrText>
      </w:r>
      <w:r w:rsidRPr="00D16A97">
        <w:fldChar w:fldCharType="separate"/>
      </w:r>
      <w:r w:rsidRPr="00D16A97">
        <w:rPr>
          <w:iCs/>
        </w:rPr>
        <w:t>Table 24</w:t>
      </w:r>
      <w:r w:rsidRPr="00D16A97">
        <w:fldChar w:fldCharType="end"/>
      </w:r>
      <w:r w:rsidRPr="00D16A97">
        <w:t xml:space="preserve">). The PBAC noted that the effective DPMQ required for each individual population to achieve this ICER threshold in all subgroups and the overall weighted DPMQ shown in </w:t>
      </w:r>
      <w:r w:rsidRPr="00D16A97">
        <w:fldChar w:fldCharType="begin" w:fldLock="1"/>
      </w:r>
      <w:r w:rsidRPr="00D16A97">
        <w:instrText xml:space="preserve"> REF _Ref150005603 \h </w:instrText>
      </w:r>
      <w:r w:rsidRPr="00D16A97">
        <w:fldChar w:fldCharType="separate"/>
      </w:r>
      <w:r w:rsidRPr="00D16A97">
        <w:t>Table 25</w:t>
      </w:r>
      <w:r w:rsidRPr="00D16A97">
        <w:fldChar w:fldCharType="end"/>
      </w:r>
      <w:r w:rsidRPr="00D16A97">
        <w:t xml:space="preserve">. </w:t>
      </w:r>
    </w:p>
    <w:p w14:paraId="42B77AD0" w14:textId="77777777" w:rsidR="00940332" w:rsidRPr="00D16A97" w:rsidRDefault="00940332" w:rsidP="00940332">
      <w:pPr>
        <w:pStyle w:val="3-BodyText"/>
        <w:widowControl w:val="0"/>
        <w:numPr>
          <w:ilvl w:val="1"/>
          <w:numId w:val="1"/>
        </w:numPr>
      </w:pPr>
      <w:bookmarkStart w:id="169" w:name="_Ref152779058"/>
      <w:r w:rsidRPr="00D16A97">
        <w:lastRenderedPageBreak/>
        <w:t xml:space="preserve">Noting the limitations of the data available, the PBAC also considered the multivariate sensitivity analysis presented in </w:t>
      </w:r>
      <w:r w:rsidRPr="00D16A97">
        <w:fldChar w:fldCharType="begin" w:fldLock="1"/>
      </w:r>
      <w:r w:rsidRPr="00D16A97">
        <w:instrText xml:space="preserve"> REF _Ref151028140 \h </w:instrText>
      </w:r>
      <w:r w:rsidRPr="00D16A97">
        <w:fldChar w:fldCharType="separate"/>
      </w:r>
      <w:r w:rsidRPr="00D16A97">
        <w:rPr>
          <w:iCs/>
        </w:rPr>
        <w:t>Table 26</w:t>
      </w:r>
      <w:r w:rsidRPr="00D16A97">
        <w:fldChar w:fldCharType="end"/>
      </w:r>
      <w:r w:rsidRPr="00D16A97">
        <w:t xml:space="preserve">. </w:t>
      </w:r>
      <w:bookmarkStart w:id="170" w:name="_Ref150944062"/>
      <w:r w:rsidRPr="00D16A97">
        <w:t>The PBAC advised that the more favourable assumptions examined in the MSA were not accepted and did not provide reliable estimates for decision making.</w:t>
      </w:r>
      <w:bookmarkEnd w:id="169"/>
      <w:r w:rsidRPr="00D16A97">
        <w:t xml:space="preserve"> </w:t>
      </w:r>
    </w:p>
    <w:p w14:paraId="13EF4905" w14:textId="6ACC7CE4" w:rsidR="00940332" w:rsidRPr="00D16A97" w:rsidRDefault="00940332" w:rsidP="00940332">
      <w:pPr>
        <w:pStyle w:val="3-BodyText"/>
        <w:widowControl w:val="0"/>
        <w:numPr>
          <w:ilvl w:val="1"/>
          <w:numId w:val="1"/>
        </w:numPr>
      </w:pPr>
      <w:bookmarkStart w:id="171" w:name="_Ref151675282"/>
      <w:bookmarkEnd w:id="170"/>
      <w:r w:rsidRPr="00D16A97">
        <w:t>The PBAC advised that on the basis of the revised economic evaluation, a substantial price reduction is necessary to demonstrate cost-effectiveness based on an indicative ICER of $15,000/QALY</w:t>
      </w:r>
      <w:bookmarkEnd w:id="168"/>
      <w:r w:rsidRPr="00D16A97">
        <w:t xml:space="preserve">. On this basis, the PBAC recommended that a price reduction in the order </w:t>
      </w:r>
      <w:r w:rsidRPr="005C2556">
        <w:t xml:space="preserve">of </w:t>
      </w:r>
      <w:r w:rsidR="00ED2C0D">
        <w:rPr>
          <w:highlight w:val="darkGray"/>
        </w:rPr>
        <w:t xml:space="preserve"> </w:t>
      </w:r>
      <w:r w:rsidR="00ED2C0D" w:rsidRPr="00567EAC">
        <w:rPr>
          <w:color w:val="000000"/>
          <w:w w:val="15"/>
          <w:shd w:val="solid" w:color="000000" w:fill="000000"/>
          <w:fitText w:val="-20" w:id="-1026318336"/>
          <w14:textFill>
            <w14:solidFill>
              <w14:srgbClr w14:val="000000">
                <w14:alpha w14:val="100000"/>
              </w14:srgbClr>
            </w14:solidFill>
          </w14:textFill>
        </w:rPr>
        <w:t xml:space="preserve">|  </w:t>
      </w:r>
      <w:r w:rsidR="00ED2C0D" w:rsidRPr="00567EAC">
        <w:rPr>
          <w:color w:val="000000"/>
          <w:spacing w:val="-69"/>
          <w:w w:val="15"/>
          <w:shd w:val="solid" w:color="000000" w:fill="000000"/>
          <w:fitText w:val="-20" w:id="-1026318336"/>
          <w14:textFill>
            <w14:solidFill>
              <w14:srgbClr w14:val="000000">
                <w14:alpha w14:val="100000"/>
              </w14:srgbClr>
            </w14:solidFill>
          </w14:textFill>
        </w:rPr>
        <w:t>|</w:t>
      </w:r>
      <w:r w:rsidRPr="005C2556">
        <w:t xml:space="preserve">% to </w:t>
      </w:r>
      <w:r w:rsidR="00ED2C0D">
        <w:rPr>
          <w:highlight w:val="darkGray"/>
        </w:rPr>
        <w:t xml:space="preserve"> </w:t>
      </w:r>
      <w:r w:rsidR="00ED2C0D" w:rsidRPr="00567EAC">
        <w:rPr>
          <w:color w:val="000000"/>
          <w:w w:val="15"/>
          <w:shd w:val="solid" w:color="000000" w:fill="000000"/>
          <w:fitText w:val="-20" w:id="-1026318335"/>
          <w14:textFill>
            <w14:solidFill>
              <w14:srgbClr w14:val="000000">
                <w14:alpha w14:val="100000"/>
              </w14:srgbClr>
            </w14:solidFill>
          </w14:textFill>
        </w:rPr>
        <w:t xml:space="preserve">|  </w:t>
      </w:r>
      <w:r w:rsidR="00ED2C0D" w:rsidRPr="00567EAC">
        <w:rPr>
          <w:color w:val="000000"/>
          <w:spacing w:val="-69"/>
          <w:w w:val="15"/>
          <w:shd w:val="solid" w:color="000000" w:fill="000000"/>
          <w:fitText w:val="-20" w:id="-1026318335"/>
          <w14:textFill>
            <w14:solidFill>
              <w14:srgbClr w14:val="000000">
                <w14:alpha w14:val="100000"/>
              </w14:srgbClr>
            </w14:solidFill>
          </w14:textFill>
        </w:rPr>
        <w:t>|</w:t>
      </w:r>
      <w:r w:rsidRPr="00D16A97">
        <w:t>% from the current DPMQ would be required for molnupiravir (</w:t>
      </w:r>
      <w:r w:rsidRPr="00D16A97">
        <w:fldChar w:fldCharType="begin" w:fldLock="1"/>
      </w:r>
      <w:r w:rsidRPr="00D16A97">
        <w:instrText xml:space="preserve"> REF _Ref148201429 \h </w:instrText>
      </w:r>
      <w:r w:rsidRPr="00D16A97">
        <w:fldChar w:fldCharType="separate"/>
      </w:r>
      <w:r w:rsidRPr="00D16A97">
        <w:rPr>
          <w:iCs/>
        </w:rPr>
        <w:t>Table 24</w:t>
      </w:r>
      <w:r w:rsidRPr="00D16A97">
        <w:fldChar w:fldCharType="end"/>
      </w:r>
      <w:r w:rsidRPr="00D16A97">
        <w:t>).</w:t>
      </w:r>
      <w:bookmarkEnd w:id="171"/>
    </w:p>
    <w:p w14:paraId="5DD0F4EB" w14:textId="0B6C5EDA" w:rsidR="00940332" w:rsidRPr="00D16A97" w:rsidRDefault="00940332" w:rsidP="00940332">
      <w:pPr>
        <w:pStyle w:val="3-BodyText"/>
        <w:widowControl w:val="0"/>
        <w:numPr>
          <w:ilvl w:val="1"/>
          <w:numId w:val="1"/>
        </w:numPr>
      </w:pPr>
      <w:bookmarkStart w:id="172" w:name="_Hlk150957673"/>
      <w:r w:rsidRPr="00D16A97">
        <w:t>The PBAC noted that the estimated utilisation and therefore financials were uncertain and dependent on future patterns of antiviral usage and relative usage of molnupiravir compared with the alternative treatment (nirmatrelvir and ritonavir). The PBAC considered that any set of estimates of future expenditure for treatments for COVID-19 will be associated with a high level of uncertainty due to the unknown characteristics of future COVID-19 variants e.g., transmissibility, severity of symptoms and risk of hospitalisation and due to unpredictable developments such as availability of new treatments and vaccines. The PBAC considered it was appropriate to model utilisation scenarios as set out in the submission (</w:t>
      </w:r>
      <w:r w:rsidRPr="00D16A97">
        <w:fldChar w:fldCharType="begin" w:fldLock="1"/>
      </w:r>
      <w:r w:rsidRPr="00D16A97">
        <w:instrText xml:space="preserve"> REF _Ref148059847 \h </w:instrText>
      </w:r>
      <w:r w:rsidRPr="00D16A97">
        <w:fldChar w:fldCharType="separate"/>
      </w:r>
      <w:r w:rsidRPr="00D16A97">
        <w:t>Table 27</w:t>
      </w:r>
      <w:r w:rsidRPr="00D16A97">
        <w:fldChar w:fldCharType="end"/>
      </w:r>
      <w:r w:rsidRPr="00D16A97">
        <w:t>). However, the PBAC also considered that a maximum market share of no more than</w:t>
      </w:r>
      <w:r w:rsidR="001265B0">
        <w:t xml:space="preserve"> </w:t>
      </w:r>
      <w:r w:rsidR="0003145F" w:rsidRPr="00567EAC">
        <w:rPr>
          <w:color w:val="000000"/>
          <w:w w:val="15"/>
          <w:shd w:val="solid" w:color="000000" w:fill="000000"/>
          <w:fitText w:val="-20" w:id="-1031606261"/>
          <w14:textFill>
            <w14:solidFill>
              <w14:srgbClr w14:val="000000">
                <w14:alpha w14:val="100000"/>
              </w14:srgbClr>
            </w14:solidFill>
          </w14:textFill>
        </w:rPr>
        <w:t>|</w:t>
      </w:r>
      <w:r w:rsidR="001265B0" w:rsidRPr="00567EAC">
        <w:rPr>
          <w:color w:val="000000"/>
          <w:w w:val="15"/>
          <w:shd w:val="solid" w:color="000000" w:fill="000000"/>
          <w:fitText w:val="-20" w:id="-1031606261"/>
          <w14:textFill>
            <w14:solidFill>
              <w14:srgbClr w14:val="000000">
                <w14:alpha w14:val="100000"/>
              </w14:srgbClr>
            </w14:solidFill>
          </w14:textFill>
        </w:rPr>
        <w:t xml:space="preserve"> </w:t>
      </w:r>
      <w:r w:rsidR="0003145F" w:rsidRPr="00567EAC">
        <w:rPr>
          <w:color w:val="000000"/>
          <w:spacing w:val="-61"/>
          <w:w w:val="15"/>
          <w:shd w:val="solid" w:color="000000" w:fill="000000"/>
          <w:fitText w:val="-20" w:id="-1031606261"/>
          <w14:textFill>
            <w14:solidFill>
              <w14:srgbClr w14:val="000000">
                <w14:alpha w14:val="100000"/>
              </w14:srgbClr>
            </w14:solidFill>
          </w14:textFill>
        </w:rPr>
        <w:t>|</w:t>
      </w:r>
      <w:r w:rsidRPr="00D16A97">
        <w:t xml:space="preserve">% for molnupiravir was more appropriate after implementation of the proposed restriction changes, compared </w:t>
      </w:r>
      <w:r w:rsidRPr="003C107C">
        <w:t>with</w:t>
      </w:r>
      <w:r w:rsidR="001265B0">
        <w:t xml:space="preserve"> </w:t>
      </w:r>
      <w:r w:rsidR="0003145F" w:rsidRPr="00567EAC">
        <w:rPr>
          <w:color w:val="000000"/>
          <w:w w:val="15"/>
          <w:shd w:val="solid" w:color="000000" w:fill="000000"/>
          <w:fitText w:val="-20" w:id="-1031606260"/>
          <w14:textFill>
            <w14:solidFill>
              <w14:srgbClr w14:val="000000">
                <w14:alpha w14:val="100000"/>
              </w14:srgbClr>
            </w14:solidFill>
          </w14:textFill>
        </w:rPr>
        <w:t xml:space="preserve">|  </w:t>
      </w:r>
      <w:r w:rsidR="0003145F" w:rsidRPr="00567EAC">
        <w:rPr>
          <w:color w:val="000000"/>
          <w:spacing w:val="-69"/>
          <w:w w:val="15"/>
          <w:shd w:val="solid" w:color="000000" w:fill="000000"/>
          <w:fitText w:val="-20" w:id="-1031606260"/>
          <w14:textFill>
            <w14:solidFill>
              <w14:srgbClr w14:val="000000">
                <w14:alpha w14:val="100000"/>
              </w14:srgbClr>
            </w14:solidFill>
          </w14:textFill>
        </w:rPr>
        <w:t>|</w:t>
      </w:r>
      <w:r w:rsidRPr="003C107C">
        <w:t>% assumed</w:t>
      </w:r>
      <w:r w:rsidRPr="00D16A97">
        <w:t xml:space="preserve"> by the submission, although it would take time to see this effect and over time this should reflect only patients strictly contraindicated for nirmatrelvir and ritonavir (approximately 15%, paragraph </w:t>
      </w:r>
      <w:r w:rsidRPr="00D16A97">
        <w:fldChar w:fldCharType="begin" w:fldLock="1"/>
      </w:r>
      <w:r w:rsidRPr="00D16A97">
        <w:instrText xml:space="preserve"> REF _Ref151029363 \r \h </w:instrText>
      </w:r>
      <w:r w:rsidRPr="00D16A97">
        <w:fldChar w:fldCharType="separate"/>
      </w:r>
      <w:r w:rsidR="00872953">
        <w:t>13.28</w:t>
      </w:r>
      <w:r w:rsidRPr="00D16A97">
        <w:fldChar w:fldCharType="end"/>
      </w:r>
      <w:r w:rsidRPr="00D16A97">
        <w:t>).</w:t>
      </w:r>
    </w:p>
    <w:p w14:paraId="3450CCBD" w14:textId="77777777" w:rsidR="00940332" w:rsidRPr="00D16A97" w:rsidRDefault="00940332" w:rsidP="00940332">
      <w:pPr>
        <w:pStyle w:val="3-BodyText"/>
        <w:numPr>
          <w:ilvl w:val="1"/>
          <w:numId w:val="1"/>
        </w:numPr>
      </w:pPr>
      <w:bookmarkStart w:id="173" w:name="_Ref150961149"/>
      <w:bookmarkEnd w:id="172"/>
      <w:r w:rsidRPr="00D16A97">
        <w:t>In view of the uncertain financial estimates, the PBAC considered that the listing of molnupiravir should be considered again in 3 years. The PBAC requested that the DUSC conduct a review of OAV utilisation for PBAC consideration in July 2026. The PBAC requested that the sponsor provide a</w:t>
      </w:r>
      <w:r w:rsidRPr="00D16A97">
        <w:rPr>
          <w:iCs/>
        </w:rPr>
        <w:t>n update on the effectiveness, safety and cost-effectiveness of molnupiravir alongside the abovementioned DUSC review to support the PBAC consideration in July 2026.</w:t>
      </w:r>
      <w:bookmarkEnd w:id="173"/>
    </w:p>
    <w:p w14:paraId="1ACB41AF" w14:textId="1B895DF0" w:rsidR="00940332" w:rsidRPr="00D16A97" w:rsidRDefault="00940332" w:rsidP="00940332">
      <w:pPr>
        <w:widowControl w:val="0"/>
        <w:numPr>
          <w:ilvl w:val="1"/>
          <w:numId w:val="1"/>
        </w:numPr>
        <w:spacing w:after="120"/>
        <w:rPr>
          <w:rFonts w:asciiTheme="minorHAnsi" w:hAnsiTheme="minorHAnsi"/>
          <w:snapToGrid w:val="0"/>
        </w:rPr>
      </w:pPr>
      <w:bookmarkStart w:id="174" w:name="_Hlk152087990"/>
      <w:r w:rsidRPr="00D16A97">
        <w:rPr>
          <w:rFonts w:asciiTheme="minorHAnsi" w:hAnsiTheme="minorHAnsi"/>
          <w:snapToGrid w:val="0"/>
        </w:rPr>
        <w:t xml:space="preserve">The PBAC noted that the current market share of molnupiravir does not reflect the context that a more effective drug is available. </w:t>
      </w:r>
      <w:r w:rsidRPr="00D16A97">
        <w:t xml:space="preserve">The </w:t>
      </w:r>
      <w:r w:rsidR="009769C8" w:rsidRPr="00D16A97">
        <w:t>PBAC recommended</w:t>
      </w:r>
      <w:r w:rsidRPr="00D16A97">
        <w:t xml:space="preserve"> that the sponsor and Department explore initiatives to support the safe and effective use of oral antiviral medicines for COVID-19, consistent with quality use of medicines (QUM) principles. The PBAC may prepare a s</w:t>
      </w:r>
      <w:r w:rsidRPr="00D16A97">
        <w:rPr>
          <w:rFonts w:asciiTheme="minorHAnsi" w:hAnsiTheme="minorHAnsi"/>
          <w:snapToGrid w:val="0"/>
        </w:rPr>
        <w:t>tatement or letter to relevant colleges about the relatively high use of molnupiravir and advice in relation to quality of use medicines including</w:t>
      </w:r>
      <w:r w:rsidRPr="00D16A97">
        <w:t xml:space="preserve"> appropriate choice of medicine when a medicine is required</w:t>
      </w:r>
      <w:r w:rsidRPr="00D16A97">
        <w:rPr>
          <w:rFonts w:asciiTheme="minorHAnsi" w:hAnsiTheme="minorHAnsi"/>
          <w:snapToGrid w:val="0"/>
        </w:rPr>
        <w:t xml:space="preserve">. The PBAC noted that clinical considerations may include </w:t>
      </w:r>
      <w:r w:rsidRPr="00D16A97">
        <w:t>selecting the best option from the range available taking into account the clinical condition, risks and benefits for the patient, their co</w:t>
      </w:r>
      <w:r w:rsidRPr="00D16A97">
        <w:noBreakHyphen/>
        <w:t xml:space="preserve">morbidities, other therapies and monitoring considerations. </w:t>
      </w:r>
    </w:p>
    <w:bookmarkEnd w:id="174"/>
    <w:p w14:paraId="02A393F2" w14:textId="77777777" w:rsidR="00940332" w:rsidRPr="00D16A97" w:rsidRDefault="00940332" w:rsidP="00940332">
      <w:pPr>
        <w:pStyle w:val="3-BodyText"/>
        <w:numPr>
          <w:ilvl w:val="1"/>
          <w:numId w:val="1"/>
        </w:numPr>
      </w:pPr>
      <w:r w:rsidRPr="00D16A97">
        <w:lastRenderedPageBreak/>
        <w:t xml:space="preserve">The PBAC noted that the opportunity cost of expenditure on oral antivirals is substantial, given that current expenditure on these agents currently accounts for 5% of the total PBS budget (before rebates; see paragraph </w:t>
      </w:r>
      <w:r w:rsidRPr="00D16A97">
        <w:fldChar w:fldCharType="begin" w:fldLock="1"/>
      </w:r>
      <w:r w:rsidRPr="00D16A97">
        <w:instrText xml:space="preserve"> REF _Ref150939048 \r \h </w:instrText>
      </w:r>
      <w:r w:rsidRPr="00D16A97">
        <w:fldChar w:fldCharType="separate"/>
      </w:r>
      <w:r w:rsidRPr="00D16A97">
        <w:t>6.83</w:t>
      </w:r>
      <w:r w:rsidRPr="00D16A97">
        <w:fldChar w:fldCharType="end"/>
      </w:r>
      <w:r w:rsidRPr="00D16A97">
        <w:t xml:space="preserve">). This significant allocation of resources to oral antivirals for </w:t>
      </w:r>
      <w:r w:rsidRPr="00D16A97">
        <w:rPr>
          <w:rStyle w:val="normaltextrun"/>
        </w:rPr>
        <w:t>COVID</w:t>
      </w:r>
      <w:r w:rsidRPr="00D16A97">
        <w:rPr>
          <w:rStyle w:val="normaltextrun"/>
        </w:rPr>
        <w:noBreakHyphen/>
        <w:t>19</w:t>
      </w:r>
      <w:r w:rsidRPr="00D16A97">
        <w:t xml:space="preserve"> has the potential to limit the ability of the government to fund other potentially beneficial treatments.</w:t>
      </w:r>
    </w:p>
    <w:p w14:paraId="586F5553" w14:textId="77777777" w:rsidR="00940332" w:rsidRPr="00D16A97" w:rsidRDefault="00940332" w:rsidP="00940332">
      <w:pPr>
        <w:pStyle w:val="3-BodyText"/>
        <w:numPr>
          <w:ilvl w:val="1"/>
          <w:numId w:val="1"/>
        </w:numPr>
      </w:pPr>
      <w:r w:rsidRPr="00D16A97">
        <w:t>The PBAC noted that this submission is not eligible for an Independent Review as it was not seeking an additional indication for molnupiravir on the PBS.</w:t>
      </w:r>
    </w:p>
    <w:p w14:paraId="422923A7" w14:textId="77777777" w:rsidR="00940332" w:rsidRPr="00D16A97" w:rsidRDefault="00940332" w:rsidP="00940332">
      <w:pPr>
        <w:spacing w:before="240"/>
        <w:rPr>
          <w:rFonts w:asciiTheme="minorHAnsi" w:hAnsiTheme="minorHAnsi"/>
          <w:b/>
        </w:rPr>
      </w:pPr>
      <w:r w:rsidRPr="00D16A97">
        <w:rPr>
          <w:rFonts w:asciiTheme="minorHAnsi" w:hAnsiTheme="minorHAnsi"/>
          <w:b/>
        </w:rPr>
        <w:t>Outcome:</w:t>
      </w:r>
    </w:p>
    <w:p w14:paraId="3F49879F" w14:textId="77777777" w:rsidR="00940332" w:rsidRPr="00D16A97" w:rsidRDefault="00940332" w:rsidP="00940332">
      <w:pPr>
        <w:rPr>
          <w:rFonts w:asciiTheme="minorHAnsi" w:hAnsiTheme="minorHAnsi"/>
        </w:rPr>
      </w:pPr>
      <w:r w:rsidRPr="00D16A97">
        <w:rPr>
          <w:rFonts w:asciiTheme="minorHAnsi" w:hAnsiTheme="minorHAnsi"/>
        </w:rPr>
        <w:t>Advice Provided</w:t>
      </w:r>
    </w:p>
    <w:p w14:paraId="02E4C352" w14:textId="77777777" w:rsidR="00940332" w:rsidRPr="00D16A97" w:rsidRDefault="00940332" w:rsidP="00940332">
      <w:pPr>
        <w:pStyle w:val="2-SectionHeading"/>
        <w:numPr>
          <w:ilvl w:val="0"/>
          <w:numId w:val="1"/>
        </w:numPr>
      </w:pPr>
      <w:r w:rsidRPr="00D16A97">
        <w:t>Recommended listing</w:t>
      </w:r>
    </w:p>
    <w:p w14:paraId="1D25CB20" w14:textId="77777777" w:rsidR="00940332" w:rsidRPr="00D16A97" w:rsidRDefault="00940332" w:rsidP="00940332">
      <w:pPr>
        <w:widowControl w:val="0"/>
        <w:numPr>
          <w:ilvl w:val="1"/>
          <w:numId w:val="1"/>
        </w:numPr>
        <w:spacing w:after="120"/>
        <w:contextualSpacing/>
        <w:rPr>
          <w:rFonts w:asciiTheme="minorHAnsi" w:hAnsiTheme="minorHAnsi"/>
          <w:bCs/>
          <w:snapToGrid w:val="0"/>
        </w:rPr>
      </w:pPr>
      <w:r w:rsidRPr="00D16A97">
        <w:rPr>
          <w:rFonts w:asciiTheme="minorHAnsi" w:hAnsiTheme="minorHAnsi"/>
          <w:bCs/>
          <w:snapToGrid w:val="0"/>
        </w:rPr>
        <w:t>Amend existing listing as follows:</w:t>
      </w:r>
    </w:p>
    <w:p w14:paraId="4DEE5628" w14:textId="77777777" w:rsidR="00940332" w:rsidRPr="00D16A97" w:rsidRDefault="00940332" w:rsidP="00940332">
      <w:pPr>
        <w:widowControl w:val="0"/>
        <w:rPr>
          <w:rFonts w:cstheme="minorHAnsi"/>
          <w:iCs/>
        </w:rPr>
      </w:pPr>
      <w:r w:rsidRPr="00D16A97">
        <w:rPr>
          <w:rFonts w:cstheme="minorHAnsi"/>
          <w:iCs/>
        </w:rPr>
        <w:t>Additions are in italics and deletions are in strikethrough.</w:t>
      </w:r>
    </w:p>
    <w:p w14:paraId="4B6C0A9B" w14:textId="77777777" w:rsidR="00940332" w:rsidRPr="00AB3983" w:rsidRDefault="00940332" w:rsidP="00940332"/>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812"/>
        <w:gridCol w:w="811"/>
        <w:gridCol w:w="812"/>
        <w:gridCol w:w="1880"/>
      </w:tblGrid>
      <w:tr w:rsidR="00940332" w:rsidRPr="00D16A97" w14:paraId="6A686814" w14:textId="77777777" w:rsidTr="00192D14">
        <w:trPr>
          <w:cantSplit/>
          <w:trHeight w:val="20"/>
        </w:trPr>
        <w:tc>
          <w:tcPr>
            <w:tcW w:w="4751" w:type="dxa"/>
            <w:vAlign w:val="center"/>
          </w:tcPr>
          <w:p w14:paraId="0ADFC07E" w14:textId="77777777" w:rsidR="00940332" w:rsidRPr="00D16A97" w:rsidRDefault="00940332" w:rsidP="00192D14">
            <w:pPr>
              <w:keepNext/>
              <w:rPr>
                <w:rFonts w:ascii="Arial Narrow" w:hAnsi="Arial Narrow"/>
                <w:b/>
                <w:bCs/>
                <w:sz w:val="20"/>
                <w:szCs w:val="20"/>
              </w:rPr>
            </w:pPr>
            <w:r w:rsidRPr="00D16A97">
              <w:rPr>
                <w:rFonts w:ascii="Arial Narrow" w:hAnsi="Arial Narrow"/>
                <w:b/>
                <w:bCs/>
                <w:sz w:val="20"/>
                <w:szCs w:val="20"/>
              </w:rPr>
              <w:t>MEDICINAL PRODUCT</w:t>
            </w:r>
          </w:p>
          <w:p w14:paraId="44E84FA1" w14:textId="77777777" w:rsidR="00940332" w:rsidRPr="00D16A97" w:rsidRDefault="00940332" w:rsidP="00192D14">
            <w:pPr>
              <w:pStyle w:val="TableText0"/>
              <w:rPr>
                <w:b/>
                <w:bCs w:val="0"/>
                <w:szCs w:val="20"/>
              </w:rPr>
            </w:pPr>
            <w:r w:rsidRPr="00D16A97">
              <w:rPr>
                <w:b/>
                <w:szCs w:val="20"/>
              </w:rPr>
              <w:t>medicinal product pack</w:t>
            </w:r>
          </w:p>
        </w:tc>
        <w:tc>
          <w:tcPr>
            <w:tcW w:w="812" w:type="dxa"/>
            <w:vAlign w:val="center"/>
          </w:tcPr>
          <w:p w14:paraId="1F43B3A0" w14:textId="77777777" w:rsidR="00940332" w:rsidRPr="00D16A97" w:rsidRDefault="00940332" w:rsidP="00192D14">
            <w:pPr>
              <w:keepNext/>
              <w:jc w:val="center"/>
              <w:rPr>
                <w:rFonts w:ascii="Arial Narrow" w:hAnsi="Arial Narrow"/>
                <w:b/>
                <w:sz w:val="20"/>
                <w:szCs w:val="20"/>
              </w:rPr>
            </w:pPr>
            <w:r w:rsidRPr="00D16A97">
              <w:rPr>
                <w:rFonts w:ascii="Arial Narrow" w:hAnsi="Arial Narrow"/>
                <w:b/>
                <w:sz w:val="20"/>
                <w:szCs w:val="20"/>
              </w:rPr>
              <w:t>Max. qty packs</w:t>
            </w:r>
          </w:p>
        </w:tc>
        <w:tc>
          <w:tcPr>
            <w:tcW w:w="811" w:type="dxa"/>
            <w:vAlign w:val="center"/>
          </w:tcPr>
          <w:p w14:paraId="034EB654" w14:textId="77777777" w:rsidR="00940332" w:rsidRPr="00D16A97" w:rsidRDefault="00940332" w:rsidP="00192D14">
            <w:pPr>
              <w:keepNext/>
              <w:jc w:val="center"/>
              <w:rPr>
                <w:rFonts w:ascii="Arial Narrow" w:hAnsi="Arial Narrow"/>
                <w:b/>
                <w:sz w:val="20"/>
                <w:szCs w:val="20"/>
              </w:rPr>
            </w:pPr>
            <w:r w:rsidRPr="00D16A97">
              <w:rPr>
                <w:rFonts w:ascii="Arial Narrow" w:hAnsi="Arial Narrow"/>
                <w:b/>
                <w:sz w:val="20"/>
                <w:szCs w:val="20"/>
              </w:rPr>
              <w:t>Max. qty units</w:t>
            </w:r>
          </w:p>
        </w:tc>
        <w:tc>
          <w:tcPr>
            <w:tcW w:w="812" w:type="dxa"/>
            <w:vAlign w:val="center"/>
          </w:tcPr>
          <w:p w14:paraId="7DB566A4" w14:textId="77777777" w:rsidR="00940332" w:rsidRPr="00D16A97" w:rsidRDefault="00940332" w:rsidP="00192D14">
            <w:pPr>
              <w:keepNext/>
              <w:jc w:val="center"/>
              <w:rPr>
                <w:rFonts w:ascii="Arial Narrow" w:hAnsi="Arial Narrow"/>
                <w:b/>
                <w:sz w:val="20"/>
                <w:szCs w:val="20"/>
              </w:rPr>
            </w:pPr>
            <w:r w:rsidRPr="00D16A97">
              <w:rPr>
                <w:rFonts w:ascii="Arial Narrow" w:hAnsi="Arial Narrow"/>
                <w:b/>
                <w:sz w:val="20"/>
                <w:szCs w:val="20"/>
              </w:rPr>
              <w:t>№.of</w:t>
            </w:r>
          </w:p>
          <w:p w14:paraId="332F8F47" w14:textId="77777777" w:rsidR="00940332" w:rsidRPr="00D16A97" w:rsidRDefault="00940332" w:rsidP="00192D14">
            <w:pPr>
              <w:keepNext/>
              <w:jc w:val="center"/>
              <w:rPr>
                <w:rFonts w:ascii="Arial Narrow" w:hAnsi="Arial Narrow"/>
                <w:b/>
                <w:sz w:val="20"/>
                <w:szCs w:val="20"/>
              </w:rPr>
            </w:pPr>
            <w:r w:rsidRPr="00D16A97">
              <w:rPr>
                <w:rFonts w:ascii="Arial Narrow" w:hAnsi="Arial Narrow"/>
                <w:b/>
                <w:sz w:val="20"/>
                <w:szCs w:val="20"/>
              </w:rPr>
              <w:t>Rpts</w:t>
            </w:r>
          </w:p>
        </w:tc>
        <w:tc>
          <w:tcPr>
            <w:tcW w:w="1880" w:type="dxa"/>
            <w:vAlign w:val="center"/>
          </w:tcPr>
          <w:p w14:paraId="42985E5A" w14:textId="77777777" w:rsidR="00940332" w:rsidRPr="00D16A97" w:rsidRDefault="00940332" w:rsidP="00192D14">
            <w:pPr>
              <w:keepNext/>
              <w:rPr>
                <w:rFonts w:ascii="Arial Narrow" w:hAnsi="Arial Narrow"/>
                <w:b/>
                <w:sz w:val="20"/>
                <w:szCs w:val="20"/>
              </w:rPr>
            </w:pPr>
            <w:r w:rsidRPr="00D16A97">
              <w:rPr>
                <w:rFonts w:ascii="Arial Narrow" w:hAnsi="Arial Narrow"/>
                <w:b/>
                <w:sz w:val="20"/>
                <w:szCs w:val="20"/>
              </w:rPr>
              <w:t>Available brands</w:t>
            </w:r>
          </w:p>
        </w:tc>
      </w:tr>
      <w:tr w:rsidR="00940332" w:rsidRPr="00D16A97" w14:paraId="03EF8D4B" w14:textId="77777777" w:rsidTr="00192D14">
        <w:trPr>
          <w:cantSplit/>
          <w:trHeight w:val="20"/>
        </w:trPr>
        <w:tc>
          <w:tcPr>
            <w:tcW w:w="9066" w:type="dxa"/>
            <w:gridSpan w:val="5"/>
            <w:vAlign w:val="center"/>
          </w:tcPr>
          <w:p w14:paraId="426DA8BF" w14:textId="19689F55" w:rsidR="00940332" w:rsidRPr="009769C8" w:rsidRDefault="00940332" w:rsidP="00192D14">
            <w:pPr>
              <w:pStyle w:val="TableText0"/>
              <w:rPr>
                <w:rFonts w:cs="Arial"/>
                <w:szCs w:val="20"/>
              </w:rPr>
            </w:pPr>
            <w:r w:rsidRPr="009769C8">
              <w:rPr>
                <w:smallCaps/>
                <w:szCs w:val="20"/>
              </w:rPr>
              <w:t>M</w:t>
            </w:r>
            <w:r w:rsidR="009769C8">
              <w:rPr>
                <w:smallCaps/>
                <w:szCs w:val="20"/>
              </w:rPr>
              <w:t>OLNUPIRAVIR</w:t>
            </w:r>
            <w:r w:rsidRPr="009769C8">
              <w:rPr>
                <w:rFonts w:cs="Arial"/>
                <w:color w:val="0066FF"/>
                <w:szCs w:val="20"/>
              </w:rPr>
              <w:t xml:space="preserve"> </w:t>
            </w:r>
          </w:p>
        </w:tc>
      </w:tr>
      <w:tr w:rsidR="00940332" w:rsidRPr="00D16A97" w14:paraId="25D76DD0" w14:textId="77777777" w:rsidTr="00192D14">
        <w:trPr>
          <w:cantSplit/>
          <w:trHeight w:val="20"/>
        </w:trPr>
        <w:tc>
          <w:tcPr>
            <w:tcW w:w="9066" w:type="dxa"/>
            <w:gridSpan w:val="5"/>
            <w:vAlign w:val="center"/>
          </w:tcPr>
          <w:p w14:paraId="180C2AEC" w14:textId="77777777" w:rsidR="00940332" w:rsidRPr="00D16A97" w:rsidRDefault="00940332" w:rsidP="00192D14">
            <w:pPr>
              <w:pStyle w:val="TableText0"/>
              <w:rPr>
                <w:u w:val="single"/>
              </w:rPr>
            </w:pPr>
            <w:r w:rsidRPr="00D16A97">
              <w:rPr>
                <w:u w:val="single"/>
              </w:rPr>
              <w:t>Authority Required (STREAMLINED)</w:t>
            </w:r>
          </w:p>
        </w:tc>
      </w:tr>
      <w:tr w:rsidR="00940332" w:rsidRPr="00D16A97" w14:paraId="42503F18" w14:textId="77777777" w:rsidTr="00192D14">
        <w:trPr>
          <w:cantSplit/>
          <w:trHeight w:val="20"/>
        </w:trPr>
        <w:tc>
          <w:tcPr>
            <w:tcW w:w="4751" w:type="dxa"/>
            <w:vAlign w:val="center"/>
          </w:tcPr>
          <w:p w14:paraId="549C8261" w14:textId="77777777" w:rsidR="00940332" w:rsidRPr="00D16A97" w:rsidRDefault="00940332" w:rsidP="00192D14">
            <w:pPr>
              <w:pStyle w:val="TableText0"/>
              <w:keepNext w:val="0"/>
              <w:rPr>
                <w:color w:val="000000" w:themeColor="text1"/>
                <w:szCs w:val="20"/>
              </w:rPr>
            </w:pPr>
            <w:r w:rsidRPr="00D16A97">
              <w:rPr>
                <w:color w:val="000000" w:themeColor="text1"/>
                <w:szCs w:val="20"/>
              </w:rPr>
              <w:t>Molnupiravir 200 mg capsule, 40</w:t>
            </w:r>
          </w:p>
        </w:tc>
        <w:tc>
          <w:tcPr>
            <w:tcW w:w="812" w:type="dxa"/>
            <w:vAlign w:val="center"/>
          </w:tcPr>
          <w:p w14:paraId="13429776" w14:textId="77777777" w:rsidR="00940332" w:rsidRPr="00D16A97" w:rsidRDefault="00940332" w:rsidP="00192D14">
            <w:pPr>
              <w:jc w:val="center"/>
              <w:rPr>
                <w:rFonts w:ascii="Arial Narrow" w:hAnsi="Arial Narrow"/>
                <w:color w:val="000000" w:themeColor="text1"/>
                <w:sz w:val="20"/>
                <w:szCs w:val="20"/>
              </w:rPr>
            </w:pPr>
            <w:r w:rsidRPr="00D16A97">
              <w:rPr>
                <w:rFonts w:ascii="Arial Narrow" w:hAnsi="Arial Narrow"/>
                <w:color w:val="000000" w:themeColor="text1"/>
                <w:sz w:val="20"/>
              </w:rPr>
              <w:t>1</w:t>
            </w:r>
          </w:p>
        </w:tc>
        <w:tc>
          <w:tcPr>
            <w:tcW w:w="811" w:type="dxa"/>
            <w:vAlign w:val="center"/>
          </w:tcPr>
          <w:p w14:paraId="7CB943A2" w14:textId="77777777" w:rsidR="00940332" w:rsidRPr="00D16A97" w:rsidRDefault="00940332" w:rsidP="00192D14">
            <w:pPr>
              <w:jc w:val="center"/>
              <w:rPr>
                <w:rFonts w:ascii="Arial Narrow" w:hAnsi="Arial Narrow"/>
                <w:color w:val="000000" w:themeColor="text1"/>
                <w:sz w:val="20"/>
                <w:szCs w:val="20"/>
              </w:rPr>
            </w:pPr>
            <w:r w:rsidRPr="00D16A97">
              <w:rPr>
                <w:rFonts w:ascii="Arial Narrow" w:hAnsi="Arial Narrow"/>
                <w:color w:val="000000" w:themeColor="text1"/>
                <w:sz w:val="20"/>
              </w:rPr>
              <w:t>40</w:t>
            </w:r>
          </w:p>
        </w:tc>
        <w:tc>
          <w:tcPr>
            <w:tcW w:w="812" w:type="dxa"/>
            <w:vAlign w:val="center"/>
          </w:tcPr>
          <w:p w14:paraId="6A649FC6" w14:textId="77777777" w:rsidR="00940332" w:rsidRPr="00D16A97" w:rsidRDefault="00940332" w:rsidP="00192D14">
            <w:pPr>
              <w:jc w:val="center"/>
              <w:rPr>
                <w:rFonts w:ascii="Arial Narrow" w:hAnsi="Arial Narrow"/>
                <w:color w:val="000000" w:themeColor="text1"/>
                <w:sz w:val="20"/>
                <w:szCs w:val="20"/>
              </w:rPr>
            </w:pPr>
            <w:r w:rsidRPr="00D16A97">
              <w:rPr>
                <w:rFonts w:ascii="Arial Narrow" w:hAnsi="Arial Narrow"/>
                <w:color w:val="000000" w:themeColor="text1"/>
                <w:sz w:val="20"/>
              </w:rPr>
              <w:t>0</w:t>
            </w:r>
          </w:p>
        </w:tc>
        <w:tc>
          <w:tcPr>
            <w:tcW w:w="1880" w:type="dxa"/>
            <w:vAlign w:val="center"/>
          </w:tcPr>
          <w:p w14:paraId="31526DEF" w14:textId="77777777" w:rsidR="00940332" w:rsidRPr="00D16A97" w:rsidRDefault="00940332" w:rsidP="00192D14">
            <w:pPr>
              <w:rPr>
                <w:rFonts w:ascii="Arial Narrow" w:hAnsi="Arial Narrow"/>
                <w:color w:val="000000" w:themeColor="text1"/>
                <w:sz w:val="20"/>
                <w:szCs w:val="20"/>
              </w:rPr>
            </w:pPr>
            <w:r w:rsidRPr="00D16A97">
              <w:rPr>
                <w:rFonts w:ascii="Arial Narrow" w:hAnsi="Arial Narrow"/>
                <w:color w:val="000000" w:themeColor="text1"/>
                <w:sz w:val="20"/>
                <w:szCs w:val="20"/>
              </w:rPr>
              <w:t>Lagevrio</w:t>
            </w:r>
          </w:p>
        </w:tc>
      </w:tr>
      <w:tr w:rsidR="00940332" w:rsidRPr="00D16A97" w14:paraId="2FDCF405" w14:textId="77777777" w:rsidTr="00192D14">
        <w:trPr>
          <w:cantSplit/>
          <w:trHeight w:val="20"/>
        </w:trPr>
        <w:tc>
          <w:tcPr>
            <w:tcW w:w="9066" w:type="dxa"/>
            <w:gridSpan w:val="5"/>
            <w:vAlign w:val="center"/>
          </w:tcPr>
          <w:p w14:paraId="1B914A52" w14:textId="77777777" w:rsidR="00940332" w:rsidRPr="00D16A97" w:rsidRDefault="00940332" w:rsidP="00192D14">
            <w:pPr>
              <w:pStyle w:val="TableText0"/>
              <w:keepNext w:val="0"/>
              <w:rPr>
                <w:u w:val="single"/>
              </w:rPr>
            </w:pPr>
            <w:r w:rsidRPr="00D16A97">
              <w:rPr>
                <w:u w:val="single"/>
              </w:rPr>
              <w:t>Prescriber bag</w:t>
            </w:r>
          </w:p>
        </w:tc>
      </w:tr>
      <w:tr w:rsidR="00940332" w:rsidRPr="00D16A97" w14:paraId="299400AC" w14:textId="77777777" w:rsidTr="00192D14">
        <w:trPr>
          <w:cantSplit/>
          <w:trHeight w:val="20"/>
        </w:trPr>
        <w:tc>
          <w:tcPr>
            <w:tcW w:w="4751" w:type="dxa"/>
            <w:vAlign w:val="center"/>
          </w:tcPr>
          <w:p w14:paraId="4A8A418D" w14:textId="77777777" w:rsidR="00940332" w:rsidRPr="00D16A97" w:rsidRDefault="00940332" w:rsidP="00192D14">
            <w:pPr>
              <w:rPr>
                <w:rFonts w:ascii="Arial Narrow" w:hAnsi="Arial Narrow"/>
                <w:color w:val="000000" w:themeColor="text1"/>
                <w:sz w:val="20"/>
                <w:szCs w:val="20"/>
              </w:rPr>
            </w:pPr>
            <w:r w:rsidRPr="00D16A97">
              <w:rPr>
                <w:rFonts w:ascii="Arial Narrow" w:hAnsi="Arial Narrow"/>
                <w:color w:val="000000" w:themeColor="text1"/>
                <w:sz w:val="20"/>
                <w:szCs w:val="20"/>
              </w:rPr>
              <w:t>Molnupiravir 200 mg capsule, 40</w:t>
            </w:r>
          </w:p>
        </w:tc>
        <w:tc>
          <w:tcPr>
            <w:tcW w:w="812" w:type="dxa"/>
            <w:vAlign w:val="center"/>
          </w:tcPr>
          <w:p w14:paraId="3501A0FB" w14:textId="77777777" w:rsidR="00940332" w:rsidRPr="00D16A97" w:rsidRDefault="00940332" w:rsidP="00192D14">
            <w:pPr>
              <w:jc w:val="center"/>
              <w:rPr>
                <w:rFonts w:ascii="Arial Narrow" w:hAnsi="Arial Narrow"/>
                <w:color w:val="000000" w:themeColor="text1"/>
                <w:sz w:val="20"/>
                <w:szCs w:val="20"/>
              </w:rPr>
            </w:pPr>
            <w:r w:rsidRPr="00D16A97">
              <w:rPr>
                <w:rFonts w:ascii="Arial Narrow" w:hAnsi="Arial Narrow"/>
                <w:color w:val="000000" w:themeColor="text1"/>
                <w:sz w:val="20"/>
              </w:rPr>
              <w:t>2</w:t>
            </w:r>
          </w:p>
        </w:tc>
        <w:tc>
          <w:tcPr>
            <w:tcW w:w="811" w:type="dxa"/>
            <w:vAlign w:val="center"/>
          </w:tcPr>
          <w:p w14:paraId="1A898019" w14:textId="77777777" w:rsidR="00940332" w:rsidRPr="00D16A97" w:rsidRDefault="00940332" w:rsidP="00192D14">
            <w:pPr>
              <w:jc w:val="center"/>
              <w:rPr>
                <w:rFonts w:ascii="Arial Narrow" w:hAnsi="Arial Narrow"/>
                <w:color w:val="000000" w:themeColor="text1"/>
                <w:sz w:val="20"/>
                <w:szCs w:val="20"/>
              </w:rPr>
            </w:pPr>
            <w:r w:rsidRPr="00D16A97">
              <w:rPr>
                <w:rFonts w:ascii="Arial Narrow" w:hAnsi="Arial Narrow"/>
                <w:color w:val="000000" w:themeColor="text1"/>
                <w:sz w:val="20"/>
              </w:rPr>
              <w:t>80</w:t>
            </w:r>
          </w:p>
        </w:tc>
        <w:tc>
          <w:tcPr>
            <w:tcW w:w="812" w:type="dxa"/>
            <w:vAlign w:val="center"/>
          </w:tcPr>
          <w:p w14:paraId="2803FA6D" w14:textId="77777777" w:rsidR="00940332" w:rsidRPr="00D16A97" w:rsidRDefault="00940332" w:rsidP="00192D14">
            <w:pPr>
              <w:jc w:val="center"/>
              <w:rPr>
                <w:rFonts w:ascii="Arial Narrow" w:hAnsi="Arial Narrow"/>
                <w:color w:val="000000" w:themeColor="text1"/>
                <w:sz w:val="20"/>
                <w:szCs w:val="20"/>
              </w:rPr>
            </w:pPr>
            <w:r w:rsidRPr="00D16A97">
              <w:rPr>
                <w:rFonts w:ascii="Arial Narrow" w:hAnsi="Arial Narrow"/>
                <w:color w:val="000000" w:themeColor="text1"/>
                <w:sz w:val="20"/>
              </w:rPr>
              <w:t>0</w:t>
            </w:r>
          </w:p>
        </w:tc>
        <w:tc>
          <w:tcPr>
            <w:tcW w:w="1880" w:type="dxa"/>
            <w:vAlign w:val="center"/>
          </w:tcPr>
          <w:p w14:paraId="3BAAFC0B" w14:textId="77777777" w:rsidR="00940332" w:rsidRPr="00D16A97" w:rsidRDefault="00940332" w:rsidP="00192D14">
            <w:pPr>
              <w:rPr>
                <w:rFonts w:ascii="Arial Narrow" w:hAnsi="Arial Narrow"/>
                <w:color w:val="000000" w:themeColor="text1"/>
                <w:sz w:val="20"/>
                <w:szCs w:val="20"/>
              </w:rPr>
            </w:pPr>
            <w:r w:rsidRPr="00D16A97">
              <w:rPr>
                <w:rFonts w:ascii="Arial Narrow" w:hAnsi="Arial Narrow"/>
                <w:color w:val="000000" w:themeColor="text1"/>
                <w:sz w:val="20"/>
                <w:szCs w:val="20"/>
              </w:rPr>
              <w:t>Lagevrio</w:t>
            </w:r>
          </w:p>
        </w:tc>
      </w:tr>
    </w:tbl>
    <w:p w14:paraId="1B7D3431" w14:textId="77777777" w:rsidR="00940332" w:rsidRPr="00AB3983" w:rsidRDefault="00940332" w:rsidP="00940332"/>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67"/>
      </w:tblGrid>
      <w:tr w:rsidR="00940332" w:rsidRPr="00D16A97" w14:paraId="3D17B86E" w14:textId="77777777" w:rsidTr="00192D14">
        <w:trPr>
          <w:trHeight w:val="20"/>
        </w:trPr>
        <w:tc>
          <w:tcPr>
            <w:tcW w:w="5000" w:type="pct"/>
          </w:tcPr>
          <w:p w14:paraId="2D47F892" w14:textId="77777777" w:rsidR="00940332" w:rsidRPr="00D16A97" w:rsidRDefault="00940332" w:rsidP="00192D14">
            <w:pPr>
              <w:pStyle w:val="TableText0"/>
            </w:pPr>
            <w:r w:rsidRPr="00D16A97">
              <w:rPr>
                <w:b/>
              </w:rPr>
              <w:t xml:space="preserve">Category / Program: </w:t>
            </w:r>
            <w:r w:rsidRPr="00D16A97">
              <w:t>General Schedule</w:t>
            </w:r>
          </w:p>
        </w:tc>
      </w:tr>
      <w:tr w:rsidR="00940332" w:rsidRPr="00D16A97" w14:paraId="10003922" w14:textId="77777777" w:rsidTr="00192D14">
        <w:trPr>
          <w:trHeight w:val="20"/>
        </w:trPr>
        <w:tc>
          <w:tcPr>
            <w:tcW w:w="5000" w:type="pct"/>
          </w:tcPr>
          <w:p w14:paraId="520B2110" w14:textId="77777777" w:rsidR="00940332" w:rsidRPr="00D16A97" w:rsidRDefault="00940332" w:rsidP="00192D14">
            <w:pPr>
              <w:pStyle w:val="TableText0"/>
              <w:rPr>
                <w:b/>
              </w:rPr>
            </w:pPr>
            <w:r w:rsidRPr="00D16A97">
              <w:rPr>
                <w:b/>
              </w:rPr>
              <w:t xml:space="preserve">Prescriber type: </w:t>
            </w:r>
            <w:r w:rsidRPr="00D16A97">
              <w:fldChar w:fldCharType="begin" w:fldLock="1">
                <w:ffData>
                  <w:name w:val="Check1"/>
                  <w:enabled/>
                  <w:calcOnExit w:val="0"/>
                  <w:checkBox>
                    <w:sizeAuto/>
                    <w:default w:val="0"/>
                  </w:checkBox>
                </w:ffData>
              </w:fldChar>
            </w:r>
            <w:r w:rsidRPr="00D16A97">
              <w:instrText xml:space="preserve"> FORMCHECKBOX </w:instrText>
            </w:r>
            <w:r w:rsidR="00567EAC">
              <w:fldChar w:fldCharType="separate"/>
            </w:r>
            <w:r w:rsidRPr="00D16A97">
              <w:fldChar w:fldCharType="end"/>
            </w:r>
            <w:r w:rsidRPr="00D16A97">
              <w:t xml:space="preserve">Dental </w:t>
            </w:r>
            <w:r w:rsidRPr="00D16A97">
              <w:fldChar w:fldCharType="begin" w:fldLock="1">
                <w:ffData>
                  <w:name w:val=""/>
                  <w:enabled/>
                  <w:calcOnExit w:val="0"/>
                  <w:checkBox>
                    <w:sizeAuto/>
                    <w:default w:val="1"/>
                  </w:checkBox>
                </w:ffData>
              </w:fldChar>
            </w:r>
            <w:r w:rsidRPr="00D16A97">
              <w:instrText xml:space="preserve"> FORMCHECKBOX </w:instrText>
            </w:r>
            <w:r w:rsidR="00567EAC">
              <w:fldChar w:fldCharType="separate"/>
            </w:r>
            <w:r w:rsidRPr="00D16A97">
              <w:fldChar w:fldCharType="end"/>
            </w:r>
            <w:r w:rsidRPr="00D16A97">
              <w:t xml:space="preserve">Medical Practitioners </w:t>
            </w:r>
            <w:r w:rsidRPr="00D16A97">
              <w:fldChar w:fldCharType="begin" w:fldLock="1">
                <w:ffData>
                  <w:name w:val=""/>
                  <w:enabled/>
                  <w:calcOnExit w:val="0"/>
                  <w:checkBox>
                    <w:sizeAuto/>
                    <w:default w:val="1"/>
                  </w:checkBox>
                </w:ffData>
              </w:fldChar>
            </w:r>
            <w:r w:rsidRPr="00D16A97">
              <w:instrText xml:space="preserve"> FORMCHECKBOX </w:instrText>
            </w:r>
            <w:r w:rsidR="00567EAC">
              <w:fldChar w:fldCharType="separate"/>
            </w:r>
            <w:r w:rsidRPr="00D16A97">
              <w:fldChar w:fldCharType="end"/>
            </w:r>
            <w:r w:rsidRPr="00D16A97">
              <w:t xml:space="preserve">Nurse practitioners </w:t>
            </w:r>
            <w:r w:rsidRPr="00D16A97">
              <w:fldChar w:fldCharType="begin" w:fldLock="1">
                <w:ffData>
                  <w:name w:val=""/>
                  <w:enabled/>
                  <w:calcOnExit w:val="0"/>
                  <w:checkBox>
                    <w:sizeAuto/>
                    <w:default w:val="0"/>
                  </w:checkBox>
                </w:ffData>
              </w:fldChar>
            </w:r>
            <w:r w:rsidRPr="00D16A97">
              <w:instrText xml:space="preserve"> FORMCHECKBOX </w:instrText>
            </w:r>
            <w:r w:rsidR="00567EAC">
              <w:fldChar w:fldCharType="separate"/>
            </w:r>
            <w:r w:rsidRPr="00D16A97">
              <w:fldChar w:fldCharType="end"/>
            </w:r>
            <w:r w:rsidRPr="00D16A97">
              <w:t xml:space="preserve">Optometrists </w:t>
            </w:r>
            <w:r w:rsidRPr="00D16A97">
              <w:fldChar w:fldCharType="begin" w:fldLock="1">
                <w:ffData>
                  <w:name w:val="Check5"/>
                  <w:enabled/>
                  <w:calcOnExit w:val="0"/>
                  <w:checkBox>
                    <w:sizeAuto/>
                    <w:default w:val="0"/>
                  </w:checkBox>
                </w:ffData>
              </w:fldChar>
            </w:r>
            <w:r w:rsidRPr="00D16A97">
              <w:instrText xml:space="preserve"> FORMCHECKBOX </w:instrText>
            </w:r>
            <w:r w:rsidR="00567EAC">
              <w:fldChar w:fldCharType="separate"/>
            </w:r>
            <w:r w:rsidRPr="00D16A97">
              <w:fldChar w:fldCharType="end"/>
            </w:r>
          </w:p>
        </w:tc>
      </w:tr>
      <w:tr w:rsidR="00940332" w:rsidRPr="00D16A97" w14:paraId="57770622" w14:textId="77777777" w:rsidTr="00192D14">
        <w:trPr>
          <w:trHeight w:val="20"/>
        </w:trPr>
        <w:tc>
          <w:tcPr>
            <w:tcW w:w="5000" w:type="pct"/>
          </w:tcPr>
          <w:p w14:paraId="739C8A6A" w14:textId="77777777" w:rsidR="00940332" w:rsidRPr="00D16A97" w:rsidRDefault="00940332" w:rsidP="00192D14">
            <w:pPr>
              <w:pStyle w:val="TableText0"/>
              <w:rPr>
                <w:color w:val="000000" w:themeColor="text1"/>
              </w:rPr>
            </w:pPr>
            <w:r w:rsidRPr="00D16A97">
              <w:rPr>
                <w:b/>
                <w:color w:val="000000" w:themeColor="text1"/>
              </w:rPr>
              <w:t xml:space="preserve">Restriction type: </w:t>
            </w:r>
            <w:r w:rsidRPr="00D16A97">
              <w:rPr>
                <w:rFonts w:eastAsia="Times New Roman"/>
                <w:color w:val="000000" w:themeColor="text1"/>
              </w:rPr>
              <w:br/>
            </w:r>
            <w:r w:rsidRPr="00D16A97">
              <w:rPr>
                <w:rFonts w:eastAsia="Times New Roman"/>
                <w:color w:val="000000" w:themeColor="text1"/>
              </w:rPr>
              <w:fldChar w:fldCharType="begin" w:fldLock="1">
                <w:ffData>
                  <w:name w:val=""/>
                  <w:enabled/>
                  <w:calcOnExit w:val="0"/>
                  <w:checkBox>
                    <w:sizeAuto/>
                    <w:default w:val="1"/>
                  </w:checkBox>
                </w:ffData>
              </w:fldChar>
            </w:r>
            <w:r w:rsidRPr="00D16A97">
              <w:rPr>
                <w:rFonts w:eastAsia="Times New Roman"/>
                <w:color w:val="000000" w:themeColor="text1"/>
              </w:rPr>
              <w:instrText xml:space="preserve"> FORMCHECKBOX </w:instrText>
            </w:r>
            <w:r w:rsidR="00567EAC">
              <w:rPr>
                <w:rFonts w:eastAsia="Times New Roman"/>
                <w:color w:val="000000" w:themeColor="text1"/>
              </w:rPr>
            </w:r>
            <w:r w:rsidR="00567EAC">
              <w:rPr>
                <w:rFonts w:eastAsia="Times New Roman"/>
                <w:color w:val="000000" w:themeColor="text1"/>
              </w:rPr>
              <w:fldChar w:fldCharType="separate"/>
            </w:r>
            <w:r w:rsidRPr="00D16A97">
              <w:rPr>
                <w:rFonts w:eastAsia="Times New Roman"/>
                <w:color w:val="000000" w:themeColor="text1"/>
              </w:rPr>
              <w:fldChar w:fldCharType="end"/>
            </w:r>
            <w:r w:rsidRPr="00D16A97">
              <w:rPr>
                <w:rFonts w:eastAsia="Times New Roman"/>
                <w:color w:val="000000" w:themeColor="text1"/>
              </w:rPr>
              <w:t xml:space="preserve">Authority Required (STREAMLINED) </w:t>
            </w:r>
          </w:p>
        </w:tc>
      </w:tr>
      <w:tr w:rsidR="00940332" w:rsidRPr="00D16A97" w14:paraId="148D9F76" w14:textId="77777777" w:rsidTr="00192D14">
        <w:trPr>
          <w:trHeight w:val="20"/>
        </w:trPr>
        <w:tc>
          <w:tcPr>
            <w:tcW w:w="5000" w:type="pct"/>
            <w:vAlign w:val="center"/>
          </w:tcPr>
          <w:p w14:paraId="0C33297C" w14:textId="77777777" w:rsidR="00940332" w:rsidRPr="00D16A97" w:rsidRDefault="00940332" w:rsidP="00192D14">
            <w:pPr>
              <w:pStyle w:val="TableText0"/>
              <w:keepNext w:val="0"/>
              <w:rPr>
                <w:bCs w:val="0"/>
              </w:rPr>
            </w:pPr>
            <w:r w:rsidRPr="00D16A97">
              <w:rPr>
                <w:b/>
              </w:rPr>
              <w:t>Administrative Advice:</w:t>
            </w:r>
            <w:r w:rsidRPr="00D16A97">
              <w:rPr>
                <w:b/>
              </w:rPr>
              <w:br/>
            </w:r>
            <w:r w:rsidRPr="00D16A97">
              <w:rPr>
                <w:bCs w:val="0"/>
              </w:rPr>
              <w:t xml:space="preserve">Note: No increase in the maximum quantity or number of units may be authorised. </w:t>
            </w:r>
          </w:p>
          <w:p w14:paraId="21CB3970" w14:textId="77777777" w:rsidR="00940332" w:rsidRPr="00D16A97" w:rsidRDefault="00940332" w:rsidP="00192D14">
            <w:pPr>
              <w:pStyle w:val="TableText0"/>
              <w:keepNext w:val="0"/>
              <w:rPr>
                <w:bCs w:val="0"/>
              </w:rPr>
            </w:pPr>
            <w:r w:rsidRPr="00D16A97">
              <w:rPr>
                <w:bCs w:val="0"/>
              </w:rPr>
              <w:t xml:space="preserve">Note: No increase in the maximum number of repeats may be authorised. </w:t>
            </w:r>
          </w:p>
          <w:p w14:paraId="0C674ACB" w14:textId="77777777" w:rsidR="00940332" w:rsidRPr="00D16A97" w:rsidRDefault="00940332" w:rsidP="00192D14">
            <w:pPr>
              <w:pStyle w:val="TableText0"/>
              <w:keepNext w:val="0"/>
              <w:rPr>
                <w:bCs w:val="0"/>
                <w:strike/>
                <w:color w:val="FF0000"/>
              </w:rPr>
            </w:pPr>
            <w:r w:rsidRPr="00D16A97">
              <w:rPr>
                <w:bCs w:val="0"/>
                <w:strike/>
                <w:color w:val="FF0000"/>
              </w:rPr>
              <w:t xml:space="preserve">Note: This drug should be considered for use only if nirmatrelvir (&amp;) ritonavir is contraindicated or otherwise unsuitable. </w:t>
            </w:r>
          </w:p>
          <w:p w14:paraId="71ACFDB3" w14:textId="77777777" w:rsidR="00940332" w:rsidRPr="00D16A97" w:rsidRDefault="00940332" w:rsidP="00192D14">
            <w:pPr>
              <w:pStyle w:val="TableText0"/>
              <w:keepNext w:val="0"/>
              <w:rPr>
                <w:b/>
                <w:i/>
              </w:rPr>
            </w:pPr>
            <w:r w:rsidRPr="00D16A97">
              <w:rPr>
                <w:bCs w:val="0"/>
                <w:i/>
              </w:rPr>
              <w:t>Note: Special Pricing Arrangements apply</w:t>
            </w:r>
          </w:p>
        </w:tc>
      </w:tr>
      <w:tr w:rsidR="00940332" w:rsidRPr="00D16A97" w14:paraId="4A7DF00E" w14:textId="77777777" w:rsidTr="00192D14">
        <w:trPr>
          <w:trHeight w:val="20"/>
        </w:trPr>
        <w:tc>
          <w:tcPr>
            <w:tcW w:w="5000" w:type="pct"/>
            <w:vAlign w:val="center"/>
          </w:tcPr>
          <w:p w14:paraId="182B26D8" w14:textId="77777777" w:rsidR="00940332" w:rsidRPr="00D16A97" w:rsidRDefault="00940332" w:rsidP="00192D14">
            <w:pPr>
              <w:pStyle w:val="TableText0"/>
              <w:keepNext w:val="0"/>
              <w:rPr>
                <w:b/>
              </w:rPr>
            </w:pPr>
            <w:r w:rsidRPr="00D16A97">
              <w:rPr>
                <w:b/>
              </w:rPr>
              <w:t>13759</w:t>
            </w:r>
          </w:p>
        </w:tc>
      </w:tr>
      <w:tr w:rsidR="00940332" w:rsidRPr="00D16A97" w14:paraId="2DAFFA60" w14:textId="77777777" w:rsidTr="00192D14">
        <w:trPr>
          <w:trHeight w:val="20"/>
        </w:trPr>
        <w:tc>
          <w:tcPr>
            <w:tcW w:w="5000" w:type="pct"/>
            <w:vAlign w:val="center"/>
          </w:tcPr>
          <w:p w14:paraId="5C6F1CC8" w14:textId="77777777" w:rsidR="00940332" w:rsidRPr="00D16A97" w:rsidRDefault="00940332" w:rsidP="00192D14">
            <w:pPr>
              <w:pStyle w:val="TableText0"/>
              <w:keepNext w:val="0"/>
              <w:rPr>
                <w:b/>
              </w:rPr>
            </w:pPr>
            <w:r w:rsidRPr="00D16A97">
              <w:rPr>
                <w:b/>
              </w:rPr>
              <w:t xml:space="preserve">Indication: </w:t>
            </w:r>
            <w:r w:rsidRPr="00D16A97">
              <w:rPr>
                <w:bCs w:val="0"/>
              </w:rPr>
              <w:t>SARS-CoV-2 infection</w:t>
            </w:r>
          </w:p>
        </w:tc>
      </w:tr>
      <w:tr w:rsidR="00940332" w:rsidRPr="00D16A97" w14:paraId="4E87619A" w14:textId="77777777" w:rsidTr="00192D14">
        <w:trPr>
          <w:trHeight w:val="20"/>
        </w:trPr>
        <w:tc>
          <w:tcPr>
            <w:tcW w:w="5000" w:type="pct"/>
            <w:vAlign w:val="center"/>
            <w:hideMark/>
          </w:tcPr>
          <w:p w14:paraId="532506EC" w14:textId="77777777" w:rsidR="00940332" w:rsidRPr="00D16A97" w:rsidRDefault="00940332" w:rsidP="00192D14">
            <w:pPr>
              <w:pStyle w:val="TableText0"/>
              <w:keepNext w:val="0"/>
            </w:pPr>
            <w:r w:rsidRPr="00D16A97">
              <w:rPr>
                <w:b/>
              </w:rPr>
              <w:t>Clinical criteria:</w:t>
            </w:r>
          </w:p>
        </w:tc>
      </w:tr>
      <w:tr w:rsidR="00940332" w:rsidRPr="00D16A97" w14:paraId="138974BA" w14:textId="77777777" w:rsidTr="00192D14">
        <w:trPr>
          <w:trHeight w:val="20"/>
        </w:trPr>
        <w:tc>
          <w:tcPr>
            <w:tcW w:w="5000" w:type="pct"/>
            <w:vAlign w:val="center"/>
            <w:hideMark/>
          </w:tcPr>
          <w:p w14:paraId="3AB830EE" w14:textId="77777777" w:rsidR="00940332" w:rsidRPr="00D16A97" w:rsidRDefault="00940332" w:rsidP="00192D14">
            <w:pPr>
              <w:pStyle w:val="Tabletext"/>
              <w:rPr>
                <w:b/>
                <w:strike/>
                <w:color w:val="FF0000"/>
              </w:rPr>
            </w:pPr>
            <w:r w:rsidRPr="00D16A97">
              <w:rPr>
                <w:strike/>
                <w:color w:val="FF0000"/>
              </w:rPr>
              <w:t xml:space="preserve">This drug should be considered for use only if nirmatrelvir (&amp;) ritonavir is contraindicated or otherwise unsuitable </w:t>
            </w:r>
            <w:r w:rsidRPr="00D16A97">
              <w:rPr>
                <w:b/>
                <w:strike/>
                <w:color w:val="FF0000"/>
              </w:rPr>
              <w:t>AND</w:t>
            </w:r>
          </w:p>
          <w:p w14:paraId="4739E816" w14:textId="77777777" w:rsidR="00940332" w:rsidRPr="00D16A97" w:rsidRDefault="00940332" w:rsidP="00192D14">
            <w:pPr>
              <w:pStyle w:val="Tabletext"/>
              <w:rPr>
                <w:color w:val="FF0000"/>
              </w:rPr>
            </w:pPr>
            <w:r w:rsidRPr="00D16A97">
              <w:rPr>
                <w:i/>
                <w:color w:val="FF0000"/>
                <w:szCs w:val="20"/>
              </w:rPr>
              <w:t xml:space="preserve">The treatment must be for use when nirmatrelvir (&amp;) ritonavir is </w:t>
            </w:r>
            <w:r w:rsidRPr="00D16A97">
              <w:rPr>
                <w:iCs/>
                <w:strike/>
                <w:color w:val="FF0000"/>
                <w:szCs w:val="20"/>
              </w:rPr>
              <w:t>either (i)</w:t>
            </w:r>
            <w:r w:rsidRPr="00D16A97">
              <w:rPr>
                <w:iCs/>
                <w:color w:val="FF0000"/>
                <w:szCs w:val="20"/>
              </w:rPr>
              <w:t xml:space="preserve"> contraindicated</w:t>
            </w:r>
            <w:r w:rsidRPr="00D16A97">
              <w:rPr>
                <w:iCs/>
                <w:strike/>
                <w:color w:val="FF0000"/>
                <w:szCs w:val="20"/>
              </w:rPr>
              <w:t>, (ii) otherwise unsuitable</w:t>
            </w:r>
            <w:r w:rsidRPr="00D16A97">
              <w:rPr>
                <w:iCs/>
                <w:color w:val="FF0000"/>
                <w:szCs w:val="20"/>
              </w:rPr>
              <w:t xml:space="preserve"> </w:t>
            </w:r>
            <w:r w:rsidRPr="00D16A97">
              <w:rPr>
                <w:b/>
                <w:bCs/>
                <w:iCs/>
                <w:color w:val="FF0000"/>
                <w:szCs w:val="20"/>
              </w:rPr>
              <w:t>AND</w:t>
            </w:r>
          </w:p>
        </w:tc>
      </w:tr>
      <w:tr w:rsidR="00940332" w:rsidRPr="00D16A97" w14:paraId="47A69B6A" w14:textId="77777777" w:rsidTr="00192D14">
        <w:trPr>
          <w:trHeight w:val="20"/>
        </w:trPr>
        <w:tc>
          <w:tcPr>
            <w:tcW w:w="5000" w:type="pct"/>
            <w:vAlign w:val="center"/>
          </w:tcPr>
          <w:p w14:paraId="1B4FCA28" w14:textId="77777777" w:rsidR="00940332" w:rsidRPr="00D16A97" w:rsidRDefault="00940332" w:rsidP="00192D14">
            <w:pPr>
              <w:pStyle w:val="TableText0"/>
              <w:keepNext w:val="0"/>
            </w:pPr>
            <w:r w:rsidRPr="00D16A97">
              <w:t>Patient must have received a positive polymerase chain reaction (PCR) test result; OR</w:t>
            </w:r>
          </w:p>
          <w:p w14:paraId="5F0B180D" w14:textId="77777777" w:rsidR="00940332" w:rsidRPr="00D16A97" w:rsidRDefault="00940332" w:rsidP="00192D14">
            <w:pPr>
              <w:pStyle w:val="Tabletext"/>
              <w:rPr>
                <w:strike/>
                <w:color w:val="FF0000"/>
              </w:rPr>
            </w:pPr>
            <w:r w:rsidRPr="00D16A97">
              <w:t>Patient must have received a positive rapid antigen test (RAT) result,</w:t>
            </w:r>
          </w:p>
        </w:tc>
      </w:tr>
      <w:tr w:rsidR="00940332" w:rsidRPr="00D16A97" w14:paraId="20C51A97" w14:textId="77777777" w:rsidTr="00192D14">
        <w:trPr>
          <w:trHeight w:val="20"/>
        </w:trPr>
        <w:tc>
          <w:tcPr>
            <w:tcW w:w="5000" w:type="pct"/>
            <w:vAlign w:val="center"/>
            <w:hideMark/>
          </w:tcPr>
          <w:p w14:paraId="5DA5128A" w14:textId="77777777" w:rsidR="00940332" w:rsidRPr="00D16A97" w:rsidRDefault="00940332" w:rsidP="00192D14">
            <w:pPr>
              <w:pStyle w:val="TableText0"/>
              <w:keepNext w:val="0"/>
            </w:pPr>
            <w:r w:rsidRPr="00D16A97">
              <w:rPr>
                <w:b/>
              </w:rPr>
              <w:t>AND</w:t>
            </w:r>
          </w:p>
        </w:tc>
      </w:tr>
      <w:tr w:rsidR="00940332" w:rsidRPr="00D16A97" w14:paraId="5E3D0FCD" w14:textId="77777777" w:rsidTr="00192D14">
        <w:trPr>
          <w:trHeight w:val="20"/>
        </w:trPr>
        <w:tc>
          <w:tcPr>
            <w:tcW w:w="5000" w:type="pct"/>
            <w:vAlign w:val="center"/>
            <w:hideMark/>
          </w:tcPr>
          <w:p w14:paraId="4499E042" w14:textId="77777777" w:rsidR="00940332" w:rsidRPr="00D16A97" w:rsidRDefault="00940332" w:rsidP="00192D14">
            <w:pPr>
              <w:pStyle w:val="TableText0"/>
              <w:keepNext w:val="0"/>
            </w:pPr>
            <w:r w:rsidRPr="00D16A97">
              <w:t>Patient must not require hospitalisation for COVID-19 infection at the time of prescribing,</w:t>
            </w:r>
          </w:p>
        </w:tc>
      </w:tr>
      <w:tr w:rsidR="00940332" w:rsidRPr="00D16A97" w14:paraId="3953E96B" w14:textId="77777777" w:rsidTr="00192D14">
        <w:trPr>
          <w:trHeight w:val="20"/>
        </w:trPr>
        <w:tc>
          <w:tcPr>
            <w:tcW w:w="5000" w:type="pct"/>
            <w:vAlign w:val="center"/>
            <w:hideMark/>
          </w:tcPr>
          <w:p w14:paraId="679424C8" w14:textId="77777777" w:rsidR="00940332" w:rsidRPr="00D16A97" w:rsidRDefault="00940332" w:rsidP="00192D14">
            <w:pPr>
              <w:pStyle w:val="TableText0"/>
              <w:keepNext w:val="0"/>
              <w:rPr>
                <w:b/>
              </w:rPr>
            </w:pPr>
            <w:r w:rsidRPr="00D16A97">
              <w:rPr>
                <w:b/>
                <w:bCs w:val="0"/>
              </w:rPr>
              <w:t>AND</w:t>
            </w:r>
          </w:p>
        </w:tc>
      </w:tr>
      <w:tr w:rsidR="00940332" w:rsidRPr="00D16A97" w14:paraId="70312BFC" w14:textId="77777777" w:rsidTr="00192D14">
        <w:trPr>
          <w:trHeight w:val="20"/>
        </w:trPr>
        <w:tc>
          <w:tcPr>
            <w:tcW w:w="5000" w:type="pct"/>
            <w:vAlign w:val="center"/>
          </w:tcPr>
          <w:p w14:paraId="632E82C3" w14:textId="77777777" w:rsidR="00940332" w:rsidRPr="00D16A97" w:rsidRDefault="00940332" w:rsidP="00192D14">
            <w:pPr>
              <w:pStyle w:val="TableText0"/>
              <w:keepNext w:val="0"/>
            </w:pPr>
            <w:r w:rsidRPr="00D16A97">
              <w:t>The treatment must be initiated within 5 days of symptom onset; OR</w:t>
            </w:r>
          </w:p>
          <w:p w14:paraId="0A5B6B54" w14:textId="77777777" w:rsidR="00940332" w:rsidRPr="00D16A97" w:rsidRDefault="00940332" w:rsidP="00192D14">
            <w:pPr>
              <w:pStyle w:val="TableText0"/>
              <w:keepNext w:val="0"/>
            </w:pPr>
            <w:r w:rsidRPr="00D16A97">
              <w:t xml:space="preserve">The treatment must be initiated as soon as possible after a diagnosis is confirmed where asymptomatic. </w:t>
            </w:r>
          </w:p>
        </w:tc>
      </w:tr>
      <w:tr w:rsidR="00940332" w:rsidRPr="00D16A97" w14:paraId="7E33CE14" w14:textId="77777777" w:rsidTr="00192D14">
        <w:trPr>
          <w:trHeight w:val="20"/>
        </w:trPr>
        <w:tc>
          <w:tcPr>
            <w:tcW w:w="5000" w:type="pct"/>
            <w:vAlign w:val="center"/>
            <w:hideMark/>
          </w:tcPr>
          <w:p w14:paraId="297164C6" w14:textId="77777777" w:rsidR="00940332" w:rsidRPr="00D16A97" w:rsidRDefault="00940332" w:rsidP="00192D14">
            <w:pPr>
              <w:pStyle w:val="TableText0"/>
              <w:keepNext w:val="0"/>
            </w:pPr>
            <w:r w:rsidRPr="00D16A97">
              <w:rPr>
                <w:b/>
              </w:rPr>
              <w:t>Population criteria:</w:t>
            </w:r>
          </w:p>
        </w:tc>
      </w:tr>
      <w:tr w:rsidR="00940332" w:rsidRPr="00D16A97" w14:paraId="546372C1" w14:textId="77777777" w:rsidTr="00192D14">
        <w:trPr>
          <w:trHeight w:val="20"/>
        </w:trPr>
        <w:tc>
          <w:tcPr>
            <w:tcW w:w="5000" w:type="pct"/>
            <w:vAlign w:val="center"/>
          </w:tcPr>
          <w:p w14:paraId="2475C06A" w14:textId="77777777" w:rsidR="00940332" w:rsidRPr="00D16A97" w:rsidRDefault="00940332" w:rsidP="00192D14">
            <w:pPr>
              <w:pStyle w:val="TableText0"/>
              <w:keepNext w:val="0"/>
            </w:pPr>
            <w:r w:rsidRPr="00D16A97">
              <w:lastRenderedPageBreak/>
              <w:t>Patient must be at least 70 years of age.</w:t>
            </w:r>
          </w:p>
        </w:tc>
      </w:tr>
      <w:tr w:rsidR="00940332" w:rsidRPr="00D16A97" w14:paraId="7723FB5F" w14:textId="77777777" w:rsidTr="00192D14">
        <w:trPr>
          <w:trHeight w:val="20"/>
        </w:trPr>
        <w:tc>
          <w:tcPr>
            <w:tcW w:w="5000" w:type="pct"/>
            <w:vAlign w:val="center"/>
          </w:tcPr>
          <w:p w14:paraId="06364490" w14:textId="77777777" w:rsidR="00940332" w:rsidRPr="00D16A97" w:rsidRDefault="00940332" w:rsidP="00192D14">
            <w:pPr>
              <w:pStyle w:val="TableText0"/>
              <w:keepNext w:val="0"/>
            </w:pPr>
            <w:r w:rsidRPr="00D16A97">
              <w:t xml:space="preserve">Access to this drug through this restriction is permitted irrespective of vaccination status. </w:t>
            </w:r>
          </w:p>
          <w:p w14:paraId="6AF0F1BF" w14:textId="77777777" w:rsidR="00940332" w:rsidRPr="00D16A97" w:rsidRDefault="00940332" w:rsidP="00192D14">
            <w:pPr>
              <w:pStyle w:val="TableText0"/>
              <w:keepNext w:val="0"/>
            </w:pPr>
            <w:r w:rsidRPr="00D16A97">
              <w:t>Where PCR is used to confirm diagnosis, the result, testing date, location and test provider must be recorded on the patient record.</w:t>
            </w:r>
          </w:p>
          <w:p w14:paraId="38771763" w14:textId="77777777" w:rsidR="00940332" w:rsidRPr="00D16A97" w:rsidRDefault="00940332" w:rsidP="00192D14">
            <w:pPr>
              <w:pStyle w:val="TableText0"/>
              <w:keepNext w:val="0"/>
            </w:pPr>
            <w:r w:rsidRPr="00D16A97">
              <w:t>Where a RAT is used to confirm diagnosis, available information about the test result, testing date, location and test provider (where relevant) must be recorded on the patient record.</w:t>
            </w:r>
          </w:p>
          <w:p w14:paraId="4BC8F320" w14:textId="77777777" w:rsidR="00940332" w:rsidRPr="00D16A97" w:rsidRDefault="00940332" w:rsidP="00192D14">
            <w:pPr>
              <w:pStyle w:val="TableText0"/>
              <w:keepNext w:val="0"/>
            </w:pPr>
            <w:r w:rsidRPr="00D16A97">
              <w:t>This drug is not PBS-subsidised for pre-exposure or post-exposure prophylaxis for the prevention of SARS-CoV-2 infection.</w:t>
            </w:r>
          </w:p>
        </w:tc>
      </w:tr>
      <w:tr w:rsidR="00940332" w:rsidRPr="00D16A97" w14:paraId="5F22619F" w14:textId="77777777" w:rsidTr="00192D14">
        <w:trPr>
          <w:trHeight w:val="20"/>
        </w:trPr>
        <w:tc>
          <w:tcPr>
            <w:tcW w:w="5000" w:type="pct"/>
            <w:vAlign w:val="center"/>
          </w:tcPr>
          <w:p w14:paraId="3A6F692B" w14:textId="77777777" w:rsidR="00940332" w:rsidRPr="00D16A97" w:rsidRDefault="00940332" w:rsidP="00192D14">
            <w:pPr>
              <w:pStyle w:val="TableText0"/>
              <w:keepNext w:val="0"/>
            </w:pPr>
            <w:r w:rsidRPr="00D16A97">
              <w:rPr>
                <w:rFonts w:eastAsia="MS Gothic" w:cs="Times New Roman"/>
                <w:b/>
                <w:i/>
                <w:iCs/>
              </w:rPr>
              <w:t>Prescribing instructions:</w:t>
            </w:r>
          </w:p>
        </w:tc>
      </w:tr>
      <w:tr w:rsidR="00940332" w:rsidRPr="00D16A97" w14:paraId="45F195C2" w14:textId="77777777" w:rsidTr="00192D14">
        <w:trPr>
          <w:trHeight w:val="20"/>
        </w:trPr>
        <w:tc>
          <w:tcPr>
            <w:tcW w:w="5000" w:type="pct"/>
            <w:vAlign w:val="center"/>
          </w:tcPr>
          <w:p w14:paraId="45080A25" w14:textId="77777777" w:rsidR="00940332" w:rsidRPr="00D16A97" w:rsidRDefault="00940332" w:rsidP="00192D14">
            <w:pPr>
              <w:pStyle w:val="TableText0"/>
              <w:keepNext w:val="0"/>
              <w:rPr>
                <w:rFonts w:eastAsia="MS Gothic" w:cs="Times New Roman"/>
                <w:i/>
                <w:iCs/>
              </w:rPr>
            </w:pPr>
            <w:r w:rsidRPr="00D16A97">
              <w:rPr>
                <w:rFonts w:eastAsia="MS Gothic" w:cs="Times New Roman"/>
                <w:i/>
                <w:iCs/>
              </w:rPr>
              <w:t xml:space="preserve">For the purpose of administering this restriction, the contraindications to nirmatrelvir (&amp;) ritonavir can be found using the Liverpool COVID-19 Drug interaction checker or the </w:t>
            </w:r>
            <w:r w:rsidRPr="00D16A97">
              <w:rPr>
                <w:i/>
                <w:iCs/>
              </w:rPr>
              <w:t>TGA-approved Product Information for Paxlovid</w:t>
            </w:r>
            <w:r w:rsidRPr="00D16A97">
              <w:rPr>
                <w:rFonts w:eastAsia="MS Gothic" w:cs="Times New Roman"/>
                <w:i/>
                <w:iCs/>
              </w:rPr>
              <w:t xml:space="preserve">. </w:t>
            </w:r>
          </w:p>
          <w:p w14:paraId="607A112B" w14:textId="77777777" w:rsidR="00940332" w:rsidRPr="00D16A97" w:rsidRDefault="00940332" w:rsidP="00192D14">
            <w:pPr>
              <w:pStyle w:val="TableText0"/>
              <w:keepNext w:val="0"/>
            </w:pPr>
            <w:r w:rsidRPr="00D16A97">
              <w:rPr>
                <w:rFonts w:eastAsia="MS Gothic" w:cs="Times New Roman"/>
                <w:i/>
                <w:iCs/>
              </w:rPr>
              <w:t>Details/reasons of contraindications to nirmatrelvir (&amp;) ritonavir must be documented in the patient’s medical records.</w:t>
            </w:r>
          </w:p>
        </w:tc>
      </w:tr>
      <w:tr w:rsidR="00940332" w:rsidRPr="00D16A97" w14:paraId="21F0FAC6" w14:textId="77777777" w:rsidTr="00192D14">
        <w:trPr>
          <w:trHeight w:val="20"/>
        </w:trPr>
        <w:tc>
          <w:tcPr>
            <w:tcW w:w="5000" w:type="pct"/>
            <w:vAlign w:val="center"/>
          </w:tcPr>
          <w:p w14:paraId="600B05F9" w14:textId="77777777" w:rsidR="00940332" w:rsidRPr="00D16A97" w:rsidRDefault="00940332" w:rsidP="00192D14">
            <w:pPr>
              <w:pStyle w:val="TableText0"/>
              <w:keepNext w:val="0"/>
            </w:pPr>
            <w:r w:rsidRPr="00D16A97">
              <w:rPr>
                <w:rFonts w:eastAsia="MS Gothic" w:cs="Times New Roman"/>
                <w:b/>
                <w:i/>
                <w:iCs/>
              </w:rPr>
              <w:t>Administrative advice:</w:t>
            </w:r>
          </w:p>
        </w:tc>
      </w:tr>
      <w:tr w:rsidR="00940332" w:rsidRPr="00D16A97" w14:paraId="5B58124F"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4D14530" w14:textId="77777777" w:rsidR="00940332" w:rsidRPr="00D16A97" w:rsidRDefault="00940332" w:rsidP="00192D14">
            <w:pPr>
              <w:pStyle w:val="TableText0"/>
              <w:keepNext w:val="0"/>
              <w:rPr>
                <w:b/>
                <w:bCs w:val="0"/>
              </w:rPr>
            </w:pPr>
            <w:r w:rsidRPr="00D16A97">
              <w:rPr>
                <w:rFonts w:eastAsia="MS Gothic" w:cs="Times New Roman"/>
                <w:i/>
                <w:iCs/>
              </w:rPr>
              <w:t xml:space="preserve">Details of the Liverpool COVID-19 Drug interaction checker can be found at: </w:t>
            </w:r>
            <w:hyperlink r:id="rId28" w:history="1">
              <w:r w:rsidRPr="00D16A97">
                <w:rPr>
                  <w:rStyle w:val="Hyperlink"/>
                  <w:rFonts w:eastAsia="MS Gothic" w:cs="Times New Roman"/>
                  <w:i/>
                  <w:iCs/>
                </w:rPr>
                <w:t>https://www.covid19-druginteractions.org/checker</w:t>
              </w:r>
            </w:hyperlink>
            <w:r w:rsidRPr="00D16A97">
              <w:rPr>
                <w:rFonts w:eastAsia="MS Gothic" w:cs="Times New Roman"/>
                <w:i/>
                <w:iCs/>
              </w:rPr>
              <w:t xml:space="preserve"> </w:t>
            </w:r>
          </w:p>
        </w:tc>
      </w:tr>
      <w:tr w:rsidR="00940332" w:rsidRPr="00D16A97" w14:paraId="4C472829"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CC352AA" w14:textId="77777777" w:rsidR="00940332" w:rsidRPr="00D16A97" w:rsidRDefault="00940332" w:rsidP="00192D14">
            <w:pPr>
              <w:pStyle w:val="TableText0"/>
              <w:keepNext w:val="0"/>
            </w:pPr>
            <w:r w:rsidRPr="00D16A97">
              <w:rPr>
                <w:b/>
                <w:bCs w:val="0"/>
              </w:rPr>
              <w:t>Indication:</w:t>
            </w:r>
            <w:r w:rsidRPr="00D16A97">
              <w:t xml:space="preserve"> SARS-CoV-2 infection</w:t>
            </w:r>
          </w:p>
        </w:tc>
      </w:tr>
      <w:tr w:rsidR="00940332" w:rsidRPr="00D16A97" w14:paraId="09741197"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0DC9604" w14:textId="77777777" w:rsidR="00940332" w:rsidRPr="00D16A97" w:rsidRDefault="00940332" w:rsidP="00192D14">
            <w:pPr>
              <w:pStyle w:val="TableText0"/>
              <w:keepNext w:val="0"/>
              <w:rPr>
                <w:b/>
                <w:bCs w:val="0"/>
              </w:rPr>
            </w:pPr>
            <w:r w:rsidRPr="00D16A97">
              <w:rPr>
                <w:b/>
                <w:bCs w:val="0"/>
              </w:rPr>
              <w:t>Clinical criteria:</w:t>
            </w:r>
          </w:p>
        </w:tc>
      </w:tr>
      <w:tr w:rsidR="00940332" w:rsidRPr="00D16A97" w14:paraId="0C3F9176"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4D3842E" w14:textId="77777777" w:rsidR="00940332" w:rsidRPr="00D16A97" w:rsidRDefault="00940332" w:rsidP="00192D14">
            <w:pPr>
              <w:pStyle w:val="Tabletext"/>
              <w:rPr>
                <w:b/>
                <w:strike/>
                <w:color w:val="FF0000"/>
              </w:rPr>
            </w:pPr>
            <w:r w:rsidRPr="00D16A97">
              <w:rPr>
                <w:strike/>
                <w:color w:val="FF0000"/>
              </w:rPr>
              <w:t xml:space="preserve">This drug should be considered for use only if nirmatrelvir (&amp;) ritonavir is contraindicated or otherwise unsuitable </w:t>
            </w:r>
            <w:r w:rsidRPr="00D16A97">
              <w:rPr>
                <w:b/>
                <w:strike/>
                <w:color w:val="FF0000"/>
              </w:rPr>
              <w:t>AND</w:t>
            </w:r>
          </w:p>
          <w:p w14:paraId="0182A6A4" w14:textId="77777777" w:rsidR="00940332" w:rsidRPr="00D16A97" w:rsidRDefault="00940332" w:rsidP="00192D14">
            <w:pPr>
              <w:pStyle w:val="Tabletext"/>
            </w:pPr>
            <w:r w:rsidRPr="00D16A97">
              <w:rPr>
                <w:i/>
                <w:color w:val="FF0000"/>
                <w:szCs w:val="20"/>
              </w:rPr>
              <w:t xml:space="preserve">The treatment must be for use when nirmatrelvir (&amp;) ritonavir is </w:t>
            </w:r>
            <w:r w:rsidRPr="00D16A97">
              <w:rPr>
                <w:iCs/>
                <w:strike/>
                <w:color w:val="FF0000"/>
                <w:szCs w:val="20"/>
              </w:rPr>
              <w:t>either (i)</w:t>
            </w:r>
            <w:r w:rsidRPr="00D16A97">
              <w:rPr>
                <w:iCs/>
                <w:color w:val="FF0000"/>
                <w:szCs w:val="20"/>
              </w:rPr>
              <w:t xml:space="preserve"> contraindicated</w:t>
            </w:r>
            <w:r w:rsidRPr="00D16A97">
              <w:rPr>
                <w:iCs/>
                <w:strike/>
                <w:color w:val="FF0000"/>
                <w:szCs w:val="20"/>
              </w:rPr>
              <w:t>, (ii) otherwise unsuitable</w:t>
            </w:r>
            <w:r w:rsidRPr="00D16A97">
              <w:rPr>
                <w:iCs/>
                <w:color w:val="FF0000"/>
                <w:szCs w:val="20"/>
              </w:rPr>
              <w:t xml:space="preserve"> </w:t>
            </w:r>
            <w:r w:rsidRPr="00D16A97">
              <w:rPr>
                <w:b/>
                <w:iCs/>
                <w:color w:val="FF0000"/>
                <w:szCs w:val="20"/>
              </w:rPr>
              <w:t>AND</w:t>
            </w:r>
          </w:p>
        </w:tc>
      </w:tr>
      <w:tr w:rsidR="00940332" w:rsidRPr="00D16A97" w14:paraId="25D24767"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DBC11F7" w14:textId="77777777" w:rsidR="00940332" w:rsidRPr="00D16A97" w:rsidRDefault="00940332" w:rsidP="00192D14">
            <w:pPr>
              <w:pStyle w:val="TableText0"/>
              <w:keepNext w:val="0"/>
            </w:pPr>
            <w:r w:rsidRPr="00D16A97">
              <w:t>Patient must have received a positive polymerase chain reaction (PCR) test result; OR</w:t>
            </w:r>
          </w:p>
          <w:p w14:paraId="330A1B9E" w14:textId="77777777" w:rsidR="00940332" w:rsidRPr="00D16A97" w:rsidRDefault="00940332" w:rsidP="00192D14">
            <w:pPr>
              <w:pStyle w:val="Tabletext"/>
              <w:rPr>
                <w:strike/>
                <w:color w:val="FF0000"/>
              </w:rPr>
            </w:pPr>
            <w:r w:rsidRPr="00D16A97">
              <w:t>Patient must have received a positive rapid antigen test (RAT) result,</w:t>
            </w:r>
          </w:p>
        </w:tc>
      </w:tr>
      <w:tr w:rsidR="00940332" w:rsidRPr="00D16A97" w14:paraId="0FB2656C"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F0A0D71" w14:textId="77777777" w:rsidR="00940332" w:rsidRPr="00D16A97" w:rsidRDefault="00940332" w:rsidP="00192D14">
            <w:pPr>
              <w:pStyle w:val="TableText0"/>
              <w:keepNext w:val="0"/>
              <w:rPr>
                <w:b/>
                <w:bCs w:val="0"/>
              </w:rPr>
            </w:pPr>
            <w:r w:rsidRPr="00D16A97">
              <w:rPr>
                <w:b/>
                <w:bCs w:val="0"/>
              </w:rPr>
              <w:t>AND</w:t>
            </w:r>
          </w:p>
        </w:tc>
      </w:tr>
      <w:tr w:rsidR="00940332" w:rsidRPr="00D16A97" w14:paraId="1F78AE71"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9E98AA5" w14:textId="77777777" w:rsidR="00940332" w:rsidRPr="00D16A97" w:rsidRDefault="00940332" w:rsidP="00192D14">
            <w:pPr>
              <w:pStyle w:val="TableText0"/>
              <w:keepNext w:val="0"/>
            </w:pPr>
            <w:r w:rsidRPr="00D16A97">
              <w:t>Patient must have at least one sign or symptom attributable to COVID-19,</w:t>
            </w:r>
          </w:p>
        </w:tc>
      </w:tr>
      <w:tr w:rsidR="00940332" w:rsidRPr="00D16A97" w14:paraId="7B13659E"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3C8D800" w14:textId="77777777" w:rsidR="00940332" w:rsidRPr="00D16A97" w:rsidRDefault="00940332" w:rsidP="00192D14">
            <w:pPr>
              <w:pStyle w:val="TableText0"/>
              <w:keepNext w:val="0"/>
              <w:rPr>
                <w:b/>
                <w:bCs w:val="0"/>
              </w:rPr>
            </w:pPr>
            <w:r w:rsidRPr="00D16A97">
              <w:rPr>
                <w:b/>
                <w:bCs w:val="0"/>
              </w:rPr>
              <w:t>AND</w:t>
            </w:r>
          </w:p>
        </w:tc>
      </w:tr>
      <w:tr w:rsidR="00940332" w:rsidRPr="00D16A97" w14:paraId="36749CC4"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22E54B6" w14:textId="77777777" w:rsidR="00940332" w:rsidRPr="00D16A97" w:rsidRDefault="00940332" w:rsidP="00192D14">
            <w:pPr>
              <w:pStyle w:val="TableText0"/>
              <w:keepNext w:val="0"/>
            </w:pPr>
            <w:r w:rsidRPr="00D16A97">
              <w:t>Patient must not require hospitalisation for COVID-19 infection at the time of prescribing,</w:t>
            </w:r>
          </w:p>
        </w:tc>
      </w:tr>
      <w:tr w:rsidR="00940332" w:rsidRPr="00D16A97" w14:paraId="76D873BB"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2AECC18" w14:textId="77777777" w:rsidR="00940332" w:rsidRPr="00D16A97" w:rsidRDefault="00940332" w:rsidP="00192D14">
            <w:pPr>
              <w:pStyle w:val="TableText0"/>
              <w:keepNext w:val="0"/>
              <w:rPr>
                <w:b/>
                <w:bCs w:val="0"/>
              </w:rPr>
            </w:pPr>
            <w:r w:rsidRPr="00D16A97">
              <w:rPr>
                <w:b/>
                <w:bCs w:val="0"/>
              </w:rPr>
              <w:t>AND</w:t>
            </w:r>
          </w:p>
        </w:tc>
      </w:tr>
      <w:tr w:rsidR="00940332" w:rsidRPr="00D16A97" w14:paraId="7854F94A"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8DCC3EB" w14:textId="77777777" w:rsidR="00940332" w:rsidRPr="00D16A97" w:rsidRDefault="00940332" w:rsidP="00192D14">
            <w:pPr>
              <w:pStyle w:val="TableText0"/>
              <w:keepNext w:val="0"/>
            </w:pPr>
            <w:r w:rsidRPr="00D16A97">
              <w:t>Patient must satisfy at least one of the following criteria: (i) be moderately to severely immunocompromised with risk of progression to severe COVID-19 disease due to the immunocompromised status, (ii) has experienced past COVID-19 infection resulting in hospitalisation,</w:t>
            </w:r>
          </w:p>
        </w:tc>
      </w:tr>
      <w:tr w:rsidR="00940332" w:rsidRPr="00D16A97" w14:paraId="04EF0C7F"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EEC93CD" w14:textId="77777777" w:rsidR="00940332" w:rsidRPr="00D16A97" w:rsidRDefault="00940332" w:rsidP="00192D14">
            <w:pPr>
              <w:pStyle w:val="TableText0"/>
              <w:keepNext w:val="0"/>
              <w:rPr>
                <w:b/>
                <w:bCs w:val="0"/>
              </w:rPr>
            </w:pPr>
            <w:r w:rsidRPr="00D16A97">
              <w:rPr>
                <w:b/>
                <w:bCs w:val="0"/>
              </w:rPr>
              <w:t>AND</w:t>
            </w:r>
          </w:p>
        </w:tc>
      </w:tr>
      <w:tr w:rsidR="00940332" w:rsidRPr="00D16A97" w14:paraId="7CA32090"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1BF22B3" w14:textId="77777777" w:rsidR="00940332" w:rsidRPr="00D16A97" w:rsidRDefault="00940332" w:rsidP="00192D14">
            <w:pPr>
              <w:pStyle w:val="TableText0"/>
              <w:keepNext w:val="0"/>
            </w:pPr>
            <w:r w:rsidRPr="00D16A97">
              <w:t>The treatment must be initiated within 5 days of symptom onset.</w:t>
            </w:r>
          </w:p>
        </w:tc>
      </w:tr>
      <w:tr w:rsidR="00940332" w:rsidRPr="00D16A97" w14:paraId="43E0B7C0"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92537F7" w14:textId="77777777" w:rsidR="00940332" w:rsidRPr="00D16A97" w:rsidRDefault="00940332" w:rsidP="00192D14">
            <w:pPr>
              <w:pStyle w:val="TableText0"/>
              <w:keepNext w:val="0"/>
              <w:rPr>
                <w:b/>
                <w:bCs w:val="0"/>
              </w:rPr>
            </w:pPr>
            <w:r w:rsidRPr="00D16A97">
              <w:rPr>
                <w:b/>
                <w:bCs w:val="0"/>
              </w:rPr>
              <w:t>Population criteria:</w:t>
            </w:r>
          </w:p>
        </w:tc>
      </w:tr>
      <w:tr w:rsidR="00940332" w:rsidRPr="00D16A97" w14:paraId="63B73565"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EF6235C" w14:textId="77777777" w:rsidR="00940332" w:rsidRPr="00D16A97" w:rsidRDefault="00940332" w:rsidP="00192D14">
            <w:pPr>
              <w:pStyle w:val="TableText0"/>
              <w:keepNext w:val="0"/>
            </w:pPr>
            <w:r w:rsidRPr="00D16A97">
              <w:t>Patient must be at least 18 years of age.</w:t>
            </w:r>
          </w:p>
        </w:tc>
      </w:tr>
      <w:tr w:rsidR="00940332" w:rsidRPr="00D16A97" w14:paraId="30736E2B"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884DA5" w14:textId="77777777" w:rsidR="00940332" w:rsidRPr="00D16A97" w:rsidRDefault="00940332" w:rsidP="00192D14">
            <w:pPr>
              <w:pStyle w:val="TableText0"/>
              <w:keepNext w:val="0"/>
            </w:pPr>
            <w:r w:rsidRPr="00D16A97">
              <w:t>For the purpose of administering this restriction, 'moderately to severely immunocompromised' patients are those with:</w:t>
            </w:r>
          </w:p>
          <w:p w14:paraId="36176046" w14:textId="77777777" w:rsidR="00940332" w:rsidRPr="00D16A97" w:rsidRDefault="00940332" w:rsidP="00940332">
            <w:pPr>
              <w:pStyle w:val="TableText0"/>
              <w:keepNext w:val="0"/>
              <w:numPr>
                <w:ilvl w:val="0"/>
                <w:numId w:val="31"/>
              </w:numPr>
            </w:pPr>
            <w:r w:rsidRPr="00D16A97">
              <w:t>Any primary or acquired immunodeficiency including:</w:t>
            </w:r>
          </w:p>
          <w:p w14:paraId="39D53326" w14:textId="77777777" w:rsidR="00940332" w:rsidRPr="00D16A97" w:rsidRDefault="00940332" w:rsidP="00940332">
            <w:pPr>
              <w:pStyle w:val="TableText0"/>
              <w:keepNext w:val="0"/>
              <w:numPr>
                <w:ilvl w:val="0"/>
                <w:numId w:val="32"/>
              </w:numPr>
            </w:pPr>
            <w:r w:rsidRPr="00D16A97">
              <w:t>Haematologic neoplasms: leukaemias, lymphomas, myelodysplastic syndromes, multiple myeloma and other plasma cell disorders,</w:t>
            </w:r>
          </w:p>
          <w:p w14:paraId="43180ADA" w14:textId="77777777" w:rsidR="00940332" w:rsidRPr="00D16A97" w:rsidRDefault="00940332" w:rsidP="00940332">
            <w:pPr>
              <w:pStyle w:val="TableText0"/>
              <w:keepNext w:val="0"/>
              <w:numPr>
                <w:ilvl w:val="0"/>
                <w:numId w:val="32"/>
              </w:numPr>
              <w:ind w:left="591" w:hanging="283"/>
            </w:pPr>
            <w:r w:rsidRPr="00D16A97">
              <w:t>Post-transplant: solid organ (on immunosuppressive therapy), haematopoietic stem cell transplant (within 24 months),</w:t>
            </w:r>
          </w:p>
          <w:p w14:paraId="0C652311" w14:textId="77777777" w:rsidR="00940332" w:rsidRPr="00D16A97" w:rsidRDefault="00940332" w:rsidP="00940332">
            <w:pPr>
              <w:pStyle w:val="TableText0"/>
              <w:keepNext w:val="0"/>
              <w:numPr>
                <w:ilvl w:val="0"/>
                <w:numId w:val="32"/>
              </w:numPr>
              <w:ind w:left="591" w:hanging="283"/>
            </w:pPr>
            <w:r w:rsidRPr="00D16A97">
              <w:t>Immunocompromised due to primary or acquired (HIV/AIDS) immunodeficiency; OR</w:t>
            </w:r>
          </w:p>
          <w:p w14:paraId="1EFEFCCC" w14:textId="77777777" w:rsidR="00940332" w:rsidRPr="00D16A97" w:rsidRDefault="00940332" w:rsidP="00940332">
            <w:pPr>
              <w:pStyle w:val="TableText0"/>
              <w:keepNext w:val="0"/>
              <w:numPr>
                <w:ilvl w:val="0"/>
                <w:numId w:val="31"/>
              </w:numPr>
              <w:ind w:left="308" w:hanging="308"/>
            </w:pPr>
            <w:r w:rsidRPr="00D16A97">
              <w:t>Any significantly immunocompromising condition(s) where, in the last 3 months the patient has received:</w:t>
            </w:r>
          </w:p>
          <w:p w14:paraId="3734EBBC" w14:textId="77777777" w:rsidR="00940332" w:rsidRPr="00D16A97" w:rsidRDefault="00940332" w:rsidP="00192D14">
            <w:pPr>
              <w:pStyle w:val="TableText0"/>
              <w:keepNext w:val="0"/>
              <w:numPr>
                <w:ilvl w:val="0"/>
                <w:numId w:val="10"/>
              </w:numPr>
              <w:ind w:left="591" w:hanging="283"/>
            </w:pPr>
            <w:r w:rsidRPr="00D16A97">
              <w:t>Chemotherapy or whole body radiotherapy,</w:t>
            </w:r>
          </w:p>
          <w:p w14:paraId="04446C09" w14:textId="77777777" w:rsidR="00940332" w:rsidRPr="00D16A97" w:rsidRDefault="00940332" w:rsidP="00192D14">
            <w:pPr>
              <w:pStyle w:val="TableText0"/>
              <w:keepNext w:val="0"/>
              <w:numPr>
                <w:ilvl w:val="0"/>
                <w:numId w:val="10"/>
              </w:numPr>
              <w:ind w:left="591" w:hanging="283"/>
            </w:pPr>
            <w:r w:rsidRPr="00D16A97">
              <w:t>High-dose corticosteroids (at least 20 mg of prednisone per day, or equivalent) for at least 14 days in a month, or pulse corticosteroid therapy,</w:t>
            </w:r>
          </w:p>
          <w:p w14:paraId="4FF1357D" w14:textId="77777777" w:rsidR="00940332" w:rsidRPr="00D16A97" w:rsidRDefault="00940332" w:rsidP="00192D14">
            <w:pPr>
              <w:pStyle w:val="TableText0"/>
              <w:keepNext w:val="0"/>
              <w:numPr>
                <w:ilvl w:val="0"/>
                <w:numId w:val="10"/>
              </w:numPr>
              <w:ind w:left="591" w:hanging="283"/>
            </w:pPr>
            <w:r w:rsidRPr="00D16A97">
              <w:t>Biological agents and other treatments that deplete or inhibit B cell or T cell function (abatacept, anti-CD20 antibodies, BTK inhibitors, JAK inhibitors, sphingosine 1-phosphate receptor modulators, anti-CD52 antibodies, anti-complement antibodies, anti-thymocyte globulin),</w:t>
            </w:r>
          </w:p>
          <w:p w14:paraId="739DDA4B" w14:textId="77777777" w:rsidR="00940332" w:rsidRPr="00D16A97" w:rsidRDefault="00940332" w:rsidP="00192D14">
            <w:pPr>
              <w:pStyle w:val="TableText0"/>
              <w:keepNext w:val="0"/>
              <w:numPr>
                <w:ilvl w:val="0"/>
                <w:numId w:val="10"/>
              </w:numPr>
              <w:ind w:left="591" w:hanging="283"/>
            </w:pPr>
            <w:r w:rsidRPr="00D16A97">
              <w:t>Selected conventional synthetic disease-modifying anti-rheumatic drugs (csDMARDs) including mycophenolate, methotrexate, leflunomide, azathioprine, 6-mercaptopurine (at least 1.5mg/kg/day), alkylating agents (e.g. cyclophosphamide, chlorambucil), and systemic calcineurin inhibitors (e.g. cyclosporin, tacrolimus); OR</w:t>
            </w:r>
          </w:p>
          <w:p w14:paraId="09CC5FF1" w14:textId="77777777" w:rsidR="00940332" w:rsidRPr="00D16A97" w:rsidRDefault="00940332" w:rsidP="00940332">
            <w:pPr>
              <w:pStyle w:val="TableText0"/>
              <w:keepNext w:val="0"/>
              <w:numPr>
                <w:ilvl w:val="0"/>
                <w:numId w:val="31"/>
              </w:numPr>
              <w:ind w:left="308" w:hanging="308"/>
            </w:pPr>
            <w:r w:rsidRPr="00D16A97">
              <w:t>Any significantly immunocompromising condition(s) where, in the last 12 months the patient has received an anti-CD20 monoclonal antibody treatment, but criterion 2c above is not met; OR</w:t>
            </w:r>
          </w:p>
          <w:p w14:paraId="00895B39" w14:textId="77777777" w:rsidR="00940332" w:rsidRPr="00D16A97" w:rsidRDefault="00940332" w:rsidP="00940332">
            <w:pPr>
              <w:pStyle w:val="TableText0"/>
              <w:keepNext w:val="0"/>
              <w:numPr>
                <w:ilvl w:val="0"/>
                <w:numId w:val="31"/>
              </w:numPr>
              <w:ind w:left="308" w:hanging="308"/>
            </w:pPr>
            <w:r w:rsidRPr="00D16A97">
              <w:lastRenderedPageBreak/>
              <w:t>Others with very high-risk conditions including Down Syndrome, cerebral palsy, congenital heart disease, thalassemia, sickle cell disease and other haemoglobinopathies; OR</w:t>
            </w:r>
          </w:p>
          <w:p w14:paraId="307D55CD" w14:textId="77777777" w:rsidR="00940332" w:rsidRPr="00D16A97" w:rsidRDefault="00940332" w:rsidP="00940332">
            <w:pPr>
              <w:pStyle w:val="TableText0"/>
              <w:keepNext w:val="0"/>
              <w:numPr>
                <w:ilvl w:val="0"/>
                <w:numId w:val="31"/>
              </w:numPr>
              <w:spacing w:after="120"/>
              <w:ind w:left="306" w:hanging="306"/>
            </w:pPr>
            <w:r w:rsidRPr="00D16A97">
              <w:t>People with disability with multiple comorbidities and/or frailty.</w:t>
            </w:r>
          </w:p>
          <w:p w14:paraId="535166E0" w14:textId="77777777" w:rsidR="00940332" w:rsidRPr="00D16A97" w:rsidRDefault="00940332" w:rsidP="00192D14">
            <w:pPr>
              <w:pStyle w:val="TableText0"/>
              <w:keepNext w:val="0"/>
            </w:pPr>
            <w:r w:rsidRPr="00D16A97">
              <w:t>Details of the patient's medical condition necessitating use of this drug must be recorded in the patient's medical records.</w:t>
            </w:r>
          </w:p>
          <w:p w14:paraId="74E476B3" w14:textId="77777777" w:rsidR="00940332" w:rsidRPr="00D16A97" w:rsidRDefault="00940332" w:rsidP="00192D14">
            <w:pPr>
              <w:pStyle w:val="TableText0"/>
              <w:keepNext w:val="0"/>
            </w:pPr>
            <w:r w:rsidRPr="00D16A97">
              <w:t xml:space="preserve">For the purpose of administering this restriction, signs or symptoms attributable to COVID-19 </w:t>
            </w:r>
            <w:proofErr w:type="gramStart"/>
            <w:r w:rsidRPr="00D16A97">
              <w:t>are:</w:t>
            </w:r>
            <w:proofErr w:type="gramEnd"/>
            <w:r w:rsidRPr="00D16A97">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7BAAB8F2" w14:textId="77777777" w:rsidR="00940332" w:rsidRPr="00D16A97" w:rsidRDefault="00940332" w:rsidP="00192D14">
            <w:pPr>
              <w:pStyle w:val="TableText0"/>
              <w:keepNext w:val="0"/>
            </w:pPr>
            <w:r w:rsidRPr="00D16A97">
              <w:t>Access to this drug through this restriction is permitted irrespective of vaccination status.</w:t>
            </w:r>
          </w:p>
          <w:p w14:paraId="5F8608EF" w14:textId="77777777" w:rsidR="00940332" w:rsidRPr="00D16A97" w:rsidRDefault="00940332" w:rsidP="00192D14">
            <w:pPr>
              <w:pStyle w:val="TableText0"/>
              <w:keepNext w:val="0"/>
            </w:pPr>
            <w:r w:rsidRPr="00D16A97">
              <w:t>Where PCR is used to confirm diagnosis, the result, testing date, location and test provider must be recorded on the patient record.</w:t>
            </w:r>
          </w:p>
          <w:p w14:paraId="34119DC1" w14:textId="77777777" w:rsidR="00940332" w:rsidRPr="00D16A97" w:rsidRDefault="00940332" w:rsidP="00192D14">
            <w:pPr>
              <w:pStyle w:val="TableText0"/>
              <w:keepNext w:val="0"/>
            </w:pPr>
            <w:r w:rsidRPr="00D16A97">
              <w:t>Where a RAT is used to confirm diagnosis, available information about the test result, testing date, location and test provider (where relevant) must be recorded on the patient record.</w:t>
            </w:r>
          </w:p>
          <w:p w14:paraId="22DDC24B" w14:textId="77777777" w:rsidR="00940332" w:rsidRPr="00D16A97" w:rsidRDefault="00940332" w:rsidP="00192D14">
            <w:pPr>
              <w:pStyle w:val="TableText0"/>
              <w:keepNext w:val="0"/>
            </w:pPr>
            <w:r w:rsidRPr="00D16A97">
              <w:t>This drug is not PBS-subsidised for pre-exposure or post-exposure prophylaxis for the prevention of SARS-CoV-2 infection.</w:t>
            </w:r>
          </w:p>
        </w:tc>
      </w:tr>
      <w:tr w:rsidR="00940332" w:rsidRPr="00D16A97" w14:paraId="23EBF41A"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75646EE" w14:textId="77777777" w:rsidR="00940332" w:rsidRPr="00D16A97" w:rsidRDefault="00940332" w:rsidP="00192D14">
            <w:pPr>
              <w:pStyle w:val="TableText0"/>
              <w:keepNext w:val="0"/>
              <w:rPr>
                <w:b/>
              </w:rPr>
            </w:pPr>
            <w:r w:rsidRPr="00D16A97">
              <w:rPr>
                <w:rFonts w:eastAsia="MS Gothic" w:cs="Times New Roman"/>
                <w:b/>
                <w:i/>
                <w:iCs/>
              </w:rPr>
              <w:lastRenderedPageBreak/>
              <w:t>Prescribing instructions:</w:t>
            </w:r>
          </w:p>
        </w:tc>
      </w:tr>
      <w:tr w:rsidR="00940332" w:rsidRPr="00D16A97" w14:paraId="7FB3A3F8"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E00428B" w14:textId="77777777" w:rsidR="00940332" w:rsidRPr="00D16A97" w:rsidRDefault="00940332" w:rsidP="00192D14">
            <w:pPr>
              <w:pStyle w:val="TableText0"/>
              <w:keepNext w:val="0"/>
              <w:rPr>
                <w:rFonts w:eastAsia="MS Gothic" w:cs="Times New Roman"/>
                <w:i/>
                <w:iCs/>
              </w:rPr>
            </w:pPr>
            <w:r w:rsidRPr="00D16A97">
              <w:rPr>
                <w:rFonts w:eastAsia="MS Gothic" w:cs="Times New Roman"/>
                <w:i/>
                <w:iCs/>
              </w:rPr>
              <w:t xml:space="preserve">For the purpose of administering this restriction, the contraindications to nirmatrelvir (&amp;) ritonavir can be found using the Liverpool COVID-19 Drug interaction checker or the </w:t>
            </w:r>
            <w:r w:rsidRPr="00D16A97">
              <w:rPr>
                <w:i/>
                <w:iCs/>
              </w:rPr>
              <w:t>TGA-approved Product Information for Paxlovid</w:t>
            </w:r>
            <w:r w:rsidRPr="00D16A97">
              <w:rPr>
                <w:rFonts w:eastAsia="MS Gothic" w:cs="Times New Roman"/>
                <w:i/>
                <w:iCs/>
              </w:rPr>
              <w:t xml:space="preserve">. </w:t>
            </w:r>
          </w:p>
          <w:p w14:paraId="5B0591B5" w14:textId="77777777" w:rsidR="00940332" w:rsidRPr="00D16A97" w:rsidRDefault="00940332" w:rsidP="00192D14">
            <w:pPr>
              <w:pStyle w:val="TableText0"/>
              <w:keepNext w:val="0"/>
            </w:pPr>
            <w:r w:rsidRPr="00D16A97">
              <w:rPr>
                <w:rFonts w:eastAsia="MS Gothic" w:cs="Times New Roman"/>
                <w:i/>
                <w:iCs/>
              </w:rPr>
              <w:t>Details/reasons of contraindications to nirmatrelvir (&amp;) ritonavir must be documented in the patient’s medical records.</w:t>
            </w:r>
          </w:p>
        </w:tc>
      </w:tr>
      <w:tr w:rsidR="00940332" w:rsidRPr="00D16A97" w14:paraId="6BA8181E"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9A64B6B" w14:textId="77777777" w:rsidR="00940332" w:rsidRPr="00D16A97" w:rsidRDefault="00940332" w:rsidP="00192D14">
            <w:pPr>
              <w:pStyle w:val="TableText0"/>
              <w:keepNext w:val="0"/>
            </w:pPr>
            <w:r w:rsidRPr="00D16A97">
              <w:rPr>
                <w:rFonts w:eastAsia="MS Gothic" w:cs="Times New Roman"/>
                <w:b/>
                <w:i/>
                <w:iCs/>
              </w:rPr>
              <w:t>Administrative advice:</w:t>
            </w:r>
          </w:p>
        </w:tc>
      </w:tr>
      <w:tr w:rsidR="00940332" w:rsidRPr="00D16A97" w14:paraId="0F4F70EC"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AB22558" w14:textId="77777777" w:rsidR="00940332" w:rsidRPr="00D16A97" w:rsidRDefault="00940332" w:rsidP="00192D14">
            <w:pPr>
              <w:pStyle w:val="TableText0"/>
              <w:keepNext w:val="0"/>
            </w:pPr>
            <w:r w:rsidRPr="00D16A97">
              <w:rPr>
                <w:rFonts w:eastAsia="MS Gothic" w:cs="Times New Roman"/>
                <w:i/>
                <w:iCs/>
              </w:rPr>
              <w:t xml:space="preserve">Details of the Liverpool COVID-19 Drug interaction checker can be found at: </w:t>
            </w:r>
            <w:hyperlink r:id="rId29" w:history="1">
              <w:r w:rsidRPr="00D16A97">
                <w:rPr>
                  <w:rStyle w:val="Hyperlink"/>
                  <w:rFonts w:eastAsia="MS Gothic" w:cs="Times New Roman"/>
                  <w:i/>
                  <w:iCs/>
                </w:rPr>
                <w:t>https://www.covid19-druginteractions.org/checker</w:t>
              </w:r>
            </w:hyperlink>
            <w:r w:rsidRPr="00D16A97">
              <w:rPr>
                <w:rFonts w:eastAsia="MS Gothic" w:cs="Times New Roman"/>
                <w:i/>
                <w:iCs/>
              </w:rPr>
              <w:t xml:space="preserve"> </w:t>
            </w:r>
          </w:p>
        </w:tc>
      </w:tr>
      <w:tr w:rsidR="00940332" w:rsidRPr="00D16A97" w14:paraId="580932D5"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5ABB9F0" w14:textId="77777777" w:rsidR="00940332" w:rsidRPr="00D16A97" w:rsidRDefault="00940332" w:rsidP="00192D14">
            <w:pPr>
              <w:pStyle w:val="TableText0"/>
              <w:keepNext w:val="0"/>
              <w:rPr>
                <w:b/>
                <w:bCs w:val="0"/>
              </w:rPr>
            </w:pPr>
            <w:r w:rsidRPr="00D16A97">
              <w:rPr>
                <w:b/>
                <w:bCs w:val="0"/>
              </w:rPr>
              <w:t>13748</w:t>
            </w:r>
          </w:p>
        </w:tc>
      </w:tr>
      <w:tr w:rsidR="00940332" w:rsidRPr="00D16A97" w14:paraId="5914ADDB"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3EFFEF3" w14:textId="77777777" w:rsidR="00940332" w:rsidRPr="00D16A97" w:rsidRDefault="00940332" w:rsidP="00192D14">
            <w:pPr>
              <w:pStyle w:val="TableText0"/>
              <w:keepNext w:val="0"/>
            </w:pPr>
            <w:r w:rsidRPr="00D16A97">
              <w:rPr>
                <w:b/>
                <w:bCs w:val="0"/>
              </w:rPr>
              <w:t>Indication:</w:t>
            </w:r>
            <w:r w:rsidRPr="00D16A97">
              <w:t xml:space="preserve"> SARS-CoV-2 infection</w:t>
            </w:r>
          </w:p>
        </w:tc>
      </w:tr>
      <w:tr w:rsidR="00940332" w:rsidRPr="00D16A97" w14:paraId="0C827247"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95E94E3" w14:textId="77777777" w:rsidR="00940332" w:rsidRPr="00D16A97" w:rsidRDefault="00940332" w:rsidP="00192D14">
            <w:pPr>
              <w:pStyle w:val="TableText0"/>
              <w:keepNext w:val="0"/>
              <w:rPr>
                <w:b/>
                <w:bCs w:val="0"/>
              </w:rPr>
            </w:pPr>
            <w:r w:rsidRPr="00D16A97">
              <w:rPr>
                <w:b/>
                <w:bCs w:val="0"/>
              </w:rPr>
              <w:t>Clinical criteria:</w:t>
            </w:r>
          </w:p>
        </w:tc>
      </w:tr>
      <w:tr w:rsidR="00940332" w:rsidRPr="00D16A97" w14:paraId="4FBC8526"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366CEE9" w14:textId="77777777" w:rsidR="00940332" w:rsidRPr="00D16A97" w:rsidRDefault="00940332" w:rsidP="00192D14">
            <w:pPr>
              <w:pStyle w:val="Tabletext"/>
              <w:rPr>
                <w:b/>
                <w:strike/>
                <w:color w:val="FF0000"/>
              </w:rPr>
            </w:pPr>
            <w:r w:rsidRPr="00D16A97">
              <w:rPr>
                <w:strike/>
                <w:color w:val="FF0000"/>
              </w:rPr>
              <w:t xml:space="preserve">This drug should be considered for use only if nirmatrelvir (&amp;) ritonavir is contraindicated or otherwise unsuitable </w:t>
            </w:r>
            <w:r w:rsidRPr="00D16A97">
              <w:rPr>
                <w:b/>
                <w:strike/>
                <w:color w:val="FF0000"/>
              </w:rPr>
              <w:t>AND</w:t>
            </w:r>
          </w:p>
          <w:p w14:paraId="1A1C6E34" w14:textId="77777777" w:rsidR="00940332" w:rsidRPr="00D16A97" w:rsidRDefault="00940332" w:rsidP="00192D14">
            <w:pPr>
              <w:pStyle w:val="Tabletext"/>
            </w:pPr>
            <w:r w:rsidRPr="00D16A97">
              <w:rPr>
                <w:i/>
                <w:color w:val="FF0000"/>
                <w:szCs w:val="20"/>
              </w:rPr>
              <w:t xml:space="preserve">The treatment must be for use when nirmatrelvir (&amp;) ritonavir is </w:t>
            </w:r>
            <w:r w:rsidRPr="00D16A97">
              <w:rPr>
                <w:iCs/>
                <w:strike/>
                <w:color w:val="FF0000"/>
                <w:szCs w:val="20"/>
              </w:rPr>
              <w:t>either (i)</w:t>
            </w:r>
            <w:r w:rsidRPr="00D16A97">
              <w:rPr>
                <w:iCs/>
                <w:color w:val="FF0000"/>
                <w:szCs w:val="20"/>
              </w:rPr>
              <w:t xml:space="preserve"> contraindicated</w:t>
            </w:r>
            <w:r w:rsidRPr="00D16A97">
              <w:rPr>
                <w:iCs/>
                <w:strike/>
                <w:color w:val="FF0000"/>
                <w:szCs w:val="20"/>
              </w:rPr>
              <w:t>, (ii) otherwise unsuitable</w:t>
            </w:r>
            <w:r w:rsidRPr="00D16A97">
              <w:rPr>
                <w:iCs/>
                <w:color w:val="FF0000"/>
                <w:szCs w:val="20"/>
              </w:rPr>
              <w:t xml:space="preserve"> </w:t>
            </w:r>
            <w:r w:rsidRPr="00D16A97">
              <w:rPr>
                <w:b/>
                <w:iCs/>
                <w:color w:val="FF0000"/>
                <w:szCs w:val="20"/>
              </w:rPr>
              <w:t>AND</w:t>
            </w:r>
          </w:p>
        </w:tc>
      </w:tr>
      <w:tr w:rsidR="00940332" w:rsidRPr="00D16A97" w14:paraId="54051EDB"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E4CEEDB" w14:textId="77777777" w:rsidR="00940332" w:rsidRPr="00D16A97" w:rsidRDefault="00940332" w:rsidP="00192D14">
            <w:pPr>
              <w:pStyle w:val="TableText0"/>
              <w:keepNext w:val="0"/>
            </w:pPr>
            <w:r w:rsidRPr="00D16A97">
              <w:t>Patient must have received a positive polymerase chain reaction (PCR) test result; OR</w:t>
            </w:r>
          </w:p>
          <w:p w14:paraId="3873F830" w14:textId="77777777" w:rsidR="00940332" w:rsidRPr="00D16A97" w:rsidRDefault="00940332" w:rsidP="00192D14">
            <w:pPr>
              <w:pStyle w:val="Tabletext"/>
              <w:rPr>
                <w:strike/>
                <w:color w:val="FF0000"/>
              </w:rPr>
            </w:pPr>
            <w:r w:rsidRPr="00D16A97">
              <w:t>Patient must have received a positive rapid antigen test (RAT) result,</w:t>
            </w:r>
          </w:p>
        </w:tc>
      </w:tr>
      <w:tr w:rsidR="00940332" w:rsidRPr="00D16A97" w14:paraId="63A74312"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37D9418" w14:textId="77777777" w:rsidR="00940332" w:rsidRPr="00D16A97" w:rsidRDefault="00940332" w:rsidP="00192D14">
            <w:pPr>
              <w:pStyle w:val="TableText0"/>
              <w:keepNext w:val="0"/>
              <w:rPr>
                <w:b/>
                <w:bCs w:val="0"/>
              </w:rPr>
            </w:pPr>
            <w:r w:rsidRPr="00D16A97">
              <w:rPr>
                <w:b/>
                <w:bCs w:val="0"/>
              </w:rPr>
              <w:t>AND</w:t>
            </w:r>
          </w:p>
        </w:tc>
      </w:tr>
      <w:tr w:rsidR="00940332" w:rsidRPr="00D16A97" w14:paraId="770609E4"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2C4E807" w14:textId="77777777" w:rsidR="00940332" w:rsidRPr="00D16A97" w:rsidRDefault="00940332" w:rsidP="00192D14">
            <w:pPr>
              <w:pStyle w:val="TableText0"/>
              <w:keepNext w:val="0"/>
            </w:pPr>
            <w:r w:rsidRPr="00D16A97">
              <w:t>Patient must have at least one sign or symptom attributable to COVID-19,</w:t>
            </w:r>
          </w:p>
        </w:tc>
      </w:tr>
      <w:tr w:rsidR="00940332" w:rsidRPr="00D16A97" w14:paraId="1717E125"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DB65641" w14:textId="77777777" w:rsidR="00940332" w:rsidRPr="00D16A97" w:rsidRDefault="00940332" w:rsidP="00192D14">
            <w:pPr>
              <w:pStyle w:val="TableText0"/>
              <w:keepNext w:val="0"/>
              <w:rPr>
                <w:b/>
                <w:bCs w:val="0"/>
              </w:rPr>
            </w:pPr>
            <w:r w:rsidRPr="00D16A97">
              <w:rPr>
                <w:b/>
                <w:bCs w:val="0"/>
              </w:rPr>
              <w:t>AND</w:t>
            </w:r>
          </w:p>
        </w:tc>
      </w:tr>
      <w:tr w:rsidR="00940332" w:rsidRPr="00D16A97" w14:paraId="48964FE5"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A2500A4" w14:textId="77777777" w:rsidR="00940332" w:rsidRPr="00D16A97" w:rsidRDefault="00940332" w:rsidP="00192D14">
            <w:pPr>
              <w:pStyle w:val="TableText0"/>
              <w:keepNext w:val="0"/>
            </w:pPr>
            <w:r w:rsidRPr="00D16A97">
              <w:t>Patient must not require hospitalisation for COVID-19 infection at the time of prescribing,</w:t>
            </w:r>
          </w:p>
        </w:tc>
      </w:tr>
      <w:tr w:rsidR="00940332" w:rsidRPr="00D16A97" w14:paraId="642E7BF6"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983E67F" w14:textId="77777777" w:rsidR="00940332" w:rsidRPr="00D16A97" w:rsidRDefault="00940332" w:rsidP="00192D14">
            <w:pPr>
              <w:pStyle w:val="TableText0"/>
              <w:keepNext w:val="0"/>
              <w:rPr>
                <w:b/>
                <w:bCs w:val="0"/>
              </w:rPr>
            </w:pPr>
            <w:r w:rsidRPr="00D16A97">
              <w:rPr>
                <w:b/>
                <w:bCs w:val="0"/>
              </w:rPr>
              <w:t>AND</w:t>
            </w:r>
          </w:p>
        </w:tc>
      </w:tr>
      <w:tr w:rsidR="00940332" w:rsidRPr="00D16A97" w14:paraId="207E38AC"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65686CC" w14:textId="77777777" w:rsidR="00940332" w:rsidRPr="00D16A97" w:rsidRDefault="00940332" w:rsidP="00192D14">
            <w:pPr>
              <w:pStyle w:val="TableText0"/>
              <w:keepNext w:val="0"/>
            </w:pPr>
            <w:r w:rsidRPr="00D16A97">
              <w:t>The treatment must be initiated within 5 days of symptom onset.</w:t>
            </w:r>
          </w:p>
        </w:tc>
      </w:tr>
      <w:tr w:rsidR="00940332" w:rsidRPr="00D16A97" w14:paraId="2A11EAD7"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550DBED" w14:textId="77777777" w:rsidR="00940332" w:rsidRPr="00D16A97" w:rsidRDefault="00940332" w:rsidP="00192D14">
            <w:pPr>
              <w:pStyle w:val="TableText0"/>
              <w:keepNext w:val="0"/>
              <w:rPr>
                <w:b/>
                <w:bCs w:val="0"/>
              </w:rPr>
            </w:pPr>
            <w:r w:rsidRPr="00D16A97">
              <w:rPr>
                <w:b/>
                <w:bCs w:val="0"/>
              </w:rPr>
              <w:t>Population criteria:</w:t>
            </w:r>
          </w:p>
        </w:tc>
      </w:tr>
      <w:tr w:rsidR="00940332" w:rsidRPr="00D16A97" w14:paraId="01313060"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C6B087C" w14:textId="77777777" w:rsidR="00940332" w:rsidRPr="00D16A97" w:rsidRDefault="00940332" w:rsidP="00192D14">
            <w:pPr>
              <w:pStyle w:val="TableText0"/>
              <w:keepNext w:val="0"/>
            </w:pPr>
            <w:r w:rsidRPr="00D16A97">
              <w:t>Patient must be each of: (i) identify as Aboriginal or Torres Strait Islander, (ii) at least 30 years of age, (iii) at high risk.</w:t>
            </w:r>
          </w:p>
        </w:tc>
      </w:tr>
      <w:tr w:rsidR="00940332" w:rsidRPr="00D16A97" w14:paraId="05E03C1D"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719969C" w14:textId="77777777" w:rsidR="00940332" w:rsidRPr="00D16A97" w:rsidRDefault="00940332" w:rsidP="00192D14">
            <w:pPr>
              <w:pStyle w:val="TableText0"/>
              <w:keepNext w:val="0"/>
            </w:pPr>
            <w:r w:rsidRPr="00D16A97">
              <w:t>For the purpose of administering this restriction, high risk is defined as the presence of at least one of the following conditions:</w:t>
            </w:r>
          </w:p>
          <w:p w14:paraId="0BB3C04F" w14:textId="77777777" w:rsidR="00940332" w:rsidRPr="00D16A97" w:rsidRDefault="00940332" w:rsidP="00940332">
            <w:pPr>
              <w:pStyle w:val="TableText0"/>
              <w:keepNext w:val="0"/>
              <w:numPr>
                <w:ilvl w:val="0"/>
                <w:numId w:val="33"/>
              </w:numPr>
            </w:pPr>
            <w:r w:rsidRPr="00D16A97">
              <w:t>The patient is in residential aged care</w:t>
            </w:r>
          </w:p>
          <w:p w14:paraId="09E54948" w14:textId="77777777" w:rsidR="00940332" w:rsidRPr="00D16A97" w:rsidRDefault="00940332" w:rsidP="00940332">
            <w:pPr>
              <w:pStyle w:val="TableText0"/>
              <w:keepNext w:val="0"/>
              <w:numPr>
                <w:ilvl w:val="0"/>
                <w:numId w:val="33"/>
              </w:numPr>
            </w:pPr>
            <w:r w:rsidRPr="00D16A97">
              <w:t>The patient has disability with multiple comorbidities and/or frailty</w:t>
            </w:r>
          </w:p>
          <w:p w14:paraId="3C38F392" w14:textId="77777777" w:rsidR="00940332" w:rsidRPr="00D16A97" w:rsidRDefault="00940332" w:rsidP="00940332">
            <w:pPr>
              <w:pStyle w:val="TableText0"/>
              <w:keepNext w:val="0"/>
              <w:numPr>
                <w:ilvl w:val="0"/>
                <w:numId w:val="33"/>
              </w:numPr>
            </w:pPr>
            <w:r w:rsidRPr="00D16A97">
              <w:t>Neurological conditions, including stroke and dementia and demyelinating conditions</w:t>
            </w:r>
          </w:p>
          <w:p w14:paraId="6FE50C84" w14:textId="77777777" w:rsidR="00940332" w:rsidRPr="00D16A97" w:rsidRDefault="00940332" w:rsidP="00940332">
            <w:pPr>
              <w:pStyle w:val="TableText0"/>
              <w:keepNext w:val="0"/>
              <w:numPr>
                <w:ilvl w:val="0"/>
                <w:numId w:val="33"/>
              </w:numPr>
            </w:pPr>
            <w:r w:rsidRPr="00D16A97">
              <w:t>Respiratory compromise, including COPD, moderate or severe asthma (required inhaled steroids), and bronchiectasis, or caused by neurological or musculoskeletal disease</w:t>
            </w:r>
          </w:p>
          <w:p w14:paraId="411E140C" w14:textId="77777777" w:rsidR="00940332" w:rsidRPr="00D16A97" w:rsidRDefault="00940332" w:rsidP="00940332">
            <w:pPr>
              <w:pStyle w:val="TableText0"/>
              <w:keepNext w:val="0"/>
              <w:numPr>
                <w:ilvl w:val="0"/>
                <w:numId w:val="33"/>
              </w:numPr>
            </w:pPr>
            <w:r w:rsidRPr="00D16A97">
              <w:t>Heart failure, coronary artery disease, cardiomyopathies</w:t>
            </w:r>
          </w:p>
          <w:p w14:paraId="39F3E002" w14:textId="77777777" w:rsidR="00940332" w:rsidRPr="00D16A97" w:rsidRDefault="00940332" w:rsidP="00940332">
            <w:pPr>
              <w:pStyle w:val="TableText0"/>
              <w:keepNext w:val="0"/>
              <w:numPr>
                <w:ilvl w:val="0"/>
                <w:numId w:val="33"/>
              </w:numPr>
            </w:pPr>
            <w:r w:rsidRPr="00D16A97">
              <w:t>Obesity (BMI greater than 30 kg/m</w:t>
            </w:r>
            <w:r w:rsidRPr="00D16A97">
              <w:rPr>
                <w:vertAlign w:val="superscript"/>
              </w:rPr>
              <w:t>2</w:t>
            </w:r>
            <w:r w:rsidRPr="00D16A97">
              <w:t>)</w:t>
            </w:r>
          </w:p>
          <w:p w14:paraId="5BE589C9" w14:textId="77777777" w:rsidR="00940332" w:rsidRPr="00D16A97" w:rsidRDefault="00940332" w:rsidP="00940332">
            <w:pPr>
              <w:pStyle w:val="TableText0"/>
              <w:keepNext w:val="0"/>
              <w:numPr>
                <w:ilvl w:val="0"/>
                <w:numId w:val="33"/>
              </w:numPr>
            </w:pPr>
            <w:r w:rsidRPr="00D16A97">
              <w:t>Diabetes type I or II, requiring medication for glycaemic control</w:t>
            </w:r>
          </w:p>
          <w:p w14:paraId="0FE3D4CA" w14:textId="77777777" w:rsidR="00940332" w:rsidRPr="00D16A97" w:rsidRDefault="00940332" w:rsidP="00940332">
            <w:pPr>
              <w:pStyle w:val="TableText0"/>
              <w:keepNext w:val="0"/>
              <w:numPr>
                <w:ilvl w:val="0"/>
                <w:numId w:val="33"/>
              </w:numPr>
            </w:pPr>
            <w:r w:rsidRPr="00D16A97">
              <w:t>Renal impairment (eGFR less than 60mL/min)</w:t>
            </w:r>
          </w:p>
          <w:p w14:paraId="32670B05" w14:textId="77777777" w:rsidR="00940332" w:rsidRPr="00D16A97" w:rsidRDefault="00940332" w:rsidP="00940332">
            <w:pPr>
              <w:pStyle w:val="TableText0"/>
              <w:keepNext w:val="0"/>
              <w:numPr>
                <w:ilvl w:val="0"/>
                <w:numId w:val="33"/>
              </w:numPr>
            </w:pPr>
            <w:r w:rsidRPr="00D16A97">
              <w:t>Cirrhosis</w:t>
            </w:r>
          </w:p>
          <w:p w14:paraId="361E9D27" w14:textId="77777777" w:rsidR="00940332" w:rsidRPr="00D16A97" w:rsidRDefault="00940332" w:rsidP="00940332">
            <w:pPr>
              <w:pStyle w:val="TableText0"/>
              <w:keepNext w:val="0"/>
              <w:numPr>
                <w:ilvl w:val="0"/>
                <w:numId w:val="33"/>
              </w:numPr>
            </w:pPr>
            <w:r w:rsidRPr="00D16A97">
              <w:t>The patient has reduced, or lack of, access to higher level healthcare and lives in an area of geographic remoteness classified by the Modified Monash Model as Category 5 or above</w:t>
            </w:r>
          </w:p>
          <w:p w14:paraId="4F7FAEF1" w14:textId="77777777" w:rsidR="00940332" w:rsidRPr="00D16A97" w:rsidRDefault="00940332" w:rsidP="00940332">
            <w:pPr>
              <w:pStyle w:val="TableText0"/>
              <w:keepNext w:val="0"/>
              <w:numPr>
                <w:ilvl w:val="0"/>
                <w:numId w:val="33"/>
              </w:numPr>
              <w:spacing w:after="120"/>
            </w:pPr>
            <w:r w:rsidRPr="00D16A97">
              <w:t>Past COVID-19 infection episode resulting in hospitalisation.</w:t>
            </w:r>
          </w:p>
          <w:p w14:paraId="70674238" w14:textId="77777777" w:rsidR="00940332" w:rsidRPr="00D16A97" w:rsidRDefault="00940332" w:rsidP="00192D14">
            <w:pPr>
              <w:pStyle w:val="TableText0"/>
              <w:keepNext w:val="0"/>
            </w:pPr>
            <w:r w:rsidRPr="00D16A97">
              <w:lastRenderedPageBreak/>
              <w:t>Details of the patient's medical condition necessitating use of this drug must be recorded in the patient's medical records.</w:t>
            </w:r>
          </w:p>
          <w:p w14:paraId="4464430C" w14:textId="77777777" w:rsidR="00940332" w:rsidRPr="00D16A97" w:rsidRDefault="00940332" w:rsidP="00192D14">
            <w:pPr>
              <w:pStyle w:val="TableText0"/>
              <w:keepNext w:val="0"/>
            </w:pPr>
            <w:r w:rsidRPr="00D16A97">
              <w:t xml:space="preserve">For the purpose of administering this restriction, signs or symptoms attributable to COVID-19 </w:t>
            </w:r>
            <w:proofErr w:type="gramStart"/>
            <w:r w:rsidRPr="00D16A97">
              <w:t>are:</w:t>
            </w:r>
            <w:proofErr w:type="gramEnd"/>
            <w:r w:rsidRPr="00D16A97">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556D01FE" w14:textId="77777777" w:rsidR="00940332" w:rsidRPr="00D16A97" w:rsidRDefault="00940332" w:rsidP="00192D14">
            <w:pPr>
              <w:pStyle w:val="TableText0"/>
              <w:keepNext w:val="0"/>
            </w:pPr>
            <w:r w:rsidRPr="00D16A97">
              <w:t>Access to this drug through this restriction is permitted irrespective of vaccination status.</w:t>
            </w:r>
          </w:p>
          <w:p w14:paraId="51F256EC" w14:textId="77777777" w:rsidR="00940332" w:rsidRPr="00D16A97" w:rsidRDefault="00940332" w:rsidP="00192D14">
            <w:pPr>
              <w:pStyle w:val="TableText0"/>
              <w:keepNext w:val="0"/>
            </w:pPr>
            <w:r w:rsidRPr="00D16A97">
              <w:t>Where PCR is used to confirm diagnosis, the result, testing date, location and test provider must be recorded on the patient record.</w:t>
            </w:r>
          </w:p>
          <w:p w14:paraId="58FD79EB" w14:textId="77777777" w:rsidR="00940332" w:rsidRPr="00D16A97" w:rsidRDefault="00940332" w:rsidP="00192D14">
            <w:pPr>
              <w:pStyle w:val="TableText0"/>
              <w:keepNext w:val="0"/>
            </w:pPr>
            <w:r w:rsidRPr="00D16A97">
              <w:t>Where a RAT is used to confirm diagnosis, available information about the test result, testing date, location and test provider (where relevant) must be recorded on the patient record.</w:t>
            </w:r>
          </w:p>
          <w:p w14:paraId="0F3B1294" w14:textId="77777777" w:rsidR="00940332" w:rsidRPr="00D16A97" w:rsidRDefault="00940332" w:rsidP="00192D14">
            <w:pPr>
              <w:pStyle w:val="TableText0"/>
              <w:keepNext w:val="0"/>
            </w:pPr>
            <w:r w:rsidRPr="00D16A97">
              <w:t>This drug is not PBS-subsidised for pre-exposure or post-exposure prophylaxis for the prevention of SARS-CoV-2 infection.</w:t>
            </w:r>
          </w:p>
          <w:p w14:paraId="684461F3" w14:textId="77777777" w:rsidR="00940332" w:rsidRPr="00D16A97" w:rsidRDefault="00940332" w:rsidP="00192D14">
            <w:pPr>
              <w:pStyle w:val="TableText0"/>
              <w:keepNext w:val="0"/>
              <w:rPr>
                <w:b/>
                <w:u w:val="single"/>
              </w:rPr>
            </w:pPr>
            <w:r w:rsidRPr="00D16A97">
              <w:rPr>
                <w:b/>
                <w:u w:val="single"/>
              </w:rPr>
              <w:t>Note</w:t>
            </w:r>
          </w:p>
          <w:p w14:paraId="226E8B3C" w14:textId="77777777" w:rsidR="00940332" w:rsidRPr="00D16A97" w:rsidRDefault="00940332" w:rsidP="00192D14">
            <w:pPr>
              <w:pStyle w:val="TableText0"/>
              <w:keepNext w:val="0"/>
              <w:spacing w:after="120"/>
            </w:pPr>
            <w:r w:rsidRPr="00D16A97">
              <w:t>The Modified Monash Model categorises an area according to geographical remoteness and town size. Details can be found at: https://www.health.gov.au/health-topics/rural-health-workforce/classifications/mmm</w:t>
            </w:r>
          </w:p>
        </w:tc>
      </w:tr>
      <w:tr w:rsidR="00940332" w:rsidRPr="00D16A97" w14:paraId="682D7C8F"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6EEAAC" w14:textId="77777777" w:rsidR="00940332" w:rsidRPr="00D16A97" w:rsidRDefault="00940332" w:rsidP="00192D14">
            <w:pPr>
              <w:pStyle w:val="TableText0"/>
              <w:rPr>
                <w:b/>
              </w:rPr>
            </w:pPr>
            <w:r w:rsidRPr="00D16A97">
              <w:rPr>
                <w:rFonts w:eastAsia="MS Gothic" w:cs="Times New Roman"/>
                <w:b/>
                <w:i/>
                <w:iCs/>
              </w:rPr>
              <w:lastRenderedPageBreak/>
              <w:t>Prescribing instructions:</w:t>
            </w:r>
          </w:p>
        </w:tc>
      </w:tr>
      <w:tr w:rsidR="00940332" w:rsidRPr="00D16A97" w14:paraId="360D5907"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4105D01" w14:textId="77777777" w:rsidR="00940332" w:rsidRPr="00D16A97" w:rsidRDefault="00940332" w:rsidP="00192D14">
            <w:pPr>
              <w:pStyle w:val="TableText0"/>
              <w:keepNext w:val="0"/>
              <w:rPr>
                <w:rFonts w:eastAsia="MS Gothic" w:cs="Times New Roman"/>
                <w:i/>
                <w:iCs/>
              </w:rPr>
            </w:pPr>
            <w:r w:rsidRPr="00D16A97">
              <w:rPr>
                <w:rFonts w:eastAsia="MS Gothic" w:cs="Times New Roman"/>
                <w:i/>
                <w:iCs/>
              </w:rPr>
              <w:t xml:space="preserve">For the purpose of administering this restriction, the contraindications to nirmatrelvir (&amp;) ritonavir can be found using the Liverpool COVID-19 Drug interaction checker or the </w:t>
            </w:r>
            <w:r w:rsidRPr="00D16A97">
              <w:rPr>
                <w:i/>
                <w:iCs/>
              </w:rPr>
              <w:t>TGA-approved Product Information for Paxlovid</w:t>
            </w:r>
            <w:r w:rsidRPr="00D16A97">
              <w:rPr>
                <w:rFonts w:eastAsia="MS Gothic" w:cs="Times New Roman"/>
                <w:i/>
                <w:iCs/>
              </w:rPr>
              <w:t xml:space="preserve">. </w:t>
            </w:r>
          </w:p>
          <w:p w14:paraId="72CCCE25" w14:textId="77777777" w:rsidR="00940332" w:rsidRPr="00D16A97" w:rsidRDefault="00940332" w:rsidP="00192D14">
            <w:pPr>
              <w:pStyle w:val="TableText0"/>
              <w:keepNext w:val="0"/>
            </w:pPr>
            <w:r w:rsidRPr="00D16A97">
              <w:rPr>
                <w:rFonts w:eastAsia="MS Gothic" w:cs="Times New Roman"/>
                <w:i/>
                <w:iCs/>
              </w:rPr>
              <w:t>Details/reasons of contraindications to nirmatrelvir (&amp;) ritonavir must be documented in the patient’s medical records.</w:t>
            </w:r>
          </w:p>
        </w:tc>
      </w:tr>
      <w:tr w:rsidR="00940332" w:rsidRPr="00D16A97" w14:paraId="30E67700"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91D377D" w14:textId="77777777" w:rsidR="00940332" w:rsidRPr="00D16A97" w:rsidRDefault="00940332" w:rsidP="00192D14">
            <w:pPr>
              <w:pStyle w:val="TableText0"/>
              <w:keepNext w:val="0"/>
              <w:rPr>
                <w:b/>
                <w:bCs w:val="0"/>
              </w:rPr>
            </w:pPr>
            <w:r w:rsidRPr="00D16A97">
              <w:rPr>
                <w:rFonts w:eastAsia="MS Gothic" w:cs="Times New Roman"/>
                <w:b/>
                <w:i/>
                <w:iCs/>
              </w:rPr>
              <w:t>Administrative advice:</w:t>
            </w:r>
          </w:p>
        </w:tc>
      </w:tr>
      <w:tr w:rsidR="00940332" w:rsidRPr="00D16A97" w14:paraId="2869A9F9"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4700482" w14:textId="77777777" w:rsidR="00940332" w:rsidRPr="00D16A97" w:rsidRDefault="00940332" w:rsidP="00192D14">
            <w:pPr>
              <w:pStyle w:val="TableText0"/>
              <w:keepNext w:val="0"/>
            </w:pPr>
            <w:r w:rsidRPr="00D16A97">
              <w:rPr>
                <w:rFonts w:eastAsia="MS Gothic" w:cs="Times New Roman"/>
                <w:i/>
                <w:iCs/>
              </w:rPr>
              <w:t xml:space="preserve">Details of the Liverpool COVID-19 Drug interaction checker can be found at: </w:t>
            </w:r>
            <w:hyperlink r:id="rId30" w:history="1">
              <w:r w:rsidRPr="00D16A97">
                <w:rPr>
                  <w:rStyle w:val="Hyperlink"/>
                  <w:rFonts w:eastAsia="MS Gothic" w:cs="Times New Roman"/>
                  <w:i/>
                  <w:iCs/>
                </w:rPr>
                <w:t>https://www.covid19-druginteractions.org/checker</w:t>
              </w:r>
            </w:hyperlink>
            <w:r w:rsidRPr="00D16A97">
              <w:rPr>
                <w:rFonts w:eastAsia="MS Gothic" w:cs="Times New Roman"/>
                <w:i/>
                <w:iCs/>
              </w:rPr>
              <w:t xml:space="preserve"> </w:t>
            </w:r>
          </w:p>
        </w:tc>
      </w:tr>
      <w:tr w:rsidR="00940332" w:rsidRPr="00D16A97" w14:paraId="3EDE4F99"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8AA7884" w14:textId="77777777" w:rsidR="00940332" w:rsidRPr="00D16A97" w:rsidRDefault="00940332" w:rsidP="00192D14">
            <w:pPr>
              <w:pStyle w:val="TableText0"/>
              <w:keepNext w:val="0"/>
              <w:rPr>
                <w:b/>
                <w:bCs w:val="0"/>
              </w:rPr>
            </w:pPr>
            <w:r w:rsidRPr="00D16A97">
              <w:rPr>
                <w:b/>
                <w:bCs w:val="0"/>
              </w:rPr>
              <w:t>Clinical criteria:</w:t>
            </w:r>
          </w:p>
        </w:tc>
      </w:tr>
      <w:tr w:rsidR="00940332" w:rsidRPr="00D16A97" w14:paraId="4C8F1A62"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1A06CEE" w14:textId="77777777" w:rsidR="00940332" w:rsidRPr="00D16A97" w:rsidRDefault="00940332" w:rsidP="00192D14">
            <w:pPr>
              <w:pStyle w:val="Tabletext"/>
              <w:rPr>
                <w:b/>
                <w:strike/>
                <w:color w:val="FF0000"/>
              </w:rPr>
            </w:pPr>
            <w:r w:rsidRPr="00D16A97">
              <w:rPr>
                <w:strike/>
                <w:color w:val="FF0000"/>
              </w:rPr>
              <w:t xml:space="preserve">This drug should be considered for use only if nirmatrelvir (&amp;) ritonavir is contraindicated or otherwise unsuitable </w:t>
            </w:r>
            <w:r w:rsidRPr="00D16A97">
              <w:rPr>
                <w:b/>
                <w:strike/>
                <w:color w:val="FF0000"/>
              </w:rPr>
              <w:t>AND</w:t>
            </w:r>
          </w:p>
          <w:p w14:paraId="327FEA30" w14:textId="77777777" w:rsidR="00940332" w:rsidRPr="00D16A97" w:rsidRDefault="00940332" w:rsidP="00192D14">
            <w:pPr>
              <w:pStyle w:val="Tabletext"/>
              <w:rPr>
                <w:color w:val="FF0000"/>
              </w:rPr>
            </w:pPr>
            <w:r w:rsidRPr="00D16A97">
              <w:rPr>
                <w:iCs/>
                <w:color w:val="FF0000"/>
                <w:szCs w:val="20"/>
              </w:rPr>
              <w:t xml:space="preserve">The treatment must be for use when nirmatrelvir (&amp;) ritonavir is </w:t>
            </w:r>
            <w:r w:rsidRPr="00D16A97">
              <w:rPr>
                <w:iCs/>
                <w:strike/>
                <w:color w:val="FF0000"/>
                <w:szCs w:val="20"/>
              </w:rPr>
              <w:t>either (i)</w:t>
            </w:r>
            <w:r w:rsidRPr="00D16A97">
              <w:rPr>
                <w:iCs/>
                <w:color w:val="FF0000"/>
                <w:szCs w:val="20"/>
              </w:rPr>
              <w:t xml:space="preserve"> contraindicated</w:t>
            </w:r>
            <w:r w:rsidRPr="00D16A97">
              <w:rPr>
                <w:iCs/>
                <w:strike/>
                <w:color w:val="FF0000"/>
                <w:szCs w:val="20"/>
              </w:rPr>
              <w:t xml:space="preserve">, (ii) otherwise unsuitable </w:t>
            </w:r>
            <w:r w:rsidRPr="00D16A97">
              <w:rPr>
                <w:b/>
                <w:bCs/>
                <w:iCs/>
                <w:strike/>
                <w:color w:val="FF0000"/>
                <w:szCs w:val="20"/>
              </w:rPr>
              <w:t>AND</w:t>
            </w:r>
          </w:p>
          <w:p w14:paraId="7047F380" w14:textId="77777777" w:rsidR="00940332" w:rsidRPr="00D16A97" w:rsidRDefault="00940332" w:rsidP="00192D14">
            <w:pPr>
              <w:pStyle w:val="TableText0"/>
              <w:keepNext w:val="0"/>
            </w:pPr>
            <w:r w:rsidRPr="00D16A97">
              <w:t>Patient must have received a positive polymerase chain reaction (PCR) test result; OR</w:t>
            </w:r>
          </w:p>
          <w:p w14:paraId="13555AF5" w14:textId="77777777" w:rsidR="00940332" w:rsidRPr="00D16A97" w:rsidRDefault="00940332" w:rsidP="00192D14">
            <w:pPr>
              <w:pStyle w:val="TableText0"/>
              <w:keepNext w:val="0"/>
            </w:pPr>
            <w:r w:rsidRPr="00D16A97">
              <w:t>Patient must have received a positive rapid antigen test (RAT) result,</w:t>
            </w:r>
          </w:p>
        </w:tc>
      </w:tr>
      <w:tr w:rsidR="00940332" w:rsidRPr="00D16A97" w14:paraId="314A2383"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8F3EFFA" w14:textId="77777777" w:rsidR="00940332" w:rsidRPr="00D16A97" w:rsidRDefault="00940332" w:rsidP="00192D14">
            <w:pPr>
              <w:pStyle w:val="TableText0"/>
              <w:keepNext w:val="0"/>
              <w:rPr>
                <w:b/>
                <w:bCs w:val="0"/>
              </w:rPr>
            </w:pPr>
            <w:r w:rsidRPr="00D16A97">
              <w:rPr>
                <w:b/>
                <w:bCs w:val="0"/>
              </w:rPr>
              <w:t>AND</w:t>
            </w:r>
          </w:p>
        </w:tc>
      </w:tr>
      <w:tr w:rsidR="00940332" w:rsidRPr="00D16A97" w14:paraId="50E87DC8"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4411C54" w14:textId="77777777" w:rsidR="00940332" w:rsidRPr="00D16A97" w:rsidRDefault="00940332" w:rsidP="00192D14">
            <w:pPr>
              <w:pStyle w:val="TableText0"/>
              <w:keepNext w:val="0"/>
            </w:pPr>
            <w:r w:rsidRPr="00D16A97">
              <w:t>Patient must have at least one sign or symptom attributable to COVID-19,</w:t>
            </w:r>
          </w:p>
        </w:tc>
      </w:tr>
      <w:tr w:rsidR="00940332" w:rsidRPr="00D16A97" w14:paraId="4692BBEF"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22E5580" w14:textId="77777777" w:rsidR="00940332" w:rsidRPr="00D16A97" w:rsidRDefault="00940332" w:rsidP="00192D14">
            <w:pPr>
              <w:pStyle w:val="TableText0"/>
              <w:keepNext w:val="0"/>
              <w:rPr>
                <w:b/>
                <w:bCs w:val="0"/>
              </w:rPr>
            </w:pPr>
            <w:r w:rsidRPr="00D16A97">
              <w:rPr>
                <w:b/>
                <w:bCs w:val="0"/>
              </w:rPr>
              <w:t>AND</w:t>
            </w:r>
          </w:p>
        </w:tc>
      </w:tr>
      <w:tr w:rsidR="00940332" w:rsidRPr="00D16A97" w14:paraId="75AD6A71"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408EA8" w14:textId="77777777" w:rsidR="00940332" w:rsidRPr="00D16A97" w:rsidRDefault="00940332" w:rsidP="00192D14">
            <w:pPr>
              <w:pStyle w:val="TableText0"/>
              <w:keepNext w:val="0"/>
            </w:pPr>
            <w:r w:rsidRPr="00D16A97">
              <w:t>Patient must not require hospitalisation for COVID-19 infection at the time of prescribing,</w:t>
            </w:r>
          </w:p>
        </w:tc>
      </w:tr>
      <w:tr w:rsidR="00940332" w:rsidRPr="00D16A97" w14:paraId="6639FA9F"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8D95FB9" w14:textId="77777777" w:rsidR="00940332" w:rsidRPr="00D16A97" w:rsidRDefault="00940332" w:rsidP="00192D14">
            <w:pPr>
              <w:pStyle w:val="TableText0"/>
              <w:keepNext w:val="0"/>
              <w:rPr>
                <w:b/>
                <w:bCs w:val="0"/>
              </w:rPr>
            </w:pPr>
            <w:r w:rsidRPr="00D16A97">
              <w:rPr>
                <w:b/>
                <w:bCs w:val="0"/>
              </w:rPr>
              <w:t>AND</w:t>
            </w:r>
          </w:p>
        </w:tc>
      </w:tr>
      <w:tr w:rsidR="00940332" w:rsidRPr="00D16A97" w14:paraId="01FF5451"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9508B5D" w14:textId="77777777" w:rsidR="00940332" w:rsidRPr="00D16A97" w:rsidRDefault="00940332" w:rsidP="00192D14">
            <w:pPr>
              <w:pStyle w:val="TableText0"/>
              <w:keepNext w:val="0"/>
            </w:pPr>
            <w:r w:rsidRPr="00D16A97">
              <w:t>The treatment must be initiated within 5 days of symptom onset.</w:t>
            </w:r>
          </w:p>
        </w:tc>
      </w:tr>
      <w:tr w:rsidR="00940332" w:rsidRPr="00D16A97" w14:paraId="622B3971"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B525F9F" w14:textId="77777777" w:rsidR="00940332" w:rsidRPr="00D16A97" w:rsidRDefault="00940332" w:rsidP="00192D14">
            <w:pPr>
              <w:pStyle w:val="TableText0"/>
              <w:keepNext w:val="0"/>
              <w:rPr>
                <w:b/>
                <w:bCs w:val="0"/>
              </w:rPr>
            </w:pPr>
            <w:r w:rsidRPr="00D16A97">
              <w:rPr>
                <w:b/>
                <w:bCs w:val="0"/>
              </w:rPr>
              <w:t>Population criteria:</w:t>
            </w:r>
          </w:p>
        </w:tc>
      </w:tr>
      <w:tr w:rsidR="00940332" w:rsidRPr="00D16A97" w14:paraId="696CAF2E"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F479D5C" w14:textId="77777777" w:rsidR="00940332" w:rsidRPr="00D16A97" w:rsidRDefault="00940332" w:rsidP="00192D14">
            <w:pPr>
              <w:pStyle w:val="TableText0"/>
              <w:keepNext w:val="0"/>
            </w:pPr>
            <w:r w:rsidRPr="00D16A97">
              <w:t xml:space="preserve">Patient must be both: (i) at least 50 years of age, (ii) at high risk. </w:t>
            </w:r>
          </w:p>
        </w:tc>
      </w:tr>
      <w:tr w:rsidR="00940332" w:rsidRPr="00D16A97" w14:paraId="532BAA14"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98972F9" w14:textId="77777777" w:rsidR="00940332" w:rsidRPr="00D16A97" w:rsidRDefault="00940332" w:rsidP="00192D14">
            <w:pPr>
              <w:pStyle w:val="TableText0"/>
              <w:keepNext w:val="0"/>
            </w:pPr>
            <w:r w:rsidRPr="00D16A97">
              <w:t>For the purpose of administering this restriction, high risk is defined as either a past COVID-19 infection episode resulting in hospitalisation, or the presence of at least two of the following conditions:</w:t>
            </w:r>
          </w:p>
          <w:p w14:paraId="790C6636" w14:textId="77777777" w:rsidR="00940332" w:rsidRPr="00D16A97" w:rsidRDefault="00940332" w:rsidP="00940332">
            <w:pPr>
              <w:pStyle w:val="TableText0"/>
              <w:keepNext w:val="0"/>
              <w:numPr>
                <w:ilvl w:val="0"/>
                <w:numId w:val="34"/>
              </w:numPr>
            </w:pPr>
            <w:r w:rsidRPr="00D16A97">
              <w:t>The patient is in residential aged care,</w:t>
            </w:r>
          </w:p>
          <w:p w14:paraId="6BBA28D0" w14:textId="77777777" w:rsidR="00940332" w:rsidRPr="00D16A97" w:rsidRDefault="00940332" w:rsidP="00940332">
            <w:pPr>
              <w:pStyle w:val="TableText0"/>
              <w:keepNext w:val="0"/>
              <w:numPr>
                <w:ilvl w:val="0"/>
                <w:numId w:val="34"/>
              </w:numPr>
            </w:pPr>
            <w:r w:rsidRPr="00D16A97">
              <w:t>The patient has disability with multiple comorbidities and/or frailty,</w:t>
            </w:r>
          </w:p>
          <w:p w14:paraId="5FBCB5DC" w14:textId="77777777" w:rsidR="00940332" w:rsidRPr="00D16A97" w:rsidRDefault="00940332" w:rsidP="00940332">
            <w:pPr>
              <w:pStyle w:val="TableText0"/>
              <w:keepNext w:val="0"/>
              <w:numPr>
                <w:ilvl w:val="0"/>
                <w:numId w:val="34"/>
              </w:numPr>
            </w:pPr>
            <w:r w:rsidRPr="00D16A97">
              <w:t>Neurological conditions, including stroke and dementia and demyelinating conditions,</w:t>
            </w:r>
          </w:p>
          <w:p w14:paraId="6599B454" w14:textId="77777777" w:rsidR="00940332" w:rsidRPr="00D16A97" w:rsidRDefault="00940332" w:rsidP="00940332">
            <w:pPr>
              <w:pStyle w:val="TableText0"/>
              <w:keepNext w:val="0"/>
              <w:numPr>
                <w:ilvl w:val="0"/>
                <w:numId w:val="34"/>
              </w:numPr>
            </w:pPr>
            <w:r w:rsidRPr="00D16A97">
              <w:t>Respiratory compromise, including COPD, moderate or severe asthma (required inhaled steroids), and bronchiectasis, or caused by neurological or musculoskeletal disease,</w:t>
            </w:r>
          </w:p>
          <w:p w14:paraId="54A7DA93" w14:textId="77777777" w:rsidR="00940332" w:rsidRPr="00D16A97" w:rsidRDefault="00940332" w:rsidP="00940332">
            <w:pPr>
              <w:pStyle w:val="TableText0"/>
              <w:keepNext w:val="0"/>
              <w:numPr>
                <w:ilvl w:val="0"/>
                <w:numId w:val="34"/>
              </w:numPr>
            </w:pPr>
            <w:r w:rsidRPr="00D16A97">
              <w:t>Heart failure, coronary artery disease, cardiomyopathies,</w:t>
            </w:r>
          </w:p>
          <w:p w14:paraId="46790DFF" w14:textId="77777777" w:rsidR="00940332" w:rsidRPr="00D16A97" w:rsidRDefault="00940332" w:rsidP="00940332">
            <w:pPr>
              <w:pStyle w:val="TableText0"/>
              <w:keepNext w:val="0"/>
              <w:numPr>
                <w:ilvl w:val="0"/>
                <w:numId w:val="34"/>
              </w:numPr>
            </w:pPr>
            <w:r w:rsidRPr="00D16A97">
              <w:t>Obesity (BMI greater than 30 kg/m</w:t>
            </w:r>
            <w:r w:rsidRPr="00D16A97">
              <w:rPr>
                <w:vertAlign w:val="superscript"/>
              </w:rPr>
              <w:t>2</w:t>
            </w:r>
            <w:r w:rsidRPr="00D16A97">
              <w:t>),</w:t>
            </w:r>
          </w:p>
          <w:p w14:paraId="2D1ACC40" w14:textId="77777777" w:rsidR="00940332" w:rsidRPr="00D16A97" w:rsidRDefault="00940332" w:rsidP="00940332">
            <w:pPr>
              <w:pStyle w:val="TableText0"/>
              <w:keepNext w:val="0"/>
              <w:numPr>
                <w:ilvl w:val="0"/>
                <w:numId w:val="34"/>
              </w:numPr>
            </w:pPr>
            <w:r w:rsidRPr="00D16A97">
              <w:t>Diabetes type I or II, requiring medication for glycaemic control,</w:t>
            </w:r>
          </w:p>
          <w:p w14:paraId="781A7A34" w14:textId="77777777" w:rsidR="00940332" w:rsidRPr="00D16A97" w:rsidRDefault="00940332" w:rsidP="00940332">
            <w:pPr>
              <w:pStyle w:val="TableText0"/>
              <w:keepNext w:val="0"/>
              <w:numPr>
                <w:ilvl w:val="0"/>
                <w:numId w:val="34"/>
              </w:numPr>
            </w:pPr>
            <w:r w:rsidRPr="00D16A97">
              <w:t>Renal impairment (eGFR less than 60mL/min),</w:t>
            </w:r>
          </w:p>
          <w:p w14:paraId="2ACF1D9E" w14:textId="77777777" w:rsidR="00940332" w:rsidRPr="00D16A97" w:rsidRDefault="00940332" w:rsidP="00940332">
            <w:pPr>
              <w:pStyle w:val="TableText0"/>
              <w:keepNext w:val="0"/>
              <w:numPr>
                <w:ilvl w:val="0"/>
                <w:numId w:val="34"/>
              </w:numPr>
            </w:pPr>
            <w:r w:rsidRPr="00D16A97">
              <w:t>Cirrhosis, or</w:t>
            </w:r>
          </w:p>
          <w:p w14:paraId="66B012A2" w14:textId="77777777" w:rsidR="00940332" w:rsidRPr="00D16A97" w:rsidRDefault="00940332" w:rsidP="00940332">
            <w:pPr>
              <w:pStyle w:val="TableText0"/>
              <w:keepNext w:val="0"/>
              <w:numPr>
                <w:ilvl w:val="0"/>
                <w:numId w:val="34"/>
              </w:numPr>
              <w:spacing w:after="120"/>
            </w:pPr>
            <w:r w:rsidRPr="00D16A97">
              <w:t>The patient has reduced, or lack of, access to higher level healthcare and lives in an area of geographic remoteness classified by the Modified Monash Model as Category 5 or above.</w:t>
            </w:r>
          </w:p>
          <w:p w14:paraId="0BC7C1B2" w14:textId="77777777" w:rsidR="00940332" w:rsidRPr="00D16A97" w:rsidRDefault="00940332" w:rsidP="00192D14">
            <w:pPr>
              <w:pStyle w:val="TableText0"/>
              <w:keepNext w:val="0"/>
            </w:pPr>
            <w:r w:rsidRPr="00D16A97">
              <w:t>Details of the patient's medical condition necessitating use of this drug must be recorded in the patient's medical records.</w:t>
            </w:r>
          </w:p>
          <w:p w14:paraId="095E9246" w14:textId="77777777" w:rsidR="00940332" w:rsidRPr="00D16A97" w:rsidRDefault="00940332" w:rsidP="00192D14">
            <w:pPr>
              <w:pStyle w:val="TableText0"/>
              <w:keepNext w:val="0"/>
            </w:pPr>
            <w:r w:rsidRPr="00D16A97">
              <w:lastRenderedPageBreak/>
              <w:t xml:space="preserve">For the purpose of administering this restriction, signs or symptoms attributable to COVID-19 </w:t>
            </w:r>
            <w:proofErr w:type="gramStart"/>
            <w:r w:rsidRPr="00D16A97">
              <w:t>are:</w:t>
            </w:r>
            <w:proofErr w:type="gramEnd"/>
            <w:r w:rsidRPr="00D16A97">
              <w:t xml:space="preserve"> fever greater than 38 degrees Celsius, chills, cough, sore throat, shortness of breath or difficulty breathing with exertion, fatigue, nasal congestion, runny nose, headache, muscle or body aches, nausea, vomiting, diarrhea, loss of taste, loss of smell.</w:t>
            </w:r>
          </w:p>
          <w:p w14:paraId="0C1E3B49" w14:textId="77777777" w:rsidR="00940332" w:rsidRPr="00D16A97" w:rsidRDefault="00940332" w:rsidP="00192D14">
            <w:pPr>
              <w:pStyle w:val="TableText0"/>
              <w:keepNext w:val="0"/>
            </w:pPr>
            <w:r w:rsidRPr="00D16A97">
              <w:t>Access to this drug through this restriction is permitted irrespective of vaccination status.</w:t>
            </w:r>
          </w:p>
          <w:p w14:paraId="7ED5074E" w14:textId="77777777" w:rsidR="00940332" w:rsidRPr="00D16A97" w:rsidRDefault="00940332" w:rsidP="00192D14">
            <w:pPr>
              <w:pStyle w:val="TableText0"/>
              <w:keepNext w:val="0"/>
            </w:pPr>
            <w:r w:rsidRPr="00D16A97">
              <w:t>Where PCR is used to confirm diagnosis, the result, testing date, location and test provider must be recorded on the patient record.</w:t>
            </w:r>
          </w:p>
          <w:p w14:paraId="4D86267C" w14:textId="77777777" w:rsidR="00940332" w:rsidRPr="00D16A97" w:rsidRDefault="00940332" w:rsidP="00192D14">
            <w:pPr>
              <w:pStyle w:val="TableText0"/>
              <w:keepNext w:val="0"/>
            </w:pPr>
            <w:r w:rsidRPr="00D16A97">
              <w:t>Where a RAT is used to confirm diagnosis, available information about the test result, testing date, location and test provider (where relevant) must be recorded on the patient record.</w:t>
            </w:r>
          </w:p>
          <w:p w14:paraId="2E7F334C" w14:textId="77777777" w:rsidR="00940332" w:rsidRPr="00D16A97" w:rsidRDefault="00940332" w:rsidP="00192D14">
            <w:pPr>
              <w:pStyle w:val="TableText0"/>
              <w:keepNext w:val="0"/>
            </w:pPr>
            <w:r w:rsidRPr="00D16A97">
              <w:t>This drug is not PBS-subsidised for pre-exposure or post-exposure prophylaxis for the prevention of SARS-CoV-2 infection.</w:t>
            </w:r>
          </w:p>
          <w:p w14:paraId="60DFB2B0" w14:textId="77777777" w:rsidR="00940332" w:rsidRPr="00D16A97" w:rsidRDefault="00940332" w:rsidP="00192D14">
            <w:pPr>
              <w:pStyle w:val="TableText0"/>
              <w:keepNext w:val="0"/>
              <w:rPr>
                <w:b/>
                <w:u w:val="single"/>
              </w:rPr>
            </w:pPr>
            <w:r w:rsidRPr="00D16A97">
              <w:rPr>
                <w:b/>
                <w:u w:val="single"/>
              </w:rPr>
              <w:t>Note</w:t>
            </w:r>
          </w:p>
          <w:p w14:paraId="00D7001B" w14:textId="77777777" w:rsidR="00940332" w:rsidRPr="00D16A97" w:rsidRDefault="00940332" w:rsidP="00192D14">
            <w:pPr>
              <w:pStyle w:val="TableText0"/>
              <w:keepNext w:val="0"/>
              <w:spacing w:after="120"/>
            </w:pPr>
            <w:r w:rsidRPr="00D16A97">
              <w:t>The Modified Monash Model categorises an area according to geographical remoteness and town size. Details can be found at: https://www.health.gov.au/health-topics/rural-health-workforce/classifications/mmm</w:t>
            </w:r>
          </w:p>
        </w:tc>
      </w:tr>
      <w:tr w:rsidR="00940332" w:rsidRPr="00D16A97" w14:paraId="2C069E99"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D28A9CB" w14:textId="77777777" w:rsidR="00940332" w:rsidRPr="00D16A97" w:rsidRDefault="00940332" w:rsidP="00192D14">
            <w:pPr>
              <w:pStyle w:val="TableText0"/>
            </w:pPr>
            <w:r w:rsidRPr="00D16A97">
              <w:rPr>
                <w:rFonts w:eastAsia="MS Gothic" w:cs="Times New Roman"/>
                <w:b/>
                <w:i/>
                <w:iCs/>
              </w:rPr>
              <w:lastRenderedPageBreak/>
              <w:t>Prescribing instructions:</w:t>
            </w:r>
          </w:p>
        </w:tc>
      </w:tr>
      <w:tr w:rsidR="00940332" w:rsidRPr="00D16A97" w14:paraId="7983A016"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4FF22DC" w14:textId="77777777" w:rsidR="00940332" w:rsidRPr="00D16A97" w:rsidRDefault="00940332" w:rsidP="00192D14">
            <w:pPr>
              <w:pStyle w:val="TableText0"/>
              <w:keepNext w:val="0"/>
              <w:rPr>
                <w:rFonts w:eastAsia="MS Gothic" w:cs="Times New Roman"/>
                <w:i/>
                <w:iCs/>
              </w:rPr>
            </w:pPr>
            <w:r w:rsidRPr="00D16A97">
              <w:rPr>
                <w:rFonts w:eastAsia="MS Gothic" w:cs="Times New Roman"/>
                <w:i/>
                <w:iCs/>
              </w:rPr>
              <w:t xml:space="preserve">For the purpose of administering this restriction, the contraindications to nirmatrelvir (&amp;) ritonavir can be found using the Liverpool COVID-19 Drug interaction checker or the </w:t>
            </w:r>
            <w:r w:rsidRPr="00D16A97">
              <w:rPr>
                <w:i/>
                <w:iCs/>
              </w:rPr>
              <w:t>TGA-approved Product Information for Paxlovid</w:t>
            </w:r>
            <w:r w:rsidRPr="00D16A97">
              <w:rPr>
                <w:rFonts w:eastAsia="MS Gothic" w:cs="Times New Roman"/>
                <w:i/>
                <w:iCs/>
              </w:rPr>
              <w:t xml:space="preserve">. </w:t>
            </w:r>
          </w:p>
          <w:p w14:paraId="1AE90C25" w14:textId="77777777" w:rsidR="00940332" w:rsidRPr="00D16A97" w:rsidRDefault="00940332" w:rsidP="00192D14">
            <w:pPr>
              <w:pStyle w:val="TableText0"/>
              <w:keepNext w:val="0"/>
              <w:rPr>
                <w:rFonts w:eastAsia="MS Gothic" w:cs="Times New Roman"/>
                <w:b/>
                <w:i/>
                <w:iCs/>
              </w:rPr>
            </w:pPr>
            <w:r w:rsidRPr="00D16A97">
              <w:rPr>
                <w:rFonts w:eastAsia="MS Gothic" w:cs="Times New Roman"/>
                <w:i/>
                <w:iCs/>
              </w:rPr>
              <w:t>Details/reasons of contraindications to nirmatrelvir (&amp;) ritonavir must be documented in the patient’s medical records.</w:t>
            </w:r>
          </w:p>
        </w:tc>
      </w:tr>
      <w:tr w:rsidR="00940332" w:rsidRPr="00D16A97" w14:paraId="4CD838EA"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9A1521F" w14:textId="77777777" w:rsidR="00940332" w:rsidRPr="00D16A97" w:rsidRDefault="00940332" w:rsidP="00192D14">
            <w:pPr>
              <w:pStyle w:val="TableText0"/>
              <w:keepNext w:val="0"/>
              <w:rPr>
                <w:rFonts w:eastAsia="MS Gothic" w:cs="Times New Roman"/>
                <w:i/>
                <w:iCs/>
              </w:rPr>
            </w:pPr>
            <w:r w:rsidRPr="00D16A97">
              <w:rPr>
                <w:rFonts w:eastAsia="MS Gothic" w:cs="Times New Roman"/>
                <w:b/>
                <w:i/>
                <w:iCs/>
              </w:rPr>
              <w:t>Administrative advice:</w:t>
            </w:r>
          </w:p>
        </w:tc>
      </w:tr>
      <w:tr w:rsidR="00940332" w:rsidRPr="00D16A97" w14:paraId="5A9ACBE7" w14:textId="77777777" w:rsidTr="00192D14">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E0C580E" w14:textId="77777777" w:rsidR="00940332" w:rsidRPr="00D16A97" w:rsidRDefault="00940332" w:rsidP="00192D14">
            <w:pPr>
              <w:pStyle w:val="TableText0"/>
              <w:keepNext w:val="0"/>
              <w:rPr>
                <w:rFonts w:eastAsia="MS Gothic" w:cs="Times New Roman"/>
                <w:b/>
                <w:i/>
                <w:iCs/>
              </w:rPr>
            </w:pPr>
            <w:r w:rsidRPr="00D16A97">
              <w:rPr>
                <w:rFonts w:eastAsia="MS Gothic" w:cs="Times New Roman"/>
                <w:i/>
                <w:iCs/>
              </w:rPr>
              <w:t xml:space="preserve">Details of the Liverpool COVID-19 Drug interaction checker can be found at: </w:t>
            </w:r>
            <w:hyperlink r:id="rId31" w:history="1">
              <w:r w:rsidRPr="00D16A97">
                <w:rPr>
                  <w:rStyle w:val="Hyperlink"/>
                  <w:rFonts w:eastAsia="MS Gothic" w:cs="Times New Roman"/>
                  <w:i/>
                  <w:iCs/>
                </w:rPr>
                <w:t>https://www.covid19-druginteractions.org/checker</w:t>
              </w:r>
            </w:hyperlink>
            <w:r w:rsidRPr="00D16A97">
              <w:rPr>
                <w:rFonts w:eastAsia="MS Gothic" w:cs="Times New Roman"/>
                <w:i/>
                <w:iCs/>
              </w:rPr>
              <w:t xml:space="preserve"> </w:t>
            </w:r>
          </w:p>
        </w:tc>
      </w:tr>
    </w:tbl>
    <w:p w14:paraId="0AAA465D" w14:textId="341E0955" w:rsidR="00940332" w:rsidRPr="009769C8" w:rsidRDefault="00940332" w:rsidP="00872953">
      <w:pPr>
        <w:spacing w:before="120"/>
        <w:jc w:val="left"/>
        <w:rPr>
          <w:b/>
          <w:i/>
        </w:rPr>
      </w:pPr>
      <w:r w:rsidRPr="00D16A97">
        <w:rPr>
          <w:b/>
          <w:i/>
        </w:rPr>
        <w:t>This restriction may be subject to further review. Should there be any changes made to the restriction the sponsor will be informed.</w:t>
      </w:r>
      <w:bookmarkEnd w:id="160"/>
      <w:bookmarkEnd w:id="161"/>
    </w:p>
    <w:p w14:paraId="5DB55260" w14:textId="77777777" w:rsidR="009769C8" w:rsidRDefault="009769C8" w:rsidP="009769C8">
      <w:pPr>
        <w:pStyle w:val="2-SectionHeading"/>
        <w:numPr>
          <w:ilvl w:val="0"/>
          <w:numId w:val="1"/>
        </w:numPr>
        <w:rPr>
          <w:bCs/>
          <w:lang w:val="en-GB"/>
        </w:rPr>
      </w:pPr>
      <w:r w:rsidRPr="00C07617">
        <w:t>Context for Decision</w:t>
      </w:r>
    </w:p>
    <w:p w14:paraId="10260631" w14:textId="77777777" w:rsidR="009769C8" w:rsidRPr="00311EEF" w:rsidRDefault="009769C8" w:rsidP="009769C8">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p w14:paraId="1DC84D0F" w14:textId="2DF79D99" w:rsidR="009769C8" w:rsidRPr="00311EEF" w:rsidRDefault="009769C8" w:rsidP="009769C8">
      <w:pPr>
        <w:pStyle w:val="2-SectionHeading"/>
        <w:numPr>
          <w:ilvl w:val="0"/>
          <w:numId w:val="1"/>
        </w:numPr>
      </w:pPr>
      <w:r w:rsidRPr="00311EEF">
        <w:t>Sponsor’s Comment</w:t>
      </w:r>
    </w:p>
    <w:p w14:paraId="3EDBF469" w14:textId="77845BD1" w:rsidR="000E24E6" w:rsidRPr="000B527B" w:rsidRDefault="000B527B" w:rsidP="000B527B">
      <w:pPr>
        <w:spacing w:after="120"/>
        <w:ind w:left="720"/>
        <w:rPr>
          <w:rFonts w:asciiTheme="minorHAnsi" w:hAnsiTheme="minorHAnsi"/>
          <w:bCs/>
          <w:lang w:val="en-GB"/>
        </w:rPr>
      </w:pPr>
      <w:r w:rsidRPr="000B527B">
        <w:rPr>
          <w:rFonts w:asciiTheme="minorHAnsi" w:hAnsiTheme="minorHAnsi"/>
          <w:bCs/>
          <w:lang w:val="en-GB"/>
        </w:rPr>
        <w:t>MSD will endeavour to work with the PBAC to ensure molnupiravir continues to be available for vulnerable COVID - positive patients who are contraindicated to other antivirals.</w:t>
      </w:r>
      <w:bookmarkEnd w:id="100"/>
      <w:bookmarkEnd w:id="101"/>
    </w:p>
    <w:sectPr w:rsidR="000E24E6" w:rsidRPr="000B527B" w:rsidSect="00177F3D">
      <w:headerReference w:type="even" r:id="rId32"/>
      <w:headerReference w:type="default" r:id="rId33"/>
      <w:footerReference w:type="even" r:id="rId34"/>
      <w:footerReference w:type="default" r:id="rId35"/>
      <w:headerReference w:type="first" r:id="rId36"/>
      <w:footerReference w:type="first" r:id="rId3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EC1B" w14:textId="77777777" w:rsidR="00D70055" w:rsidRDefault="00D70055" w:rsidP="00124A51">
      <w:r>
        <w:separator/>
      </w:r>
    </w:p>
    <w:p w14:paraId="2BB5C0E5" w14:textId="77777777" w:rsidR="00D70055" w:rsidRDefault="00D70055"/>
  </w:endnote>
  <w:endnote w:type="continuationSeparator" w:id="0">
    <w:p w14:paraId="3954829E" w14:textId="77777777" w:rsidR="00D70055" w:rsidRDefault="00D70055" w:rsidP="00124A51">
      <w:r>
        <w:continuationSeparator/>
      </w:r>
    </w:p>
    <w:p w14:paraId="7A23B88B" w14:textId="77777777" w:rsidR="00D70055" w:rsidRDefault="00D70055"/>
  </w:endnote>
  <w:endnote w:type="continuationNotice" w:id="1">
    <w:p w14:paraId="072C539B" w14:textId="77777777" w:rsidR="00D70055" w:rsidRDefault="00D70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roxima Nova">
    <w:altName w:val="Tahoma"/>
    <w:panose1 w:val="00000000000000000000"/>
    <w:charset w:val="00"/>
    <w:family w:val="modern"/>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498D" w14:textId="77777777" w:rsidR="00ED2C0D" w:rsidRDefault="00ED2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D342" w14:textId="77777777" w:rsidR="00872C82" w:rsidRDefault="00872C82" w:rsidP="00177F3D">
    <w:pPr>
      <w:pStyle w:val="Footer"/>
      <w:jc w:val="center"/>
    </w:pPr>
  </w:p>
  <w:p w14:paraId="6DE66184" w14:textId="77777777" w:rsidR="00872C82" w:rsidRPr="00177F3D" w:rsidRDefault="00872C82" w:rsidP="00177F3D">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1</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A847" w14:textId="77777777" w:rsidR="00ED2C0D" w:rsidRDefault="00ED2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6007" w14:textId="77777777" w:rsidR="00D70055" w:rsidRDefault="00D70055" w:rsidP="00124A51">
      <w:r>
        <w:separator/>
      </w:r>
    </w:p>
    <w:p w14:paraId="0E5BDCF1" w14:textId="77777777" w:rsidR="00D70055" w:rsidRDefault="00D70055"/>
  </w:footnote>
  <w:footnote w:type="continuationSeparator" w:id="0">
    <w:p w14:paraId="756A1213" w14:textId="77777777" w:rsidR="00D70055" w:rsidRDefault="00D70055" w:rsidP="00124A51">
      <w:r>
        <w:continuationSeparator/>
      </w:r>
    </w:p>
    <w:p w14:paraId="014463B5" w14:textId="77777777" w:rsidR="00D70055" w:rsidRDefault="00D70055"/>
  </w:footnote>
  <w:footnote w:type="continuationNotice" w:id="1">
    <w:p w14:paraId="3C0C7B12" w14:textId="77777777" w:rsidR="00D70055" w:rsidRDefault="00D70055"/>
  </w:footnote>
  <w:footnote w:id="2">
    <w:p w14:paraId="7D7F3EF9" w14:textId="4F00C11E" w:rsidR="004A13D7" w:rsidRDefault="004A13D7">
      <w:pPr>
        <w:pStyle w:val="FootnoteText"/>
      </w:pPr>
      <w:r>
        <w:rPr>
          <w:rStyle w:val="FootnoteReference"/>
        </w:rPr>
        <w:footnoteRef/>
      </w:r>
      <w:r>
        <w:t xml:space="preserve"> </w:t>
      </w:r>
      <w:r w:rsidRPr="000B736C">
        <w:rPr>
          <w:rFonts w:ascii="Arial Narrow" w:hAnsi="Arial Narrow"/>
        </w:rPr>
        <w:t xml:space="preserve">November 2022 PBAC Outcome Statement, COVID-19 </w:t>
      </w:r>
      <w:r>
        <w:rPr>
          <w:rFonts w:ascii="Arial Narrow" w:hAnsi="Arial Narrow"/>
        </w:rPr>
        <w:t xml:space="preserve">Antiviral Restrictions, </w:t>
      </w:r>
      <w:r w:rsidRPr="000B736C">
        <w:rPr>
          <w:rFonts w:ascii="Arial Narrow" w:hAnsi="Arial Narrow"/>
        </w:rPr>
        <w:t>https://www.pbs.gov.au/industry/listing/elements/pbac-meetings/pbac-outcomes/2022-11/covid-19-oral-treatments-outcome-nov-2022.pdf</w:t>
      </w:r>
    </w:p>
  </w:footnote>
  <w:footnote w:id="3">
    <w:p w14:paraId="216454F3" w14:textId="76A3BF9E" w:rsidR="00417D9E" w:rsidRDefault="00417D9E" w:rsidP="00A36FFC">
      <w:pPr>
        <w:pStyle w:val="FootnoteText"/>
        <w:ind w:left="284" w:hanging="284"/>
      </w:pPr>
      <w:r w:rsidRPr="003D21A8">
        <w:rPr>
          <w:rStyle w:val="FootnoteReference"/>
        </w:rPr>
        <w:footnoteRef/>
      </w:r>
      <w:r>
        <w:t xml:space="preserve"> </w:t>
      </w:r>
      <w:r w:rsidR="00A36FFC">
        <w:tab/>
      </w:r>
      <w:hyperlink r:id="rId1" w:history="1">
        <w:r w:rsidR="00A36FFC" w:rsidRPr="00C434FA">
          <w:rPr>
            <w:rStyle w:val="Hyperlink"/>
          </w:rPr>
          <w:t>https://www.fda.gov/media/155054/download</w:t>
        </w:r>
      </w:hyperlink>
      <w:r w:rsidR="00A36FFC">
        <w:t xml:space="preserve"> </w:t>
      </w:r>
    </w:p>
  </w:footnote>
  <w:footnote w:id="4">
    <w:p w14:paraId="13AD402E" w14:textId="6333BD4C" w:rsidR="00514E45" w:rsidRDefault="00514E45" w:rsidP="008C1A03">
      <w:pPr>
        <w:pStyle w:val="FootnoteText"/>
        <w:ind w:left="284" w:hanging="284"/>
      </w:pPr>
      <w:r w:rsidRPr="003D21A8">
        <w:rPr>
          <w:rStyle w:val="FootnoteReference"/>
        </w:rPr>
        <w:footnoteRef/>
      </w:r>
      <w:r>
        <w:t xml:space="preserve"> </w:t>
      </w:r>
      <w:r w:rsidR="008C1A03">
        <w:tab/>
      </w:r>
      <w:hyperlink r:id="rId2" w:history="1">
        <w:r w:rsidR="00417D9E" w:rsidRPr="00C434FA">
          <w:rPr>
            <w:rStyle w:val="Hyperlink"/>
          </w:rPr>
          <w:t>https://www.ema.europa.eu/documents/smop-initial/questions-answers-refusal-marketing-authorisation-lagevrio-molnupiravir_en.pdf</w:t>
        </w:r>
      </w:hyperlink>
      <w:r w:rsidR="008C1A03">
        <w:t xml:space="preserve"> </w:t>
      </w:r>
    </w:p>
  </w:footnote>
  <w:footnote w:id="5">
    <w:p w14:paraId="1C9AEB52" w14:textId="6F717143" w:rsidR="00377099" w:rsidRDefault="00377099" w:rsidP="00377099">
      <w:pPr>
        <w:pStyle w:val="FootnoteText"/>
        <w:ind w:left="284" w:hanging="284"/>
      </w:pPr>
      <w:r>
        <w:rPr>
          <w:rStyle w:val="FootnoteReference"/>
        </w:rPr>
        <w:footnoteRef/>
      </w:r>
      <w:r>
        <w:rPr>
          <w:rStyle w:val="Hyperlink"/>
        </w:rPr>
        <w:tab/>
      </w:r>
      <w:r w:rsidRPr="00377099">
        <w:rPr>
          <w:rStyle w:val="Hyperlink"/>
        </w:rPr>
        <w:t>https://www.ema.europa.eu/en/documents/medicine-qa/questions-answers-withdrawal-application-marketing-authorisation-lagevrio-molnupiravir_en.pdf</w:t>
      </w:r>
    </w:p>
  </w:footnote>
  <w:footnote w:id="6">
    <w:p w14:paraId="327120C0" w14:textId="5B89819D" w:rsidR="00696A74" w:rsidRDefault="00696A74" w:rsidP="00CC1060">
      <w:pPr>
        <w:pStyle w:val="FootnoteText"/>
        <w:ind w:left="284" w:hanging="284"/>
      </w:pPr>
      <w:r>
        <w:rPr>
          <w:rStyle w:val="FootnoteReference"/>
        </w:rPr>
        <w:footnoteRef/>
      </w:r>
      <w:r>
        <w:t xml:space="preserve"> </w:t>
      </w:r>
      <w:r w:rsidR="00CC1060">
        <w:tab/>
      </w:r>
      <w:r w:rsidR="00CC1060" w:rsidRPr="006C50DB">
        <w:t xml:space="preserve">Kidd MR, Kelly PM. PANORAMIC: important insights into molnupiravir use in COVID-19. </w:t>
      </w:r>
      <w:r w:rsidR="00CC1060" w:rsidRPr="006C50DB">
        <w:rPr>
          <w:i/>
          <w:iCs/>
        </w:rPr>
        <w:t>Lancet.</w:t>
      </w:r>
      <w:r w:rsidR="00CC1060" w:rsidRPr="006C50DB">
        <w:t xml:space="preserve"> 2023</w:t>
      </w:r>
      <w:r w:rsidR="00CC1060">
        <w:t>;</w:t>
      </w:r>
      <w:r w:rsidR="00CC1060" w:rsidRPr="006C50DB">
        <w:t xml:space="preserve"> 401(10373):250-251</w:t>
      </w:r>
      <w:r w:rsidR="00CC1060">
        <w:t xml:space="preserve"> </w:t>
      </w:r>
      <w:hyperlink r:id="rId3" w:history="1">
        <w:r w:rsidR="00CC1060" w:rsidRPr="003E2690">
          <w:rPr>
            <w:rStyle w:val="Hyperlink"/>
          </w:rPr>
          <w:t>https://doi.org/10.1016/S0140-6736(22)02593-4</w:t>
        </w:r>
      </w:hyperlink>
    </w:p>
  </w:footnote>
  <w:footnote w:id="7">
    <w:p w14:paraId="25FE47BF" w14:textId="39801DF5" w:rsidR="00A63EFC" w:rsidRDefault="00A63EFC">
      <w:pPr>
        <w:pStyle w:val="FootnoteText"/>
      </w:pPr>
      <w:r>
        <w:rPr>
          <w:rStyle w:val="FootnoteReference"/>
        </w:rPr>
        <w:footnoteRef/>
      </w:r>
      <w:r>
        <w:t xml:space="preserve"> FDA Briefing document </w:t>
      </w:r>
      <w:r w:rsidR="00122A20">
        <w:t>March 16, 2023. Page 38</w:t>
      </w:r>
      <w:r w:rsidR="00F870EA">
        <w:t xml:space="preserve">. </w:t>
      </w:r>
      <w:hyperlink r:id="rId4" w:history="1">
        <w:r w:rsidR="00122A20" w:rsidRPr="00E15D99">
          <w:rPr>
            <w:rStyle w:val="Hyperlink"/>
          </w:rPr>
          <w:t>https://www.fda.gov/media/166197/download</w:t>
        </w:r>
      </w:hyperlink>
      <w:r>
        <w:t xml:space="preserve"> </w:t>
      </w:r>
    </w:p>
  </w:footnote>
  <w:footnote w:id="8">
    <w:p w14:paraId="0DEF2772" w14:textId="77777777" w:rsidR="00460005" w:rsidRDefault="00460005" w:rsidP="00460005">
      <w:pPr>
        <w:pStyle w:val="FootnoteText"/>
      </w:pPr>
      <w:r>
        <w:rPr>
          <w:rStyle w:val="FootnoteReference"/>
        </w:rPr>
        <w:footnoteRef/>
      </w:r>
      <w:r>
        <w:t xml:space="preserve"> Source: </w:t>
      </w:r>
      <w:r w:rsidRPr="0032102C">
        <w:t>https://clinicalevidence.net.au/wp-content/uploads/DECISION-TOOL-DT-FOR-ADULTS.pdf</w:t>
      </w:r>
    </w:p>
  </w:footnote>
  <w:footnote w:id="9">
    <w:p w14:paraId="06449077" w14:textId="77777777" w:rsidR="00460005" w:rsidRDefault="00460005" w:rsidP="00460005">
      <w:pPr>
        <w:pStyle w:val="FootnoteText"/>
      </w:pPr>
      <w:r>
        <w:rPr>
          <w:rStyle w:val="FootnoteReference"/>
        </w:rPr>
        <w:footnoteRef/>
      </w:r>
      <w:r>
        <w:t xml:space="preserve"> Source: </w:t>
      </w:r>
      <w:hyperlink r:id="rId5" w:anchor="/guideline/L4Q5An/rec/EPN8RW" w:history="1">
        <w:r w:rsidRPr="00EE5449">
          <w:rPr>
            <w:rStyle w:val="Hyperlink"/>
          </w:rPr>
          <w:t>https://app.magicapp.org/#/guideline/L4Q5An/rec/EPN8RW</w:t>
        </w:r>
      </w:hyperlink>
      <w:r>
        <w:t xml:space="preserve"> </w:t>
      </w:r>
    </w:p>
  </w:footnote>
  <w:footnote w:id="10">
    <w:p w14:paraId="1C9D184C" w14:textId="4A8A9ABE" w:rsidR="00A02980" w:rsidRDefault="00A02980">
      <w:pPr>
        <w:pStyle w:val="FootnoteText"/>
      </w:pPr>
      <w:r w:rsidRPr="00A02980">
        <w:rPr>
          <w:rStyle w:val="FootnoteReference"/>
        </w:rPr>
        <w:footnoteRef/>
      </w:r>
      <w:r w:rsidRPr="00A02980">
        <w:t xml:space="preserve"> </w:t>
      </w:r>
      <w:r w:rsidRPr="0004213A">
        <w:t>Xie Y, Choi T, Al-Aly Z. Molnupiravir and risk of post-acute sequelae of covid-19: cohort study. BMJ. 2023 Apr 25;381:e074572. doi: 10.1136/bmj-2022-074572.</w:t>
      </w:r>
    </w:p>
  </w:footnote>
  <w:footnote w:id="11">
    <w:p w14:paraId="3B9F1AF0" w14:textId="248B7CF1" w:rsidR="00A02980" w:rsidRDefault="00A02980">
      <w:pPr>
        <w:pStyle w:val="FootnoteText"/>
      </w:pPr>
      <w:r>
        <w:rPr>
          <w:rStyle w:val="FootnoteReference"/>
        </w:rPr>
        <w:footnoteRef/>
      </w:r>
      <w:r>
        <w:t xml:space="preserve"> </w:t>
      </w:r>
      <w:r w:rsidRPr="00A02980">
        <w:t>Hsu WH, Shiau BW, Tsai YW, Wu JY, Liu TH, Chuang MH, Lai CC. The effect of molnupiravir on post-acute outcome of COVID-19 survivors. J Infect. 2023 Mar 21:S0163-4453(23)00145-7. doi: 10.1016/j.jinf.2023.03.016. Epub ahead of print.</w:t>
      </w:r>
    </w:p>
  </w:footnote>
  <w:footnote w:id="12">
    <w:p w14:paraId="4C9A18D4" w14:textId="77777777" w:rsidR="008F1043" w:rsidRPr="000C42F6" w:rsidRDefault="008F1043" w:rsidP="008F1043">
      <w:pPr>
        <w:pStyle w:val="FootnoteText"/>
        <w:rPr>
          <w:rFonts w:asciiTheme="minorHAnsi" w:hAnsiTheme="minorHAnsi" w:cstheme="minorHAnsi"/>
        </w:rPr>
      </w:pPr>
      <w:r w:rsidRPr="000C42F6">
        <w:rPr>
          <w:rStyle w:val="FootnoteReference"/>
          <w:rFonts w:asciiTheme="minorHAnsi" w:hAnsiTheme="minorHAnsi" w:cstheme="minorHAnsi"/>
        </w:rPr>
        <w:footnoteRef/>
      </w:r>
      <w:r w:rsidRPr="000C42F6">
        <w:rPr>
          <w:rFonts w:asciiTheme="minorHAnsi" w:hAnsiTheme="minorHAnsi" w:cstheme="minorHAnsi"/>
        </w:rPr>
        <w:t xml:space="preserve"> </w:t>
      </w:r>
      <w:r w:rsidRPr="000C42F6">
        <w:rPr>
          <w:rFonts w:asciiTheme="minorHAnsi" w:hAnsiTheme="minorHAnsi" w:cstheme="minorHAnsi"/>
          <w:shd w:val="clear" w:color="auto" w:fill="FFFFFF"/>
        </w:rPr>
        <w:t>Van Heer, C</w:t>
      </w:r>
      <w:r>
        <w:rPr>
          <w:rFonts w:asciiTheme="minorHAnsi" w:hAnsiTheme="minorHAnsi" w:cstheme="minorHAnsi"/>
          <w:shd w:val="clear" w:color="auto" w:fill="FFFFFF"/>
        </w:rPr>
        <w:t>. et al</w:t>
      </w:r>
      <w:r w:rsidRPr="000C42F6">
        <w:rPr>
          <w:rFonts w:asciiTheme="minorHAnsi" w:hAnsiTheme="minorHAnsi" w:cstheme="minorHAnsi"/>
          <w:shd w:val="clear" w:color="auto" w:fill="FFFFFF"/>
        </w:rPr>
        <w:t>.</w:t>
      </w:r>
      <w:r>
        <w:rPr>
          <w:rFonts w:asciiTheme="minorHAnsi" w:hAnsiTheme="minorHAnsi" w:cstheme="minorHAnsi"/>
          <w:shd w:val="clear" w:color="auto" w:fill="FFFFFF"/>
        </w:rPr>
        <w:t xml:space="preserve"> (2023)</w:t>
      </w:r>
      <w:r w:rsidRPr="000C42F6">
        <w:rPr>
          <w:rFonts w:asciiTheme="minorHAnsi" w:hAnsiTheme="minorHAnsi" w:cstheme="minorHAnsi"/>
          <w:shd w:val="clear" w:color="auto" w:fill="FFFFFF"/>
        </w:rPr>
        <w:t>, Effectiveness of Community-Based Oral Antiviral Treatments Against Severe COVID-19 Outcomes in Victoria, Australia, 2022: An Observational Study. Available at SSRN: </w:t>
      </w:r>
      <w:hyperlink r:id="rId6" w:tgtFrame="_blank" w:history="1">
        <w:r w:rsidRPr="000C42F6">
          <w:rPr>
            <w:rStyle w:val="Hyperlink"/>
            <w:rFonts w:asciiTheme="minorHAnsi" w:hAnsiTheme="minorHAnsi" w:cstheme="minorHAnsi"/>
            <w:color w:val="auto"/>
            <w:shd w:val="clear" w:color="auto" w:fill="FFFFFF"/>
          </w:rPr>
          <w:t>https://ssrn.com/abstract=4495142</w:t>
        </w:r>
      </w:hyperlink>
      <w:r w:rsidRPr="000C42F6">
        <w:rPr>
          <w:rFonts w:asciiTheme="minorHAnsi" w:hAnsiTheme="minorHAnsi" w:cstheme="minorHAnsi"/>
          <w:shd w:val="clear" w:color="auto" w:fill="FFFFFF"/>
        </w:rPr>
        <w:t> or </w:t>
      </w:r>
      <w:hyperlink r:id="rId7" w:tgtFrame="_blank" w:history="1">
        <w:r w:rsidRPr="000C42F6">
          <w:rPr>
            <w:rStyle w:val="Hyperlink"/>
            <w:rFonts w:asciiTheme="minorHAnsi" w:hAnsiTheme="minorHAnsi" w:cstheme="minorHAnsi"/>
            <w:color w:val="auto"/>
            <w:shd w:val="clear" w:color="auto" w:fill="FFFFFF"/>
          </w:rPr>
          <w:t>http://dx.doi.org/10.2139/ssrn.4495142</w:t>
        </w:r>
      </w:hyperlink>
    </w:p>
  </w:footnote>
  <w:footnote w:id="13">
    <w:p w14:paraId="2EFE14C6" w14:textId="77777777" w:rsidR="00F22208" w:rsidRPr="007D304A" w:rsidRDefault="00F22208" w:rsidP="00F22208">
      <w:pPr>
        <w:pStyle w:val="FootnoteText"/>
        <w:jc w:val="left"/>
        <w:rPr>
          <w:rFonts w:ascii="Arial Narrow" w:hAnsi="Arial Narrow"/>
        </w:rPr>
      </w:pPr>
      <w:r w:rsidRPr="007D304A">
        <w:rPr>
          <w:rStyle w:val="FootnoteReference"/>
          <w:rFonts w:ascii="Arial Narrow" w:hAnsi="Arial Narrow"/>
        </w:rPr>
        <w:footnoteRef/>
      </w:r>
      <w:r w:rsidRPr="007D304A">
        <w:rPr>
          <w:rFonts w:ascii="Arial Narrow" w:hAnsi="Arial Narrow"/>
        </w:rPr>
        <w:t xml:space="preserve"> PBAC Web Outcome Statement molnupiravir February 2022, https://www.pbs.gov.au/industry/listing/elements/pbac-meetings/pbac-outcomes/out-of-session/pbac-outcome-molnupiravir-february-2022.pdf</w:t>
      </w:r>
    </w:p>
  </w:footnote>
  <w:footnote w:id="14">
    <w:p w14:paraId="646FAA86" w14:textId="77777777" w:rsidR="00F22208" w:rsidRDefault="00F22208" w:rsidP="00F22208">
      <w:pPr>
        <w:pStyle w:val="FootnoteText"/>
        <w:jc w:val="left"/>
      </w:pPr>
      <w:r w:rsidRPr="007D304A">
        <w:rPr>
          <w:rStyle w:val="FootnoteReference"/>
          <w:rFonts w:ascii="Arial Narrow" w:hAnsi="Arial Narrow"/>
        </w:rPr>
        <w:footnoteRef/>
      </w:r>
      <w:r w:rsidRPr="007D304A">
        <w:rPr>
          <w:rFonts w:ascii="Arial Narrow" w:hAnsi="Arial Narrow"/>
        </w:rPr>
        <w:t xml:space="preserve"> PBAC Web Outcome Statement nirmatrelvir and ritonavir March 2022, https://www.pbs.gov.au/industry/listing/elements/pbac-meetings/pbac-outcomes/out-of-session/pbac-web-outcome-nirmatrelvir-and-ritonavir-march-2022.pdf</w:t>
      </w:r>
    </w:p>
  </w:footnote>
  <w:footnote w:id="15">
    <w:p w14:paraId="71C9D2CC" w14:textId="77777777" w:rsidR="00E81AD7" w:rsidRDefault="00E81AD7" w:rsidP="00E81AD7">
      <w:pPr>
        <w:pStyle w:val="FootnoteText"/>
      </w:pPr>
      <w:r>
        <w:rPr>
          <w:rStyle w:val="FootnoteReference"/>
        </w:rPr>
        <w:footnoteRef/>
      </w:r>
      <w:r>
        <w:t xml:space="preserve"> </w:t>
      </w:r>
      <w:r w:rsidRPr="00E81AD7">
        <w:t>https://www.pbs.gov.au/industry/listing/elements/pbac-meetings/pbac-outcomes/2022-11/covid-19-oral-treatments-outcome-nov-2022.pdf</w:t>
      </w:r>
    </w:p>
  </w:footnote>
  <w:footnote w:id="16">
    <w:p w14:paraId="2B74F2BA" w14:textId="282447D9" w:rsidR="00D440C6" w:rsidRPr="007D304A" w:rsidRDefault="00D440C6">
      <w:pPr>
        <w:pStyle w:val="FootnoteText"/>
        <w:rPr>
          <w:rFonts w:ascii="Arial Narrow" w:hAnsi="Arial Narrow"/>
        </w:rPr>
      </w:pPr>
      <w:r w:rsidRPr="007D304A">
        <w:rPr>
          <w:rStyle w:val="FootnoteReference"/>
          <w:rFonts w:ascii="Arial Narrow" w:hAnsi="Arial Narrow"/>
        </w:rPr>
        <w:footnoteRef/>
      </w:r>
      <w:r w:rsidRPr="007D304A">
        <w:rPr>
          <w:rFonts w:ascii="Arial Narrow" w:hAnsi="Arial Narrow"/>
        </w:rPr>
        <w:t xml:space="preserve"> https://www.panoramictrial.org/</w:t>
      </w:r>
    </w:p>
  </w:footnote>
  <w:footnote w:id="17">
    <w:p w14:paraId="4CECAF95" w14:textId="201B2071" w:rsidR="00E9250E" w:rsidRDefault="00E9250E" w:rsidP="00E9250E">
      <w:pPr>
        <w:pStyle w:val="FootnoteText"/>
        <w:ind w:left="142" w:hanging="142"/>
      </w:pPr>
      <w:r>
        <w:rPr>
          <w:rStyle w:val="FootnoteReference"/>
        </w:rPr>
        <w:footnoteRef/>
      </w:r>
      <w:r>
        <w:t xml:space="preserve"> </w:t>
      </w:r>
      <w:r>
        <w:tab/>
      </w:r>
      <w:r w:rsidRPr="00E9250E">
        <w:t xml:space="preserve">Xie Y, Choi T, Al-Aly Z. Molnupiravir and risk of post-acute sequelae of </w:t>
      </w:r>
      <w:r w:rsidR="004479F0">
        <w:t>COVID</w:t>
      </w:r>
      <w:r w:rsidRPr="00E9250E">
        <w:t xml:space="preserve">-19: cohort study. </w:t>
      </w:r>
      <w:r w:rsidRPr="00E9250E">
        <w:rPr>
          <w:i/>
          <w:iCs/>
        </w:rPr>
        <w:t xml:space="preserve">BMJ. </w:t>
      </w:r>
      <w:r w:rsidRPr="00E9250E">
        <w:t xml:space="preserve">2023;381:e074572. </w:t>
      </w:r>
      <w:r w:rsidR="00C92D56" w:rsidRPr="00C92D56">
        <w:t>https://doi.org/</w:t>
      </w:r>
      <w:r w:rsidRPr="00E9250E">
        <w:t>10.1136/bmj-2022-074572</w:t>
      </w:r>
    </w:p>
  </w:footnote>
  <w:footnote w:id="18">
    <w:p w14:paraId="1573833B" w14:textId="193A5239" w:rsidR="00A30964" w:rsidRDefault="00A30964">
      <w:pPr>
        <w:pStyle w:val="FootnoteText"/>
      </w:pPr>
      <w:r>
        <w:rPr>
          <w:rStyle w:val="FootnoteReference"/>
        </w:rPr>
        <w:footnoteRef/>
      </w:r>
      <w:r>
        <w:t xml:space="preserve"> </w:t>
      </w:r>
      <w:r w:rsidRPr="00A30964">
        <w:t xml:space="preserve">Goswami </w:t>
      </w:r>
      <w:r>
        <w:t xml:space="preserve">et al. </w:t>
      </w:r>
      <w:r w:rsidRPr="00A30964">
        <w:t>Cost-Effectiveness Analysis of Molnupiravir Versus Best Supportive Care for the Treatment of Outpatient COVID-19 in Adults in the US. Pharmacoeconomics. 2022 Jul;40(7):699-714.</w:t>
      </w:r>
    </w:p>
  </w:footnote>
  <w:footnote w:id="19">
    <w:p w14:paraId="374478CB" w14:textId="7CC854DC" w:rsidR="00A30964" w:rsidRDefault="00A30964">
      <w:pPr>
        <w:pStyle w:val="FootnoteText"/>
      </w:pPr>
      <w:r>
        <w:rPr>
          <w:rStyle w:val="FootnoteReference"/>
        </w:rPr>
        <w:footnoteRef/>
      </w:r>
      <w:r>
        <w:t xml:space="preserve"> </w:t>
      </w:r>
      <w:r w:rsidRPr="00A30964">
        <w:t xml:space="preserve">Norman </w:t>
      </w:r>
      <w:r>
        <w:t>et al</w:t>
      </w:r>
      <w:r w:rsidRPr="00A30964">
        <w:t xml:space="preserve">. The Use of a Discrete Choice Experiment Including Both Duration and Dead for the Development of an EQ-5D-5L Value Set for Australia. Pharmacoeconomics. 2023 Apr;41(4):427-438. </w:t>
      </w:r>
    </w:p>
  </w:footnote>
  <w:footnote w:id="20">
    <w:p w14:paraId="31424113" w14:textId="77777777" w:rsidR="001B3E08" w:rsidRPr="00CA4A3B" w:rsidRDefault="001B3E08" w:rsidP="001B3E08">
      <w:pPr>
        <w:pStyle w:val="FootnoteText"/>
        <w:rPr>
          <w:rStyle w:val="ComfootnoteChar"/>
        </w:rPr>
      </w:pPr>
      <w:r w:rsidRPr="00A371BC">
        <w:rPr>
          <w:rStyle w:val="FootnoteReference"/>
          <w:sz w:val="18"/>
          <w:szCs w:val="18"/>
        </w:rPr>
        <w:footnoteRef/>
      </w:r>
      <w:r w:rsidRPr="00A371BC">
        <w:rPr>
          <w:sz w:val="18"/>
          <w:szCs w:val="18"/>
        </w:rPr>
        <w:t xml:space="preserve"> </w:t>
      </w:r>
      <w:r w:rsidRPr="00F74A5A">
        <w:rPr>
          <w:rStyle w:val="ComfootnoteChar"/>
        </w:rPr>
        <w:t>https://www.pbs.gov.au/industry/listing/elements/pbac-meetings/psd/2015-03/Files/ledipasvir-sofosbuvir-psd-march-2015.pdf</w:t>
      </w:r>
    </w:p>
  </w:footnote>
  <w:footnote w:id="21">
    <w:p w14:paraId="0EC931E7" w14:textId="77777777" w:rsidR="00940332" w:rsidRDefault="00940332" w:rsidP="00940332">
      <w:pPr>
        <w:pStyle w:val="FootnoteText"/>
      </w:pPr>
      <w:r>
        <w:rPr>
          <w:rStyle w:val="FootnoteReference"/>
        </w:rPr>
        <w:footnoteRef/>
      </w:r>
      <w:r>
        <w:t xml:space="preserve"> </w:t>
      </w:r>
      <w:r w:rsidRPr="00FB7BEB">
        <w:t>ATAGI Update on the COVID-19 Vaccination Program</w:t>
      </w:r>
      <w:r>
        <w:t xml:space="preserve">, published 1 September 2023. </w:t>
      </w:r>
      <w:hyperlink r:id="rId8" w:history="1">
        <w:r w:rsidRPr="00E05474">
          <w:rPr>
            <w:rStyle w:val="Hyperlink"/>
          </w:rPr>
          <w:t>https://www.health.gov.au/news/atagi-update-on-the-covid-19-vaccination-program</w:t>
        </w:r>
      </w:hyperlink>
      <w:r>
        <w:rPr>
          <w:rStyle w:val="Hyperlink"/>
        </w:rPr>
        <w:t>.</w:t>
      </w:r>
    </w:p>
  </w:footnote>
  <w:footnote w:id="22">
    <w:p w14:paraId="578C3552" w14:textId="77777777" w:rsidR="00940332" w:rsidRDefault="00940332" w:rsidP="00940332">
      <w:pPr>
        <w:pStyle w:val="FootnoteText"/>
      </w:pPr>
      <w:r>
        <w:rPr>
          <w:rStyle w:val="FootnoteReference"/>
        </w:rPr>
        <w:footnoteRef/>
      </w:r>
      <w:r>
        <w:t xml:space="preserve"> </w:t>
      </w:r>
      <w:hyperlink r:id="rId9" w:history="1">
        <w:r w:rsidRPr="00B5433B">
          <w:rPr>
            <w:rStyle w:val="Hyperlink"/>
          </w:rPr>
          <w:t>https://clinicalevidence.net.au/covid-19/</w:t>
        </w:r>
      </w:hyperlink>
      <w:r>
        <w:t>, accessed 3 October 2023.</w:t>
      </w:r>
    </w:p>
  </w:footnote>
  <w:footnote w:id="23">
    <w:p w14:paraId="38E672CA" w14:textId="77777777" w:rsidR="00940332" w:rsidRPr="001E2F48" w:rsidRDefault="00940332" w:rsidP="00940332">
      <w:pPr>
        <w:pStyle w:val="FootnoteText"/>
        <w:rPr>
          <w:rFonts w:ascii="Arial Narrow" w:hAnsi="Arial Narrow"/>
        </w:rPr>
      </w:pPr>
      <w:r>
        <w:rPr>
          <w:rStyle w:val="FootnoteReference"/>
        </w:rPr>
        <w:footnoteRef/>
      </w:r>
      <w:r>
        <w:t xml:space="preserve"> </w:t>
      </w:r>
      <w:r w:rsidRPr="001E2F48">
        <w:t xml:space="preserve">Evans A, </w:t>
      </w:r>
      <w:r>
        <w:t>et al</w:t>
      </w:r>
      <w:r w:rsidRPr="001E2F48">
        <w:t xml:space="preserve">. Real-world effectiveness of molnupiravir, nirmatrelvir-ritonavir, and sotrovimab on preventing </w:t>
      </w:r>
      <w:r w:rsidRPr="001E2F48">
        <w:rPr>
          <w:rFonts w:ascii="Arial Narrow" w:hAnsi="Arial Narrow"/>
        </w:rPr>
        <w:t>hospital admission among higher-risk patients with COVID-19 in Wales: A retrospective cohort study. J Infect. 2023 Apr;86(4):352-360. doi: 10.1016/j.jinf.2023.02.012. Epub 2023 Feb 10.</w:t>
      </w:r>
    </w:p>
  </w:footnote>
  <w:footnote w:id="24">
    <w:p w14:paraId="7BCE8DB7" w14:textId="77777777" w:rsidR="00940332" w:rsidRPr="001E2F48" w:rsidRDefault="00940332" w:rsidP="00940332">
      <w:pPr>
        <w:rPr>
          <w:rFonts w:ascii="Arial Narrow" w:hAnsi="Arial Narrow"/>
        </w:rPr>
      </w:pPr>
      <w:r w:rsidRPr="001E2F48">
        <w:rPr>
          <w:rStyle w:val="FootnoteReference"/>
          <w:rFonts w:ascii="Arial Narrow" w:hAnsi="Arial Narrow"/>
          <w:sz w:val="20"/>
          <w:szCs w:val="20"/>
        </w:rPr>
        <w:footnoteRef/>
      </w:r>
      <w:r w:rsidRPr="001E2F48">
        <w:rPr>
          <w:rFonts w:ascii="Arial Narrow" w:hAnsi="Arial Narrow"/>
          <w:sz w:val="20"/>
          <w:szCs w:val="20"/>
        </w:rPr>
        <w:t xml:space="preserve"> Cho et al, 2023, Evaluation of antiviral drugs against newly emerged SARS-CoV-2 Omicron subvariants, Antiviral Res. 2023 Jun; 214: 105609</w:t>
      </w:r>
      <w:r>
        <w:rPr>
          <w:rFonts w:ascii="Arial Narrow" w:hAnsi="Arial Narrow"/>
          <w:sz w:val="20"/>
          <w:szCs w:val="20"/>
        </w:rPr>
        <w:t xml:space="preserve">. </w:t>
      </w:r>
      <w:r w:rsidRPr="001E2F48">
        <w:rPr>
          <w:rFonts w:ascii="Arial Narrow" w:hAnsi="Arial Narrow"/>
          <w:sz w:val="20"/>
          <w:szCs w:val="20"/>
        </w:rPr>
        <w:t xml:space="preserve">Published online 2023 Apr 20. </w:t>
      </w:r>
    </w:p>
  </w:footnote>
  <w:footnote w:id="25">
    <w:p w14:paraId="3E1F999F" w14:textId="77777777" w:rsidR="00940332" w:rsidRDefault="00940332" w:rsidP="00940332">
      <w:pPr>
        <w:pStyle w:val="FootnoteText"/>
      </w:pPr>
      <w:r w:rsidRPr="001E2F48">
        <w:rPr>
          <w:rStyle w:val="FootnoteReference"/>
          <w:rFonts w:ascii="Arial Narrow" w:hAnsi="Arial Narrow"/>
        </w:rPr>
        <w:footnoteRef/>
      </w:r>
      <w:r w:rsidRPr="001E2F48">
        <w:rPr>
          <w:rFonts w:ascii="Arial Narrow" w:hAnsi="Arial Narrow"/>
        </w:rPr>
        <w:t xml:space="preserve"> Lin DY, et al. Nirmatrelvir or Molnupiravir Use and Severe Outcomes From Omicron Infections. JAMA Netw Open. 2023 Sep 5;6(9):e2335077.</w:t>
      </w:r>
    </w:p>
  </w:footnote>
  <w:footnote w:id="26">
    <w:p w14:paraId="5D553137" w14:textId="77777777" w:rsidR="00940332" w:rsidRPr="00B600AA" w:rsidRDefault="00940332" w:rsidP="00940332">
      <w:pPr>
        <w:pStyle w:val="FootnoteText"/>
        <w:rPr>
          <w:rFonts w:ascii="Arial Narrow" w:hAnsi="Arial Narrow"/>
        </w:rPr>
      </w:pPr>
      <w:r w:rsidRPr="00B600AA">
        <w:rPr>
          <w:rStyle w:val="FootnoteReference"/>
          <w:rFonts w:ascii="Arial Narrow" w:hAnsi="Arial Narrow"/>
        </w:rPr>
        <w:footnoteRef/>
      </w:r>
      <w:r w:rsidRPr="00B600AA">
        <w:rPr>
          <w:rFonts w:ascii="Arial Narrow" w:hAnsi="Arial Narrow"/>
        </w:rPr>
        <w:t xml:space="preserve"> Van Heer, Christina, et al. "Effectiveness of community-based oral antiviral treatments against severe COVID-19 outcomes in people 70 years and over in Victoria, Australia, 2022: an observational study." The Lancet Regional Health–Western Pacific 41 (2023).</w:t>
      </w:r>
      <w:r>
        <w:rPr>
          <w:rFonts w:ascii="Arial Narrow" w:hAnsi="Arial Narrow"/>
        </w:rPr>
        <w:t xml:space="preserve"> </w:t>
      </w:r>
      <w:r w:rsidRPr="00B600AA">
        <w:rPr>
          <w:rFonts w:ascii="Arial Narrow" w:hAnsi="Arial Narrow"/>
        </w:rPr>
        <w:t>http://dx.doi.org/10.2139/ssrn.4495142; subsequently published at https://doi.org/10.1016/j.lanwpc.2023.100917</w:t>
      </w:r>
      <w:r>
        <w:rPr>
          <w:rFonts w:ascii="Arial Narrow" w:hAnsi="Arial Narrow"/>
        </w:rPr>
        <w:t xml:space="preserve"> </w:t>
      </w:r>
    </w:p>
  </w:footnote>
  <w:footnote w:id="27">
    <w:p w14:paraId="284DFD9F" w14:textId="77777777" w:rsidR="00940332" w:rsidRPr="0023321C" w:rsidRDefault="00940332" w:rsidP="00940332">
      <w:pPr>
        <w:pStyle w:val="FootnoteText"/>
        <w:rPr>
          <w:sz w:val="18"/>
          <w:szCs w:val="18"/>
        </w:rPr>
      </w:pPr>
      <w:r w:rsidRPr="0023321C">
        <w:rPr>
          <w:rStyle w:val="FootnoteReference"/>
          <w:sz w:val="18"/>
          <w:szCs w:val="18"/>
        </w:rPr>
        <w:footnoteRef/>
      </w:r>
      <w:r w:rsidRPr="0023321C">
        <w:rPr>
          <w:sz w:val="18"/>
          <w:szCs w:val="18"/>
        </w:rPr>
        <w:t xml:space="preserve"> 70+ group: 0.89%/11.9% (refer MOV_CEM_Australia_22 September.xlsm (=Inputs!C15/Inputs!C14)</w:t>
      </w:r>
    </w:p>
  </w:footnote>
  <w:footnote w:id="28">
    <w:p w14:paraId="53079327" w14:textId="77777777" w:rsidR="00940332" w:rsidRDefault="00940332" w:rsidP="00940332">
      <w:r w:rsidRPr="0023321C">
        <w:rPr>
          <w:rStyle w:val="FootnoteReference"/>
          <w:sz w:val="20"/>
          <w:szCs w:val="20"/>
        </w:rPr>
        <w:footnoteRef/>
      </w:r>
      <w:r w:rsidRPr="0023321C">
        <w:rPr>
          <w:sz w:val="20"/>
          <w:szCs w:val="20"/>
        </w:rPr>
        <w:t xml:space="preserve"> </w:t>
      </w:r>
      <w:r w:rsidRPr="0023321C">
        <w:rPr>
          <w:rFonts w:cs="Calibri"/>
          <w:color w:val="000000"/>
          <w:sz w:val="18"/>
          <w:szCs w:val="18"/>
        </w:rPr>
        <w:t xml:space="preserve">50-69, +2RF </w:t>
      </w:r>
      <w:r w:rsidRPr="0023321C">
        <w:rPr>
          <w:sz w:val="20"/>
          <w:szCs w:val="20"/>
        </w:rPr>
        <w:t>group: 0.13%/0.93% (refer MOV_CEM_Australia_22 September.xlsm (=Inputs!D15/Inputs!D14)</w:t>
      </w:r>
    </w:p>
  </w:footnote>
  <w:footnote w:id="29">
    <w:p w14:paraId="64A52990" w14:textId="77777777" w:rsidR="00940332" w:rsidRDefault="00940332" w:rsidP="00940332">
      <w:pPr>
        <w:pStyle w:val="FootnoteText"/>
      </w:pPr>
      <w:r>
        <w:rPr>
          <w:rStyle w:val="FootnoteReference"/>
        </w:rPr>
        <w:footnoteRef/>
      </w:r>
      <w:r>
        <w:t xml:space="preserve"> </w:t>
      </w:r>
      <w:r w:rsidRPr="00FB7BEB">
        <w:t>ATAGI Update on the COVID-19 Vaccination Program</w:t>
      </w:r>
      <w:r>
        <w:t xml:space="preserve">, published 1 September 2023. </w:t>
      </w:r>
      <w:hyperlink r:id="rId10" w:history="1">
        <w:r w:rsidRPr="00E05474">
          <w:rPr>
            <w:rStyle w:val="Hyperlink"/>
          </w:rPr>
          <w:t>https://www.health.gov.au/news/atagi-update-on-the-covid-19-vaccination-program</w:t>
        </w:r>
      </w:hyperlink>
      <w:r>
        <w:rPr>
          <w:rStyle w:val="Hyperlink"/>
        </w:rPr>
        <w:t>.</w:t>
      </w:r>
    </w:p>
  </w:footnote>
  <w:footnote w:id="30">
    <w:p w14:paraId="2F3876D2" w14:textId="77777777" w:rsidR="00940332" w:rsidRPr="00F07854" w:rsidRDefault="00940332" w:rsidP="00940332">
      <w:pPr>
        <w:pStyle w:val="FootnoteText"/>
        <w:rPr>
          <w:rFonts w:ascii="Arial Narrow" w:hAnsi="Arial Narrow"/>
          <w:sz w:val="18"/>
          <w:szCs w:val="18"/>
        </w:rPr>
      </w:pPr>
      <w:r w:rsidRPr="00F07854">
        <w:rPr>
          <w:rFonts w:ascii="Arial Narrow" w:hAnsi="Arial Narrow"/>
          <w:sz w:val="18"/>
          <w:szCs w:val="18"/>
        </w:rPr>
        <w:footnoteRef/>
      </w:r>
      <w:r w:rsidRPr="00F07854">
        <w:rPr>
          <w:rFonts w:ascii="Arial Narrow" w:hAnsi="Arial Narrow"/>
          <w:sz w:val="18"/>
          <w:szCs w:val="18"/>
        </w:rPr>
        <w:t xml:space="preserve"> Lim S, Tignanelli CJ, Hoertel N, Boulware DR, Usher MG. Prevalence of Medical Contraindications to Nirmatrelvir/Ritonavir in a Cohort of Hospitalized and Nonhospitalized Patients With COVID-19. Open Forum Infect Dis. 2022 Aug 3;9(8):ofac389. doi: 10.1093/ofid/ofac389.</w:t>
      </w:r>
    </w:p>
  </w:footnote>
  <w:footnote w:id="31">
    <w:p w14:paraId="24331348" w14:textId="77777777" w:rsidR="00940332" w:rsidRDefault="00940332" w:rsidP="00940332">
      <w:pPr>
        <w:pStyle w:val="FootnoteText"/>
      </w:pPr>
      <w:r w:rsidRPr="00F07854">
        <w:rPr>
          <w:rFonts w:ascii="Arial Narrow" w:hAnsi="Arial Narrow"/>
          <w:sz w:val="18"/>
          <w:szCs w:val="18"/>
        </w:rPr>
        <w:footnoteRef/>
      </w:r>
      <w:r w:rsidRPr="00F07854">
        <w:rPr>
          <w:rFonts w:ascii="Arial Narrow" w:hAnsi="Arial Narrow"/>
          <w:sz w:val="18"/>
          <w:szCs w:val="18"/>
        </w:rPr>
        <w:t xml:space="preserve"> Hoertel N, Boulware DR, Sánchez-Rico M, Burgun A, Limosin F. Prevalence of Contraindications to Nirmatrelvir-Ritonavir Among Hospitalized Patients With COVID-19 at Risk for Progression to Severe Disease. JAMA Netw Open. 2022 Nov 1;5(11):e2242140.</w:t>
      </w:r>
    </w:p>
  </w:footnote>
  <w:footnote w:id="32">
    <w:p w14:paraId="56778573" w14:textId="77777777" w:rsidR="00940332" w:rsidRDefault="00940332" w:rsidP="00940332">
      <w:pPr>
        <w:pStyle w:val="FootnoteText"/>
      </w:pPr>
      <w:r w:rsidRPr="000F45EE">
        <w:rPr>
          <w:rFonts w:ascii="Arial Narrow" w:hAnsi="Arial Narrow"/>
          <w:sz w:val="18"/>
          <w:szCs w:val="18"/>
        </w:rPr>
        <w:footnoteRef/>
      </w:r>
      <w:r w:rsidRPr="000F45EE">
        <w:rPr>
          <w:rFonts w:ascii="Arial Narrow" w:hAnsi="Arial Narrow"/>
          <w:sz w:val="18"/>
          <w:szCs w:val="18"/>
        </w:rPr>
        <w:t xml:space="preserve"> Decision to change the access criteria for COVID-19 antiviral treatments dated 20 September 2023, https://pharmac.govt.nz/news-and-resources/consultations-and-decisions/2023-09-20-decision-on-covid-19-antivirals-access-criteria.</w:t>
      </w:r>
    </w:p>
  </w:footnote>
  <w:footnote w:id="33">
    <w:p w14:paraId="424773E1" w14:textId="77777777" w:rsidR="00940332" w:rsidRDefault="00940332" w:rsidP="00940332">
      <w:pPr>
        <w:pStyle w:val="FootnoteText"/>
      </w:pPr>
      <w:r>
        <w:rPr>
          <w:rStyle w:val="FootnoteReference"/>
        </w:rPr>
        <w:footnoteRef/>
      </w:r>
      <w:r>
        <w:t xml:space="preserve"> </w:t>
      </w:r>
      <w:r w:rsidRPr="00D441E5">
        <w:t>https://covid19evidence.net.au/wp-content/uploads/PAXLOVID-PRESCRIBING-GUIDE.pdf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D977" w14:textId="77777777" w:rsidR="00ED2C0D" w:rsidRDefault="00ED2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E703" w14:textId="0AB0C2FE" w:rsidR="00872C82" w:rsidRPr="000E24E6" w:rsidRDefault="000E24E6" w:rsidP="00177F3D">
    <w:pPr>
      <w:pStyle w:val="Header"/>
      <w:ind w:left="360"/>
      <w:rPr>
        <w:rFonts w:asciiTheme="minorHAnsi" w:hAnsiTheme="minorHAnsi"/>
        <w:i/>
      </w:rPr>
    </w:pPr>
    <w:r>
      <w:rPr>
        <w:rFonts w:asciiTheme="minorHAnsi" w:hAnsiTheme="minorHAnsi"/>
        <w:i/>
      </w:rPr>
      <w:t>Public Summary Document</w:t>
    </w:r>
    <w:r w:rsidR="00872C82" w:rsidRPr="000E24E6">
      <w:rPr>
        <w:rFonts w:asciiTheme="minorHAnsi" w:hAnsiTheme="minorHAnsi"/>
        <w:i/>
      </w:rPr>
      <w:t xml:space="preserve"> – July 2023 PBAC Meeting</w:t>
    </w:r>
    <w:r w:rsidR="00940332">
      <w:rPr>
        <w:rFonts w:asciiTheme="minorHAnsi" w:hAnsiTheme="minorHAnsi"/>
        <w:i/>
      </w:rPr>
      <w:t xml:space="preserve"> with November 2023 Addendum</w:t>
    </w:r>
  </w:p>
  <w:p w14:paraId="028DBED3" w14:textId="77777777" w:rsidR="00872C82" w:rsidRDefault="00872C82" w:rsidP="00177F3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30B6" w14:textId="77777777" w:rsidR="00ED2C0D" w:rsidRDefault="00ED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DB"/>
    <w:multiLevelType w:val="hybridMultilevel"/>
    <w:tmpl w:val="B5088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306C2A"/>
    <w:multiLevelType w:val="hybridMultilevel"/>
    <w:tmpl w:val="C590D76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3C2917"/>
    <w:multiLevelType w:val="hybridMultilevel"/>
    <w:tmpl w:val="386AA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11708"/>
    <w:multiLevelType w:val="hybridMultilevel"/>
    <w:tmpl w:val="9EE2B85E"/>
    <w:lvl w:ilvl="0" w:tplc="4B2C41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4D62F1"/>
    <w:multiLevelType w:val="hybridMultilevel"/>
    <w:tmpl w:val="24B487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EB07698"/>
    <w:multiLevelType w:val="hybridMultilevel"/>
    <w:tmpl w:val="357EB0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CAF5E6C"/>
    <w:multiLevelType w:val="hybridMultilevel"/>
    <w:tmpl w:val="261449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AD38CB"/>
    <w:multiLevelType w:val="hybridMultilevel"/>
    <w:tmpl w:val="271A5B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pStyle w:val="ListParagraph"/>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1" w15:restartNumberingAfterBreak="0">
    <w:nsid w:val="422D67CD"/>
    <w:multiLevelType w:val="hybridMultilevel"/>
    <w:tmpl w:val="F4341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43DDF"/>
    <w:multiLevelType w:val="hybridMultilevel"/>
    <w:tmpl w:val="D6447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9EE6CB6"/>
    <w:multiLevelType w:val="hybridMultilevel"/>
    <w:tmpl w:val="24B487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B45CDB"/>
    <w:multiLevelType w:val="hybridMultilevel"/>
    <w:tmpl w:val="347E1F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E7D652B"/>
    <w:multiLevelType w:val="hybridMultilevel"/>
    <w:tmpl w:val="42BE0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956C2"/>
    <w:multiLevelType w:val="multilevel"/>
    <w:tmpl w:val="5866D0B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524439"/>
    <w:multiLevelType w:val="hybridMultilevel"/>
    <w:tmpl w:val="D480EA64"/>
    <w:lvl w:ilvl="0" w:tplc="9FCCEA1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7C434B9"/>
    <w:multiLevelType w:val="hybridMultilevel"/>
    <w:tmpl w:val="5F8E28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C05795"/>
    <w:multiLevelType w:val="hybridMultilevel"/>
    <w:tmpl w:val="734834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27500AC"/>
    <w:multiLevelType w:val="hybridMultilevel"/>
    <w:tmpl w:val="26144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867FE5"/>
    <w:multiLevelType w:val="hybridMultilevel"/>
    <w:tmpl w:val="9A88F688"/>
    <w:lvl w:ilvl="0" w:tplc="7682FE46">
      <w:start w:val="1"/>
      <w:numFmt w:val="bullet"/>
      <w:lvlText w:val=""/>
      <w:lvlJc w:val="left"/>
      <w:pPr>
        <w:tabs>
          <w:tab w:val="num" w:pos="720"/>
        </w:tabs>
        <w:ind w:left="720" w:hanging="360"/>
      </w:pPr>
      <w:rPr>
        <w:rFonts w:ascii="Symbol" w:hAnsi="Symbol" w:hint="default"/>
      </w:rPr>
    </w:lvl>
    <w:lvl w:ilvl="1" w:tplc="4E8807B0" w:tentative="1">
      <w:start w:val="1"/>
      <w:numFmt w:val="bullet"/>
      <w:lvlText w:val=""/>
      <w:lvlJc w:val="left"/>
      <w:pPr>
        <w:tabs>
          <w:tab w:val="num" w:pos="1440"/>
        </w:tabs>
        <w:ind w:left="1440" w:hanging="360"/>
      </w:pPr>
      <w:rPr>
        <w:rFonts w:ascii="Symbol" w:hAnsi="Symbol" w:hint="default"/>
      </w:rPr>
    </w:lvl>
    <w:lvl w:ilvl="2" w:tplc="39A0F85C" w:tentative="1">
      <w:start w:val="1"/>
      <w:numFmt w:val="bullet"/>
      <w:lvlText w:val=""/>
      <w:lvlJc w:val="left"/>
      <w:pPr>
        <w:tabs>
          <w:tab w:val="num" w:pos="2160"/>
        </w:tabs>
        <w:ind w:left="2160" w:hanging="360"/>
      </w:pPr>
      <w:rPr>
        <w:rFonts w:ascii="Symbol" w:hAnsi="Symbol" w:hint="default"/>
      </w:rPr>
    </w:lvl>
    <w:lvl w:ilvl="3" w:tplc="6BEC9952" w:tentative="1">
      <w:start w:val="1"/>
      <w:numFmt w:val="bullet"/>
      <w:lvlText w:val=""/>
      <w:lvlJc w:val="left"/>
      <w:pPr>
        <w:tabs>
          <w:tab w:val="num" w:pos="2880"/>
        </w:tabs>
        <w:ind w:left="2880" w:hanging="360"/>
      </w:pPr>
      <w:rPr>
        <w:rFonts w:ascii="Symbol" w:hAnsi="Symbol" w:hint="default"/>
      </w:rPr>
    </w:lvl>
    <w:lvl w:ilvl="4" w:tplc="708AD176" w:tentative="1">
      <w:start w:val="1"/>
      <w:numFmt w:val="bullet"/>
      <w:lvlText w:val=""/>
      <w:lvlJc w:val="left"/>
      <w:pPr>
        <w:tabs>
          <w:tab w:val="num" w:pos="3600"/>
        </w:tabs>
        <w:ind w:left="3600" w:hanging="360"/>
      </w:pPr>
      <w:rPr>
        <w:rFonts w:ascii="Symbol" w:hAnsi="Symbol" w:hint="default"/>
      </w:rPr>
    </w:lvl>
    <w:lvl w:ilvl="5" w:tplc="551A5F54" w:tentative="1">
      <w:start w:val="1"/>
      <w:numFmt w:val="bullet"/>
      <w:lvlText w:val=""/>
      <w:lvlJc w:val="left"/>
      <w:pPr>
        <w:tabs>
          <w:tab w:val="num" w:pos="4320"/>
        </w:tabs>
        <w:ind w:left="4320" w:hanging="360"/>
      </w:pPr>
      <w:rPr>
        <w:rFonts w:ascii="Symbol" w:hAnsi="Symbol" w:hint="default"/>
      </w:rPr>
    </w:lvl>
    <w:lvl w:ilvl="6" w:tplc="70EEFA52" w:tentative="1">
      <w:start w:val="1"/>
      <w:numFmt w:val="bullet"/>
      <w:lvlText w:val=""/>
      <w:lvlJc w:val="left"/>
      <w:pPr>
        <w:tabs>
          <w:tab w:val="num" w:pos="5040"/>
        </w:tabs>
        <w:ind w:left="5040" w:hanging="360"/>
      </w:pPr>
      <w:rPr>
        <w:rFonts w:ascii="Symbol" w:hAnsi="Symbol" w:hint="default"/>
      </w:rPr>
    </w:lvl>
    <w:lvl w:ilvl="7" w:tplc="AF12EC42" w:tentative="1">
      <w:start w:val="1"/>
      <w:numFmt w:val="bullet"/>
      <w:lvlText w:val=""/>
      <w:lvlJc w:val="left"/>
      <w:pPr>
        <w:tabs>
          <w:tab w:val="num" w:pos="5760"/>
        </w:tabs>
        <w:ind w:left="5760" w:hanging="360"/>
      </w:pPr>
      <w:rPr>
        <w:rFonts w:ascii="Symbol" w:hAnsi="Symbol" w:hint="default"/>
      </w:rPr>
    </w:lvl>
    <w:lvl w:ilvl="8" w:tplc="49C8168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81D7647"/>
    <w:multiLevelType w:val="hybridMultilevel"/>
    <w:tmpl w:val="C4F8D93C"/>
    <w:lvl w:ilvl="0" w:tplc="43AC8B5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EA0F79"/>
    <w:multiLevelType w:val="hybridMultilevel"/>
    <w:tmpl w:val="91D4F28C"/>
    <w:lvl w:ilvl="0" w:tplc="D9F424BE">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8533C5"/>
    <w:multiLevelType w:val="hybridMultilevel"/>
    <w:tmpl w:val="A9B640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B3D36A5"/>
    <w:multiLevelType w:val="hybridMultilevel"/>
    <w:tmpl w:val="A9B640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B86137"/>
    <w:multiLevelType w:val="hybridMultilevel"/>
    <w:tmpl w:val="A368376C"/>
    <w:lvl w:ilvl="0" w:tplc="05B68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B838EC"/>
    <w:multiLevelType w:val="hybridMultilevel"/>
    <w:tmpl w:val="5F8E28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5088671">
    <w:abstractNumId w:val="26"/>
  </w:num>
  <w:num w:numId="2" w16cid:durableId="1869101316">
    <w:abstractNumId w:val="12"/>
  </w:num>
  <w:num w:numId="3" w16cid:durableId="538932965">
    <w:abstractNumId w:val="9"/>
  </w:num>
  <w:num w:numId="4" w16cid:durableId="1705784271">
    <w:abstractNumId w:val="23"/>
  </w:num>
  <w:num w:numId="5" w16cid:durableId="1417824962">
    <w:abstractNumId w:val="25"/>
  </w:num>
  <w:num w:numId="6" w16cid:durableId="1883789430">
    <w:abstractNumId w:val="30"/>
  </w:num>
  <w:num w:numId="7" w16cid:durableId="1244681538">
    <w:abstractNumId w:val="8"/>
  </w:num>
  <w:num w:numId="8" w16cid:durableId="1428040636">
    <w:abstractNumId w:val="4"/>
  </w:num>
  <w:num w:numId="9" w16cid:durableId="1691639824">
    <w:abstractNumId w:val="27"/>
  </w:num>
  <w:num w:numId="10" w16cid:durableId="981077182">
    <w:abstractNumId w:val="29"/>
  </w:num>
  <w:num w:numId="11" w16cid:durableId="128330300">
    <w:abstractNumId w:val="24"/>
  </w:num>
  <w:num w:numId="12" w16cid:durableId="758016216">
    <w:abstractNumId w:val="3"/>
  </w:num>
  <w:num w:numId="13" w16cid:durableId="2015302628">
    <w:abstractNumId w:val="18"/>
  </w:num>
  <w:num w:numId="14" w16cid:durableId="928124194">
    <w:abstractNumId w:val="15"/>
  </w:num>
  <w:num w:numId="15" w16cid:durableId="400521202">
    <w:abstractNumId w:val="20"/>
  </w:num>
  <w:num w:numId="16" w16cid:durableId="16466025">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1910687">
    <w:abstractNumId w:val="7"/>
  </w:num>
  <w:num w:numId="18" w16cid:durableId="633298071">
    <w:abstractNumId w:val="10"/>
  </w:num>
  <w:num w:numId="19" w16cid:durableId="1588805607">
    <w:abstractNumId w:val="26"/>
  </w:num>
  <w:num w:numId="20" w16cid:durableId="85856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6312125">
    <w:abstractNumId w:val="1"/>
  </w:num>
  <w:num w:numId="22" w16cid:durableId="123357829">
    <w:abstractNumId w:val="6"/>
  </w:num>
  <w:num w:numId="23" w16cid:durableId="1386639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8733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9551678">
    <w:abstractNumId w:val="26"/>
  </w:num>
  <w:num w:numId="26" w16cid:durableId="1609697593">
    <w:abstractNumId w:val="9"/>
  </w:num>
  <w:num w:numId="27" w16cid:durableId="642927672">
    <w:abstractNumId w:val="26"/>
  </w:num>
  <w:num w:numId="28" w16cid:durableId="478811309">
    <w:abstractNumId w:val="17"/>
  </w:num>
  <w:num w:numId="29" w16cid:durableId="1700471703">
    <w:abstractNumId w:val="16"/>
  </w:num>
  <w:num w:numId="30" w16cid:durableId="385377394">
    <w:abstractNumId w:val="2"/>
  </w:num>
  <w:num w:numId="31" w16cid:durableId="1024600485">
    <w:abstractNumId w:val="21"/>
  </w:num>
  <w:num w:numId="32" w16cid:durableId="1241718888">
    <w:abstractNumId w:val="14"/>
  </w:num>
  <w:num w:numId="33" w16cid:durableId="1603535494">
    <w:abstractNumId w:val="19"/>
  </w:num>
  <w:num w:numId="34" w16cid:durableId="2107923408">
    <w:abstractNumId w:val="28"/>
  </w:num>
  <w:num w:numId="35" w16cid:durableId="2013602824">
    <w:abstractNumId w:val="0"/>
  </w:num>
  <w:num w:numId="36" w16cid:durableId="32774367">
    <w:abstractNumId w:val="22"/>
  </w:num>
  <w:num w:numId="37" w16cid:durableId="1528523256">
    <w:abstractNumId w:val="11"/>
  </w:num>
  <w:num w:numId="38" w16cid:durableId="1867521843">
    <w:abstractNumId w:val="5"/>
  </w:num>
  <w:num w:numId="39" w16cid:durableId="2056655">
    <w:abstractNumId w:val="26"/>
  </w:num>
  <w:num w:numId="40" w16cid:durableId="133465139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zMTO0BAIDM0tjMyUdpeDU4uLM/DyQAkOTWgDLN0CqLQAAAA=="/>
  </w:docVars>
  <w:rsids>
    <w:rsidRoot w:val="00E65E79"/>
    <w:rsid w:val="000000CF"/>
    <w:rsid w:val="00000250"/>
    <w:rsid w:val="00000361"/>
    <w:rsid w:val="00000407"/>
    <w:rsid w:val="0000066C"/>
    <w:rsid w:val="00000790"/>
    <w:rsid w:val="00000D7B"/>
    <w:rsid w:val="0000110B"/>
    <w:rsid w:val="0000112D"/>
    <w:rsid w:val="00001540"/>
    <w:rsid w:val="000016B3"/>
    <w:rsid w:val="000019DE"/>
    <w:rsid w:val="00001B88"/>
    <w:rsid w:val="00001F35"/>
    <w:rsid w:val="00001FC5"/>
    <w:rsid w:val="000026FA"/>
    <w:rsid w:val="00002726"/>
    <w:rsid w:val="000027F8"/>
    <w:rsid w:val="00002C34"/>
    <w:rsid w:val="00002DA4"/>
    <w:rsid w:val="000031FA"/>
    <w:rsid w:val="00003499"/>
    <w:rsid w:val="000035F6"/>
    <w:rsid w:val="00003733"/>
    <w:rsid w:val="000039B7"/>
    <w:rsid w:val="000039C1"/>
    <w:rsid w:val="00003D42"/>
    <w:rsid w:val="00004101"/>
    <w:rsid w:val="000047A7"/>
    <w:rsid w:val="0000493F"/>
    <w:rsid w:val="00004A6A"/>
    <w:rsid w:val="00004AA6"/>
    <w:rsid w:val="00005160"/>
    <w:rsid w:val="00005569"/>
    <w:rsid w:val="000056B9"/>
    <w:rsid w:val="000058C9"/>
    <w:rsid w:val="00005EE8"/>
    <w:rsid w:val="0000639A"/>
    <w:rsid w:val="000067C7"/>
    <w:rsid w:val="000073F0"/>
    <w:rsid w:val="00007406"/>
    <w:rsid w:val="00007F7B"/>
    <w:rsid w:val="000102D5"/>
    <w:rsid w:val="00010421"/>
    <w:rsid w:val="0001066D"/>
    <w:rsid w:val="00010BA8"/>
    <w:rsid w:val="00010C8B"/>
    <w:rsid w:val="00010D84"/>
    <w:rsid w:val="00010F06"/>
    <w:rsid w:val="00011456"/>
    <w:rsid w:val="00011B3A"/>
    <w:rsid w:val="0001213B"/>
    <w:rsid w:val="000121AE"/>
    <w:rsid w:val="00012237"/>
    <w:rsid w:val="00012FC3"/>
    <w:rsid w:val="00013247"/>
    <w:rsid w:val="000133B0"/>
    <w:rsid w:val="000137BD"/>
    <w:rsid w:val="00013A3F"/>
    <w:rsid w:val="00014174"/>
    <w:rsid w:val="000144F4"/>
    <w:rsid w:val="000146E5"/>
    <w:rsid w:val="00014714"/>
    <w:rsid w:val="00014A2F"/>
    <w:rsid w:val="00014F41"/>
    <w:rsid w:val="0001519E"/>
    <w:rsid w:val="00015326"/>
    <w:rsid w:val="00015571"/>
    <w:rsid w:val="00015886"/>
    <w:rsid w:val="000158EC"/>
    <w:rsid w:val="000161E5"/>
    <w:rsid w:val="000162EF"/>
    <w:rsid w:val="0001633F"/>
    <w:rsid w:val="00016586"/>
    <w:rsid w:val="0001665B"/>
    <w:rsid w:val="0001672B"/>
    <w:rsid w:val="00016800"/>
    <w:rsid w:val="000168CA"/>
    <w:rsid w:val="000177ED"/>
    <w:rsid w:val="00017D98"/>
    <w:rsid w:val="000205B1"/>
    <w:rsid w:val="000207C9"/>
    <w:rsid w:val="000210AD"/>
    <w:rsid w:val="00021596"/>
    <w:rsid w:val="00021C50"/>
    <w:rsid w:val="0002208C"/>
    <w:rsid w:val="000220EB"/>
    <w:rsid w:val="0002223A"/>
    <w:rsid w:val="0002225F"/>
    <w:rsid w:val="00022324"/>
    <w:rsid w:val="00022AA4"/>
    <w:rsid w:val="00022E05"/>
    <w:rsid w:val="00022EAC"/>
    <w:rsid w:val="00022FC3"/>
    <w:rsid w:val="00023763"/>
    <w:rsid w:val="000238C3"/>
    <w:rsid w:val="00023FAE"/>
    <w:rsid w:val="000240B9"/>
    <w:rsid w:val="00024DD7"/>
    <w:rsid w:val="00024E44"/>
    <w:rsid w:val="00024EB5"/>
    <w:rsid w:val="000250A2"/>
    <w:rsid w:val="000250DE"/>
    <w:rsid w:val="00025502"/>
    <w:rsid w:val="00025513"/>
    <w:rsid w:val="000255C4"/>
    <w:rsid w:val="00025B9A"/>
    <w:rsid w:val="00025EA4"/>
    <w:rsid w:val="00025F45"/>
    <w:rsid w:val="000260B1"/>
    <w:rsid w:val="00026AE3"/>
    <w:rsid w:val="00027314"/>
    <w:rsid w:val="00027390"/>
    <w:rsid w:val="000274B8"/>
    <w:rsid w:val="000274EA"/>
    <w:rsid w:val="00027666"/>
    <w:rsid w:val="00027B55"/>
    <w:rsid w:val="00027B94"/>
    <w:rsid w:val="00027C34"/>
    <w:rsid w:val="00027F2A"/>
    <w:rsid w:val="0003056E"/>
    <w:rsid w:val="00030607"/>
    <w:rsid w:val="000307A7"/>
    <w:rsid w:val="00030ABE"/>
    <w:rsid w:val="000312BB"/>
    <w:rsid w:val="0003145F"/>
    <w:rsid w:val="00031A31"/>
    <w:rsid w:val="00031DB4"/>
    <w:rsid w:val="00031F7A"/>
    <w:rsid w:val="0003200D"/>
    <w:rsid w:val="0003212C"/>
    <w:rsid w:val="000325F0"/>
    <w:rsid w:val="0003267D"/>
    <w:rsid w:val="0003311C"/>
    <w:rsid w:val="0003376D"/>
    <w:rsid w:val="00033863"/>
    <w:rsid w:val="00033920"/>
    <w:rsid w:val="00033A0F"/>
    <w:rsid w:val="00033E14"/>
    <w:rsid w:val="0003445F"/>
    <w:rsid w:val="0003498D"/>
    <w:rsid w:val="00034B65"/>
    <w:rsid w:val="000356D5"/>
    <w:rsid w:val="00035B5C"/>
    <w:rsid w:val="00035DC0"/>
    <w:rsid w:val="00035F4B"/>
    <w:rsid w:val="00036829"/>
    <w:rsid w:val="00036876"/>
    <w:rsid w:val="00036C6A"/>
    <w:rsid w:val="00036F2E"/>
    <w:rsid w:val="000378A0"/>
    <w:rsid w:val="000402DD"/>
    <w:rsid w:val="00040439"/>
    <w:rsid w:val="00040895"/>
    <w:rsid w:val="000408C9"/>
    <w:rsid w:val="000410A0"/>
    <w:rsid w:val="00041386"/>
    <w:rsid w:val="0004179E"/>
    <w:rsid w:val="00041803"/>
    <w:rsid w:val="00041AA9"/>
    <w:rsid w:val="00041BF2"/>
    <w:rsid w:val="00041C7C"/>
    <w:rsid w:val="00041C8C"/>
    <w:rsid w:val="00041ECA"/>
    <w:rsid w:val="000420AA"/>
    <w:rsid w:val="0004213A"/>
    <w:rsid w:val="0004229B"/>
    <w:rsid w:val="00042E07"/>
    <w:rsid w:val="000435EE"/>
    <w:rsid w:val="000437D7"/>
    <w:rsid w:val="00043905"/>
    <w:rsid w:val="00043C37"/>
    <w:rsid w:val="00043E46"/>
    <w:rsid w:val="00044141"/>
    <w:rsid w:val="00044A77"/>
    <w:rsid w:val="00044B18"/>
    <w:rsid w:val="00045017"/>
    <w:rsid w:val="000453B3"/>
    <w:rsid w:val="00045474"/>
    <w:rsid w:val="00045A2B"/>
    <w:rsid w:val="00045CA6"/>
    <w:rsid w:val="00045D88"/>
    <w:rsid w:val="00045E43"/>
    <w:rsid w:val="0004613D"/>
    <w:rsid w:val="000462BB"/>
    <w:rsid w:val="0004670E"/>
    <w:rsid w:val="0004698F"/>
    <w:rsid w:val="00046A3E"/>
    <w:rsid w:val="00046D64"/>
    <w:rsid w:val="00046EE4"/>
    <w:rsid w:val="00047082"/>
    <w:rsid w:val="00047453"/>
    <w:rsid w:val="000477E3"/>
    <w:rsid w:val="00047826"/>
    <w:rsid w:val="000478B5"/>
    <w:rsid w:val="00047AF9"/>
    <w:rsid w:val="0005009D"/>
    <w:rsid w:val="00050257"/>
    <w:rsid w:val="00050526"/>
    <w:rsid w:val="000507EA"/>
    <w:rsid w:val="000508C2"/>
    <w:rsid w:val="000512F8"/>
    <w:rsid w:val="000515B7"/>
    <w:rsid w:val="00051D5B"/>
    <w:rsid w:val="00052069"/>
    <w:rsid w:val="000520F9"/>
    <w:rsid w:val="000523FE"/>
    <w:rsid w:val="0005247D"/>
    <w:rsid w:val="00052607"/>
    <w:rsid w:val="00052983"/>
    <w:rsid w:val="0005298D"/>
    <w:rsid w:val="00052D87"/>
    <w:rsid w:val="0005317E"/>
    <w:rsid w:val="000539D0"/>
    <w:rsid w:val="00053B77"/>
    <w:rsid w:val="00054375"/>
    <w:rsid w:val="00054621"/>
    <w:rsid w:val="00054689"/>
    <w:rsid w:val="000546D7"/>
    <w:rsid w:val="00054A8D"/>
    <w:rsid w:val="00054D10"/>
    <w:rsid w:val="0005512E"/>
    <w:rsid w:val="000555A2"/>
    <w:rsid w:val="00055738"/>
    <w:rsid w:val="0005596F"/>
    <w:rsid w:val="00055AA7"/>
    <w:rsid w:val="00055C57"/>
    <w:rsid w:val="00055E5A"/>
    <w:rsid w:val="00055FBA"/>
    <w:rsid w:val="000564CA"/>
    <w:rsid w:val="00056549"/>
    <w:rsid w:val="00056ECF"/>
    <w:rsid w:val="000571D5"/>
    <w:rsid w:val="00057223"/>
    <w:rsid w:val="0005738B"/>
    <w:rsid w:val="0005750F"/>
    <w:rsid w:val="00057710"/>
    <w:rsid w:val="00057873"/>
    <w:rsid w:val="000579EF"/>
    <w:rsid w:val="00060068"/>
    <w:rsid w:val="000601A0"/>
    <w:rsid w:val="000604B8"/>
    <w:rsid w:val="000604DF"/>
    <w:rsid w:val="0006078D"/>
    <w:rsid w:val="000608C5"/>
    <w:rsid w:val="00060B0D"/>
    <w:rsid w:val="000611E9"/>
    <w:rsid w:val="0006129A"/>
    <w:rsid w:val="0006188F"/>
    <w:rsid w:val="00061A1D"/>
    <w:rsid w:val="00061AE5"/>
    <w:rsid w:val="0006200B"/>
    <w:rsid w:val="00062097"/>
    <w:rsid w:val="0006220F"/>
    <w:rsid w:val="00062324"/>
    <w:rsid w:val="00062365"/>
    <w:rsid w:val="000624AC"/>
    <w:rsid w:val="000624F2"/>
    <w:rsid w:val="00062549"/>
    <w:rsid w:val="000626E3"/>
    <w:rsid w:val="00062828"/>
    <w:rsid w:val="000629DC"/>
    <w:rsid w:val="00062ABA"/>
    <w:rsid w:val="00063062"/>
    <w:rsid w:val="00063AB6"/>
    <w:rsid w:val="00063BC2"/>
    <w:rsid w:val="00063FE4"/>
    <w:rsid w:val="00064277"/>
    <w:rsid w:val="0006523E"/>
    <w:rsid w:val="000652F7"/>
    <w:rsid w:val="000653B5"/>
    <w:rsid w:val="00065A0A"/>
    <w:rsid w:val="000662A8"/>
    <w:rsid w:val="00066360"/>
    <w:rsid w:val="000665B9"/>
    <w:rsid w:val="00066757"/>
    <w:rsid w:val="00066AF8"/>
    <w:rsid w:val="00066C9D"/>
    <w:rsid w:val="00066CCA"/>
    <w:rsid w:val="00067009"/>
    <w:rsid w:val="00067106"/>
    <w:rsid w:val="00067193"/>
    <w:rsid w:val="0006723F"/>
    <w:rsid w:val="000673B9"/>
    <w:rsid w:val="00067873"/>
    <w:rsid w:val="00067C31"/>
    <w:rsid w:val="00067D80"/>
    <w:rsid w:val="00070462"/>
    <w:rsid w:val="00070489"/>
    <w:rsid w:val="000705F9"/>
    <w:rsid w:val="00070BE0"/>
    <w:rsid w:val="00071134"/>
    <w:rsid w:val="00071248"/>
    <w:rsid w:val="00071C55"/>
    <w:rsid w:val="000720B9"/>
    <w:rsid w:val="000721C6"/>
    <w:rsid w:val="00072544"/>
    <w:rsid w:val="00072F52"/>
    <w:rsid w:val="0007309D"/>
    <w:rsid w:val="00073100"/>
    <w:rsid w:val="000731A2"/>
    <w:rsid w:val="0007331C"/>
    <w:rsid w:val="000737F7"/>
    <w:rsid w:val="000737FB"/>
    <w:rsid w:val="000738B7"/>
    <w:rsid w:val="00073B7A"/>
    <w:rsid w:val="00074374"/>
    <w:rsid w:val="00074627"/>
    <w:rsid w:val="0007463E"/>
    <w:rsid w:val="000748C8"/>
    <w:rsid w:val="00074B32"/>
    <w:rsid w:val="00075119"/>
    <w:rsid w:val="000755E5"/>
    <w:rsid w:val="0007580E"/>
    <w:rsid w:val="00075E3E"/>
    <w:rsid w:val="00076272"/>
    <w:rsid w:val="0007631D"/>
    <w:rsid w:val="000765DE"/>
    <w:rsid w:val="0007672F"/>
    <w:rsid w:val="00076B54"/>
    <w:rsid w:val="00076C58"/>
    <w:rsid w:val="00076C84"/>
    <w:rsid w:val="000774F0"/>
    <w:rsid w:val="000777CD"/>
    <w:rsid w:val="00077801"/>
    <w:rsid w:val="000779DD"/>
    <w:rsid w:val="00077F21"/>
    <w:rsid w:val="00080127"/>
    <w:rsid w:val="000803E6"/>
    <w:rsid w:val="0008042E"/>
    <w:rsid w:val="00080832"/>
    <w:rsid w:val="00080892"/>
    <w:rsid w:val="00080909"/>
    <w:rsid w:val="00080A6D"/>
    <w:rsid w:val="00080DF9"/>
    <w:rsid w:val="00080E8C"/>
    <w:rsid w:val="0008103B"/>
    <w:rsid w:val="000812CA"/>
    <w:rsid w:val="000813F6"/>
    <w:rsid w:val="0008184F"/>
    <w:rsid w:val="00081D2C"/>
    <w:rsid w:val="00081E25"/>
    <w:rsid w:val="00081E63"/>
    <w:rsid w:val="00081F8B"/>
    <w:rsid w:val="0008258D"/>
    <w:rsid w:val="00082893"/>
    <w:rsid w:val="00082930"/>
    <w:rsid w:val="000829DB"/>
    <w:rsid w:val="00082D81"/>
    <w:rsid w:val="00083241"/>
    <w:rsid w:val="000834DF"/>
    <w:rsid w:val="0008360C"/>
    <w:rsid w:val="00083BA5"/>
    <w:rsid w:val="00083E99"/>
    <w:rsid w:val="00084458"/>
    <w:rsid w:val="000844CD"/>
    <w:rsid w:val="00084859"/>
    <w:rsid w:val="00084AA3"/>
    <w:rsid w:val="00084DB9"/>
    <w:rsid w:val="00084FA8"/>
    <w:rsid w:val="00084FB1"/>
    <w:rsid w:val="0008504B"/>
    <w:rsid w:val="0008507E"/>
    <w:rsid w:val="00085530"/>
    <w:rsid w:val="000856C5"/>
    <w:rsid w:val="000858F9"/>
    <w:rsid w:val="00085C31"/>
    <w:rsid w:val="00085E76"/>
    <w:rsid w:val="00085E8F"/>
    <w:rsid w:val="000861E8"/>
    <w:rsid w:val="00086560"/>
    <w:rsid w:val="00086DAD"/>
    <w:rsid w:val="00087004"/>
    <w:rsid w:val="00087638"/>
    <w:rsid w:val="000877BE"/>
    <w:rsid w:val="00087A7F"/>
    <w:rsid w:val="00090097"/>
    <w:rsid w:val="000902D9"/>
    <w:rsid w:val="000903E4"/>
    <w:rsid w:val="000906C6"/>
    <w:rsid w:val="00090C7E"/>
    <w:rsid w:val="000911AC"/>
    <w:rsid w:val="000911B8"/>
    <w:rsid w:val="00091B3C"/>
    <w:rsid w:val="0009247B"/>
    <w:rsid w:val="00092600"/>
    <w:rsid w:val="0009262B"/>
    <w:rsid w:val="000928ED"/>
    <w:rsid w:val="00092D79"/>
    <w:rsid w:val="0009321F"/>
    <w:rsid w:val="00093310"/>
    <w:rsid w:val="0009344D"/>
    <w:rsid w:val="00094165"/>
    <w:rsid w:val="0009445C"/>
    <w:rsid w:val="00094B12"/>
    <w:rsid w:val="00094C23"/>
    <w:rsid w:val="00094F36"/>
    <w:rsid w:val="00095122"/>
    <w:rsid w:val="00095200"/>
    <w:rsid w:val="00095394"/>
    <w:rsid w:val="00095512"/>
    <w:rsid w:val="000956FD"/>
    <w:rsid w:val="00095978"/>
    <w:rsid w:val="00095FE5"/>
    <w:rsid w:val="00096284"/>
    <w:rsid w:val="00096AD5"/>
    <w:rsid w:val="0009708D"/>
    <w:rsid w:val="000971DA"/>
    <w:rsid w:val="000971F0"/>
    <w:rsid w:val="00097249"/>
    <w:rsid w:val="000975E0"/>
    <w:rsid w:val="00097A54"/>
    <w:rsid w:val="00097E63"/>
    <w:rsid w:val="000A02B1"/>
    <w:rsid w:val="000A0554"/>
    <w:rsid w:val="000A08ED"/>
    <w:rsid w:val="000A0AFC"/>
    <w:rsid w:val="000A0C09"/>
    <w:rsid w:val="000A0F64"/>
    <w:rsid w:val="000A1104"/>
    <w:rsid w:val="000A13F7"/>
    <w:rsid w:val="000A1554"/>
    <w:rsid w:val="000A1875"/>
    <w:rsid w:val="000A1AA2"/>
    <w:rsid w:val="000A1BC0"/>
    <w:rsid w:val="000A1E0E"/>
    <w:rsid w:val="000A1FC4"/>
    <w:rsid w:val="000A2778"/>
    <w:rsid w:val="000A296A"/>
    <w:rsid w:val="000A2C17"/>
    <w:rsid w:val="000A2E41"/>
    <w:rsid w:val="000A2F9E"/>
    <w:rsid w:val="000A303C"/>
    <w:rsid w:val="000A31A8"/>
    <w:rsid w:val="000A361F"/>
    <w:rsid w:val="000A3E47"/>
    <w:rsid w:val="000A3F5B"/>
    <w:rsid w:val="000A451E"/>
    <w:rsid w:val="000A4670"/>
    <w:rsid w:val="000A484D"/>
    <w:rsid w:val="000A486F"/>
    <w:rsid w:val="000A4B41"/>
    <w:rsid w:val="000A5001"/>
    <w:rsid w:val="000A522B"/>
    <w:rsid w:val="000A58C7"/>
    <w:rsid w:val="000A5E19"/>
    <w:rsid w:val="000A5E65"/>
    <w:rsid w:val="000A6039"/>
    <w:rsid w:val="000A6274"/>
    <w:rsid w:val="000A6308"/>
    <w:rsid w:val="000A6399"/>
    <w:rsid w:val="000A6604"/>
    <w:rsid w:val="000A69B8"/>
    <w:rsid w:val="000A6C7F"/>
    <w:rsid w:val="000A7055"/>
    <w:rsid w:val="000A7349"/>
    <w:rsid w:val="000A7453"/>
    <w:rsid w:val="000A746D"/>
    <w:rsid w:val="000A7CA1"/>
    <w:rsid w:val="000A7D08"/>
    <w:rsid w:val="000B0121"/>
    <w:rsid w:val="000B0186"/>
    <w:rsid w:val="000B020A"/>
    <w:rsid w:val="000B0497"/>
    <w:rsid w:val="000B0670"/>
    <w:rsid w:val="000B0B72"/>
    <w:rsid w:val="000B0E20"/>
    <w:rsid w:val="000B0E75"/>
    <w:rsid w:val="000B0FCA"/>
    <w:rsid w:val="000B13E4"/>
    <w:rsid w:val="000B15A4"/>
    <w:rsid w:val="000B1D04"/>
    <w:rsid w:val="000B253A"/>
    <w:rsid w:val="000B267A"/>
    <w:rsid w:val="000B26C1"/>
    <w:rsid w:val="000B2DCB"/>
    <w:rsid w:val="000B2FD7"/>
    <w:rsid w:val="000B302A"/>
    <w:rsid w:val="000B30ED"/>
    <w:rsid w:val="000B3823"/>
    <w:rsid w:val="000B385C"/>
    <w:rsid w:val="000B3D25"/>
    <w:rsid w:val="000B3DB5"/>
    <w:rsid w:val="000B459A"/>
    <w:rsid w:val="000B4701"/>
    <w:rsid w:val="000B4802"/>
    <w:rsid w:val="000B481B"/>
    <w:rsid w:val="000B4E04"/>
    <w:rsid w:val="000B4F79"/>
    <w:rsid w:val="000B527B"/>
    <w:rsid w:val="000B5387"/>
    <w:rsid w:val="000B539B"/>
    <w:rsid w:val="000B54FD"/>
    <w:rsid w:val="000B56A0"/>
    <w:rsid w:val="000B5CE0"/>
    <w:rsid w:val="000B6463"/>
    <w:rsid w:val="000B6AA2"/>
    <w:rsid w:val="000B6CAC"/>
    <w:rsid w:val="000B736C"/>
    <w:rsid w:val="000B745C"/>
    <w:rsid w:val="000B74E4"/>
    <w:rsid w:val="000B7612"/>
    <w:rsid w:val="000B782F"/>
    <w:rsid w:val="000B78AE"/>
    <w:rsid w:val="000B7CBF"/>
    <w:rsid w:val="000B7D4C"/>
    <w:rsid w:val="000B7EA3"/>
    <w:rsid w:val="000B7F5F"/>
    <w:rsid w:val="000C0E28"/>
    <w:rsid w:val="000C1481"/>
    <w:rsid w:val="000C14A6"/>
    <w:rsid w:val="000C1D22"/>
    <w:rsid w:val="000C21F1"/>
    <w:rsid w:val="000C2250"/>
    <w:rsid w:val="000C2CA7"/>
    <w:rsid w:val="000C3257"/>
    <w:rsid w:val="000C3433"/>
    <w:rsid w:val="000C3626"/>
    <w:rsid w:val="000C38B5"/>
    <w:rsid w:val="000C3943"/>
    <w:rsid w:val="000C3C5B"/>
    <w:rsid w:val="000C3CE5"/>
    <w:rsid w:val="000C3DF9"/>
    <w:rsid w:val="000C3E62"/>
    <w:rsid w:val="000C4200"/>
    <w:rsid w:val="000C42F6"/>
    <w:rsid w:val="000C4382"/>
    <w:rsid w:val="000C44ED"/>
    <w:rsid w:val="000C458B"/>
    <w:rsid w:val="000C4CF2"/>
    <w:rsid w:val="000C4FAB"/>
    <w:rsid w:val="000C55A5"/>
    <w:rsid w:val="000C58B4"/>
    <w:rsid w:val="000C59FB"/>
    <w:rsid w:val="000C5E57"/>
    <w:rsid w:val="000C6039"/>
    <w:rsid w:val="000C657D"/>
    <w:rsid w:val="000C6713"/>
    <w:rsid w:val="000C6B89"/>
    <w:rsid w:val="000C77EC"/>
    <w:rsid w:val="000C7F93"/>
    <w:rsid w:val="000D018B"/>
    <w:rsid w:val="000D034A"/>
    <w:rsid w:val="000D09F3"/>
    <w:rsid w:val="000D0F7C"/>
    <w:rsid w:val="000D1AC2"/>
    <w:rsid w:val="000D1BFC"/>
    <w:rsid w:val="000D1D5D"/>
    <w:rsid w:val="000D2222"/>
    <w:rsid w:val="000D22AF"/>
    <w:rsid w:val="000D2604"/>
    <w:rsid w:val="000D281A"/>
    <w:rsid w:val="000D2848"/>
    <w:rsid w:val="000D3105"/>
    <w:rsid w:val="000D326A"/>
    <w:rsid w:val="000D32DF"/>
    <w:rsid w:val="000D36B2"/>
    <w:rsid w:val="000D3B60"/>
    <w:rsid w:val="000D4747"/>
    <w:rsid w:val="000D47FE"/>
    <w:rsid w:val="000D4D23"/>
    <w:rsid w:val="000D4E62"/>
    <w:rsid w:val="000D504C"/>
    <w:rsid w:val="000D51FB"/>
    <w:rsid w:val="000D545F"/>
    <w:rsid w:val="000D62F0"/>
    <w:rsid w:val="000D6587"/>
    <w:rsid w:val="000D65D7"/>
    <w:rsid w:val="000D6604"/>
    <w:rsid w:val="000D6741"/>
    <w:rsid w:val="000D689C"/>
    <w:rsid w:val="000D6CFA"/>
    <w:rsid w:val="000D7733"/>
    <w:rsid w:val="000D7D95"/>
    <w:rsid w:val="000D7DD2"/>
    <w:rsid w:val="000E0640"/>
    <w:rsid w:val="000E077E"/>
    <w:rsid w:val="000E0B40"/>
    <w:rsid w:val="000E0DD5"/>
    <w:rsid w:val="000E135D"/>
    <w:rsid w:val="000E1486"/>
    <w:rsid w:val="000E1735"/>
    <w:rsid w:val="000E176B"/>
    <w:rsid w:val="000E1832"/>
    <w:rsid w:val="000E18DF"/>
    <w:rsid w:val="000E1BDF"/>
    <w:rsid w:val="000E1D55"/>
    <w:rsid w:val="000E215C"/>
    <w:rsid w:val="000E2372"/>
    <w:rsid w:val="000E24E6"/>
    <w:rsid w:val="000E25C8"/>
    <w:rsid w:val="000E2AFA"/>
    <w:rsid w:val="000E2B2D"/>
    <w:rsid w:val="000E2CBF"/>
    <w:rsid w:val="000E3237"/>
    <w:rsid w:val="000E328E"/>
    <w:rsid w:val="000E3474"/>
    <w:rsid w:val="000E454D"/>
    <w:rsid w:val="000E49DC"/>
    <w:rsid w:val="000E4C19"/>
    <w:rsid w:val="000E4FF4"/>
    <w:rsid w:val="000E503E"/>
    <w:rsid w:val="000E51EA"/>
    <w:rsid w:val="000E51EB"/>
    <w:rsid w:val="000E53D3"/>
    <w:rsid w:val="000E5CC8"/>
    <w:rsid w:val="000E5E9B"/>
    <w:rsid w:val="000E5F29"/>
    <w:rsid w:val="000E6470"/>
    <w:rsid w:val="000E696B"/>
    <w:rsid w:val="000E6BDB"/>
    <w:rsid w:val="000E6E86"/>
    <w:rsid w:val="000E70A0"/>
    <w:rsid w:val="000E711F"/>
    <w:rsid w:val="000E77B9"/>
    <w:rsid w:val="000F00BA"/>
    <w:rsid w:val="000F0345"/>
    <w:rsid w:val="000F0B7F"/>
    <w:rsid w:val="000F16DE"/>
    <w:rsid w:val="000F1A95"/>
    <w:rsid w:val="000F1E03"/>
    <w:rsid w:val="000F2383"/>
    <w:rsid w:val="000F242F"/>
    <w:rsid w:val="000F29D3"/>
    <w:rsid w:val="000F29EB"/>
    <w:rsid w:val="000F3043"/>
    <w:rsid w:val="000F316A"/>
    <w:rsid w:val="000F34A3"/>
    <w:rsid w:val="000F3826"/>
    <w:rsid w:val="000F392A"/>
    <w:rsid w:val="000F39E5"/>
    <w:rsid w:val="000F3AE2"/>
    <w:rsid w:val="000F3C74"/>
    <w:rsid w:val="000F3C77"/>
    <w:rsid w:val="000F3D01"/>
    <w:rsid w:val="000F408A"/>
    <w:rsid w:val="000F40D6"/>
    <w:rsid w:val="000F452B"/>
    <w:rsid w:val="000F4575"/>
    <w:rsid w:val="000F48A6"/>
    <w:rsid w:val="000F49D0"/>
    <w:rsid w:val="000F4AB1"/>
    <w:rsid w:val="000F4BB8"/>
    <w:rsid w:val="000F4FA9"/>
    <w:rsid w:val="000F522D"/>
    <w:rsid w:val="000F53FB"/>
    <w:rsid w:val="000F54BC"/>
    <w:rsid w:val="000F551A"/>
    <w:rsid w:val="000F555C"/>
    <w:rsid w:val="000F57B5"/>
    <w:rsid w:val="000F581A"/>
    <w:rsid w:val="000F5AD7"/>
    <w:rsid w:val="000F5B6B"/>
    <w:rsid w:val="000F611C"/>
    <w:rsid w:val="000F6369"/>
    <w:rsid w:val="000F697A"/>
    <w:rsid w:val="000F6B83"/>
    <w:rsid w:val="000F6CBA"/>
    <w:rsid w:val="000F6F02"/>
    <w:rsid w:val="000F7127"/>
    <w:rsid w:val="000F7297"/>
    <w:rsid w:val="000F73C7"/>
    <w:rsid w:val="000F74AC"/>
    <w:rsid w:val="000F79C8"/>
    <w:rsid w:val="000F7A1C"/>
    <w:rsid w:val="000F7B54"/>
    <w:rsid w:val="000F7C28"/>
    <w:rsid w:val="000F7FAE"/>
    <w:rsid w:val="001000B3"/>
    <w:rsid w:val="001002CD"/>
    <w:rsid w:val="00100428"/>
    <w:rsid w:val="00100518"/>
    <w:rsid w:val="00100A70"/>
    <w:rsid w:val="00100C28"/>
    <w:rsid w:val="00100F8A"/>
    <w:rsid w:val="00100F99"/>
    <w:rsid w:val="001010BD"/>
    <w:rsid w:val="00101D5F"/>
    <w:rsid w:val="00101FFB"/>
    <w:rsid w:val="001023A5"/>
    <w:rsid w:val="001026A6"/>
    <w:rsid w:val="00102704"/>
    <w:rsid w:val="001028C3"/>
    <w:rsid w:val="00102942"/>
    <w:rsid w:val="00102C1A"/>
    <w:rsid w:val="0010376B"/>
    <w:rsid w:val="00103B7B"/>
    <w:rsid w:val="00103B97"/>
    <w:rsid w:val="00103B9A"/>
    <w:rsid w:val="00103D39"/>
    <w:rsid w:val="00103E69"/>
    <w:rsid w:val="001041D9"/>
    <w:rsid w:val="0010423E"/>
    <w:rsid w:val="0010452E"/>
    <w:rsid w:val="001048B1"/>
    <w:rsid w:val="001048B2"/>
    <w:rsid w:val="001049D5"/>
    <w:rsid w:val="001049FD"/>
    <w:rsid w:val="00104B04"/>
    <w:rsid w:val="00105078"/>
    <w:rsid w:val="001050BB"/>
    <w:rsid w:val="00105171"/>
    <w:rsid w:val="00105376"/>
    <w:rsid w:val="00105665"/>
    <w:rsid w:val="00105AE2"/>
    <w:rsid w:val="00105CAC"/>
    <w:rsid w:val="001060C6"/>
    <w:rsid w:val="00106813"/>
    <w:rsid w:val="00106B80"/>
    <w:rsid w:val="00106D42"/>
    <w:rsid w:val="00106E04"/>
    <w:rsid w:val="0010714C"/>
    <w:rsid w:val="00107273"/>
    <w:rsid w:val="00107485"/>
    <w:rsid w:val="00107553"/>
    <w:rsid w:val="00107B80"/>
    <w:rsid w:val="00107FF5"/>
    <w:rsid w:val="0011020D"/>
    <w:rsid w:val="001102B4"/>
    <w:rsid w:val="0011032E"/>
    <w:rsid w:val="00110693"/>
    <w:rsid w:val="00110988"/>
    <w:rsid w:val="00110B33"/>
    <w:rsid w:val="00110CBE"/>
    <w:rsid w:val="00110DD8"/>
    <w:rsid w:val="00110DFC"/>
    <w:rsid w:val="00111383"/>
    <w:rsid w:val="00111CA1"/>
    <w:rsid w:val="00112239"/>
    <w:rsid w:val="00112B34"/>
    <w:rsid w:val="0011310A"/>
    <w:rsid w:val="0011348B"/>
    <w:rsid w:val="0011379E"/>
    <w:rsid w:val="00113BBE"/>
    <w:rsid w:val="001141C3"/>
    <w:rsid w:val="001142AA"/>
    <w:rsid w:val="001142F7"/>
    <w:rsid w:val="00114421"/>
    <w:rsid w:val="00114471"/>
    <w:rsid w:val="00114781"/>
    <w:rsid w:val="00114821"/>
    <w:rsid w:val="0011489C"/>
    <w:rsid w:val="00114B21"/>
    <w:rsid w:val="00114CB4"/>
    <w:rsid w:val="00115982"/>
    <w:rsid w:val="00115BDC"/>
    <w:rsid w:val="00115C9A"/>
    <w:rsid w:val="00115E0C"/>
    <w:rsid w:val="00115F4F"/>
    <w:rsid w:val="0011613F"/>
    <w:rsid w:val="0011679A"/>
    <w:rsid w:val="00116C53"/>
    <w:rsid w:val="00116D06"/>
    <w:rsid w:val="00116F57"/>
    <w:rsid w:val="001173E4"/>
    <w:rsid w:val="00117414"/>
    <w:rsid w:val="0012016C"/>
    <w:rsid w:val="00120574"/>
    <w:rsid w:val="00120636"/>
    <w:rsid w:val="001208FF"/>
    <w:rsid w:val="00120A2C"/>
    <w:rsid w:val="00120B20"/>
    <w:rsid w:val="0012132F"/>
    <w:rsid w:val="00121799"/>
    <w:rsid w:val="001217DD"/>
    <w:rsid w:val="001218D1"/>
    <w:rsid w:val="00121A0C"/>
    <w:rsid w:val="00121C08"/>
    <w:rsid w:val="00121CDA"/>
    <w:rsid w:val="001221E8"/>
    <w:rsid w:val="001222FC"/>
    <w:rsid w:val="00122A20"/>
    <w:rsid w:val="00123144"/>
    <w:rsid w:val="0012319A"/>
    <w:rsid w:val="00123337"/>
    <w:rsid w:val="001233E0"/>
    <w:rsid w:val="00123902"/>
    <w:rsid w:val="00123A6B"/>
    <w:rsid w:val="0012463D"/>
    <w:rsid w:val="001247CC"/>
    <w:rsid w:val="00124A51"/>
    <w:rsid w:val="00124F2D"/>
    <w:rsid w:val="00124F4E"/>
    <w:rsid w:val="00125158"/>
    <w:rsid w:val="00125857"/>
    <w:rsid w:val="00125A8B"/>
    <w:rsid w:val="00125F90"/>
    <w:rsid w:val="001262AD"/>
    <w:rsid w:val="00126396"/>
    <w:rsid w:val="001265B0"/>
    <w:rsid w:val="00126621"/>
    <w:rsid w:val="0012671C"/>
    <w:rsid w:val="00126ABF"/>
    <w:rsid w:val="00126B1D"/>
    <w:rsid w:val="00126D53"/>
    <w:rsid w:val="00126DAB"/>
    <w:rsid w:val="001272B8"/>
    <w:rsid w:val="00127896"/>
    <w:rsid w:val="00127A1D"/>
    <w:rsid w:val="00127E30"/>
    <w:rsid w:val="00127F52"/>
    <w:rsid w:val="001301E9"/>
    <w:rsid w:val="001306CA"/>
    <w:rsid w:val="00130CB6"/>
    <w:rsid w:val="00131409"/>
    <w:rsid w:val="00131438"/>
    <w:rsid w:val="00131668"/>
    <w:rsid w:val="00131D82"/>
    <w:rsid w:val="001320B6"/>
    <w:rsid w:val="00132391"/>
    <w:rsid w:val="001326B3"/>
    <w:rsid w:val="00132965"/>
    <w:rsid w:val="00132A90"/>
    <w:rsid w:val="00132B22"/>
    <w:rsid w:val="00132B7F"/>
    <w:rsid w:val="00132E11"/>
    <w:rsid w:val="00133207"/>
    <w:rsid w:val="00133236"/>
    <w:rsid w:val="00133369"/>
    <w:rsid w:val="001335B4"/>
    <w:rsid w:val="00133643"/>
    <w:rsid w:val="00133B9A"/>
    <w:rsid w:val="00133C9D"/>
    <w:rsid w:val="00133D36"/>
    <w:rsid w:val="0013429B"/>
    <w:rsid w:val="001349FC"/>
    <w:rsid w:val="00134A5C"/>
    <w:rsid w:val="00134D9F"/>
    <w:rsid w:val="00134F70"/>
    <w:rsid w:val="001356FA"/>
    <w:rsid w:val="001357F6"/>
    <w:rsid w:val="001359D7"/>
    <w:rsid w:val="00135B38"/>
    <w:rsid w:val="00135B92"/>
    <w:rsid w:val="00136DA0"/>
    <w:rsid w:val="00136EAE"/>
    <w:rsid w:val="00137079"/>
    <w:rsid w:val="001371A3"/>
    <w:rsid w:val="00137345"/>
    <w:rsid w:val="00137375"/>
    <w:rsid w:val="00137645"/>
    <w:rsid w:val="001376E4"/>
    <w:rsid w:val="00137783"/>
    <w:rsid w:val="001379B9"/>
    <w:rsid w:val="00137A64"/>
    <w:rsid w:val="0014000B"/>
    <w:rsid w:val="0014015A"/>
    <w:rsid w:val="001403A3"/>
    <w:rsid w:val="001405A9"/>
    <w:rsid w:val="00140638"/>
    <w:rsid w:val="001407BA"/>
    <w:rsid w:val="00140E99"/>
    <w:rsid w:val="001413F7"/>
    <w:rsid w:val="00141417"/>
    <w:rsid w:val="00141545"/>
    <w:rsid w:val="001417CC"/>
    <w:rsid w:val="0014184D"/>
    <w:rsid w:val="00141884"/>
    <w:rsid w:val="00141C44"/>
    <w:rsid w:val="001430B0"/>
    <w:rsid w:val="0014326E"/>
    <w:rsid w:val="00143360"/>
    <w:rsid w:val="00143418"/>
    <w:rsid w:val="001435C1"/>
    <w:rsid w:val="00143731"/>
    <w:rsid w:val="00143AC8"/>
    <w:rsid w:val="00143B5A"/>
    <w:rsid w:val="00143C83"/>
    <w:rsid w:val="00143F67"/>
    <w:rsid w:val="0014488F"/>
    <w:rsid w:val="00144B3B"/>
    <w:rsid w:val="00144D01"/>
    <w:rsid w:val="00145234"/>
    <w:rsid w:val="00145247"/>
    <w:rsid w:val="001453FF"/>
    <w:rsid w:val="001454E8"/>
    <w:rsid w:val="00145540"/>
    <w:rsid w:val="001456B0"/>
    <w:rsid w:val="0014577F"/>
    <w:rsid w:val="001458AA"/>
    <w:rsid w:val="00145B01"/>
    <w:rsid w:val="00146F3E"/>
    <w:rsid w:val="00147414"/>
    <w:rsid w:val="00147473"/>
    <w:rsid w:val="001476E4"/>
    <w:rsid w:val="001478DB"/>
    <w:rsid w:val="00147F94"/>
    <w:rsid w:val="00150011"/>
    <w:rsid w:val="001501F9"/>
    <w:rsid w:val="0015030B"/>
    <w:rsid w:val="001503AA"/>
    <w:rsid w:val="001503F1"/>
    <w:rsid w:val="00150588"/>
    <w:rsid w:val="001505E5"/>
    <w:rsid w:val="00150808"/>
    <w:rsid w:val="00150C29"/>
    <w:rsid w:val="0015186A"/>
    <w:rsid w:val="00151DF5"/>
    <w:rsid w:val="0015230B"/>
    <w:rsid w:val="00152598"/>
    <w:rsid w:val="00152998"/>
    <w:rsid w:val="00152A37"/>
    <w:rsid w:val="00152DDF"/>
    <w:rsid w:val="00152E84"/>
    <w:rsid w:val="001530C9"/>
    <w:rsid w:val="001536FD"/>
    <w:rsid w:val="00153719"/>
    <w:rsid w:val="00153866"/>
    <w:rsid w:val="00153888"/>
    <w:rsid w:val="00153E19"/>
    <w:rsid w:val="00153EC8"/>
    <w:rsid w:val="0015418B"/>
    <w:rsid w:val="001547AB"/>
    <w:rsid w:val="00154E98"/>
    <w:rsid w:val="0015602C"/>
    <w:rsid w:val="001563A7"/>
    <w:rsid w:val="00156F8F"/>
    <w:rsid w:val="00157130"/>
    <w:rsid w:val="0015736D"/>
    <w:rsid w:val="001576B1"/>
    <w:rsid w:val="00157D86"/>
    <w:rsid w:val="00157E18"/>
    <w:rsid w:val="0016047B"/>
    <w:rsid w:val="001604D5"/>
    <w:rsid w:val="001607FE"/>
    <w:rsid w:val="00160A4C"/>
    <w:rsid w:val="00161B56"/>
    <w:rsid w:val="00162082"/>
    <w:rsid w:val="00162141"/>
    <w:rsid w:val="0016224A"/>
    <w:rsid w:val="0016228C"/>
    <w:rsid w:val="0016276C"/>
    <w:rsid w:val="00162913"/>
    <w:rsid w:val="00162DBF"/>
    <w:rsid w:val="00162EEC"/>
    <w:rsid w:val="00162F6A"/>
    <w:rsid w:val="00163333"/>
    <w:rsid w:val="001633BA"/>
    <w:rsid w:val="00163407"/>
    <w:rsid w:val="00163A0E"/>
    <w:rsid w:val="00163EFF"/>
    <w:rsid w:val="00163F66"/>
    <w:rsid w:val="0016453B"/>
    <w:rsid w:val="0016478E"/>
    <w:rsid w:val="00164901"/>
    <w:rsid w:val="00164B28"/>
    <w:rsid w:val="00164B7C"/>
    <w:rsid w:val="001652B5"/>
    <w:rsid w:val="0016554E"/>
    <w:rsid w:val="00165B17"/>
    <w:rsid w:val="00165B1A"/>
    <w:rsid w:val="00165BA4"/>
    <w:rsid w:val="00165EC4"/>
    <w:rsid w:val="001660A5"/>
    <w:rsid w:val="001661FB"/>
    <w:rsid w:val="0016643D"/>
    <w:rsid w:val="001668B6"/>
    <w:rsid w:val="00166E62"/>
    <w:rsid w:val="001671A0"/>
    <w:rsid w:val="0016767F"/>
    <w:rsid w:val="00167AFA"/>
    <w:rsid w:val="00167EA4"/>
    <w:rsid w:val="00167EB2"/>
    <w:rsid w:val="001702CE"/>
    <w:rsid w:val="001704B8"/>
    <w:rsid w:val="0017116E"/>
    <w:rsid w:val="001714FA"/>
    <w:rsid w:val="00171EC6"/>
    <w:rsid w:val="0017209B"/>
    <w:rsid w:val="001728E6"/>
    <w:rsid w:val="0017325D"/>
    <w:rsid w:val="001732CA"/>
    <w:rsid w:val="001733B5"/>
    <w:rsid w:val="001734B4"/>
    <w:rsid w:val="00173565"/>
    <w:rsid w:val="00173586"/>
    <w:rsid w:val="001737E4"/>
    <w:rsid w:val="00173B07"/>
    <w:rsid w:val="00174980"/>
    <w:rsid w:val="00174A37"/>
    <w:rsid w:val="001751FA"/>
    <w:rsid w:val="00175229"/>
    <w:rsid w:val="00175249"/>
    <w:rsid w:val="001752AF"/>
    <w:rsid w:val="00175362"/>
    <w:rsid w:val="00175A3F"/>
    <w:rsid w:val="0017665C"/>
    <w:rsid w:val="00176960"/>
    <w:rsid w:val="00176C1B"/>
    <w:rsid w:val="00176FDF"/>
    <w:rsid w:val="00177204"/>
    <w:rsid w:val="00177731"/>
    <w:rsid w:val="00177940"/>
    <w:rsid w:val="00177F3D"/>
    <w:rsid w:val="001808DF"/>
    <w:rsid w:val="00180E17"/>
    <w:rsid w:val="00181028"/>
    <w:rsid w:val="00181731"/>
    <w:rsid w:val="0018191B"/>
    <w:rsid w:val="00181C10"/>
    <w:rsid w:val="00181D9C"/>
    <w:rsid w:val="00181FFA"/>
    <w:rsid w:val="001821B8"/>
    <w:rsid w:val="0018225E"/>
    <w:rsid w:val="00182542"/>
    <w:rsid w:val="00182F08"/>
    <w:rsid w:val="00183070"/>
    <w:rsid w:val="00183112"/>
    <w:rsid w:val="0018344C"/>
    <w:rsid w:val="001837FF"/>
    <w:rsid w:val="001846A7"/>
    <w:rsid w:val="0018489F"/>
    <w:rsid w:val="00184B0E"/>
    <w:rsid w:val="00184D9C"/>
    <w:rsid w:val="00184EC6"/>
    <w:rsid w:val="001852FD"/>
    <w:rsid w:val="001855EE"/>
    <w:rsid w:val="001857AE"/>
    <w:rsid w:val="001858E6"/>
    <w:rsid w:val="00185BF0"/>
    <w:rsid w:val="00185DDC"/>
    <w:rsid w:val="00185E3B"/>
    <w:rsid w:val="0018752F"/>
    <w:rsid w:val="00187A64"/>
    <w:rsid w:val="00187B31"/>
    <w:rsid w:val="00187B6D"/>
    <w:rsid w:val="00190184"/>
    <w:rsid w:val="0019032B"/>
    <w:rsid w:val="001905CC"/>
    <w:rsid w:val="001908E4"/>
    <w:rsid w:val="00190B09"/>
    <w:rsid w:val="0019101C"/>
    <w:rsid w:val="00191054"/>
    <w:rsid w:val="00191729"/>
    <w:rsid w:val="00191917"/>
    <w:rsid w:val="00191AC4"/>
    <w:rsid w:val="001927A7"/>
    <w:rsid w:val="0019305C"/>
    <w:rsid w:val="001930F7"/>
    <w:rsid w:val="00193114"/>
    <w:rsid w:val="00193838"/>
    <w:rsid w:val="001939AE"/>
    <w:rsid w:val="001939B4"/>
    <w:rsid w:val="00194AD8"/>
    <w:rsid w:val="00195222"/>
    <w:rsid w:val="0019531A"/>
    <w:rsid w:val="00195332"/>
    <w:rsid w:val="00195437"/>
    <w:rsid w:val="00195452"/>
    <w:rsid w:val="00195727"/>
    <w:rsid w:val="001958B8"/>
    <w:rsid w:val="001959C3"/>
    <w:rsid w:val="00195AB1"/>
    <w:rsid w:val="00195DF8"/>
    <w:rsid w:val="00195EC8"/>
    <w:rsid w:val="001960B5"/>
    <w:rsid w:val="001960F6"/>
    <w:rsid w:val="0019699D"/>
    <w:rsid w:val="00196AE4"/>
    <w:rsid w:val="00196FCD"/>
    <w:rsid w:val="001970DB"/>
    <w:rsid w:val="001975D8"/>
    <w:rsid w:val="001975E1"/>
    <w:rsid w:val="001978BD"/>
    <w:rsid w:val="00197AC1"/>
    <w:rsid w:val="00197AEB"/>
    <w:rsid w:val="00197D06"/>
    <w:rsid w:val="001A02B8"/>
    <w:rsid w:val="001A06FA"/>
    <w:rsid w:val="001A0A41"/>
    <w:rsid w:val="001A169F"/>
    <w:rsid w:val="001A178E"/>
    <w:rsid w:val="001A1E68"/>
    <w:rsid w:val="001A2099"/>
    <w:rsid w:val="001A229E"/>
    <w:rsid w:val="001A2436"/>
    <w:rsid w:val="001A26A0"/>
    <w:rsid w:val="001A2977"/>
    <w:rsid w:val="001A3138"/>
    <w:rsid w:val="001A3168"/>
    <w:rsid w:val="001A34A3"/>
    <w:rsid w:val="001A3A25"/>
    <w:rsid w:val="001A43B6"/>
    <w:rsid w:val="001A43FA"/>
    <w:rsid w:val="001A47C5"/>
    <w:rsid w:val="001A49C4"/>
    <w:rsid w:val="001A4B47"/>
    <w:rsid w:val="001A4C8A"/>
    <w:rsid w:val="001A4E22"/>
    <w:rsid w:val="001A4F3C"/>
    <w:rsid w:val="001A4F84"/>
    <w:rsid w:val="001A500B"/>
    <w:rsid w:val="001A55A5"/>
    <w:rsid w:val="001A5970"/>
    <w:rsid w:val="001A59FB"/>
    <w:rsid w:val="001A5B40"/>
    <w:rsid w:val="001A5B80"/>
    <w:rsid w:val="001A5E9E"/>
    <w:rsid w:val="001A6266"/>
    <w:rsid w:val="001A6354"/>
    <w:rsid w:val="001A6366"/>
    <w:rsid w:val="001A6A79"/>
    <w:rsid w:val="001A76B3"/>
    <w:rsid w:val="001A76D4"/>
    <w:rsid w:val="001A7AE8"/>
    <w:rsid w:val="001A7C41"/>
    <w:rsid w:val="001B00DD"/>
    <w:rsid w:val="001B0620"/>
    <w:rsid w:val="001B0BD6"/>
    <w:rsid w:val="001B0F39"/>
    <w:rsid w:val="001B111C"/>
    <w:rsid w:val="001B11AC"/>
    <w:rsid w:val="001B16EE"/>
    <w:rsid w:val="001B1E95"/>
    <w:rsid w:val="001B204E"/>
    <w:rsid w:val="001B206E"/>
    <w:rsid w:val="001B20D6"/>
    <w:rsid w:val="001B2372"/>
    <w:rsid w:val="001B243A"/>
    <w:rsid w:val="001B2965"/>
    <w:rsid w:val="001B2D48"/>
    <w:rsid w:val="001B2DDC"/>
    <w:rsid w:val="001B3256"/>
    <w:rsid w:val="001B3320"/>
    <w:rsid w:val="001B3443"/>
    <w:rsid w:val="001B34B8"/>
    <w:rsid w:val="001B369E"/>
    <w:rsid w:val="001B36A2"/>
    <w:rsid w:val="001B3849"/>
    <w:rsid w:val="001B3863"/>
    <w:rsid w:val="001B39A1"/>
    <w:rsid w:val="001B3E08"/>
    <w:rsid w:val="001B3E0D"/>
    <w:rsid w:val="001B4471"/>
    <w:rsid w:val="001B4AA6"/>
    <w:rsid w:val="001B4BA2"/>
    <w:rsid w:val="001B4CDE"/>
    <w:rsid w:val="001B4D20"/>
    <w:rsid w:val="001B51B1"/>
    <w:rsid w:val="001B5325"/>
    <w:rsid w:val="001B533E"/>
    <w:rsid w:val="001B533F"/>
    <w:rsid w:val="001B563A"/>
    <w:rsid w:val="001B60FC"/>
    <w:rsid w:val="001B6197"/>
    <w:rsid w:val="001B64DE"/>
    <w:rsid w:val="001B67C7"/>
    <w:rsid w:val="001B7040"/>
    <w:rsid w:val="001B7055"/>
    <w:rsid w:val="001B7DA3"/>
    <w:rsid w:val="001B7F0E"/>
    <w:rsid w:val="001B7F84"/>
    <w:rsid w:val="001C0383"/>
    <w:rsid w:val="001C0920"/>
    <w:rsid w:val="001C0A82"/>
    <w:rsid w:val="001C0EF8"/>
    <w:rsid w:val="001C1151"/>
    <w:rsid w:val="001C1165"/>
    <w:rsid w:val="001C1689"/>
    <w:rsid w:val="001C1740"/>
    <w:rsid w:val="001C1785"/>
    <w:rsid w:val="001C184B"/>
    <w:rsid w:val="001C1934"/>
    <w:rsid w:val="001C1B81"/>
    <w:rsid w:val="001C265A"/>
    <w:rsid w:val="001C283A"/>
    <w:rsid w:val="001C2846"/>
    <w:rsid w:val="001C2A9B"/>
    <w:rsid w:val="001C2E13"/>
    <w:rsid w:val="001C3DD6"/>
    <w:rsid w:val="001C3EAA"/>
    <w:rsid w:val="001C3F09"/>
    <w:rsid w:val="001C40BA"/>
    <w:rsid w:val="001C41F2"/>
    <w:rsid w:val="001C4299"/>
    <w:rsid w:val="001C42E0"/>
    <w:rsid w:val="001C4333"/>
    <w:rsid w:val="001C4874"/>
    <w:rsid w:val="001C4EB3"/>
    <w:rsid w:val="001C514F"/>
    <w:rsid w:val="001C5161"/>
    <w:rsid w:val="001C5372"/>
    <w:rsid w:val="001C55E4"/>
    <w:rsid w:val="001C5C08"/>
    <w:rsid w:val="001C5C68"/>
    <w:rsid w:val="001C5E15"/>
    <w:rsid w:val="001C5F94"/>
    <w:rsid w:val="001C62AC"/>
    <w:rsid w:val="001C62C1"/>
    <w:rsid w:val="001C6367"/>
    <w:rsid w:val="001C67F3"/>
    <w:rsid w:val="001C6E66"/>
    <w:rsid w:val="001C705A"/>
    <w:rsid w:val="001C7148"/>
    <w:rsid w:val="001C7680"/>
    <w:rsid w:val="001C7DC3"/>
    <w:rsid w:val="001D01FF"/>
    <w:rsid w:val="001D081D"/>
    <w:rsid w:val="001D0854"/>
    <w:rsid w:val="001D087D"/>
    <w:rsid w:val="001D090B"/>
    <w:rsid w:val="001D0B24"/>
    <w:rsid w:val="001D0D80"/>
    <w:rsid w:val="001D1046"/>
    <w:rsid w:val="001D1100"/>
    <w:rsid w:val="001D1330"/>
    <w:rsid w:val="001D1391"/>
    <w:rsid w:val="001D1ED0"/>
    <w:rsid w:val="001D1FFD"/>
    <w:rsid w:val="001D2347"/>
    <w:rsid w:val="001D254A"/>
    <w:rsid w:val="001D25D7"/>
    <w:rsid w:val="001D27A1"/>
    <w:rsid w:val="001D2894"/>
    <w:rsid w:val="001D2E28"/>
    <w:rsid w:val="001D3502"/>
    <w:rsid w:val="001D3776"/>
    <w:rsid w:val="001D37DD"/>
    <w:rsid w:val="001D3B92"/>
    <w:rsid w:val="001D3BE9"/>
    <w:rsid w:val="001D438F"/>
    <w:rsid w:val="001D45CB"/>
    <w:rsid w:val="001D48D7"/>
    <w:rsid w:val="001D4A9B"/>
    <w:rsid w:val="001D4EE8"/>
    <w:rsid w:val="001D50B2"/>
    <w:rsid w:val="001D521C"/>
    <w:rsid w:val="001D5733"/>
    <w:rsid w:val="001D5C9E"/>
    <w:rsid w:val="001D5F50"/>
    <w:rsid w:val="001D5FD1"/>
    <w:rsid w:val="001D60D3"/>
    <w:rsid w:val="001D62CE"/>
    <w:rsid w:val="001D6471"/>
    <w:rsid w:val="001D6679"/>
    <w:rsid w:val="001D673D"/>
    <w:rsid w:val="001D674B"/>
    <w:rsid w:val="001D6811"/>
    <w:rsid w:val="001D68EA"/>
    <w:rsid w:val="001D6E92"/>
    <w:rsid w:val="001D6F4F"/>
    <w:rsid w:val="001D714B"/>
    <w:rsid w:val="001D71F4"/>
    <w:rsid w:val="001D7645"/>
    <w:rsid w:val="001D76B7"/>
    <w:rsid w:val="001D7788"/>
    <w:rsid w:val="001D7940"/>
    <w:rsid w:val="001D7B01"/>
    <w:rsid w:val="001E0384"/>
    <w:rsid w:val="001E067D"/>
    <w:rsid w:val="001E0EE5"/>
    <w:rsid w:val="001E0FF2"/>
    <w:rsid w:val="001E1003"/>
    <w:rsid w:val="001E197C"/>
    <w:rsid w:val="001E19C7"/>
    <w:rsid w:val="001E1A5D"/>
    <w:rsid w:val="001E1BAF"/>
    <w:rsid w:val="001E1E86"/>
    <w:rsid w:val="001E2285"/>
    <w:rsid w:val="001E238E"/>
    <w:rsid w:val="001E2483"/>
    <w:rsid w:val="001E25B8"/>
    <w:rsid w:val="001E2B1E"/>
    <w:rsid w:val="001E2CFF"/>
    <w:rsid w:val="001E2E05"/>
    <w:rsid w:val="001E2F24"/>
    <w:rsid w:val="001E2FAF"/>
    <w:rsid w:val="001E3041"/>
    <w:rsid w:val="001E30A4"/>
    <w:rsid w:val="001E30D4"/>
    <w:rsid w:val="001E3244"/>
    <w:rsid w:val="001E34DF"/>
    <w:rsid w:val="001E394B"/>
    <w:rsid w:val="001E3AB1"/>
    <w:rsid w:val="001E3CB9"/>
    <w:rsid w:val="001E4253"/>
    <w:rsid w:val="001E4A0F"/>
    <w:rsid w:val="001E4A3C"/>
    <w:rsid w:val="001E4AC5"/>
    <w:rsid w:val="001E4FB2"/>
    <w:rsid w:val="001E50A5"/>
    <w:rsid w:val="001E52EB"/>
    <w:rsid w:val="001E5582"/>
    <w:rsid w:val="001E5DD0"/>
    <w:rsid w:val="001E5E3C"/>
    <w:rsid w:val="001E61D2"/>
    <w:rsid w:val="001E6379"/>
    <w:rsid w:val="001E6D85"/>
    <w:rsid w:val="001E708E"/>
    <w:rsid w:val="001E71C5"/>
    <w:rsid w:val="001E740C"/>
    <w:rsid w:val="001E7791"/>
    <w:rsid w:val="001E78D0"/>
    <w:rsid w:val="001E78D9"/>
    <w:rsid w:val="001E7A4C"/>
    <w:rsid w:val="001E7B0B"/>
    <w:rsid w:val="001E7B3E"/>
    <w:rsid w:val="001E7C2C"/>
    <w:rsid w:val="001E7D5C"/>
    <w:rsid w:val="001F00C6"/>
    <w:rsid w:val="001F0343"/>
    <w:rsid w:val="001F05A5"/>
    <w:rsid w:val="001F085E"/>
    <w:rsid w:val="001F0884"/>
    <w:rsid w:val="001F0DD4"/>
    <w:rsid w:val="001F0EC9"/>
    <w:rsid w:val="001F1235"/>
    <w:rsid w:val="001F136F"/>
    <w:rsid w:val="001F148C"/>
    <w:rsid w:val="001F14B7"/>
    <w:rsid w:val="001F14CE"/>
    <w:rsid w:val="001F1907"/>
    <w:rsid w:val="001F1CB3"/>
    <w:rsid w:val="001F1E94"/>
    <w:rsid w:val="001F1F4D"/>
    <w:rsid w:val="001F2122"/>
    <w:rsid w:val="001F251B"/>
    <w:rsid w:val="001F2882"/>
    <w:rsid w:val="001F2895"/>
    <w:rsid w:val="001F2C27"/>
    <w:rsid w:val="001F2C47"/>
    <w:rsid w:val="001F35CB"/>
    <w:rsid w:val="001F36FA"/>
    <w:rsid w:val="001F38B5"/>
    <w:rsid w:val="001F38D5"/>
    <w:rsid w:val="001F3B26"/>
    <w:rsid w:val="001F3D02"/>
    <w:rsid w:val="001F3F6E"/>
    <w:rsid w:val="001F4081"/>
    <w:rsid w:val="001F42D0"/>
    <w:rsid w:val="001F5101"/>
    <w:rsid w:val="001F5188"/>
    <w:rsid w:val="001F5254"/>
    <w:rsid w:val="001F5770"/>
    <w:rsid w:val="001F59EF"/>
    <w:rsid w:val="001F5D3B"/>
    <w:rsid w:val="001F5D6E"/>
    <w:rsid w:val="001F5E53"/>
    <w:rsid w:val="001F5F14"/>
    <w:rsid w:val="001F6389"/>
    <w:rsid w:val="001F650A"/>
    <w:rsid w:val="001F69A0"/>
    <w:rsid w:val="001F6F62"/>
    <w:rsid w:val="001F7122"/>
    <w:rsid w:val="001F72D5"/>
    <w:rsid w:val="001F72DB"/>
    <w:rsid w:val="001F7361"/>
    <w:rsid w:val="001F7447"/>
    <w:rsid w:val="001F747A"/>
    <w:rsid w:val="001F7901"/>
    <w:rsid w:val="001F7ADC"/>
    <w:rsid w:val="001F7D4D"/>
    <w:rsid w:val="002011B0"/>
    <w:rsid w:val="00201396"/>
    <w:rsid w:val="0020184C"/>
    <w:rsid w:val="002018F1"/>
    <w:rsid w:val="00201930"/>
    <w:rsid w:val="00201A3B"/>
    <w:rsid w:val="00201AF2"/>
    <w:rsid w:val="00201B9F"/>
    <w:rsid w:val="00201F65"/>
    <w:rsid w:val="00201F81"/>
    <w:rsid w:val="00202196"/>
    <w:rsid w:val="0020240C"/>
    <w:rsid w:val="00202BF3"/>
    <w:rsid w:val="00202C29"/>
    <w:rsid w:val="00202D52"/>
    <w:rsid w:val="00202D7C"/>
    <w:rsid w:val="00202E04"/>
    <w:rsid w:val="0020312E"/>
    <w:rsid w:val="00203181"/>
    <w:rsid w:val="002031C1"/>
    <w:rsid w:val="00203783"/>
    <w:rsid w:val="0020385F"/>
    <w:rsid w:val="002038AA"/>
    <w:rsid w:val="00203D51"/>
    <w:rsid w:val="002040A2"/>
    <w:rsid w:val="00204547"/>
    <w:rsid w:val="00204A73"/>
    <w:rsid w:val="00204B76"/>
    <w:rsid w:val="00204BCC"/>
    <w:rsid w:val="00204ED5"/>
    <w:rsid w:val="00205132"/>
    <w:rsid w:val="00205183"/>
    <w:rsid w:val="002054FD"/>
    <w:rsid w:val="0020560A"/>
    <w:rsid w:val="00205804"/>
    <w:rsid w:val="00205875"/>
    <w:rsid w:val="002059E5"/>
    <w:rsid w:val="00205F49"/>
    <w:rsid w:val="00206147"/>
    <w:rsid w:val="0020639E"/>
    <w:rsid w:val="00206727"/>
    <w:rsid w:val="002068A0"/>
    <w:rsid w:val="002069C6"/>
    <w:rsid w:val="00206BAE"/>
    <w:rsid w:val="00206F6A"/>
    <w:rsid w:val="00207021"/>
    <w:rsid w:val="0020732F"/>
    <w:rsid w:val="00207CA2"/>
    <w:rsid w:val="00207D00"/>
    <w:rsid w:val="002102F1"/>
    <w:rsid w:val="0021053F"/>
    <w:rsid w:val="002105AC"/>
    <w:rsid w:val="002105C1"/>
    <w:rsid w:val="002115A5"/>
    <w:rsid w:val="002116A0"/>
    <w:rsid w:val="002116FD"/>
    <w:rsid w:val="00212119"/>
    <w:rsid w:val="00212282"/>
    <w:rsid w:val="0021236A"/>
    <w:rsid w:val="002128EF"/>
    <w:rsid w:val="0021357F"/>
    <w:rsid w:val="00213CFD"/>
    <w:rsid w:val="00213EF5"/>
    <w:rsid w:val="00214087"/>
    <w:rsid w:val="00214336"/>
    <w:rsid w:val="0021450E"/>
    <w:rsid w:val="00214643"/>
    <w:rsid w:val="00214B47"/>
    <w:rsid w:val="00215005"/>
    <w:rsid w:val="0021500E"/>
    <w:rsid w:val="0021537E"/>
    <w:rsid w:val="002153CC"/>
    <w:rsid w:val="002154EB"/>
    <w:rsid w:val="002155EC"/>
    <w:rsid w:val="00215EE9"/>
    <w:rsid w:val="00215FCD"/>
    <w:rsid w:val="002160A9"/>
    <w:rsid w:val="002160C9"/>
    <w:rsid w:val="00216118"/>
    <w:rsid w:val="002164BF"/>
    <w:rsid w:val="0021655B"/>
    <w:rsid w:val="00216B61"/>
    <w:rsid w:val="00216BF5"/>
    <w:rsid w:val="002174F5"/>
    <w:rsid w:val="002177D1"/>
    <w:rsid w:val="00217F81"/>
    <w:rsid w:val="00220539"/>
    <w:rsid w:val="002207AB"/>
    <w:rsid w:val="00220E8E"/>
    <w:rsid w:val="002211B0"/>
    <w:rsid w:val="002215F5"/>
    <w:rsid w:val="0022191B"/>
    <w:rsid w:val="0022199D"/>
    <w:rsid w:val="00221D58"/>
    <w:rsid w:val="00221E22"/>
    <w:rsid w:val="0022269A"/>
    <w:rsid w:val="002234A4"/>
    <w:rsid w:val="00223626"/>
    <w:rsid w:val="0022391B"/>
    <w:rsid w:val="00223B49"/>
    <w:rsid w:val="00223BEB"/>
    <w:rsid w:val="00223D5A"/>
    <w:rsid w:val="00223F50"/>
    <w:rsid w:val="00223F5B"/>
    <w:rsid w:val="00224699"/>
    <w:rsid w:val="00224C09"/>
    <w:rsid w:val="00224CF1"/>
    <w:rsid w:val="00224DD4"/>
    <w:rsid w:val="002251E9"/>
    <w:rsid w:val="002259AC"/>
    <w:rsid w:val="00225ADE"/>
    <w:rsid w:val="00226164"/>
    <w:rsid w:val="002262EB"/>
    <w:rsid w:val="0022633F"/>
    <w:rsid w:val="0022687D"/>
    <w:rsid w:val="00226F88"/>
    <w:rsid w:val="00227331"/>
    <w:rsid w:val="0022748F"/>
    <w:rsid w:val="002278A0"/>
    <w:rsid w:val="002309CC"/>
    <w:rsid w:val="00231216"/>
    <w:rsid w:val="002312E5"/>
    <w:rsid w:val="00231536"/>
    <w:rsid w:val="002316D1"/>
    <w:rsid w:val="00231876"/>
    <w:rsid w:val="00231BA9"/>
    <w:rsid w:val="00231E24"/>
    <w:rsid w:val="0023209F"/>
    <w:rsid w:val="00232141"/>
    <w:rsid w:val="00232304"/>
    <w:rsid w:val="0023242E"/>
    <w:rsid w:val="0023243F"/>
    <w:rsid w:val="00232B1E"/>
    <w:rsid w:val="00232D9D"/>
    <w:rsid w:val="0023310F"/>
    <w:rsid w:val="002338CA"/>
    <w:rsid w:val="00233C01"/>
    <w:rsid w:val="0023413C"/>
    <w:rsid w:val="00234344"/>
    <w:rsid w:val="0023443E"/>
    <w:rsid w:val="002345E3"/>
    <w:rsid w:val="002346F0"/>
    <w:rsid w:val="002349C4"/>
    <w:rsid w:val="002349D3"/>
    <w:rsid w:val="002354DD"/>
    <w:rsid w:val="00235C51"/>
    <w:rsid w:val="0023629D"/>
    <w:rsid w:val="00236A92"/>
    <w:rsid w:val="00236F24"/>
    <w:rsid w:val="00236F4C"/>
    <w:rsid w:val="0023702D"/>
    <w:rsid w:val="00237255"/>
    <w:rsid w:val="00237844"/>
    <w:rsid w:val="00240076"/>
    <w:rsid w:val="00240439"/>
    <w:rsid w:val="00240D18"/>
    <w:rsid w:val="00240E68"/>
    <w:rsid w:val="0024104B"/>
    <w:rsid w:val="00241864"/>
    <w:rsid w:val="00241D40"/>
    <w:rsid w:val="00241DF0"/>
    <w:rsid w:val="00242017"/>
    <w:rsid w:val="002424AF"/>
    <w:rsid w:val="0024279E"/>
    <w:rsid w:val="00242888"/>
    <w:rsid w:val="002428D0"/>
    <w:rsid w:val="00242ACF"/>
    <w:rsid w:val="00243733"/>
    <w:rsid w:val="002439DC"/>
    <w:rsid w:val="00243C70"/>
    <w:rsid w:val="00243CCD"/>
    <w:rsid w:val="00243E94"/>
    <w:rsid w:val="002441D2"/>
    <w:rsid w:val="002442E3"/>
    <w:rsid w:val="0024457B"/>
    <w:rsid w:val="00244DC8"/>
    <w:rsid w:val="0024505A"/>
    <w:rsid w:val="002451DE"/>
    <w:rsid w:val="00245707"/>
    <w:rsid w:val="002458BA"/>
    <w:rsid w:val="00245CE9"/>
    <w:rsid w:val="0024629B"/>
    <w:rsid w:val="0024636C"/>
    <w:rsid w:val="002464D6"/>
    <w:rsid w:val="002469DE"/>
    <w:rsid w:val="00246B9F"/>
    <w:rsid w:val="002471B5"/>
    <w:rsid w:val="002474B2"/>
    <w:rsid w:val="00247883"/>
    <w:rsid w:val="002478C4"/>
    <w:rsid w:val="00247925"/>
    <w:rsid w:val="00247EC3"/>
    <w:rsid w:val="00247FCE"/>
    <w:rsid w:val="0025004E"/>
    <w:rsid w:val="00250231"/>
    <w:rsid w:val="00250296"/>
    <w:rsid w:val="00250592"/>
    <w:rsid w:val="00250B24"/>
    <w:rsid w:val="00250EFF"/>
    <w:rsid w:val="00251006"/>
    <w:rsid w:val="002510AA"/>
    <w:rsid w:val="002511EF"/>
    <w:rsid w:val="002512D2"/>
    <w:rsid w:val="00251B66"/>
    <w:rsid w:val="00251CE5"/>
    <w:rsid w:val="00251D65"/>
    <w:rsid w:val="002521D6"/>
    <w:rsid w:val="00252273"/>
    <w:rsid w:val="002522AD"/>
    <w:rsid w:val="002522D3"/>
    <w:rsid w:val="00252438"/>
    <w:rsid w:val="002524D5"/>
    <w:rsid w:val="002525F5"/>
    <w:rsid w:val="0025272C"/>
    <w:rsid w:val="00252A7C"/>
    <w:rsid w:val="00252D7E"/>
    <w:rsid w:val="00252F1F"/>
    <w:rsid w:val="0025303B"/>
    <w:rsid w:val="002530C9"/>
    <w:rsid w:val="002534F0"/>
    <w:rsid w:val="002535AF"/>
    <w:rsid w:val="00253749"/>
    <w:rsid w:val="00253B1D"/>
    <w:rsid w:val="0025434E"/>
    <w:rsid w:val="002545D8"/>
    <w:rsid w:val="002546AE"/>
    <w:rsid w:val="002547E9"/>
    <w:rsid w:val="00254C01"/>
    <w:rsid w:val="00254CD7"/>
    <w:rsid w:val="00254DCF"/>
    <w:rsid w:val="00254E0E"/>
    <w:rsid w:val="00255072"/>
    <w:rsid w:val="002551CC"/>
    <w:rsid w:val="0025534B"/>
    <w:rsid w:val="002557DA"/>
    <w:rsid w:val="00255BB7"/>
    <w:rsid w:val="002562C4"/>
    <w:rsid w:val="00256754"/>
    <w:rsid w:val="00256772"/>
    <w:rsid w:val="00256F16"/>
    <w:rsid w:val="002571AE"/>
    <w:rsid w:val="002571F3"/>
    <w:rsid w:val="00257251"/>
    <w:rsid w:val="0025736A"/>
    <w:rsid w:val="00257491"/>
    <w:rsid w:val="00257541"/>
    <w:rsid w:val="00257777"/>
    <w:rsid w:val="00257A39"/>
    <w:rsid w:val="00257AC4"/>
    <w:rsid w:val="00257BBE"/>
    <w:rsid w:val="00257ECA"/>
    <w:rsid w:val="002603A3"/>
    <w:rsid w:val="0026047A"/>
    <w:rsid w:val="002606D3"/>
    <w:rsid w:val="002607A9"/>
    <w:rsid w:val="00260A4C"/>
    <w:rsid w:val="00260B7F"/>
    <w:rsid w:val="0026102F"/>
    <w:rsid w:val="00261505"/>
    <w:rsid w:val="0026151F"/>
    <w:rsid w:val="002618F3"/>
    <w:rsid w:val="00261BA1"/>
    <w:rsid w:val="00261E4D"/>
    <w:rsid w:val="00261EE3"/>
    <w:rsid w:val="00261EEF"/>
    <w:rsid w:val="002620A1"/>
    <w:rsid w:val="00262339"/>
    <w:rsid w:val="002623C1"/>
    <w:rsid w:val="002626AB"/>
    <w:rsid w:val="00262A1A"/>
    <w:rsid w:val="00262A7D"/>
    <w:rsid w:val="00262A87"/>
    <w:rsid w:val="00262CC2"/>
    <w:rsid w:val="00262DC6"/>
    <w:rsid w:val="002632A0"/>
    <w:rsid w:val="0026351C"/>
    <w:rsid w:val="002639E0"/>
    <w:rsid w:val="00264014"/>
    <w:rsid w:val="0026428E"/>
    <w:rsid w:val="00264375"/>
    <w:rsid w:val="00264568"/>
    <w:rsid w:val="002646C4"/>
    <w:rsid w:val="002646F3"/>
    <w:rsid w:val="00264942"/>
    <w:rsid w:val="00264A8E"/>
    <w:rsid w:val="00264BA9"/>
    <w:rsid w:val="00264D26"/>
    <w:rsid w:val="00264DEF"/>
    <w:rsid w:val="00264F5E"/>
    <w:rsid w:val="00264FD1"/>
    <w:rsid w:val="002652DA"/>
    <w:rsid w:val="00265342"/>
    <w:rsid w:val="00265977"/>
    <w:rsid w:val="00265C28"/>
    <w:rsid w:val="00265E4F"/>
    <w:rsid w:val="00266088"/>
    <w:rsid w:val="002664B5"/>
    <w:rsid w:val="002665ED"/>
    <w:rsid w:val="002666C9"/>
    <w:rsid w:val="00266775"/>
    <w:rsid w:val="002667F4"/>
    <w:rsid w:val="00266F87"/>
    <w:rsid w:val="002670DE"/>
    <w:rsid w:val="002670ED"/>
    <w:rsid w:val="002674B9"/>
    <w:rsid w:val="00267642"/>
    <w:rsid w:val="00267AEA"/>
    <w:rsid w:val="00267BB9"/>
    <w:rsid w:val="00267F08"/>
    <w:rsid w:val="002700E6"/>
    <w:rsid w:val="0027055F"/>
    <w:rsid w:val="002706A5"/>
    <w:rsid w:val="002706B4"/>
    <w:rsid w:val="002708ED"/>
    <w:rsid w:val="00270BAD"/>
    <w:rsid w:val="00271130"/>
    <w:rsid w:val="00271581"/>
    <w:rsid w:val="00271A6F"/>
    <w:rsid w:val="00271DD5"/>
    <w:rsid w:val="00271EB7"/>
    <w:rsid w:val="00272073"/>
    <w:rsid w:val="0027210A"/>
    <w:rsid w:val="0027228C"/>
    <w:rsid w:val="002724F4"/>
    <w:rsid w:val="00272805"/>
    <w:rsid w:val="00272902"/>
    <w:rsid w:val="0027294B"/>
    <w:rsid w:val="00272CBF"/>
    <w:rsid w:val="00272E19"/>
    <w:rsid w:val="00272E87"/>
    <w:rsid w:val="0027303E"/>
    <w:rsid w:val="002736C5"/>
    <w:rsid w:val="00273C9B"/>
    <w:rsid w:val="00273EB4"/>
    <w:rsid w:val="00274413"/>
    <w:rsid w:val="00274632"/>
    <w:rsid w:val="00274682"/>
    <w:rsid w:val="00274752"/>
    <w:rsid w:val="00274845"/>
    <w:rsid w:val="00274E3C"/>
    <w:rsid w:val="00275158"/>
    <w:rsid w:val="0027521A"/>
    <w:rsid w:val="002752CA"/>
    <w:rsid w:val="00275650"/>
    <w:rsid w:val="00275742"/>
    <w:rsid w:val="00275BDF"/>
    <w:rsid w:val="00275C03"/>
    <w:rsid w:val="00275C5A"/>
    <w:rsid w:val="002760FF"/>
    <w:rsid w:val="00276695"/>
    <w:rsid w:val="00276699"/>
    <w:rsid w:val="002767DC"/>
    <w:rsid w:val="00276896"/>
    <w:rsid w:val="00276AF8"/>
    <w:rsid w:val="00276C58"/>
    <w:rsid w:val="00276CC4"/>
    <w:rsid w:val="00276D65"/>
    <w:rsid w:val="00276DE9"/>
    <w:rsid w:val="00277675"/>
    <w:rsid w:val="002776B3"/>
    <w:rsid w:val="00277926"/>
    <w:rsid w:val="00277A34"/>
    <w:rsid w:val="00277DDD"/>
    <w:rsid w:val="00280064"/>
    <w:rsid w:val="002804A4"/>
    <w:rsid w:val="00280958"/>
    <w:rsid w:val="0028099F"/>
    <w:rsid w:val="00280B71"/>
    <w:rsid w:val="00280C33"/>
    <w:rsid w:val="00280CBC"/>
    <w:rsid w:val="00281014"/>
    <w:rsid w:val="00281205"/>
    <w:rsid w:val="00281795"/>
    <w:rsid w:val="00281A3D"/>
    <w:rsid w:val="00281B37"/>
    <w:rsid w:val="00281C41"/>
    <w:rsid w:val="00281D92"/>
    <w:rsid w:val="00281F1D"/>
    <w:rsid w:val="002823A6"/>
    <w:rsid w:val="00282697"/>
    <w:rsid w:val="00282A8D"/>
    <w:rsid w:val="00282BD6"/>
    <w:rsid w:val="00282F70"/>
    <w:rsid w:val="002832C9"/>
    <w:rsid w:val="00283BAA"/>
    <w:rsid w:val="00283ECA"/>
    <w:rsid w:val="00283F27"/>
    <w:rsid w:val="002841FF"/>
    <w:rsid w:val="00284562"/>
    <w:rsid w:val="00284D51"/>
    <w:rsid w:val="002853A8"/>
    <w:rsid w:val="00285439"/>
    <w:rsid w:val="00285B22"/>
    <w:rsid w:val="00285BCE"/>
    <w:rsid w:val="00285EED"/>
    <w:rsid w:val="0028637C"/>
    <w:rsid w:val="0028665D"/>
    <w:rsid w:val="00286D07"/>
    <w:rsid w:val="00286EF3"/>
    <w:rsid w:val="00287169"/>
    <w:rsid w:val="002871D5"/>
    <w:rsid w:val="002873FF"/>
    <w:rsid w:val="00287485"/>
    <w:rsid w:val="002877EB"/>
    <w:rsid w:val="00287BA4"/>
    <w:rsid w:val="00287F19"/>
    <w:rsid w:val="002904BE"/>
    <w:rsid w:val="00290624"/>
    <w:rsid w:val="00290778"/>
    <w:rsid w:val="00290982"/>
    <w:rsid w:val="0029172E"/>
    <w:rsid w:val="00291BC8"/>
    <w:rsid w:val="00291C5B"/>
    <w:rsid w:val="00291F78"/>
    <w:rsid w:val="00292206"/>
    <w:rsid w:val="00292672"/>
    <w:rsid w:val="002927B8"/>
    <w:rsid w:val="00292C0C"/>
    <w:rsid w:val="00292FE1"/>
    <w:rsid w:val="002935EF"/>
    <w:rsid w:val="002938B2"/>
    <w:rsid w:val="002939DC"/>
    <w:rsid w:val="00293C84"/>
    <w:rsid w:val="00293DFF"/>
    <w:rsid w:val="00293FE9"/>
    <w:rsid w:val="00294326"/>
    <w:rsid w:val="00294423"/>
    <w:rsid w:val="002948CA"/>
    <w:rsid w:val="002948D8"/>
    <w:rsid w:val="0029491A"/>
    <w:rsid w:val="00294D78"/>
    <w:rsid w:val="00294E2C"/>
    <w:rsid w:val="00294E7C"/>
    <w:rsid w:val="002954DE"/>
    <w:rsid w:val="0029588D"/>
    <w:rsid w:val="00295C64"/>
    <w:rsid w:val="00295F9B"/>
    <w:rsid w:val="00296461"/>
    <w:rsid w:val="00296664"/>
    <w:rsid w:val="0029722C"/>
    <w:rsid w:val="00297235"/>
    <w:rsid w:val="00297269"/>
    <w:rsid w:val="002972B5"/>
    <w:rsid w:val="00297352"/>
    <w:rsid w:val="002974A3"/>
    <w:rsid w:val="00297EA0"/>
    <w:rsid w:val="002A0386"/>
    <w:rsid w:val="002A063E"/>
    <w:rsid w:val="002A07F5"/>
    <w:rsid w:val="002A09AB"/>
    <w:rsid w:val="002A1237"/>
    <w:rsid w:val="002A14AB"/>
    <w:rsid w:val="002A1907"/>
    <w:rsid w:val="002A207F"/>
    <w:rsid w:val="002A20BD"/>
    <w:rsid w:val="002A2ADE"/>
    <w:rsid w:val="002A2F50"/>
    <w:rsid w:val="002A3085"/>
    <w:rsid w:val="002A3739"/>
    <w:rsid w:val="002A3DFA"/>
    <w:rsid w:val="002A4292"/>
    <w:rsid w:val="002A448B"/>
    <w:rsid w:val="002A472E"/>
    <w:rsid w:val="002A4BB9"/>
    <w:rsid w:val="002A4DDE"/>
    <w:rsid w:val="002A4F6B"/>
    <w:rsid w:val="002A5081"/>
    <w:rsid w:val="002A5585"/>
    <w:rsid w:val="002A57F7"/>
    <w:rsid w:val="002A64A5"/>
    <w:rsid w:val="002A6622"/>
    <w:rsid w:val="002A667B"/>
    <w:rsid w:val="002A667C"/>
    <w:rsid w:val="002A6864"/>
    <w:rsid w:val="002A726E"/>
    <w:rsid w:val="002A7334"/>
    <w:rsid w:val="002A74B6"/>
    <w:rsid w:val="002A7943"/>
    <w:rsid w:val="002B0155"/>
    <w:rsid w:val="002B0410"/>
    <w:rsid w:val="002B05A1"/>
    <w:rsid w:val="002B08E3"/>
    <w:rsid w:val="002B0973"/>
    <w:rsid w:val="002B09A4"/>
    <w:rsid w:val="002B0E78"/>
    <w:rsid w:val="002B0F68"/>
    <w:rsid w:val="002B11A8"/>
    <w:rsid w:val="002B15DE"/>
    <w:rsid w:val="002B1881"/>
    <w:rsid w:val="002B191F"/>
    <w:rsid w:val="002B1C1F"/>
    <w:rsid w:val="002B1D30"/>
    <w:rsid w:val="002B1D4E"/>
    <w:rsid w:val="002B2082"/>
    <w:rsid w:val="002B20C5"/>
    <w:rsid w:val="002B2548"/>
    <w:rsid w:val="002B25BD"/>
    <w:rsid w:val="002B2A5D"/>
    <w:rsid w:val="002B34FD"/>
    <w:rsid w:val="002B3676"/>
    <w:rsid w:val="002B368A"/>
    <w:rsid w:val="002B3B76"/>
    <w:rsid w:val="002B4163"/>
    <w:rsid w:val="002B41E1"/>
    <w:rsid w:val="002B432F"/>
    <w:rsid w:val="002B4B33"/>
    <w:rsid w:val="002B4F3F"/>
    <w:rsid w:val="002B55A1"/>
    <w:rsid w:val="002B5AB6"/>
    <w:rsid w:val="002B5E04"/>
    <w:rsid w:val="002B62B3"/>
    <w:rsid w:val="002B6754"/>
    <w:rsid w:val="002B67AC"/>
    <w:rsid w:val="002B6A9B"/>
    <w:rsid w:val="002B6CCE"/>
    <w:rsid w:val="002B72B1"/>
    <w:rsid w:val="002B749E"/>
    <w:rsid w:val="002B78CA"/>
    <w:rsid w:val="002B7FE7"/>
    <w:rsid w:val="002C0092"/>
    <w:rsid w:val="002C013C"/>
    <w:rsid w:val="002C03B2"/>
    <w:rsid w:val="002C0F5B"/>
    <w:rsid w:val="002C0FEA"/>
    <w:rsid w:val="002C12DD"/>
    <w:rsid w:val="002C1840"/>
    <w:rsid w:val="002C1AE8"/>
    <w:rsid w:val="002C222D"/>
    <w:rsid w:val="002C2285"/>
    <w:rsid w:val="002C2411"/>
    <w:rsid w:val="002C2510"/>
    <w:rsid w:val="002C2775"/>
    <w:rsid w:val="002C27C1"/>
    <w:rsid w:val="002C2B19"/>
    <w:rsid w:val="002C2B71"/>
    <w:rsid w:val="002C2CF8"/>
    <w:rsid w:val="002C2ED2"/>
    <w:rsid w:val="002C2F6A"/>
    <w:rsid w:val="002C36E3"/>
    <w:rsid w:val="002C39D0"/>
    <w:rsid w:val="002C3E10"/>
    <w:rsid w:val="002C45CC"/>
    <w:rsid w:val="002C4C12"/>
    <w:rsid w:val="002C5099"/>
    <w:rsid w:val="002C544C"/>
    <w:rsid w:val="002C5814"/>
    <w:rsid w:val="002C5889"/>
    <w:rsid w:val="002C5949"/>
    <w:rsid w:val="002C6B31"/>
    <w:rsid w:val="002C71CE"/>
    <w:rsid w:val="002C7707"/>
    <w:rsid w:val="002C7759"/>
    <w:rsid w:val="002C7A89"/>
    <w:rsid w:val="002C7CD2"/>
    <w:rsid w:val="002D03DF"/>
    <w:rsid w:val="002D0601"/>
    <w:rsid w:val="002D06A6"/>
    <w:rsid w:val="002D08A8"/>
    <w:rsid w:val="002D08F8"/>
    <w:rsid w:val="002D09B0"/>
    <w:rsid w:val="002D0C00"/>
    <w:rsid w:val="002D15E9"/>
    <w:rsid w:val="002D1E2B"/>
    <w:rsid w:val="002D1F77"/>
    <w:rsid w:val="002D20A7"/>
    <w:rsid w:val="002D22FB"/>
    <w:rsid w:val="002D2EDC"/>
    <w:rsid w:val="002D3244"/>
    <w:rsid w:val="002D3513"/>
    <w:rsid w:val="002D3915"/>
    <w:rsid w:val="002D3A9F"/>
    <w:rsid w:val="002D3C5A"/>
    <w:rsid w:val="002D541D"/>
    <w:rsid w:val="002D577C"/>
    <w:rsid w:val="002D59E3"/>
    <w:rsid w:val="002D5B09"/>
    <w:rsid w:val="002D5E2B"/>
    <w:rsid w:val="002D622D"/>
    <w:rsid w:val="002D6525"/>
    <w:rsid w:val="002D67E5"/>
    <w:rsid w:val="002D6D7B"/>
    <w:rsid w:val="002D7832"/>
    <w:rsid w:val="002E0A95"/>
    <w:rsid w:val="002E0D8E"/>
    <w:rsid w:val="002E1071"/>
    <w:rsid w:val="002E126B"/>
    <w:rsid w:val="002E15B9"/>
    <w:rsid w:val="002E1DD2"/>
    <w:rsid w:val="002E2158"/>
    <w:rsid w:val="002E37A3"/>
    <w:rsid w:val="002E380F"/>
    <w:rsid w:val="002E3956"/>
    <w:rsid w:val="002E41D6"/>
    <w:rsid w:val="002E42FE"/>
    <w:rsid w:val="002E45A0"/>
    <w:rsid w:val="002E473F"/>
    <w:rsid w:val="002E49F0"/>
    <w:rsid w:val="002E4A1A"/>
    <w:rsid w:val="002E4D08"/>
    <w:rsid w:val="002E4F02"/>
    <w:rsid w:val="002E4F5B"/>
    <w:rsid w:val="002E5695"/>
    <w:rsid w:val="002E5BB9"/>
    <w:rsid w:val="002E6103"/>
    <w:rsid w:val="002E64BD"/>
    <w:rsid w:val="002E653A"/>
    <w:rsid w:val="002E6A56"/>
    <w:rsid w:val="002E6C2B"/>
    <w:rsid w:val="002E6DB2"/>
    <w:rsid w:val="002E6F42"/>
    <w:rsid w:val="002E7722"/>
    <w:rsid w:val="002E7779"/>
    <w:rsid w:val="002E7A66"/>
    <w:rsid w:val="002E7AA2"/>
    <w:rsid w:val="002E7CCF"/>
    <w:rsid w:val="002E7E99"/>
    <w:rsid w:val="002F027D"/>
    <w:rsid w:val="002F0372"/>
    <w:rsid w:val="002F07BA"/>
    <w:rsid w:val="002F0DA9"/>
    <w:rsid w:val="002F0F99"/>
    <w:rsid w:val="002F1014"/>
    <w:rsid w:val="002F1877"/>
    <w:rsid w:val="002F1AF6"/>
    <w:rsid w:val="002F1E3B"/>
    <w:rsid w:val="002F2252"/>
    <w:rsid w:val="002F27C5"/>
    <w:rsid w:val="002F2863"/>
    <w:rsid w:val="002F2B78"/>
    <w:rsid w:val="002F323E"/>
    <w:rsid w:val="002F3260"/>
    <w:rsid w:val="002F3281"/>
    <w:rsid w:val="002F3534"/>
    <w:rsid w:val="002F37E6"/>
    <w:rsid w:val="002F393B"/>
    <w:rsid w:val="002F4126"/>
    <w:rsid w:val="002F4264"/>
    <w:rsid w:val="002F4414"/>
    <w:rsid w:val="002F4595"/>
    <w:rsid w:val="002F492E"/>
    <w:rsid w:val="002F4BED"/>
    <w:rsid w:val="002F4D22"/>
    <w:rsid w:val="002F4D3F"/>
    <w:rsid w:val="002F522A"/>
    <w:rsid w:val="002F5943"/>
    <w:rsid w:val="002F643C"/>
    <w:rsid w:val="002F672D"/>
    <w:rsid w:val="002F71C0"/>
    <w:rsid w:val="002F74F1"/>
    <w:rsid w:val="002F75A6"/>
    <w:rsid w:val="002F7E08"/>
    <w:rsid w:val="003000F7"/>
    <w:rsid w:val="0030027C"/>
    <w:rsid w:val="003005E3"/>
    <w:rsid w:val="003006D9"/>
    <w:rsid w:val="003007CF"/>
    <w:rsid w:val="003008AF"/>
    <w:rsid w:val="00300AA2"/>
    <w:rsid w:val="00300DA3"/>
    <w:rsid w:val="00300EA8"/>
    <w:rsid w:val="00301017"/>
    <w:rsid w:val="003014AE"/>
    <w:rsid w:val="0030155F"/>
    <w:rsid w:val="003018B3"/>
    <w:rsid w:val="00301FAD"/>
    <w:rsid w:val="00302323"/>
    <w:rsid w:val="003023C0"/>
    <w:rsid w:val="003024A0"/>
    <w:rsid w:val="00302580"/>
    <w:rsid w:val="00302A34"/>
    <w:rsid w:val="00302D4C"/>
    <w:rsid w:val="00303218"/>
    <w:rsid w:val="0030388E"/>
    <w:rsid w:val="00303D33"/>
    <w:rsid w:val="0030406D"/>
    <w:rsid w:val="00304760"/>
    <w:rsid w:val="003049EC"/>
    <w:rsid w:val="00304E3F"/>
    <w:rsid w:val="003051F0"/>
    <w:rsid w:val="003056B9"/>
    <w:rsid w:val="003056C0"/>
    <w:rsid w:val="0030587B"/>
    <w:rsid w:val="00305CEF"/>
    <w:rsid w:val="00305E91"/>
    <w:rsid w:val="003062F3"/>
    <w:rsid w:val="003065DD"/>
    <w:rsid w:val="00306A22"/>
    <w:rsid w:val="00306D98"/>
    <w:rsid w:val="00306E1F"/>
    <w:rsid w:val="003072EA"/>
    <w:rsid w:val="0030774A"/>
    <w:rsid w:val="0030786C"/>
    <w:rsid w:val="003078D4"/>
    <w:rsid w:val="0030791A"/>
    <w:rsid w:val="003079BD"/>
    <w:rsid w:val="003079FC"/>
    <w:rsid w:val="00307F69"/>
    <w:rsid w:val="0031031A"/>
    <w:rsid w:val="00310981"/>
    <w:rsid w:val="00310BB7"/>
    <w:rsid w:val="00310D80"/>
    <w:rsid w:val="003114D8"/>
    <w:rsid w:val="00311721"/>
    <w:rsid w:val="00311D74"/>
    <w:rsid w:val="00311D9B"/>
    <w:rsid w:val="0031204D"/>
    <w:rsid w:val="003124D9"/>
    <w:rsid w:val="00312594"/>
    <w:rsid w:val="003125B9"/>
    <w:rsid w:val="003128C0"/>
    <w:rsid w:val="00312D8A"/>
    <w:rsid w:val="003139F1"/>
    <w:rsid w:val="003141FA"/>
    <w:rsid w:val="00314683"/>
    <w:rsid w:val="00314A0F"/>
    <w:rsid w:val="0031532A"/>
    <w:rsid w:val="003153CC"/>
    <w:rsid w:val="00315458"/>
    <w:rsid w:val="00315498"/>
    <w:rsid w:val="0031601C"/>
    <w:rsid w:val="00316108"/>
    <w:rsid w:val="00316474"/>
    <w:rsid w:val="00316574"/>
    <w:rsid w:val="00316DFF"/>
    <w:rsid w:val="0031700F"/>
    <w:rsid w:val="00317098"/>
    <w:rsid w:val="003171F7"/>
    <w:rsid w:val="00317A19"/>
    <w:rsid w:val="003201B4"/>
    <w:rsid w:val="00320879"/>
    <w:rsid w:val="00320BDE"/>
    <w:rsid w:val="00320D3A"/>
    <w:rsid w:val="00320F64"/>
    <w:rsid w:val="00322012"/>
    <w:rsid w:val="00322107"/>
    <w:rsid w:val="00322355"/>
    <w:rsid w:val="003225B4"/>
    <w:rsid w:val="00322846"/>
    <w:rsid w:val="00322868"/>
    <w:rsid w:val="003228A9"/>
    <w:rsid w:val="0032293F"/>
    <w:rsid w:val="00322B02"/>
    <w:rsid w:val="00322B03"/>
    <w:rsid w:val="00322C70"/>
    <w:rsid w:val="0032326D"/>
    <w:rsid w:val="003235BC"/>
    <w:rsid w:val="00323B63"/>
    <w:rsid w:val="0032466D"/>
    <w:rsid w:val="00324D00"/>
    <w:rsid w:val="00324EA1"/>
    <w:rsid w:val="003252D8"/>
    <w:rsid w:val="00325C4D"/>
    <w:rsid w:val="00325CDC"/>
    <w:rsid w:val="00325DA5"/>
    <w:rsid w:val="00325EDA"/>
    <w:rsid w:val="00325F81"/>
    <w:rsid w:val="00326A81"/>
    <w:rsid w:val="00326C3B"/>
    <w:rsid w:val="00326D32"/>
    <w:rsid w:val="00326DA7"/>
    <w:rsid w:val="003270E4"/>
    <w:rsid w:val="0032780C"/>
    <w:rsid w:val="00327CFB"/>
    <w:rsid w:val="00327F33"/>
    <w:rsid w:val="00327FF2"/>
    <w:rsid w:val="003305D2"/>
    <w:rsid w:val="0033075B"/>
    <w:rsid w:val="003308CD"/>
    <w:rsid w:val="0033098D"/>
    <w:rsid w:val="00330DAA"/>
    <w:rsid w:val="00330F5C"/>
    <w:rsid w:val="003311C6"/>
    <w:rsid w:val="003316BC"/>
    <w:rsid w:val="0033185E"/>
    <w:rsid w:val="003318B9"/>
    <w:rsid w:val="00332313"/>
    <w:rsid w:val="003323C3"/>
    <w:rsid w:val="0033251C"/>
    <w:rsid w:val="0033263F"/>
    <w:rsid w:val="003329BB"/>
    <w:rsid w:val="003332B6"/>
    <w:rsid w:val="0033346C"/>
    <w:rsid w:val="003334F1"/>
    <w:rsid w:val="0033367A"/>
    <w:rsid w:val="00333B43"/>
    <w:rsid w:val="00333CDC"/>
    <w:rsid w:val="00333F7D"/>
    <w:rsid w:val="003340C0"/>
    <w:rsid w:val="00334BEA"/>
    <w:rsid w:val="0033564E"/>
    <w:rsid w:val="00335DAA"/>
    <w:rsid w:val="003362C4"/>
    <w:rsid w:val="003363F2"/>
    <w:rsid w:val="0033642C"/>
    <w:rsid w:val="003366C9"/>
    <w:rsid w:val="003371B0"/>
    <w:rsid w:val="003375E1"/>
    <w:rsid w:val="00337725"/>
    <w:rsid w:val="00337737"/>
    <w:rsid w:val="00337792"/>
    <w:rsid w:val="0034041C"/>
    <w:rsid w:val="00340DF1"/>
    <w:rsid w:val="00341430"/>
    <w:rsid w:val="0034170F"/>
    <w:rsid w:val="00341CD0"/>
    <w:rsid w:val="00341FB6"/>
    <w:rsid w:val="00342536"/>
    <w:rsid w:val="00342A8C"/>
    <w:rsid w:val="00342FEC"/>
    <w:rsid w:val="003430DC"/>
    <w:rsid w:val="0034373C"/>
    <w:rsid w:val="00343A5C"/>
    <w:rsid w:val="00343BD7"/>
    <w:rsid w:val="00343F84"/>
    <w:rsid w:val="0034421A"/>
    <w:rsid w:val="003451C5"/>
    <w:rsid w:val="00345252"/>
    <w:rsid w:val="00345546"/>
    <w:rsid w:val="00345583"/>
    <w:rsid w:val="00345695"/>
    <w:rsid w:val="00345759"/>
    <w:rsid w:val="00345A94"/>
    <w:rsid w:val="00345D38"/>
    <w:rsid w:val="00345EE1"/>
    <w:rsid w:val="00346172"/>
    <w:rsid w:val="00346815"/>
    <w:rsid w:val="00346BA2"/>
    <w:rsid w:val="00346DFC"/>
    <w:rsid w:val="00346FCB"/>
    <w:rsid w:val="00347231"/>
    <w:rsid w:val="00347880"/>
    <w:rsid w:val="00347C5F"/>
    <w:rsid w:val="003500C2"/>
    <w:rsid w:val="0035042B"/>
    <w:rsid w:val="003506D7"/>
    <w:rsid w:val="00350FEF"/>
    <w:rsid w:val="0035172B"/>
    <w:rsid w:val="003517F9"/>
    <w:rsid w:val="00351901"/>
    <w:rsid w:val="00351A02"/>
    <w:rsid w:val="00351A6D"/>
    <w:rsid w:val="00351B81"/>
    <w:rsid w:val="00351BA9"/>
    <w:rsid w:val="00352240"/>
    <w:rsid w:val="00352AE0"/>
    <w:rsid w:val="00353018"/>
    <w:rsid w:val="003530B7"/>
    <w:rsid w:val="0035334F"/>
    <w:rsid w:val="003537A7"/>
    <w:rsid w:val="00353D1D"/>
    <w:rsid w:val="00353E43"/>
    <w:rsid w:val="003541FF"/>
    <w:rsid w:val="003542C6"/>
    <w:rsid w:val="00354338"/>
    <w:rsid w:val="0035438C"/>
    <w:rsid w:val="003543C6"/>
    <w:rsid w:val="0035441B"/>
    <w:rsid w:val="003544C6"/>
    <w:rsid w:val="003548FB"/>
    <w:rsid w:val="00354F64"/>
    <w:rsid w:val="003555C4"/>
    <w:rsid w:val="0035571F"/>
    <w:rsid w:val="00355B36"/>
    <w:rsid w:val="00355E4C"/>
    <w:rsid w:val="00355F33"/>
    <w:rsid w:val="003560A1"/>
    <w:rsid w:val="0035620E"/>
    <w:rsid w:val="003564C8"/>
    <w:rsid w:val="003564FF"/>
    <w:rsid w:val="00356629"/>
    <w:rsid w:val="003568A5"/>
    <w:rsid w:val="00356EC7"/>
    <w:rsid w:val="003570AB"/>
    <w:rsid w:val="00357116"/>
    <w:rsid w:val="003571E4"/>
    <w:rsid w:val="0035728B"/>
    <w:rsid w:val="003575BE"/>
    <w:rsid w:val="00357704"/>
    <w:rsid w:val="00357846"/>
    <w:rsid w:val="00357DF3"/>
    <w:rsid w:val="003600D2"/>
    <w:rsid w:val="00360112"/>
    <w:rsid w:val="00360320"/>
    <w:rsid w:val="00360345"/>
    <w:rsid w:val="003605AE"/>
    <w:rsid w:val="0036068D"/>
    <w:rsid w:val="00360B6F"/>
    <w:rsid w:val="003610AB"/>
    <w:rsid w:val="00361523"/>
    <w:rsid w:val="003615CF"/>
    <w:rsid w:val="00361A05"/>
    <w:rsid w:val="003620AF"/>
    <w:rsid w:val="00362118"/>
    <w:rsid w:val="00362149"/>
    <w:rsid w:val="003621E2"/>
    <w:rsid w:val="0036239A"/>
    <w:rsid w:val="0036249C"/>
    <w:rsid w:val="003624C4"/>
    <w:rsid w:val="00362A59"/>
    <w:rsid w:val="00362B6E"/>
    <w:rsid w:val="00362B7D"/>
    <w:rsid w:val="00362EA1"/>
    <w:rsid w:val="00362EAC"/>
    <w:rsid w:val="0036316A"/>
    <w:rsid w:val="00363679"/>
    <w:rsid w:val="0036399C"/>
    <w:rsid w:val="003639A9"/>
    <w:rsid w:val="00363AF4"/>
    <w:rsid w:val="00363B00"/>
    <w:rsid w:val="00364466"/>
    <w:rsid w:val="00364597"/>
    <w:rsid w:val="00364DF1"/>
    <w:rsid w:val="00364E51"/>
    <w:rsid w:val="003651A1"/>
    <w:rsid w:val="003654AC"/>
    <w:rsid w:val="003668BE"/>
    <w:rsid w:val="00366940"/>
    <w:rsid w:val="00366AE7"/>
    <w:rsid w:val="00366ED8"/>
    <w:rsid w:val="003670CB"/>
    <w:rsid w:val="003676E1"/>
    <w:rsid w:val="00367A19"/>
    <w:rsid w:val="00367BCD"/>
    <w:rsid w:val="00367C8C"/>
    <w:rsid w:val="00370184"/>
    <w:rsid w:val="00370582"/>
    <w:rsid w:val="003706CE"/>
    <w:rsid w:val="00370714"/>
    <w:rsid w:val="003710CF"/>
    <w:rsid w:val="0037113D"/>
    <w:rsid w:val="0037174E"/>
    <w:rsid w:val="00371873"/>
    <w:rsid w:val="00371B70"/>
    <w:rsid w:val="0037203B"/>
    <w:rsid w:val="00372EBF"/>
    <w:rsid w:val="00372EE3"/>
    <w:rsid w:val="00373043"/>
    <w:rsid w:val="0037358A"/>
    <w:rsid w:val="0037383A"/>
    <w:rsid w:val="003738F3"/>
    <w:rsid w:val="00373ED3"/>
    <w:rsid w:val="00374265"/>
    <w:rsid w:val="0037438C"/>
    <w:rsid w:val="0037454F"/>
    <w:rsid w:val="003746D3"/>
    <w:rsid w:val="00374772"/>
    <w:rsid w:val="003748DB"/>
    <w:rsid w:val="00374AE2"/>
    <w:rsid w:val="003750F6"/>
    <w:rsid w:val="0037536B"/>
    <w:rsid w:val="0037546C"/>
    <w:rsid w:val="00375D76"/>
    <w:rsid w:val="003760FC"/>
    <w:rsid w:val="00376417"/>
    <w:rsid w:val="003766B6"/>
    <w:rsid w:val="003768F6"/>
    <w:rsid w:val="00376AE4"/>
    <w:rsid w:val="00376B05"/>
    <w:rsid w:val="00377099"/>
    <w:rsid w:val="00377A7A"/>
    <w:rsid w:val="00377B00"/>
    <w:rsid w:val="00377B11"/>
    <w:rsid w:val="00377CBA"/>
    <w:rsid w:val="00377DA2"/>
    <w:rsid w:val="00377F01"/>
    <w:rsid w:val="00380576"/>
    <w:rsid w:val="003807F0"/>
    <w:rsid w:val="003807F7"/>
    <w:rsid w:val="003808A0"/>
    <w:rsid w:val="00380AD7"/>
    <w:rsid w:val="003811E1"/>
    <w:rsid w:val="00381210"/>
    <w:rsid w:val="003814DB"/>
    <w:rsid w:val="00381B48"/>
    <w:rsid w:val="00381CD4"/>
    <w:rsid w:val="00381D60"/>
    <w:rsid w:val="0038202B"/>
    <w:rsid w:val="0038218F"/>
    <w:rsid w:val="00382AC8"/>
    <w:rsid w:val="00383106"/>
    <w:rsid w:val="003834F9"/>
    <w:rsid w:val="003835BF"/>
    <w:rsid w:val="0038365C"/>
    <w:rsid w:val="0038369B"/>
    <w:rsid w:val="00383811"/>
    <w:rsid w:val="00383B78"/>
    <w:rsid w:val="003840AB"/>
    <w:rsid w:val="003841D6"/>
    <w:rsid w:val="00384254"/>
    <w:rsid w:val="003844DA"/>
    <w:rsid w:val="003845D9"/>
    <w:rsid w:val="00384C0D"/>
    <w:rsid w:val="00384EEE"/>
    <w:rsid w:val="00385526"/>
    <w:rsid w:val="0038579E"/>
    <w:rsid w:val="0038589D"/>
    <w:rsid w:val="003858AF"/>
    <w:rsid w:val="00385A9D"/>
    <w:rsid w:val="00385CD6"/>
    <w:rsid w:val="003866F7"/>
    <w:rsid w:val="00386FDE"/>
    <w:rsid w:val="00387121"/>
    <w:rsid w:val="00387144"/>
    <w:rsid w:val="0038749F"/>
    <w:rsid w:val="00387929"/>
    <w:rsid w:val="00387A6C"/>
    <w:rsid w:val="00387C71"/>
    <w:rsid w:val="00387D99"/>
    <w:rsid w:val="00387EF3"/>
    <w:rsid w:val="00387FBF"/>
    <w:rsid w:val="003902B1"/>
    <w:rsid w:val="0039179C"/>
    <w:rsid w:val="0039180B"/>
    <w:rsid w:val="00391900"/>
    <w:rsid w:val="003919A2"/>
    <w:rsid w:val="00391E1C"/>
    <w:rsid w:val="003927D2"/>
    <w:rsid w:val="00393239"/>
    <w:rsid w:val="00393580"/>
    <w:rsid w:val="0039362F"/>
    <w:rsid w:val="00393CC6"/>
    <w:rsid w:val="00394684"/>
    <w:rsid w:val="003947A0"/>
    <w:rsid w:val="00394C9E"/>
    <w:rsid w:val="00394DE8"/>
    <w:rsid w:val="00395525"/>
    <w:rsid w:val="00395581"/>
    <w:rsid w:val="003958CC"/>
    <w:rsid w:val="00396150"/>
    <w:rsid w:val="003966B2"/>
    <w:rsid w:val="003966F5"/>
    <w:rsid w:val="00396896"/>
    <w:rsid w:val="00396FD0"/>
    <w:rsid w:val="003970BB"/>
    <w:rsid w:val="00397684"/>
    <w:rsid w:val="00397779"/>
    <w:rsid w:val="00397A15"/>
    <w:rsid w:val="00397C50"/>
    <w:rsid w:val="00397F96"/>
    <w:rsid w:val="00397FCD"/>
    <w:rsid w:val="003A04C9"/>
    <w:rsid w:val="003A0507"/>
    <w:rsid w:val="003A0650"/>
    <w:rsid w:val="003A095C"/>
    <w:rsid w:val="003A0C6E"/>
    <w:rsid w:val="003A0E1E"/>
    <w:rsid w:val="003A13AC"/>
    <w:rsid w:val="003A1804"/>
    <w:rsid w:val="003A1A7A"/>
    <w:rsid w:val="003A2048"/>
    <w:rsid w:val="003A2392"/>
    <w:rsid w:val="003A2661"/>
    <w:rsid w:val="003A2831"/>
    <w:rsid w:val="003A2BBD"/>
    <w:rsid w:val="003A2CED"/>
    <w:rsid w:val="003A2DB2"/>
    <w:rsid w:val="003A2FDE"/>
    <w:rsid w:val="003A34CF"/>
    <w:rsid w:val="003A37A3"/>
    <w:rsid w:val="003A37F7"/>
    <w:rsid w:val="003A3CB6"/>
    <w:rsid w:val="003A3ED1"/>
    <w:rsid w:val="003A3F41"/>
    <w:rsid w:val="003A3FDD"/>
    <w:rsid w:val="003A411F"/>
    <w:rsid w:val="003A44DB"/>
    <w:rsid w:val="003A4B26"/>
    <w:rsid w:val="003A4C14"/>
    <w:rsid w:val="003A4C38"/>
    <w:rsid w:val="003A4D4D"/>
    <w:rsid w:val="003A4E92"/>
    <w:rsid w:val="003A501A"/>
    <w:rsid w:val="003A52EC"/>
    <w:rsid w:val="003A568B"/>
    <w:rsid w:val="003A5C15"/>
    <w:rsid w:val="003A5D9E"/>
    <w:rsid w:val="003A5DEC"/>
    <w:rsid w:val="003A602D"/>
    <w:rsid w:val="003A61B5"/>
    <w:rsid w:val="003A633B"/>
    <w:rsid w:val="003A64F3"/>
    <w:rsid w:val="003A787B"/>
    <w:rsid w:val="003A7A6F"/>
    <w:rsid w:val="003A7DA2"/>
    <w:rsid w:val="003A7F33"/>
    <w:rsid w:val="003B0AF6"/>
    <w:rsid w:val="003B0BC3"/>
    <w:rsid w:val="003B0CE7"/>
    <w:rsid w:val="003B0F12"/>
    <w:rsid w:val="003B1187"/>
    <w:rsid w:val="003B1259"/>
    <w:rsid w:val="003B1598"/>
    <w:rsid w:val="003B17B3"/>
    <w:rsid w:val="003B2AE8"/>
    <w:rsid w:val="003B2F54"/>
    <w:rsid w:val="003B335C"/>
    <w:rsid w:val="003B3678"/>
    <w:rsid w:val="003B3971"/>
    <w:rsid w:val="003B39F6"/>
    <w:rsid w:val="003B4008"/>
    <w:rsid w:val="003B444E"/>
    <w:rsid w:val="003B4864"/>
    <w:rsid w:val="003B486D"/>
    <w:rsid w:val="003B539A"/>
    <w:rsid w:val="003B55B5"/>
    <w:rsid w:val="003B55D1"/>
    <w:rsid w:val="003B59E1"/>
    <w:rsid w:val="003B5B61"/>
    <w:rsid w:val="003B62CF"/>
    <w:rsid w:val="003B6AEE"/>
    <w:rsid w:val="003B6BBB"/>
    <w:rsid w:val="003B6BC0"/>
    <w:rsid w:val="003B6DF7"/>
    <w:rsid w:val="003B6F01"/>
    <w:rsid w:val="003B7023"/>
    <w:rsid w:val="003B7171"/>
    <w:rsid w:val="003B7FD0"/>
    <w:rsid w:val="003B7FEA"/>
    <w:rsid w:val="003C0221"/>
    <w:rsid w:val="003C053C"/>
    <w:rsid w:val="003C085B"/>
    <w:rsid w:val="003C0885"/>
    <w:rsid w:val="003C0F4C"/>
    <w:rsid w:val="003C107C"/>
    <w:rsid w:val="003C10DC"/>
    <w:rsid w:val="003C138D"/>
    <w:rsid w:val="003C1654"/>
    <w:rsid w:val="003C172C"/>
    <w:rsid w:val="003C1923"/>
    <w:rsid w:val="003C1B4D"/>
    <w:rsid w:val="003C1CA8"/>
    <w:rsid w:val="003C225A"/>
    <w:rsid w:val="003C23E2"/>
    <w:rsid w:val="003C24A3"/>
    <w:rsid w:val="003C30E3"/>
    <w:rsid w:val="003C3498"/>
    <w:rsid w:val="003C3500"/>
    <w:rsid w:val="003C3537"/>
    <w:rsid w:val="003C3579"/>
    <w:rsid w:val="003C3702"/>
    <w:rsid w:val="003C42A6"/>
    <w:rsid w:val="003C440F"/>
    <w:rsid w:val="003C500C"/>
    <w:rsid w:val="003C53A2"/>
    <w:rsid w:val="003C5542"/>
    <w:rsid w:val="003C568D"/>
    <w:rsid w:val="003C5A66"/>
    <w:rsid w:val="003C5CFD"/>
    <w:rsid w:val="003C5DA7"/>
    <w:rsid w:val="003C6697"/>
    <w:rsid w:val="003C6884"/>
    <w:rsid w:val="003C68E6"/>
    <w:rsid w:val="003C6A17"/>
    <w:rsid w:val="003C6A54"/>
    <w:rsid w:val="003C6A83"/>
    <w:rsid w:val="003C6AA6"/>
    <w:rsid w:val="003C6B55"/>
    <w:rsid w:val="003C716C"/>
    <w:rsid w:val="003C757C"/>
    <w:rsid w:val="003C7C0C"/>
    <w:rsid w:val="003C7C15"/>
    <w:rsid w:val="003C7D19"/>
    <w:rsid w:val="003C7D2F"/>
    <w:rsid w:val="003C7DCC"/>
    <w:rsid w:val="003D08A8"/>
    <w:rsid w:val="003D092B"/>
    <w:rsid w:val="003D0C5A"/>
    <w:rsid w:val="003D0F0B"/>
    <w:rsid w:val="003D12ED"/>
    <w:rsid w:val="003D1828"/>
    <w:rsid w:val="003D1961"/>
    <w:rsid w:val="003D1CC2"/>
    <w:rsid w:val="003D1DE4"/>
    <w:rsid w:val="003D1E9A"/>
    <w:rsid w:val="003D21A8"/>
    <w:rsid w:val="003D2410"/>
    <w:rsid w:val="003D2422"/>
    <w:rsid w:val="003D26A7"/>
    <w:rsid w:val="003D2990"/>
    <w:rsid w:val="003D35BE"/>
    <w:rsid w:val="003D38C6"/>
    <w:rsid w:val="003D39A1"/>
    <w:rsid w:val="003D3C59"/>
    <w:rsid w:val="003D3EAC"/>
    <w:rsid w:val="003D3FBF"/>
    <w:rsid w:val="003D41A9"/>
    <w:rsid w:val="003D4430"/>
    <w:rsid w:val="003D4A30"/>
    <w:rsid w:val="003D501F"/>
    <w:rsid w:val="003D55D6"/>
    <w:rsid w:val="003D56ED"/>
    <w:rsid w:val="003D5A83"/>
    <w:rsid w:val="003D5C6D"/>
    <w:rsid w:val="003D62E2"/>
    <w:rsid w:val="003D6734"/>
    <w:rsid w:val="003D687D"/>
    <w:rsid w:val="003D68D3"/>
    <w:rsid w:val="003D71D6"/>
    <w:rsid w:val="003D7331"/>
    <w:rsid w:val="003D733E"/>
    <w:rsid w:val="003D7452"/>
    <w:rsid w:val="003D75BF"/>
    <w:rsid w:val="003D77AD"/>
    <w:rsid w:val="003D780B"/>
    <w:rsid w:val="003D79BB"/>
    <w:rsid w:val="003D7A25"/>
    <w:rsid w:val="003D7C98"/>
    <w:rsid w:val="003D7D9D"/>
    <w:rsid w:val="003E00B2"/>
    <w:rsid w:val="003E03EE"/>
    <w:rsid w:val="003E0543"/>
    <w:rsid w:val="003E0738"/>
    <w:rsid w:val="003E0888"/>
    <w:rsid w:val="003E0A7C"/>
    <w:rsid w:val="003E0B57"/>
    <w:rsid w:val="003E1570"/>
    <w:rsid w:val="003E1C23"/>
    <w:rsid w:val="003E2746"/>
    <w:rsid w:val="003E2BB4"/>
    <w:rsid w:val="003E2C81"/>
    <w:rsid w:val="003E2D1F"/>
    <w:rsid w:val="003E3102"/>
    <w:rsid w:val="003E3809"/>
    <w:rsid w:val="003E3BA4"/>
    <w:rsid w:val="003E3EF4"/>
    <w:rsid w:val="003E4096"/>
    <w:rsid w:val="003E42F3"/>
    <w:rsid w:val="003E464E"/>
    <w:rsid w:val="003E47EC"/>
    <w:rsid w:val="003E4903"/>
    <w:rsid w:val="003E4E65"/>
    <w:rsid w:val="003E4E90"/>
    <w:rsid w:val="003E5023"/>
    <w:rsid w:val="003E519F"/>
    <w:rsid w:val="003E5603"/>
    <w:rsid w:val="003E569E"/>
    <w:rsid w:val="003E5965"/>
    <w:rsid w:val="003E5B86"/>
    <w:rsid w:val="003E62A3"/>
    <w:rsid w:val="003E63F6"/>
    <w:rsid w:val="003E647F"/>
    <w:rsid w:val="003E64F5"/>
    <w:rsid w:val="003E6C88"/>
    <w:rsid w:val="003E6D4D"/>
    <w:rsid w:val="003E6E64"/>
    <w:rsid w:val="003E6FD4"/>
    <w:rsid w:val="003E6FD9"/>
    <w:rsid w:val="003E705B"/>
    <w:rsid w:val="003E727D"/>
    <w:rsid w:val="003E749E"/>
    <w:rsid w:val="003E7DA8"/>
    <w:rsid w:val="003F02D6"/>
    <w:rsid w:val="003F054E"/>
    <w:rsid w:val="003F05E9"/>
    <w:rsid w:val="003F0CBC"/>
    <w:rsid w:val="003F0E38"/>
    <w:rsid w:val="003F1720"/>
    <w:rsid w:val="003F1765"/>
    <w:rsid w:val="003F1B6B"/>
    <w:rsid w:val="003F1F51"/>
    <w:rsid w:val="003F2358"/>
    <w:rsid w:val="003F26E7"/>
    <w:rsid w:val="003F2882"/>
    <w:rsid w:val="003F2974"/>
    <w:rsid w:val="003F2C99"/>
    <w:rsid w:val="003F2D6D"/>
    <w:rsid w:val="003F2F40"/>
    <w:rsid w:val="003F3115"/>
    <w:rsid w:val="003F3337"/>
    <w:rsid w:val="003F3360"/>
    <w:rsid w:val="003F3429"/>
    <w:rsid w:val="003F383C"/>
    <w:rsid w:val="003F3CA7"/>
    <w:rsid w:val="003F4156"/>
    <w:rsid w:val="003F43B0"/>
    <w:rsid w:val="003F49AE"/>
    <w:rsid w:val="003F4A6D"/>
    <w:rsid w:val="003F4B89"/>
    <w:rsid w:val="003F5060"/>
    <w:rsid w:val="003F51F1"/>
    <w:rsid w:val="003F550E"/>
    <w:rsid w:val="003F5921"/>
    <w:rsid w:val="003F5AA4"/>
    <w:rsid w:val="003F5ADF"/>
    <w:rsid w:val="003F60C4"/>
    <w:rsid w:val="003F629B"/>
    <w:rsid w:val="003F6AD7"/>
    <w:rsid w:val="003F6E57"/>
    <w:rsid w:val="003F701D"/>
    <w:rsid w:val="003F7481"/>
    <w:rsid w:val="003F7AC8"/>
    <w:rsid w:val="0040056C"/>
    <w:rsid w:val="00400B29"/>
    <w:rsid w:val="00400D04"/>
    <w:rsid w:val="00400DBF"/>
    <w:rsid w:val="0040163D"/>
    <w:rsid w:val="004016C9"/>
    <w:rsid w:val="004016F6"/>
    <w:rsid w:val="004018F2"/>
    <w:rsid w:val="004019F8"/>
    <w:rsid w:val="00401D07"/>
    <w:rsid w:val="00401EC4"/>
    <w:rsid w:val="00401F94"/>
    <w:rsid w:val="00402527"/>
    <w:rsid w:val="004026A1"/>
    <w:rsid w:val="0040279E"/>
    <w:rsid w:val="00402812"/>
    <w:rsid w:val="0040349A"/>
    <w:rsid w:val="004036D4"/>
    <w:rsid w:val="00403923"/>
    <w:rsid w:val="00403AF8"/>
    <w:rsid w:val="0040406A"/>
    <w:rsid w:val="00404680"/>
    <w:rsid w:val="0040473E"/>
    <w:rsid w:val="0040504B"/>
    <w:rsid w:val="00405114"/>
    <w:rsid w:val="004059F4"/>
    <w:rsid w:val="00405C6F"/>
    <w:rsid w:val="00405D99"/>
    <w:rsid w:val="004063AE"/>
    <w:rsid w:val="004067BC"/>
    <w:rsid w:val="00406A4D"/>
    <w:rsid w:val="0040726A"/>
    <w:rsid w:val="00407385"/>
    <w:rsid w:val="004073B3"/>
    <w:rsid w:val="00407742"/>
    <w:rsid w:val="00407CC9"/>
    <w:rsid w:val="00407FE5"/>
    <w:rsid w:val="00410009"/>
    <w:rsid w:val="004100DF"/>
    <w:rsid w:val="004101B0"/>
    <w:rsid w:val="00410326"/>
    <w:rsid w:val="00410664"/>
    <w:rsid w:val="00410708"/>
    <w:rsid w:val="00410799"/>
    <w:rsid w:val="00410A20"/>
    <w:rsid w:val="00410AF9"/>
    <w:rsid w:val="00410B1A"/>
    <w:rsid w:val="00410E99"/>
    <w:rsid w:val="00410EC7"/>
    <w:rsid w:val="0041181C"/>
    <w:rsid w:val="00411B39"/>
    <w:rsid w:val="00411D23"/>
    <w:rsid w:val="00412459"/>
    <w:rsid w:val="004127A7"/>
    <w:rsid w:val="00412CF2"/>
    <w:rsid w:val="00413508"/>
    <w:rsid w:val="00413529"/>
    <w:rsid w:val="004136C7"/>
    <w:rsid w:val="00413836"/>
    <w:rsid w:val="00413970"/>
    <w:rsid w:val="00413A1E"/>
    <w:rsid w:val="00413C36"/>
    <w:rsid w:val="00413CFD"/>
    <w:rsid w:val="00413F0E"/>
    <w:rsid w:val="00414476"/>
    <w:rsid w:val="0041449E"/>
    <w:rsid w:val="004145D1"/>
    <w:rsid w:val="0041467A"/>
    <w:rsid w:val="00414C21"/>
    <w:rsid w:val="00414C2E"/>
    <w:rsid w:val="00414F2A"/>
    <w:rsid w:val="00415104"/>
    <w:rsid w:val="00415134"/>
    <w:rsid w:val="004151CF"/>
    <w:rsid w:val="00415EA0"/>
    <w:rsid w:val="00415FE9"/>
    <w:rsid w:val="00416364"/>
    <w:rsid w:val="004165ED"/>
    <w:rsid w:val="004168EC"/>
    <w:rsid w:val="00416A9E"/>
    <w:rsid w:val="00416DAB"/>
    <w:rsid w:val="0041712E"/>
    <w:rsid w:val="00417931"/>
    <w:rsid w:val="00417D9E"/>
    <w:rsid w:val="00420092"/>
    <w:rsid w:val="0042047F"/>
    <w:rsid w:val="004208EA"/>
    <w:rsid w:val="00420AA6"/>
    <w:rsid w:val="00420B9F"/>
    <w:rsid w:val="0042192C"/>
    <w:rsid w:val="00421AA0"/>
    <w:rsid w:val="00421ACA"/>
    <w:rsid w:val="00421BC5"/>
    <w:rsid w:val="00421C74"/>
    <w:rsid w:val="00421D59"/>
    <w:rsid w:val="00421D7E"/>
    <w:rsid w:val="00422197"/>
    <w:rsid w:val="00422260"/>
    <w:rsid w:val="00422312"/>
    <w:rsid w:val="00422776"/>
    <w:rsid w:val="004231A7"/>
    <w:rsid w:val="0042354D"/>
    <w:rsid w:val="00423600"/>
    <w:rsid w:val="00423927"/>
    <w:rsid w:val="00423E16"/>
    <w:rsid w:val="0042413F"/>
    <w:rsid w:val="00424146"/>
    <w:rsid w:val="00424356"/>
    <w:rsid w:val="004244F7"/>
    <w:rsid w:val="00424842"/>
    <w:rsid w:val="0042497B"/>
    <w:rsid w:val="00424A1D"/>
    <w:rsid w:val="00424E70"/>
    <w:rsid w:val="0042515E"/>
    <w:rsid w:val="004254C1"/>
    <w:rsid w:val="00425830"/>
    <w:rsid w:val="00425A34"/>
    <w:rsid w:val="004266F6"/>
    <w:rsid w:val="00426752"/>
    <w:rsid w:val="004267BC"/>
    <w:rsid w:val="00426DF5"/>
    <w:rsid w:val="00426EB6"/>
    <w:rsid w:val="004273F2"/>
    <w:rsid w:val="004273FD"/>
    <w:rsid w:val="0042747D"/>
    <w:rsid w:val="0042772F"/>
    <w:rsid w:val="0042799C"/>
    <w:rsid w:val="00430389"/>
    <w:rsid w:val="00430AB8"/>
    <w:rsid w:val="00431867"/>
    <w:rsid w:val="004319F8"/>
    <w:rsid w:val="00431A33"/>
    <w:rsid w:val="00431E55"/>
    <w:rsid w:val="0043206D"/>
    <w:rsid w:val="004321F6"/>
    <w:rsid w:val="00433044"/>
    <w:rsid w:val="00433545"/>
    <w:rsid w:val="004339E3"/>
    <w:rsid w:val="00433A26"/>
    <w:rsid w:val="00433A2A"/>
    <w:rsid w:val="00434088"/>
    <w:rsid w:val="00434121"/>
    <w:rsid w:val="00434648"/>
    <w:rsid w:val="00434807"/>
    <w:rsid w:val="00434BC7"/>
    <w:rsid w:val="00435304"/>
    <w:rsid w:val="00435635"/>
    <w:rsid w:val="00435DCB"/>
    <w:rsid w:val="004361BD"/>
    <w:rsid w:val="00436D32"/>
    <w:rsid w:val="00436D9D"/>
    <w:rsid w:val="00436FDA"/>
    <w:rsid w:val="0043715A"/>
    <w:rsid w:val="00437401"/>
    <w:rsid w:val="004375B9"/>
    <w:rsid w:val="00437745"/>
    <w:rsid w:val="00437AE5"/>
    <w:rsid w:val="00437E69"/>
    <w:rsid w:val="0044135A"/>
    <w:rsid w:val="004415E8"/>
    <w:rsid w:val="004417A5"/>
    <w:rsid w:val="004419B1"/>
    <w:rsid w:val="00441B25"/>
    <w:rsid w:val="00441CAF"/>
    <w:rsid w:val="00442826"/>
    <w:rsid w:val="00442871"/>
    <w:rsid w:val="004428D0"/>
    <w:rsid w:val="00442A68"/>
    <w:rsid w:val="00442A7C"/>
    <w:rsid w:val="0044308A"/>
    <w:rsid w:val="00443701"/>
    <w:rsid w:val="0044395B"/>
    <w:rsid w:val="00443F78"/>
    <w:rsid w:val="00444185"/>
    <w:rsid w:val="004443A7"/>
    <w:rsid w:val="0044442C"/>
    <w:rsid w:val="004447A1"/>
    <w:rsid w:val="004448C8"/>
    <w:rsid w:val="00445330"/>
    <w:rsid w:val="0044555A"/>
    <w:rsid w:val="00445941"/>
    <w:rsid w:val="00446139"/>
    <w:rsid w:val="004461D1"/>
    <w:rsid w:val="004464EB"/>
    <w:rsid w:val="00446963"/>
    <w:rsid w:val="00446989"/>
    <w:rsid w:val="00446F9B"/>
    <w:rsid w:val="004479A3"/>
    <w:rsid w:val="004479AE"/>
    <w:rsid w:val="004479F0"/>
    <w:rsid w:val="00447A7A"/>
    <w:rsid w:val="00447D26"/>
    <w:rsid w:val="00447DFC"/>
    <w:rsid w:val="00450654"/>
    <w:rsid w:val="00450A64"/>
    <w:rsid w:val="00450E33"/>
    <w:rsid w:val="00451273"/>
    <w:rsid w:val="004516FE"/>
    <w:rsid w:val="00451A7E"/>
    <w:rsid w:val="00452382"/>
    <w:rsid w:val="004524ED"/>
    <w:rsid w:val="004529D3"/>
    <w:rsid w:val="00452B17"/>
    <w:rsid w:val="00453913"/>
    <w:rsid w:val="0045439D"/>
    <w:rsid w:val="0045447D"/>
    <w:rsid w:val="004546BF"/>
    <w:rsid w:val="00454749"/>
    <w:rsid w:val="004547F5"/>
    <w:rsid w:val="00454834"/>
    <w:rsid w:val="00454967"/>
    <w:rsid w:val="00454A1F"/>
    <w:rsid w:val="00454C43"/>
    <w:rsid w:val="00454D30"/>
    <w:rsid w:val="00454DBB"/>
    <w:rsid w:val="004559BA"/>
    <w:rsid w:val="00455B4E"/>
    <w:rsid w:val="00455D32"/>
    <w:rsid w:val="00455D45"/>
    <w:rsid w:val="00455D99"/>
    <w:rsid w:val="00455FD7"/>
    <w:rsid w:val="0045607D"/>
    <w:rsid w:val="00456383"/>
    <w:rsid w:val="00456815"/>
    <w:rsid w:val="00456FCA"/>
    <w:rsid w:val="00457410"/>
    <w:rsid w:val="00457EB6"/>
    <w:rsid w:val="00460005"/>
    <w:rsid w:val="00460462"/>
    <w:rsid w:val="00460950"/>
    <w:rsid w:val="00460B28"/>
    <w:rsid w:val="00461050"/>
    <w:rsid w:val="00461552"/>
    <w:rsid w:val="00461DC7"/>
    <w:rsid w:val="0046204D"/>
    <w:rsid w:val="00462265"/>
    <w:rsid w:val="004622CA"/>
    <w:rsid w:val="004623F7"/>
    <w:rsid w:val="00462510"/>
    <w:rsid w:val="0046355E"/>
    <w:rsid w:val="004638BB"/>
    <w:rsid w:val="00463923"/>
    <w:rsid w:val="00463A10"/>
    <w:rsid w:val="00463D9C"/>
    <w:rsid w:val="00463F2E"/>
    <w:rsid w:val="00464595"/>
    <w:rsid w:val="004646E9"/>
    <w:rsid w:val="00464929"/>
    <w:rsid w:val="00464D7E"/>
    <w:rsid w:val="00465227"/>
    <w:rsid w:val="0046556A"/>
    <w:rsid w:val="004658B5"/>
    <w:rsid w:val="004666F6"/>
    <w:rsid w:val="00466AC7"/>
    <w:rsid w:val="00466D18"/>
    <w:rsid w:val="00466E65"/>
    <w:rsid w:val="00467929"/>
    <w:rsid w:val="004679D9"/>
    <w:rsid w:val="00467A21"/>
    <w:rsid w:val="00467AE7"/>
    <w:rsid w:val="00467DB6"/>
    <w:rsid w:val="00470214"/>
    <w:rsid w:val="004703A3"/>
    <w:rsid w:val="00470618"/>
    <w:rsid w:val="00470672"/>
    <w:rsid w:val="004709D6"/>
    <w:rsid w:val="0047122A"/>
    <w:rsid w:val="004716B7"/>
    <w:rsid w:val="0047185B"/>
    <w:rsid w:val="00471878"/>
    <w:rsid w:val="00471EA5"/>
    <w:rsid w:val="00471F4B"/>
    <w:rsid w:val="004720C2"/>
    <w:rsid w:val="004721BD"/>
    <w:rsid w:val="0047279D"/>
    <w:rsid w:val="00472806"/>
    <w:rsid w:val="00472A79"/>
    <w:rsid w:val="00472ADE"/>
    <w:rsid w:val="00473439"/>
    <w:rsid w:val="004736EA"/>
    <w:rsid w:val="00473900"/>
    <w:rsid w:val="00473E5A"/>
    <w:rsid w:val="00473EC4"/>
    <w:rsid w:val="00473F19"/>
    <w:rsid w:val="004740B6"/>
    <w:rsid w:val="00474530"/>
    <w:rsid w:val="004745D5"/>
    <w:rsid w:val="00474A35"/>
    <w:rsid w:val="00474E55"/>
    <w:rsid w:val="0047532A"/>
    <w:rsid w:val="0047559B"/>
    <w:rsid w:val="0047582F"/>
    <w:rsid w:val="004758D6"/>
    <w:rsid w:val="00475B57"/>
    <w:rsid w:val="00475BB0"/>
    <w:rsid w:val="00475C61"/>
    <w:rsid w:val="00475E22"/>
    <w:rsid w:val="00475FF1"/>
    <w:rsid w:val="00476129"/>
    <w:rsid w:val="004761B2"/>
    <w:rsid w:val="004767A0"/>
    <w:rsid w:val="00476A8C"/>
    <w:rsid w:val="00476C98"/>
    <w:rsid w:val="004774B3"/>
    <w:rsid w:val="004777A6"/>
    <w:rsid w:val="00477DB5"/>
    <w:rsid w:val="00480883"/>
    <w:rsid w:val="0048088E"/>
    <w:rsid w:val="004808F3"/>
    <w:rsid w:val="00480919"/>
    <w:rsid w:val="00480F2B"/>
    <w:rsid w:val="00481136"/>
    <w:rsid w:val="004813E9"/>
    <w:rsid w:val="0048146A"/>
    <w:rsid w:val="004816EB"/>
    <w:rsid w:val="00481838"/>
    <w:rsid w:val="00481CF0"/>
    <w:rsid w:val="004820A9"/>
    <w:rsid w:val="00482720"/>
    <w:rsid w:val="00482888"/>
    <w:rsid w:val="004829EE"/>
    <w:rsid w:val="00483126"/>
    <w:rsid w:val="00483152"/>
    <w:rsid w:val="004835E7"/>
    <w:rsid w:val="00483613"/>
    <w:rsid w:val="004837FD"/>
    <w:rsid w:val="00483D16"/>
    <w:rsid w:val="00483DDC"/>
    <w:rsid w:val="00483EE8"/>
    <w:rsid w:val="0048403B"/>
    <w:rsid w:val="004842ED"/>
    <w:rsid w:val="004845D0"/>
    <w:rsid w:val="00484823"/>
    <w:rsid w:val="004848E1"/>
    <w:rsid w:val="00484964"/>
    <w:rsid w:val="00484C58"/>
    <w:rsid w:val="00485521"/>
    <w:rsid w:val="004856BB"/>
    <w:rsid w:val="004857EA"/>
    <w:rsid w:val="004859E1"/>
    <w:rsid w:val="00485C29"/>
    <w:rsid w:val="0048654E"/>
    <w:rsid w:val="004867E2"/>
    <w:rsid w:val="00486817"/>
    <w:rsid w:val="00486ABA"/>
    <w:rsid w:val="00486ACC"/>
    <w:rsid w:val="00486B84"/>
    <w:rsid w:val="004870B5"/>
    <w:rsid w:val="004875BA"/>
    <w:rsid w:val="00487686"/>
    <w:rsid w:val="00487D07"/>
    <w:rsid w:val="0049001D"/>
    <w:rsid w:val="004900B9"/>
    <w:rsid w:val="00490169"/>
    <w:rsid w:val="00490400"/>
    <w:rsid w:val="00490AAF"/>
    <w:rsid w:val="00490B17"/>
    <w:rsid w:val="00490CB2"/>
    <w:rsid w:val="00490F3A"/>
    <w:rsid w:val="0049145A"/>
    <w:rsid w:val="00491B3A"/>
    <w:rsid w:val="00491ED6"/>
    <w:rsid w:val="00491F3B"/>
    <w:rsid w:val="004921C3"/>
    <w:rsid w:val="00492A48"/>
    <w:rsid w:val="00492C72"/>
    <w:rsid w:val="00492CFD"/>
    <w:rsid w:val="0049326F"/>
    <w:rsid w:val="004935DC"/>
    <w:rsid w:val="004935F0"/>
    <w:rsid w:val="00493655"/>
    <w:rsid w:val="004939D9"/>
    <w:rsid w:val="00493ADB"/>
    <w:rsid w:val="00494016"/>
    <w:rsid w:val="0049417D"/>
    <w:rsid w:val="00494207"/>
    <w:rsid w:val="004942E2"/>
    <w:rsid w:val="00494305"/>
    <w:rsid w:val="0049436D"/>
    <w:rsid w:val="00494445"/>
    <w:rsid w:val="00494692"/>
    <w:rsid w:val="004947F9"/>
    <w:rsid w:val="00494AA0"/>
    <w:rsid w:val="00494DD5"/>
    <w:rsid w:val="00494EE5"/>
    <w:rsid w:val="004950AB"/>
    <w:rsid w:val="004950EC"/>
    <w:rsid w:val="004951AA"/>
    <w:rsid w:val="00495B24"/>
    <w:rsid w:val="004962D2"/>
    <w:rsid w:val="004965A6"/>
    <w:rsid w:val="00496848"/>
    <w:rsid w:val="00496FB7"/>
    <w:rsid w:val="00496FD0"/>
    <w:rsid w:val="004977D3"/>
    <w:rsid w:val="00497952"/>
    <w:rsid w:val="00497C5D"/>
    <w:rsid w:val="00497DFE"/>
    <w:rsid w:val="004A0B0D"/>
    <w:rsid w:val="004A0C56"/>
    <w:rsid w:val="004A0DA1"/>
    <w:rsid w:val="004A0E54"/>
    <w:rsid w:val="004A0FFE"/>
    <w:rsid w:val="004A13D6"/>
    <w:rsid w:val="004A13D7"/>
    <w:rsid w:val="004A1638"/>
    <w:rsid w:val="004A16BF"/>
    <w:rsid w:val="004A1712"/>
    <w:rsid w:val="004A175D"/>
    <w:rsid w:val="004A1923"/>
    <w:rsid w:val="004A1C8D"/>
    <w:rsid w:val="004A266D"/>
    <w:rsid w:val="004A271C"/>
    <w:rsid w:val="004A2922"/>
    <w:rsid w:val="004A2FB5"/>
    <w:rsid w:val="004A30EC"/>
    <w:rsid w:val="004A3299"/>
    <w:rsid w:val="004A3576"/>
    <w:rsid w:val="004A3C03"/>
    <w:rsid w:val="004A3D30"/>
    <w:rsid w:val="004A40E2"/>
    <w:rsid w:val="004A431D"/>
    <w:rsid w:val="004A487D"/>
    <w:rsid w:val="004A4B0F"/>
    <w:rsid w:val="004A5116"/>
    <w:rsid w:val="004A51D1"/>
    <w:rsid w:val="004A52C9"/>
    <w:rsid w:val="004A52E9"/>
    <w:rsid w:val="004A5664"/>
    <w:rsid w:val="004A5AC1"/>
    <w:rsid w:val="004A5C23"/>
    <w:rsid w:val="004A5E33"/>
    <w:rsid w:val="004A6040"/>
    <w:rsid w:val="004A6597"/>
    <w:rsid w:val="004A6801"/>
    <w:rsid w:val="004A69BF"/>
    <w:rsid w:val="004A74C6"/>
    <w:rsid w:val="004A7848"/>
    <w:rsid w:val="004A793B"/>
    <w:rsid w:val="004A7D64"/>
    <w:rsid w:val="004A7E7E"/>
    <w:rsid w:val="004B0DA9"/>
    <w:rsid w:val="004B1064"/>
    <w:rsid w:val="004B10CE"/>
    <w:rsid w:val="004B1681"/>
    <w:rsid w:val="004B199E"/>
    <w:rsid w:val="004B1B57"/>
    <w:rsid w:val="004B1BE2"/>
    <w:rsid w:val="004B1CB4"/>
    <w:rsid w:val="004B2195"/>
    <w:rsid w:val="004B2424"/>
    <w:rsid w:val="004B2777"/>
    <w:rsid w:val="004B2C16"/>
    <w:rsid w:val="004B2C8B"/>
    <w:rsid w:val="004B2F18"/>
    <w:rsid w:val="004B33E0"/>
    <w:rsid w:val="004B3DDB"/>
    <w:rsid w:val="004B4029"/>
    <w:rsid w:val="004B442D"/>
    <w:rsid w:val="004B44FD"/>
    <w:rsid w:val="004B4540"/>
    <w:rsid w:val="004B45EA"/>
    <w:rsid w:val="004B4609"/>
    <w:rsid w:val="004B46B9"/>
    <w:rsid w:val="004B46FD"/>
    <w:rsid w:val="004B4802"/>
    <w:rsid w:val="004B48BB"/>
    <w:rsid w:val="004B4A15"/>
    <w:rsid w:val="004B4C3A"/>
    <w:rsid w:val="004B4E54"/>
    <w:rsid w:val="004B5427"/>
    <w:rsid w:val="004B5612"/>
    <w:rsid w:val="004B58AB"/>
    <w:rsid w:val="004B59E2"/>
    <w:rsid w:val="004B5A5B"/>
    <w:rsid w:val="004B5CFC"/>
    <w:rsid w:val="004B6117"/>
    <w:rsid w:val="004B624F"/>
    <w:rsid w:val="004B6E36"/>
    <w:rsid w:val="004B6F79"/>
    <w:rsid w:val="004B7358"/>
    <w:rsid w:val="004B7586"/>
    <w:rsid w:val="004B774D"/>
    <w:rsid w:val="004B79F0"/>
    <w:rsid w:val="004C016C"/>
    <w:rsid w:val="004C065C"/>
    <w:rsid w:val="004C0CE8"/>
    <w:rsid w:val="004C11C1"/>
    <w:rsid w:val="004C1238"/>
    <w:rsid w:val="004C1D66"/>
    <w:rsid w:val="004C216A"/>
    <w:rsid w:val="004C255B"/>
    <w:rsid w:val="004C284C"/>
    <w:rsid w:val="004C2AC2"/>
    <w:rsid w:val="004C2AE4"/>
    <w:rsid w:val="004C2D8D"/>
    <w:rsid w:val="004C383D"/>
    <w:rsid w:val="004C38EA"/>
    <w:rsid w:val="004C3A23"/>
    <w:rsid w:val="004C41BF"/>
    <w:rsid w:val="004C4428"/>
    <w:rsid w:val="004C465D"/>
    <w:rsid w:val="004C4674"/>
    <w:rsid w:val="004C4912"/>
    <w:rsid w:val="004C4AED"/>
    <w:rsid w:val="004C4B3F"/>
    <w:rsid w:val="004C50B7"/>
    <w:rsid w:val="004C5223"/>
    <w:rsid w:val="004C5852"/>
    <w:rsid w:val="004C5881"/>
    <w:rsid w:val="004C5975"/>
    <w:rsid w:val="004C5F52"/>
    <w:rsid w:val="004C640C"/>
    <w:rsid w:val="004C74DA"/>
    <w:rsid w:val="004C7787"/>
    <w:rsid w:val="004C7B28"/>
    <w:rsid w:val="004C7BC5"/>
    <w:rsid w:val="004D019D"/>
    <w:rsid w:val="004D0B38"/>
    <w:rsid w:val="004D121A"/>
    <w:rsid w:val="004D134C"/>
    <w:rsid w:val="004D1437"/>
    <w:rsid w:val="004D19DC"/>
    <w:rsid w:val="004D1EB3"/>
    <w:rsid w:val="004D264A"/>
    <w:rsid w:val="004D2A1B"/>
    <w:rsid w:val="004D2C2D"/>
    <w:rsid w:val="004D31E8"/>
    <w:rsid w:val="004D3208"/>
    <w:rsid w:val="004D33F1"/>
    <w:rsid w:val="004D3C6D"/>
    <w:rsid w:val="004D3EBA"/>
    <w:rsid w:val="004D401F"/>
    <w:rsid w:val="004D48A6"/>
    <w:rsid w:val="004D48E9"/>
    <w:rsid w:val="004D4A44"/>
    <w:rsid w:val="004D5633"/>
    <w:rsid w:val="004D5D82"/>
    <w:rsid w:val="004D614F"/>
    <w:rsid w:val="004D6787"/>
    <w:rsid w:val="004D684C"/>
    <w:rsid w:val="004D69B5"/>
    <w:rsid w:val="004D7227"/>
    <w:rsid w:val="004D7667"/>
    <w:rsid w:val="004D7B5E"/>
    <w:rsid w:val="004E0040"/>
    <w:rsid w:val="004E019A"/>
    <w:rsid w:val="004E0702"/>
    <w:rsid w:val="004E0B2C"/>
    <w:rsid w:val="004E0C82"/>
    <w:rsid w:val="004E0D9F"/>
    <w:rsid w:val="004E0E69"/>
    <w:rsid w:val="004E0E75"/>
    <w:rsid w:val="004E0E7F"/>
    <w:rsid w:val="004E0EB8"/>
    <w:rsid w:val="004E0EFD"/>
    <w:rsid w:val="004E0F40"/>
    <w:rsid w:val="004E11B8"/>
    <w:rsid w:val="004E18E9"/>
    <w:rsid w:val="004E18F2"/>
    <w:rsid w:val="004E1E8F"/>
    <w:rsid w:val="004E2124"/>
    <w:rsid w:val="004E214A"/>
    <w:rsid w:val="004E2991"/>
    <w:rsid w:val="004E2ADC"/>
    <w:rsid w:val="004E2C56"/>
    <w:rsid w:val="004E2CF1"/>
    <w:rsid w:val="004E2D9F"/>
    <w:rsid w:val="004E32B4"/>
    <w:rsid w:val="004E344E"/>
    <w:rsid w:val="004E369C"/>
    <w:rsid w:val="004E43B2"/>
    <w:rsid w:val="004E4D14"/>
    <w:rsid w:val="004E4F4C"/>
    <w:rsid w:val="004E5367"/>
    <w:rsid w:val="004E5764"/>
    <w:rsid w:val="004E5BBE"/>
    <w:rsid w:val="004E5F52"/>
    <w:rsid w:val="004E6039"/>
    <w:rsid w:val="004E61DF"/>
    <w:rsid w:val="004E637F"/>
    <w:rsid w:val="004E63B4"/>
    <w:rsid w:val="004E6D57"/>
    <w:rsid w:val="004E6DE1"/>
    <w:rsid w:val="004E6E24"/>
    <w:rsid w:val="004E7316"/>
    <w:rsid w:val="004E74E7"/>
    <w:rsid w:val="004E764A"/>
    <w:rsid w:val="004E7C0B"/>
    <w:rsid w:val="004E7D0D"/>
    <w:rsid w:val="004E7ED5"/>
    <w:rsid w:val="004F01D2"/>
    <w:rsid w:val="004F0363"/>
    <w:rsid w:val="004F0751"/>
    <w:rsid w:val="004F0E43"/>
    <w:rsid w:val="004F12A7"/>
    <w:rsid w:val="004F1D02"/>
    <w:rsid w:val="004F2321"/>
    <w:rsid w:val="004F2412"/>
    <w:rsid w:val="004F246B"/>
    <w:rsid w:val="004F2679"/>
    <w:rsid w:val="004F2821"/>
    <w:rsid w:val="004F2EF6"/>
    <w:rsid w:val="004F2F21"/>
    <w:rsid w:val="004F2FCB"/>
    <w:rsid w:val="004F31CC"/>
    <w:rsid w:val="004F33A6"/>
    <w:rsid w:val="004F35A8"/>
    <w:rsid w:val="004F3611"/>
    <w:rsid w:val="004F3D3A"/>
    <w:rsid w:val="004F3DB2"/>
    <w:rsid w:val="004F3DE5"/>
    <w:rsid w:val="004F40C9"/>
    <w:rsid w:val="004F4137"/>
    <w:rsid w:val="004F4867"/>
    <w:rsid w:val="004F4C46"/>
    <w:rsid w:val="004F56C0"/>
    <w:rsid w:val="004F56C9"/>
    <w:rsid w:val="004F5B1A"/>
    <w:rsid w:val="004F6047"/>
    <w:rsid w:val="004F6144"/>
    <w:rsid w:val="004F6661"/>
    <w:rsid w:val="004F6667"/>
    <w:rsid w:val="004F6913"/>
    <w:rsid w:val="004F6941"/>
    <w:rsid w:val="004F6B4A"/>
    <w:rsid w:val="004F70B8"/>
    <w:rsid w:val="004F757C"/>
    <w:rsid w:val="004F7638"/>
    <w:rsid w:val="004F7865"/>
    <w:rsid w:val="004F78A7"/>
    <w:rsid w:val="004F7D03"/>
    <w:rsid w:val="004F7D7E"/>
    <w:rsid w:val="00500631"/>
    <w:rsid w:val="00500670"/>
    <w:rsid w:val="005009C6"/>
    <w:rsid w:val="00500BBB"/>
    <w:rsid w:val="00500FE7"/>
    <w:rsid w:val="00501013"/>
    <w:rsid w:val="005010DD"/>
    <w:rsid w:val="00501226"/>
    <w:rsid w:val="0050145A"/>
    <w:rsid w:val="0050174E"/>
    <w:rsid w:val="00501854"/>
    <w:rsid w:val="00501E39"/>
    <w:rsid w:val="00501EBB"/>
    <w:rsid w:val="0050219B"/>
    <w:rsid w:val="005022AE"/>
    <w:rsid w:val="005025A4"/>
    <w:rsid w:val="00502A2C"/>
    <w:rsid w:val="00502D05"/>
    <w:rsid w:val="0050338F"/>
    <w:rsid w:val="00503453"/>
    <w:rsid w:val="005034AB"/>
    <w:rsid w:val="005036AB"/>
    <w:rsid w:val="005038A3"/>
    <w:rsid w:val="0050398E"/>
    <w:rsid w:val="00503A50"/>
    <w:rsid w:val="00503F17"/>
    <w:rsid w:val="00503F3A"/>
    <w:rsid w:val="0050443B"/>
    <w:rsid w:val="00504456"/>
    <w:rsid w:val="00504531"/>
    <w:rsid w:val="00504D32"/>
    <w:rsid w:val="00505B35"/>
    <w:rsid w:val="00505DCA"/>
    <w:rsid w:val="00505F0E"/>
    <w:rsid w:val="00505FF3"/>
    <w:rsid w:val="00506089"/>
    <w:rsid w:val="005061B4"/>
    <w:rsid w:val="005067C2"/>
    <w:rsid w:val="005068EB"/>
    <w:rsid w:val="005068F3"/>
    <w:rsid w:val="00506928"/>
    <w:rsid w:val="005069CA"/>
    <w:rsid w:val="00506DCB"/>
    <w:rsid w:val="005075F0"/>
    <w:rsid w:val="005077BC"/>
    <w:rsid w:val="005077EF"/>
    <w:rsid w:val="00507F58"/>
    <w:rsid w:val="00507FA1"/>
    <w:rsid w:val="0051018F"/>
    <w:rsid w:val="00510724"/>
    <w:rsid w:val="00510964"/>
    <w:rsid w:val="00510A20"/>
    <w:rsid w:val="00510AF8"/>
    <w:rsid w:val="00510FBF"/>
    <w:rsid w:val="00511623"/>
    <w:rsid w:val="00511AD5"/>
    <w:rsid w:val="00511D68"/>
    <w:rsid w:val="00511DC7"/>
    <w:rsid w:val="0051228E"/>
    <w:rsid w:val="0051240B"/>
    <w:rsid w:val="00512642"/>
    <w:rsid w:val="00512711"/>
    <w:rsid w:val="00512CB6"/>
    <w:rsid w:val="00512E85"/>
    <w:rsid w:val="00513117"/>
    <w:rsid w:val="005135A4"/>
    <w:rsid w:val="00513636"/>
    <w:rsid w:val="00513691"/>
    <w:rsid w:val="005137B7"/>
    <w:rsid w:val="00513CFE"/>
    <w:rsid w:val="00513DE5"/>
    <w:rsid w:val="005142C5"/>
    <w:rsid w:val="00514D69"/>
    <w:rsid w:val="00514E45"/>
    <w:rsid w:val="00514ECE"/>
    <w:rsid w:val="00514ED7"/>
    <w:rsid w:val="00514F2C"/>
    <w:rsid w:val="0051501B"/>
    <w:rsid w:val="005151EB"/>
    <w:rsid w:val="005152B5"/>
    <w:rsid w:val="00515588"/>
    <w:rsid w:val="0051581B"/>
    <w:rsid w:val="00515886"/>
    <w:rsid w:val="00515C9F"/>
    <w:rsid w:val="00515D6C"/>
    <w:rsid w:val="00516066"/>
    <w:rsid w:val="0051609E"/>
    <w:rsid w:val="00516A99"/>
    <w:rsid w:val="00517232"/>
    <w:rsid w:val="005179D2"/>
    <w:rsid w:val="00517C5F"/>
    <w:rsid w:val="00517E6D"/>
    <w:rsid w:val="0052123C"/>
    <w:rsid w:val="00521264"/>
    <w:rsid w:val="00521319"/>
    <w:rsid w:val="005216DE"/>
    <w:rsid w:val="00521A36"/>
    <w:rsid w:val="00521B16"/>
    <w:rsid w:val="00521EB4"/>
    <w:rsid w:val="00521F39"/>
    <w:rsid w:val="00522B6C"/>
    <w:rsid w:val="00522BC8"/>
    <w:rsid w:val="0052340B"/>
    <w:rsid w:val="00523939"/>
    <w:rsid w:val="00523A5D"/>
    <w:rsid w:val="00523C28"/>
    <w:rsid w:val="00523EB9"/>
    <w:rsid w:val="0052413A"/>
    <w:rsid w:val="0052484F"/>
    <w:rsid w:val="00524A52"/>
    <w:rsid w:val="00524B1F"/>
    <w:rsid w:val="00524B93"/>
    <w:rsid w:val="00524C69"/>
    <w:rsid w:val="00524D49"/>
    <w:rsid w:val="0052511B"/>
    <w:rsid w:val="00525203"/>
    <w:rsid w:val="0052538C"/>
    <w:rsid w:val="0052556D"/>
    <w:rsid w:val="0052561A"/>
    <w:rsid w:val="005257AA"/>
    <w:rsid w:val="005259D6"/>
    <w:rsid w:val="00525ACB"/>
    <w:rsid w:val="00525B49"/>
    <w:rsid w:val="00525B87"/>
    <w:rsid w:val="00525DCE"/>
    <w:rsid w:val="0052611B"/>
    <w:rsid w:val="005269BA"/>
    <w:rsid w:val="00526B3F"/>
    <w:rsid w:val="00526E39"/>
    <w:rsid w:val="00526FC8"/>
    <w:rsid w:val="0052717A"/>
    <w:rsid w:val="00527272"/>
    <w:rsid w:val="00527478"/>
    <w:rsid w:val="00527A11"/>
    <w:rsid w:val="00527B22"/>
    <w:rsid w:val="00527F35"/>
    <w:rsid w:val="00530078"/>
    <w:rsid w:val="00530115"/>
    <w:rsid w:val="005308BE"/>
    <w:rsid w:val="00530D3F"/>
    <w:rsid w:val="00530E50"/>
    <w:rsid w:val="00530EB1"/>
    <w:rsid w:val="0053154B"/>
    <w:rsid w:val="0053159D"/>
    <w:rsid w:val="005316BA"/>
    <w:rsid w:val="0053176B"/>
    <w:rsid w:val="005319CD"/>
    <w:rsid w:val="00531A30"/>
    <w:rsid w:val="00531AA7"/>
    <w:rsid w:val="00531CD0"/>
    <w:rsid w:val="00531D39"/>
    <w:rsid w:val="0053204B"/>
    <w:rsid w:val="00532224"/>
    <w:rsid w:val="00532B8F"/>
    <w:rsid w:val="00532E62"/>
    <w:rsid w:val="00532FF4"/>
    <w:rsid w:val="00533081"/>
    <w:rsid w:val="00533150"/>
    <w:rsid w:val="005341B3"/>
    <w:rsid w:val="00534292"/>
    <w:rsid w:val="005344E1"/>
    <w:rsid w:val="0053467B"/>
    <w:rsid w:val="00534B87"/>
    <w:rsid w:val="0053529E"/>
    <w:rsid w:val="005354CC"/>
    <w:rsid w:val="005354EA"/>
    <w:rsid w:val="005355C2"/>
    <w:rsid w:val="00535987"/>
    <w:rsid w:val="00535F2F"/>
    <w:rsid w:val="00536248"/>
    <w:rsid w:val="0053654A"/>
    <w:rsid w:val="00536785"/>
    <w:rsid w:val="00536A22"/>
    <w:rsid w:val="00536F42"/>
    <w:rsid w:val="00537182"/>
    <w:rsid w:val="00537379"/>
    <w:rsid w:val="00537826"/>
    <w:rsid w:val="00537F2A"/>
    <w:rsid w:val="00540296"/>
    <w:rsid w:val="005402CF"/>
    <w:rsid w:val="005405B4"/>
    <w:rsid w:val="005407B0"/>
    <w:rsid w:val="00540AFB"/>
    <w:rsid w:val="00540B12"/>
    <w:rsid w:val="00540B53"/>
    <w:rsid w:val="00540BFF"/>
    <w:rsid w:val="00540C68"/>
    <w:rsid w:val="00541173"/>
    <w:rsid w:val="00541189"/>
    <w:rsid w:val="0054126A"/>
    <w:rsid w:val="005418F2"/>
    <w:rsid w:val="00541C93"/>
    <w:rsid w:val="00541D11"/>
    <w:rsid w:val="00541EDD"/>
    <w:rsid w:val="00542393"/>
    <w:rsid w:val="005425A5"/>
    <w:rsid w:val="00542743"/>
    <w:rsid w:val="00542C2D"/>
    <w:rsid w:val="00542D28"/>
    <w:rsid w:val="00542D81"/>
    <w:rsid w:val="0054359C"/>
    <w:rsid w:val="005435E1"/>
    <w:rsid w:val="00543E61"/>
    <w:rsid w:val="005441D6"/>
    <w:rsid w:val="00544484"/>
    <w:rsid w:val="00544738"/>
    <w:rsid w:val="005448AE"/>
    <w:rsid w:val="00544E14"/>
    <w:rsid w:val="00544F1F"/>
    <w:rsid w:val="00544F3E"/>
    <w:rsid w:val="0054555E"/>
    <w:rsid w:val="005455F0"/>
    <w:rsid w:val="005459A2"/>
    <w:rsid w:val="00545D0D"/>
    <w:rsid w:val="00545D74"/>
    <w:rsid w:val="00545F4C"/>
    <w:rsid w:val="00546492"/>
    <w:rsid w:val="00546B10"/>
    <w:rsid w:val="0054719A"/>
    <w:rsid w:val="0054743C"/>
    <w:rsid w:val="00547474"/>
    <w:rsid w:val="005474D3"/>
    <w:rsid w:val="005478BD"/>
    <w:rsid w:val="00547977"/>
    <w:rsid w:val="005479E3"/>
    <w:rsid w:val="00550107"/>
    <w:rsid w:val="005505CA"/>
    <w:rsid w:val="00550A7A"/>
    <w:rsid w:val="00550D80"/>
    <w:rsid w:val="00550E81"/>
    <w:rsid w:val="00550F4B"/>
    <w:rsid w:val="005511D5"/>
    <w:rsid w:val="00551952"/>
    <w:rsid w:val="00551985"/>
    <w:rsid w:val="00551B77"/>
    <w:rsid w:val="00551ED3"/>
    <w:rsid w:val="00552126"/>
    <w:rsid w:val="00552416"/>
    <w:rsid w:val="00552BD3"/>
    <w:rsid w:val="005532A0"/>
    <w:rsid w:val="00553B1B"/>
    <w:rsid w:val="00553DF2"/>
    <w:rsid w:val="005544C8"/>
    <w:rsid w:val="005544E2"/>
    <w:rsid w:val="00554891"/>
    <w:rsid w:val="00554B69"/>
    <w:rsid w:val="00554D63"/>
    <w:rsid w:val="00554D9B"/>
    <w:rsid w:val="00554DBA"/>
    <w:rsid w:val="00554DEF"/>
    <w:rsid w:val="00555109"/>
    <w:rsid w:val="00555314"/>
    <w:rsid w:val="005555DF"/>
    <w:rsid w:val="0055581C"/>
    <w:rsid w:val="0055615B"/>
    <w:rsid w:val="0055619D"/>
    <w:rsid w:val="0055639F"/>
    <w:rsid w:val="0055675B"/>
    <w:rsid w:val="00556791"/>
    <w:rsid w:val="00556B35"/>
    <w:rsid w:val="0055718E"/>
    <w:rsid w:val="00557216"/>
    <w:rsid w:val="005573AC"/>
    <w:rsid w:val="0055741A"/>
    <w:rsid w:val="00557468"/>
    <w:rsid w:val="00557594"/>
    <w:rsid w:val="0055766C"/>
    <w:rsid w:val="0055795C"/>
    <w:rsid w:val="00557A10"/>
    <w:rsid w:val="00557C18"/>
    <w:rsid w:val="00557C40"/>
    <w:rsid w:val="005601DD"/>
    <w:rsid w:val="00560946"/>
    <w:rsid w:val="00560AE5"/>
    <w:rsid w:val="005611B7"/>
    <w:rsid w:val="005612CB"/>
    <w:rsid w:val="00561616"/>
    <w:rsid w:val="0056168D"/>
    <w:rsid w:val="005618D4"/>
    <w:rsid w:val="005619BD"/>
    <w:rsid w:val="00561B36"/>
    <w:rsid w:val="00562066"/>
    <w:rsid w:val="005623AC"/>
    <w:rsid w:val="00562501"/>
    <w:rsid w:val="00562771"/>
    <w:rsid w:val="005627A8"/>
    <w:rsid w:val="00562A06"/>
    <w:rsid w:val="00562BA1"/>
    <w:rsid w:val="00562CD5"/>
    <w:rsid w:val="00562EA0"/>
    <w:rsid w:val="0056323E"/>
    <w:rsid w:val="005638DD"/>
    <w:rsid w:val="00563CF3"/>
    <w:rsid w:val="005641D0"/>
    <w:rsid w:val="005645FE"/>
    <w:rsid w:val="00564867"/>
    <w:rsid w:val="0056492F"/>
    <w:rsid w:val="00564D13"/>
    <w:rsid w:val="005655A1"/>
    <w:rsid w:val="005657C8"/>
    <w:rsid w:val="0056584C"/>
    <w:rsid w:val="00565C79"/>
    <w:rsid w:val="00565D4F"/>
    <w:rsid w:val="00565DF0"/>
    <w:rsid w:val="005667E5"/>
    <w:rsid w:val="0056696F"/>
    <w:rsid w:val="00566BF3"/>
    <w:rsid w:val="00567513"/>
    <w:rsid w:val="0056763C"/>
    <w:rsid w:val="0056789F"/>
    <w:rsid w:val="00567BE6"/>
    <w:rsid w:val="00567EAC"/>
    <w:rsid w:val="005700E8"/>
    <w:rsid w:val="00570ED4"/>
    <w:rsid w:val="00570EDF"/>
    <w:rsid w:val="00571001"/>
    <w:rsid w:val="0057148F"/>
    <w:rsid w:val="00571DF8"/>
    <w:rsid w:val="00571E76"/>
    <w:rsid w:val="00572269"/>
    <w:rsid w:val="005723C9"/>
    <w:rsid w:val="0057244A"/>
    <w:rsid w:val="0057282A"/>
    <w:rsid w:val="00572919"/>
    <w:rsid w:val="00572EB2"/>
    <w:rsid w:val="00572F26"/>
    <w:rsid w:val="00573190"/>
    <w:rsid w:val="00573432"/>
    <w:rsid w:val="005738EE"/>
    <w:rsid w:val="00573D4E"/>
    <w:rsid w:val="005744D3"/>
    <w:rsid w:val="00574574"/>
    <w:rsid w:val="005746FA"/>
    <w:rsid w:val="0057477B"/>
    <w:rsid w:val="005749AB"/>
    <w:rsid w:val="00574AB6"/>
    <w:rsid w:val="005750C5"/>
    <w:rsid w:val="00575181"/>
    <w:rsid w:val="005752DE"/>
    <w:rsid w:val="00575692"/>
    <w:rsid w:val="00575770"/>
    <w:rsid w:val="00575935"/>
    <w:rsid w:val="00575D60"/>
    <w:rsid w:val="00575D8D"/>
    <w:rsid w:val="00576453"/>
    <w:rsid w:val="005767E5"/>
    <w:rsid w:val="005767F7"/>
    <w:rsid w:val="00576840"/>
    <w:rsid w:val="005768A3"/>
    <w:rsid w:val="00576972"/>
    <w:rsid w:val="00576ADB"/>
    <w:rsid w:val="00576AE6"/>
    <w:rsid w:val="005770AB"/>
    <w:rsid w:val="00577248"/>
    <w:rsid w:val="0057753B"/>
    <w:rsid w:val="00577C5C"/>
    <w:rsid w:val="00577CB0"/>
    <w:rsid w:val="00577FAC"/>
    <w:rsid w:val="00580140"/>
    <w:rsid w:val="0058041C"/>
    <w:rsid w:val="00580481"/>
    <w:rsid w:val="005809ED"/>
    <w:rsid w:val="00580C7B"/>
    <w:rsid w:val="0058107E"/>
    <w:rsid w:val="005810A9"/>
    <w:rsid w:val="00581952"/>
    <w:rsid w:val="00582263"/>
    <w:rsid w:val="00582993"/>
    <w:rsid w:val="00582CEE"/>
    <w:rsid w:val="005830F5"/>
    <w:rsid w:val="005831B8"/>
    <w:rsid w:val="005835A5"/>
    <w:rsid w:val="0058362E"/>
    <w:rsid w:val="00583699"/>
    <w:rsid w:val="00583832"/>
    <w:rsid w:val="005839F4"/>
    <w:rsid w:val="00583E9E"/>
    <w:rsid w:val="00583FC3"/>
    <w:rsid w:val="005841D7"/>
    <w:rsid w:val="0058428E"/>
    <w:rsid w:val="005842FF"/>
    <w:rsid w:val="00584C27"/>
    <w:rsid w:val="00584F82"/>
    <w:rsid w:val="0058580C"/>
    <w:rsid w:val="005859DD"/>
    <w:rsid w:val="00585A82"/>
    <w:rsid w:val="00585CDD"/>
    <w:rsid w:val="00585DA2"/>
    <w:rsid w:val="00586320"/>
    <w:rsid w:val="0058633A"/>
    <w:rsid w:val="0058680D"/>
    <w:rsid w:val="00587058"/>
    <w:rsid w:val="00587527"/>
    <w:rsid w:val="00590266"/>
    <w:rsid w:val="005909D0"/>
    <w:rsid w:val="00590BB1"/>
    <w:rsid w:val="00590EA3"/>
    <w:rsid w:val="005913E0"/>
    <w:rsid w:val="00591957"/>
    <w:rsid w:val="00592C71"/>
    <w:rsid w:val="00592C73"/>
    <w:rsid w:val="005932F0"/>
    <w:rsid w:val="00593426"/>
    <w:rsid w:val="005934BE"/>
    <w:rsid w:val="005934C2"/>
    <w:rsid w:val="00593D67"/>
    <w:rsid w:val="005943BB"/>
    <w:rsid w:val="005948AA"/>
    <w:rsid w:val="0059586D"/>
    <w:rsid w:val="00595CA0"/>
    <w:rsid w:val="00595F2D"/>
    <w:rsid w:val="00596060"/>
    <w:rsid w:val="005964F6"/>
    <w:rsid w:val="005965B1"/>
    <w:rsid w:val="0059669C"/>
    <w:rsid w:val="00596AB3"/>
    <w:rsid w:val="00596DC5"/>
    <w:rsid w:val="00596EA4"/>
    <w:rsid w:val="00597BF9"/>
    <w:rsid w:val="005A0070"/>
    <w:rsid w:val="005A0228"/>
    <w:rsid w:val="005A03F7"/>
    <w:rsid w:val="005A0C11"/>
    <w:rsid w:val="005A14A0"/>
    <w:rsid w:val="005A17F9"/>
    <w:rsid w:val="005A2084"/>
    <w:rsid w:val="005A2979"/>
    <w:rsid w:val="005A2AFC"/>
    <w:rsid w:val="005A309A"/>
    <w:rsid w:val="005A319C"/>
    <w:rsid w:val="005A373D"/>
    <w:rsid w:val="005A3A49"/>
    <w:rsid w:val="005A3A6F"/>
    <w:rsid w:val="005A3E04"/>
    <w:rsid w:val="005A3F31"/>
    <w:rsid w:val="005A443C"/>
    <w:rsid w:val="005A44BC"/>
    <w:rsid w:val="005A44C1"/>
    <w:rsid w:val="005A468D"/>
    <w:rsid w:val="005A4721"/>
    <w:rsid w:val="005A4CFF"/>
    <w:rsid w:val="005A4D52"/>
    <w:rsid w:val="005A4FB1"/>
    <w:rsid w:val="005A5114"/>
    <w:rsid w:val="005A52B9"/>
    <w:rsid w:val="005A6226"/>
    <w:rsid w:val="005A6257"/>
    <w:rsid w:val="005A6547"/>
    <w:rsid w:val="005A6C64"/>
    <w:rsid w:val="005A769F"/>
    <w:rsid w:val="005A78C4"/>
    <w:rsid w:val="005A78EE"/>
    <w:rsid w:val="005A78FF"/>
    <w:rsid w:val="005A7BEF"/>
    <w:rsid w:val="005A7E12"/>
    <w:rsid w:val="005B0B58"/>
    <w:rsid w:val="005B0BAF"/>
    <w:rsid w:val="005B101A"/>
    <w:rsid w:val="005B1361"/>
    <w:rsid w:val="005B1522"/>
    <w:rsid w:val="005B1600"/>
    <w:rsid w:val="005B165C"/>
    <w:rsid w:val="005B1D24"/>
    <w:rsid w:val="005B1F33"/>
    <w:rsid w:val="005B2685"/>
    <w:rsid w:val="005B26C6"/>
    <w:rsid w:val="005B2765"/>
    <w:rsid w:val="005B2DCC"/>
    <w:rsid w:val="005B3076"/>
    <w:rsid w:val="005B36DF"/>
    <w:rsid w:val="005B3788"/>
    <w:rsid w:val="005B3940"/>
    <w:rsid w:val="005B3948"/>
    <w:rsid w:val="005B39D1"/>
    <w:rsid w:val="005B42A1"/>
    <w:rsid w:val="005B4972"/>
    <w:rsid w:val="005B4D77"/>
    <w:rsid w:val="005B4E53"/>
    <w:rsid w:val="005B53EC"/>
    <w:rsid w:val="005B5576"/>
    <w:rsid w:val="005B577B"/>
    <w:rsid w:val="005B5781"/>
    <w:rsid w:val="005B5857"/>
    <w:rsid w:val="005B6342"/>
    <w:rsid w:val="005B69F1"/>
    <w:rsid w:val="005B6BED"/>
    <w:rsid w:val="005B6C72"/>
    <w:rsid w:val="005C0003"/>
    <w:rsid w:val="005C011B"/>
    <w:rsid w:val="005C03AF"/>
    <w:rsid w:val="005C056A"/>
    <w:rsid w:val="005C0B3B"/>
    <w:rsid w:val="005C0BCA"/>
    <w:rsid w:val="005C0E25"/>
    <w:rsid w:val="005C11A4"/>
    <w:rsid w:val="005C137F"/>
    <w:rsid w:val="005C1395"/>
    <w:rsid w:val="005C1496"/>
    <w:rsid w:val="005C16CC"/>
    <w:rsid w:val="005C1833"/>
    <w:rsid w:val="005C19C4"/>
    <w:rsid w:val="005C1A17"/>
    <w:rsid w:val="005C1B83"/>
    <w:rsid w:val="005C1F73"/>
    <w:rsid w:val="005C2556"/>
    <w:rsid w:val="005C25FF"/>
    <w:rsid w:val="005C269E"/>
    <w:rsid w:val="005C2D55"/>
    <w:rsid w:val="005C2E54"/>
    <w:rsid w:val="005C3079"/>
    <w:rsid w:val="005C346B"/>
    <w:rsid w:val="005C400C"/>
    <w:rsid w:val="005C40BD"/>
    <w:rsid w:val="005C40CA"/>
    <w:rsid w:val="005C449C"/>
    <w:rsid w:val="005C459F"/>
    <w:rsid w:val="005C48D6"/>
    <w:rsid w:val="005C4B25"/>
    <w:rsid w:val="005C4E06"/>
    <w:rsid w:val="005C4E95"/>
    <w:rsid w:val="005C4FF4"/>
    <w:rsid w:val="005C508C"/>
    <w:rsid w:val="005C56C0"/>
    <w:rsid w:val="005C5ABC"/>
    <w:rsid w:val="005C5C1C"/>
    <w:rsid w:val="005C6018"/>
    <w:rsid w:val="005C662C"/>
    <w:rsid w:val="005C6823"/>
    <w:rsid w:val="005C6E68"/>
    <w:rsid w:val="005C7220"/>
    <w:rsid w:val="005C77C3"/>
    <w:rsid w:val="005C7D8F"/>
    <w:rsid w:val="005D044D"/>
    <w:rsid w:val="005D0577"/>
    <w:rsid w:val="005D07B0"/>
    <w:rsid w:val="005D0ABD"/>
    <w:rsid w:val="005D1015"/>
    <w:rsid w:val="005D1085"/>
    <w:rsid w:val="005D1118"/>
    <w:rsid w:val="005D158B"/>
    <w:rsid w:val="005D162E"/>
    <w:rsid w:val="005D182F"/>
    <w:rsid w:val="005D18AD"/>
    <w:rsid w:val="005D18AF"/>
    <w:rsid w:val="005D1965"/>
    <w:rsid w:val="005D2062"/>
    <w:rsid w:val="005D2207"/>
    <w:rsid w:val="005D26B4"/>
    <w:rsid w:val="005D28B7"/>
    <w:rsid w:val="005D2E58"/>
    <w:rsid w:val="005D3321"/>
    <w:rsid w:val="005D3A5D"/>
    <w:rsid w:val="005D3C20"/>
    <w:rsid w:val="005D3E6F"/>
    <w:rsid w:val="005D4EC2"/>
    <w:rsid w:val="005D570F"/>
    <w:rsid w:val="005D5863"/>
    <w:rsid w:val="005D5902"/>
    <w:rsid w:val="005D625D"/>
    <w:rsid w:val="005D62AC"/>
    <w:rsid w:val="005D6582"/>
    <w:rsid w:val="005D6A88"/>
    <w:rsid w:val="005D6F41"/>
    <w:rsid w:val="005D7135"/>
    <w:rsid w:val="005D7456"/>
    <w:rsid w:val="005D75F1"/>
    <w:rsid w:val="005E0006"/>
    <w:rsid w:val="005E011F"/>
    <w:rsid w:val="005E0E3B"/>
    <w:rsid w:val="005E0E62"/>
    <w:rsid w:val="005E0F1D"/>
    <w:rsid w:val="005E1995"/>
    <w:rsid w:val="005E2025"/>
    <w:rsid w:val="005E2184"/>
    <w:rsid w:val="005E25F1"/>
    <w:rsid w:val="005E28F1"/>
    <w:rsid w:val="005E344A"/>
    <w:rsid w:val="005E40D3"/>
    <w:rsid w:val="005E434C"/>
    <w:rsid w:val="005E4614"/>
    <w:rsid w:val="005E46B7"/>
    <w:rsid w:val="005E46E0"/>
    <w:rsid w:val="005E4D08"/>
    <w:rsid w:val="005E4F8C"/>
    <w:rsid w:val="005E50DA"/>
    <w:rsid w:val="005E51F6"/>
    <w:rsid w:val="005E5215"/>
    <w:rsid w:val="005E5394"/>
    <w:rsid w:val="005E581F"/>
    <w:rsid w:val="005E5B69"/>
    <w:rsid w:val="005E65D8"/>
    <w:rsid w:val="005E6703"/>
    <w:rsid w:val="005E6CBC"/>
    <w:rsid w:val="005E6E9D"/>
    <w:rsid w:val="005E704D"/>
    <w:rsid w:val="005E72A7"/>
    <w:rsid w:val="005E72FF"/>
    <w:rsid w:val="005E73C0"/>
    <w:rsid w:val="005E79FB"/>
    <w:rsid w:val="005F04FB"/>
    <w:rsid w:val="005F05CB"/>
    <w:rsid w:val="005F071C"/>
    <w:rsid w:val="005F07ED"/>
    <w:rsid w:val="005F09C0"/>
    <w:rsid w:val="005F0CD7"/>
    <w:rsid w:val="005F141D"/>
    <w:rsid w:val="005F1651"/>
    <w:rsid w:val="005F1802"/>
    <w:rsid w:val="005F1CAE"/>
    <w:rsid w:val="005F23F1"/>
    <w:rsid w:val="005F2601"/>
    <w:rsid w:val="005F2703"/>
    <w:rsid w:val="005F2706"/>
    <w:rsid w:val="005F276C"/>
    <w:rsid w:val="005F32C0"/>
    <w:rsid w:val="005F33EC"/>
    <w:rsid w:val="005F3670"/>
    <w:rsid w:val="005F3EC4"/>
    <w:rsid w:val="005F4188"/>
    <w:rsid w:val="005F442A"/>
    <w:rsid w:val="005F44A3"/>
    <w:rsid w:val="005F4552"/>
    <w:rsid w:val="005F47C9"/>
    <w:rsid w:val="005F4954"/>
    <w:rsid w:val="005F5180"/>
    <w:rsid w:val="005F52D0"/>
    <w:rsid w:val="005F54EB"/>
    <w:rsid w:val="005F6172"/>
    <w:rsid w:val="005F630F"/>
    <w:rsid w:val="005F6605"/>
    <w:rsid w:val="005F6A8F"/>
    <w:rsid w:val="005F6BB7"/>
    <w:rsid w:val="005F6E98"/>
    <w:rsid w:val="005F6F0A"/>
    <w:rsid w:val="005F7375"/>
    <w:rsid w:val="005F7528"/>
    <w:rsid w:val="005F754E"/>
    <w:rsid w:val="005F7588"/>
    <w:rsid w:val="005F7EBF"/>
    <w:rsid w:val="00600A11"/>
    <w:rsid w:val="00600B3D"/>
    <w:rsid w:val="00600DE3"/>
    <w:rsid w:val="00600E38"/>
    <w:rsid w:val="00601187"/>
    <w:rsid w:val="006012C9"/>
    <w:rsid w:val="0060141E"/>
    <w:rsid w:val="006014F0"/>
    <w:rsid w:val="00601A04"/>
    <w:rsid w:val="00601A78"/>
    <w:rsid w:val="00601BD7"/>
    <w:rsid w:val="00601C36"/>
    <w:rsid w:val="00601EA5"/>
    <w:rsid w:val="0060261D"/>
    <w:rsid w:val="0060266E"/>
    <w:rsid w:val="00602D37"/>
    <w:rsid w:val="00602EE8"/>
    <w:rsid w:val="00603DB9"/>
    <w:rsid w:val="00603E69"/>
    <w:rsid w:val="0060416B"/>
    <w:rsid w:val="00604303"/>
    <w:rsid w:val="0060473F"/>
    <w:rsid w:val="00604F35"/>
    <w:rsid w:val="0060516C"/>
    <w:rsid w:val="0060531F"/>
    <w:rsid w:val="006053F4"/>
    <w:rsid w:val="006055FA"/>
    <w:rsid w:val="0060582A"/>
    <w:rsid w:val="00606089"/>
    <w:rsid w:val="00606823"/>
    <w:rsid w:val="00606AC4"/>
    <w:rsid w:val="00606FBA"/>
    <w:rsid w:val="00607097"/>
    <w:rsid w:val="006070CE"/>
    <w:rsid w:val="0060764D"/>
    <w:rsid w:val="00607669"/>
    <w:rsid w:val="006076F4"/>
    <w:rsid w:val="006076FD"/>
    <w:rsid w:val="00607AFD"/>
    <w:rsid w:val="00607CBC"/>
    <w:rsid w:val="00607EA8"/>
    <w:rsid w:val="00607EC7"/>
    <w:rsid w:val="00610324"/>
    <w:rsid w:val="006104A6"/>
    <w:rsid w:val="0061097D"/>
    <w:rsid w:val="00610993"/>
    <w:rsid w:val="00610D18"/>
    <w:rsid w:val="006115B7"/>
    <w:rsid w:val="00611B12"/>
    <w:rsid w:val="00611B1B"/>
    <w:rsid w:val="00611EEB"/>
    <w:rsid w:val="0061248E"/>
    <w:rsid w:val="006124DB"/>
    <w:rsid w:val="00612615"/>
    <w:rsid w:val="00612785"/>
    <w:rsid w:val="006127EB"/>
    <w:rsid w:val="00612A73"/>
    <w:rsid w:val="00612C44"/>
    <w:rsid w:val="00612F71"/>
    <w:rsid w:val="00612F97"/>
    <w:rsid w:val="006130A2"/>
    <w:rsid w:val="00613329"/>
    <w:rsid w:val="0061345D"/>
    <w:rsid w:val="006136D4"/>
    <w:rsid w:val="0061375E"/>
    <w:rsid w:val="00613BA2"/>
    <w:rsid w:val="00613CE9"/>
    <w:rsid w:val="00613D69"/>
    <w:rsid w:val="0061435A"/>
    <w:rsid w:val="00614437"/>
    <w:rsid w:val="0061472C"/>
    <w:rsid w:val="00614886"/>
    <w:rsid w:val="00615339"/>
    <w:rsid w:val="0061549B"/>
    <w:rsid w:val="00615847"/>
    <w:rsid w:val="00615C1F"/>
    <w:rsid w:val="006163F8"/>
    <w:rsid w:val="006164B6"/>
    <w:rsid w:val="0061670A"/>
    <w:rsid w:val="00616802"/>
    <w:rsid w:val="00616848"/>
    <w:rsid w:val="00616E39"/>
    <w:rsid w:val="00617045"/>
    <w:rsid w:val="00617C58"/>
    <w:rsid w:val="00617E12"/>
    <w:rsid w:val="00620917"/>
    <w:rsid w:val="00620C25"/>
    <w:rsid w:val="00620CE3"/>
    <w:rsid w:val="00620DE1"/>
    <w:rsid w:val="00620E81"/>
    <w:rsid w:val="00620FE3"/>
    <w:rsid w:val="006213F1"/>
    <w:rsid w:val="00621477"/>
    <w:rsid w:val="006217D4"/>
    <w:rsid w:val="00621ADA"/>
    <w:rsid w:val="0062207D"/>
    <w:rsid w:val="00622D12"/>
    <w:rsid w:val="0062334E"/>
    <w:rsid w:val="006233A3"/>
    <w:rsid w:val="006234FD"/>
    <w:rsid w:val="00623F7B"/>
    <w:rsid w:val="00624474"/>
    <w:rsid w:val="00624847"/>
    <w:rsid w:val="006248E5"/>
    <w:rsid w:val="00624BD4"/>
    <w:rsid w:val="0062504A"/>
    <w:rsid w:val="0062506E"/>
    <w:rsid w:val="00625395"/>
    <w:rsid w:val="0062600A"/>
    <w:rsid w:val="00626986"/>
    <w:rsid w:val="00626C73"/>
    <w:rsid w:val="006270D7"/>
    <w:rsid w:val="00627B08"/>
    <w:rsid w:val="00627C68"/>
    <w:rsid w:val="00627D9B"/>
    <w:rsid w:val="00627F66"/>
    <w:rsid w:val="00630426"/>
    <w:rsid w:val="006304E5"/>
    <w:rsid w:val="00630ABB"/>
    <w:rsid w:val="0063125F"/>
    <w:rsid w:val="006314DB"/>
    <w:rsid w:val="0063158F"/>
    <w:rsid w:val="00631697"/>
    <w:rsid w:val="00631778"/>
    <w:rsid w:val="00631D6B"/>
    <w:rsid w:val="00631E3F"/>
    <w:rsid w:val="00631FFA"/>
    <w:rsid w:val="00632121"/>
    <w:rsid w:val="00632183"/>
    <w:rsid w:val="006329D7"/>
    <w:rsid w:val="00632F88"/>
    <w:rsid w:val="006330A1"/>
    <w:rsid w:val="006331D4"/>
    <w:rsid w:val="0063378E"/>
    <w:rsid w:val="00634350"/>
    <w:rsid w:val="00634385"/>
    <w:rsid w:val="0063479F"/>
    <w:rsid w:val="00634832"/>
    <w:rsid w:val="00634B99"/>
    <w:rsid w:val="00634F63"/>
    <w:rsid w:val="006353F0"/>
    <w:rsid w:val="00635467"/>
    <w:rsid w:val="006355A0"/>
    <w:rsid w:val="006355B9"/>
    <w:rsid w:val="006355E0"/>
    <w:rsid w:val="00635776"/>
    <w:rsid w:val="006357B5"/>
    <w:rsid w:val="006361BE"/>
    <w:rsid w:val="006364A1"/>
    <w:rsid w:val="006364DB"/>
    <w:rsid w:val="0063678E"/>
    <w:rsid w:val="006367DF"/>
    <w:rsid w:val="0063694B"/>
    <w:rsid w:val="00636A28"/>
    <w:rsid w:val="00636BB6"/>
    <w:rsid w:val="00636EA2"/>
    <w:rsid w:val="006372F9"/>
    <w:rsid w:val="00637602"/>
    <w:rsid w:val="00637733"/>
    <w:rsid w:val="00637BFD"/>
    <w:rsid w:val="00637C5C"/>
    <w:rsid w:val="00637CFE"/>
    <w:rsid w:val="00637DFE"/>
    <w:rsid w:val="00637FC8"/>
    <w:rsid w:val="006404E6"/>
    <w:rsid w:val="00640586"/>
    <w:rsid w:val="00640B49"/>
    <w:rsid w:val="00640F16"/>
    <w:rsid w:val="00640F65"/>
    <w:rsid w:val="00641AAD"/>
    <w:rsid w:val="00641AC2"/>
    <w:rsid w:val="00641C4E"/>
    <w:rsid w:val="00641FB3"/>
    <w:rsid w:val="0064214C"/>
    <w:rsid w:val="0064234D"/>
    <w:rsid w:val="006424A3"/>
    <w:rsid w:val="00642626"/>
    <w:rsid w:val="006429CC"/>
    <w:rsid w:val="00642C28"/>
    <w:rsid w:val="00642EBB"/>
    <w:rsid w:val="0064323F"/>
    <w:rsid w:val="0064352D"/>
    <w:rsid w:val="00643D4A"/>
    <w:rsid w:val="006441F7"/>
    <w:rsid w:val="0064427F"/>
    <w:rsid w:val="0064434C"/>
    <w:rsid w:val="006444A8"/>
    <w:rsid w:val="0064454C"/>
    <w:rsid w:val="00644794"/>
    <w:rsid w:val="00644CA4"/>
    <w:rsid w:val="0064510A"/>
    <w:rsid w:val="0064595D"/>
    <w:rsid w:val="00645A52"/>
    <w:rsid w:val="00645CAC"/>
    <w:rsid w:val="00645E69"/>
    <w:rsid w:val="0064698C"/>
    <w:rsid w:val="0064699A"/>
    <w:rsid w:val="006471CC"/>
    <w:rsid w:val="006472FE"/>
    <w:rsid w:val="00647A29"/>
    <w:rsid w:val="00647E1C"/>
    <w:rsid w:val="00650386"/>
    <w:rsid w:val="00650506"/>
    <w:rsid w:val="0065079F"/>
    <w:rsid w:val="00650949"/>
    <w:rsid w:val="00650AA0"/>
    <w:rsid w:val="00650E04"/>
    <w:rsid w:val="00650FDA"/>
    <w:rsid w:val="0065145F"/>
    <w:rsid w:val="00651681"/>
    <w:rsid w:val="00651781"/>
    <w:rsid w:val="00651DAB"/>
    <w:rsid w:val="00651FB7"/>
    <w:rsid w:val="00652341"/>
    <w:rsid w:val="00652654"/>
    <w:rsid w:val="00652744"/>
    <w:rsid w:val="00652A28"/>
    <w:rsid w:val="00652B4E"/>
    <w:rsid w:val="00652ED9"/>
    <w:rsid w:val="00652F10"/>
    <w:rsid w:val="006530C1"/>
    <w:rsid w:val="0065351B"/>
    <w:rsid w:val="0065379F"/>
    <w:rsid w:val="00653882"/>
    <w:rsid w:val="00653B32"/>
    <w:rsid w:val="00653C96"/>
    <w:rsid w:val="00654097"/>
    <w:rsid w:val="006540B1"/>
    <w:rsid w:val="00654217"/>
    <w:rsid w:val="006544BA"/>
    <w:rsid w:val="0065453A"/>
    <w:rsid w:val="0065513D"/>
    <w:rsid w:val="006552EB"/>
    <w:rsid w:val="00655373"/>
    <w:rsid w:val="006557EA"/>
    <w:rsid w:val="00655ED2"/>
    <w:rsid w:val="00656023"/>
    <w:rsid w:val="00656188"/>
    <w:rsid w:val="0065635B"/>
    <w:rsid w:val="006567AD"/>
    <w:rsid w:val="00656A1C"/>
    <w:rsid w:val="00656B31"/>
    <w:rsid w:val="00656F15"/>
    <w:rsid w:val="0065715A"/>
    <w:rsid w:val="00657295"/>
    <w:rsid w:val="006573F1"/>
    <w:rsid w:val="0065740C"/>
    <w:rsid w:val="0065772A"/>
    <w:rsid w:val="006578FE"/>
    <w:rsid w:val="0066009F"/>
    <w:rsid w:val="006600D1"/>
    <w:rsid w:val="00660491"/>
    <w:rsid w:val="006604D5"/>
    <w:rsid w:val="00660B1E"/>
    <w:rsid w:val="006610E7"/>
    <w:rsid w:val="006610F1"/>
    <w:rsid w:val="006614BE"/>
    <w:rsid w:val="00661C6B"/>
    <w:rsid w:val="00661CFE"/>
    <w:rsid w:val="00662396"/>
    <w:rsid w:val="00662489"/>
    <w:rsid w:val="00662D3E"/>
    <w:rsid w:val="0066326A"/>
    <w:rsid w:val="00663400"/>
    <w:rsid w:val="0066399E"/>
    <w:rsid w:val="0066401A"/>
    <w:rsid w:val="00664076"/>
    <w:rsid w:val="0066444B"/>
    <w:rsid w:val="0066475D"/>
    <w:rsid w:val="0066530E"/>
    <w:rsid w:val="00665881"/>
    <w:rsid w:val="00665B2F"/>
    <w:rsid w:val="00665F0F"/>
    <w:rsid w:val="00665F74"/>
    <w:rsid w:val="00666798"/>
    <w:rsid w:val="00666D8B"/>
    <w:rsid w:val="00666FC0"/>
    <w:rsid w:val="00667715"/>
    <w:rsid w:val="006677F7"/>
    <w:rsid w:val="00667BE3"/>
    <w:rsid w:val="00667D65"/>
    <w:rsid w:val="00667DD6"/>
    <w:rsid w:val="00670586"/>
    <w:rsid w:val="0067087B"/>
    <w:rsid w:val="00670918"/>
    <w:rsid w:val="00671004"/>
    <w:rsid w:val="006718F8"/>
    <w:rsid w:val="00671D53"/>
    <w:rsid w:val="0067212D"/>
    <w:rsid w:val="006724FA"/>
    <w:rsid w:val="006725C2"/>
    <w:rsid w:val="006725E7"/>
    <w:rsid w:val="00672646"/>
    <w:rsid w:val="0067284E"/>
    <w:rsid w:val="00672A00"/>
    <w:rsid w:val="006732BB"/>
    <w:rsid w:val="006733A3"/>
    <w:rsid w:val="006733AD"/>
    <w:rsid w:val="00673504"/>
    <w:rsid w:val="0067354C"/>
    <w:rsid w:val="0067381C"/>
    <w:rsid w:val="00673BBC"/>
    <w:rsid w:val="00673EAF"/>
    <w:rsid w:val="0067401B"/>
    <w:rsid w:val="0067412D"/>
    <w:rsid w:val="00674159"/>
    <w:rsid w:val="0067428E"/>
    <w:rsid w:val="00674419"/>
    <w:rsid w:val="006744AC"/>
    <w:rsid w:val="00674605"/>
    <w:rsid w:val="00674820"/>
    <w:rsid w:val="0067489E"/>
    <w:rsid w:val="00674CC3"/>
    <w:rsid w:val="00674E42"/>
    <w:rsid w:val="00674E6D"/>
    <w:rsid w:val="00675256"/>
    <w:rsid w:val="00675291"/>
    <w:rsid w:val="00675411"/>
    <w:rsid w:val="006761ED"/>
    <w:rsid w:val="00676563"/>
    <w:rsid w:val="006765A9"/>
    <w:rsid w:val="00676697"/>
    <w:rsid w:val="00676ACD"/>
    <w:rsid w:val="00676AFE"/>
    <w:rsid w:val="00676D8D"/>
    <w:rsid w:val="00676E3D"/>
    <w:rsid w:val="006771B3"/>
    <w:rsid w:val="00677DC2"/>
    <w:rsid w:val="00680035"/>
    <w:rsid w:val="00680144"/>
    <w:rsid w:val="006805C9"/>
    <w:rsid w:val="006808AD"/>
    <w:rsid w:val="006808E0"/>
    <w:rsid w:val="006813E8"/>
    <w:rsid w:val="006813F8"/>
    <w:rsid w:val="0068189F"/>
    <w:rsid w:val="006819BC"/>
    <w:rsid w:val="00681FAA"/>
    <w:rsid w:val="00682112"/>
    <w:rsid w:val="006821FB"/>
    <w:rsid w:val="0068263F"/>
    <w:rsid w:val="006828E6"/>
    <w:rsid w:val="00682BA6"/>
    <w:rsid w:val="006832C0"/>
    <w:rsid w:val="006834C5"/>
    <w:rsid w:val="00683A21"/>
    <w:rsid w:val="00683AEF"/>
    <w:rsid w:val="00683CCC"/>
    <w:rsid w:val="00684086"/>
    <w:rsid w:val="00684380"/>
    <w:rsid w:val="006844F4"/>
    <w:rsid w:val="00684B61"/>
    <w:rsid w:val="006855D0"/>
    <w:rsid w:val="006855D7"/>
    <w:rsid w:val="00685BB8"/>
    <w:rsid w:val="006865CE"/>
    <w:rsid w:val="006865F5"/>
    <w:rsid w:val="00686957"/>
    <w:rsid w:val="00686EB4"/>
    <w:rsid w:val="006872BA"/>
    <w:rsid w:val="00687526"/>
    <w:rsid w:val="00687E67"/>
    <w:rsid w:val="006903C4"/>
    <w:rsid w:val="00690795"/>
    <w:rsid w:val="00690AF9"/>
    <w:rsid w:val="00690B67"/>
    <w:rsid w:val="00691648"/>
    <w:rsid w:val="006916B0"/>
    <w:rsid w:val="0069177D"/>
    <w:rsid w:val="006917D7"/>
    <w:rsid w:val="00691A8D"/>
    <w:rsid w:val="00691ADD"/>
    <w:rsid w:val="0069211C"/>
    <w:rsid w:val="00692345"/>
    <w:rsid w:val="0069299B"/>
    <w:rsid w:val="00692A17"/>
    <w:rsid w:val="00692C95"/>
    <w:rsid w:val="006932F1"/>
    <w:rsid w:val="00693660"/>
    <w:rsid w:val="0069372C"/>
    <w:rsid w:val="00693BEF"/>
    <w:rsid w:val="006940C0"/>
    <w:rsid w:val="006942C6"/>
    <w:rsid w:val="0069434C"/>
    <w:rsid w:val="00694716"/>
    <w:rsid w:val="00694741"/>
    <w:rsid w:val="00694DC3"/>
    <w:rsid w:val="00694F44"/>
    <w:rsid w:val="00695165"/>
    <w:rsid w:val="00695271"/>
    <w:rsid w:val="00695399"/>
    <w:rsid w:val="00695A46"/>
    <w:rsid w:val="00695B1C"/>
    <w:rsid w:val="00695E68"/>
    <w:rsid w:val="006964F1"/>
    <w:rsid w:val="00696904"/>
    <w:rsid w:val="006969B0"/>
    <w:rsid w:val="00696A74"/>
    <w:rsid w:val="00696EF9"/>
    <w:rsid w:val="00696F51"/>
    <w:rsid w:val="00697167"/>
    <w:rsid w:val="006974AD"/>
    <w:rsid w:val="006979A5"/>
    <w:rsid w:val="006A016F"/>
    <w:rsid w:val="006A01D9"/>
    <w:rsid w:val="006A0226"/>
    <w:rsid w:val="006A0B38"/>
    <w:rsid w:val="006A0C46"/>
    <w:rsid w:val="006A0DF7"/>
    <w:rsid w:val="006A0E53"/>
    <w:rsid w:val="006A0F0B"/>
    <w:rsid w:val="006A0F15"/>
    <w:rsid w:val="006A18B6"/>
    <w:rsid w:val="006A1B9C"/>
    <w:rsid w:val="006A1F4F"/>
    <w:rsid w:val="006A2095"/>
    <w:rsid w:val="006A2320"/>
    <w:rsid w:val="006A2AF2"/>
    <w:rsid w:val="006A2B10"/>
    <w:rsid w:val="006A2E1D"/>
    <w:rsid w:val="006A2FE4"/>
    <w:rsid w:val="006A305B"/>
    <w:rsid w:val="006A3B7C"/>
    <w:rsid w:val="006A4085"/>
    <w:rsid w:val="006A4321"/>
    <w:rsid w:val="006A43D9"/>
    <w:rsid w:val="006A4828"/>
    <w:rsid w:val="006A49BD"/>
    <w:rsid w:val="006A4CBB"/>
    <w:rsid w:val="006A51CA"/>
    <w:rsid w:val="006A52C9"/>
    <w:rsid w:val="006A5886"/>
    <w:rsid w:val="006A5C6F"/>
    <w:rsid w:val="006A5F25"/>
    <w:rsid w:val="006A607D"/>
    <w:rsid w:val="006A61B8"/>
    <w:rsid w:val="006A67DE"/>
    <w:rsid w:val="006A6AEC"/>
    <w:rsid w:val="006A6B99"/>
    <w:rsid w:val="006A6D00"/>
    <w:rsid w:val="006A6F61"/>
    <w:rsid w:val="006A7447"/>
    <w:rsid w:val="006A7620"/>
    <w:rsid w:val="006A77CB"/>
    <w:rsid w:val="006A7B1E"/>
    <w:rsid w:val="006A7E5F"/>
    <w:rsid w:val="006B00F9"/>
    <w:rsid w:val="006B01C6"/>
    <w:rsid w:val="006B02B8"/>
    <w:rsid w:val="006B0839"/>
    <w:rsid w:val="006B09E1"/>
    <w:rsid w:val="006B0EE4"/>
    <w:rsid w:val="006B0F10"/>
    <w:rsid w:val="006B1186"/>
    <w:rsid w:val="006B15CC"/>
    <w:rsid w:val="006B17D3"/>
    <w:rsid w:val="006B20C5"/>
    <w:rsid w:val="006B2343"/>
    <w:rsid w:val="006B23E1"/>
    <w:rsid w:val="006B24A5"/>
    <w:rsid w:val="006B261B"/>
    <w:rsid w:val="006B26B6"/>
    <w:rsid w:val="006B28E0"/>
    <w:rsid w:val="006B2997"/>
    <w:rsid w:val="006B29BC"/>
    <w:rsid w:val="006B2C90"/>
    <w:rsid w:val="006B3386"/>
    <w:rsid w:val="006B35E6"/>
    <w:rsid w:val="006B379C"/>
    <w:rsid w:val="006B3DF2"/>
    <w:rsid w:val="006B41AD"/>
    <w:rsid w:val="006B4380"/>
    <w:rsid w:val="006B43E5"/>
    <w:rsid w:val="006B4581"/>
    <w:rsid w:val="006B465A"/>
    <w:rsid w:val="006B569B"/>
    <w:rsid w:val="006B59B5"/>
    <w:rsid w:val="006B5A99"/>
    <w:rsid w:val="006B5C4B"/>
    <w:rsid w:val="006B5FF3"/>
    <w:rsid w:val="006B627E"/>
    <w:rsid w:val="006B69A0"/>
    <w:rsid w:val="006B6DD0"/>
    <w:rsid w:val="006B7075"/>
    <w:rsid w:val="006B7CB8"/>
    <w:rsid w:val="006B7DD5"/>
    <w:rsid w:val="006C0399"/>
    <w:rsid w:val="006C0692"/>
    <w:rsid w:val="006C0791"/>
    <w:rsid w:val="006C07F1"/>
    <w:rsid w:val="006C08B9"/>
    <w:rsid w:val="006C0929"/>
    <w:rsid w:val="006C0B0F"/>
    <w:rsid w:val="006C0D26"/>
    <w:rsid w:val="006C0F26"/>
    <w:rsid w:val="006C10CB"/>
    <w:rsid w:val="006C10D7"/>
    <w:rsid w:val="006C182E"/>
    <w:rsid w:val="006C1952"/>
    <w:rsid w:val="006C1997"/>
    <w:rsid w:val="006C1DB0"/>
    <w:rsid w:val="006C213A"/>
    <w:rsid w:val="006C242F"/>
    <w:rsid w:val="006C278B"/>
    <w:rsid w:val="006C299E"/>
    <w:rsid w:val="006C2A8E"/>
    <w:rsid w:val="006C2FED"/>
    <w:rsid w:val="006C3034"/>
    <w:rsid w:val="006C3255"/>
    <w:rsid w:val="006C33EC"/>
    <w:rsid w:val="006C3505"/>
    <w:rsid w:val="006C3766"/>
    <w:rsid w:val="006C3F26"/>
    <w:rsid w:val="006C40F4"/>
    <w:rsid w:val="006C4205"/>
    <w:rsid w:val="006C4E32"/>
    <w:rsid w:val="006C50DB"/>
    <w:rsid w:val="006C522E"/>
    <w:rsid w:val="006C525E"/>
    <w:rsid w:val="006C54A2"/>
    <w:rsid w:val="006C5910"/>
    <w:rsid w:val="006C6031"/>
    <w:rsid w:val="006C60BC"/>
    <w:rsid w:val="006C69DD"/>
    <w:rsid w:val="006C6D89"/>
    <w:rsid w:val="006C7204"/>
    <w:rsid w:val="006C7574"/>
    <w:rsid w:val="006C75F8"/>
    <w:rsid w:val="006C7C4B"/>
    <w:rsid w:val="006C7DBB"/>
    <w:rsid w:val="006C7E37"/>
    <w:rsid w:val="006D015A"/>
    <w:rsid w:val="006D0533"/>
    <w:rsid w:val="006D0617"/>
    <w:rsid w:val="006D0D17"/>
    <w:rsid w:val="006D10C7"/>
    <w:rsid w:val="006D1274"/>
    <w:rsid w:val="006D12C0"/>
    <w:rsid w:val="006D1307"/>
    <w:rsid w:val="006D1A62"/>
    <w:rsid w:val="006D1A66"/>
    <w:rsid w:val="006D1C4F"/>
    <w:rsid w:val="006D1F19"/>
    <w:rsid w:val="006D20B2"/>
    <w:rsid w:val="006D23A8"/>
    <w:rsid w:val="006D24B5"/>
    <w:rsid w:val="006D2956"/>
    <w:rsid w:val="006D3068"/>
    <w:rsid w:val="006D3248"/>
    <w:rsid w:val="006D325A"/>
    <w:rsid w:val="006D3A71"/>
    <w:rsid w:val="006D3BD4"/>
    <w:rsid w:val="006D3C7D"/>
    <w:rsid w:val="006D3EB7"/>
    <w:rsid w:val="006D4659"/>
    <w:rsid w:val="006D471C"/>
    <w:rsid w:val="006D498C"/>
    <w:rsid w:val="006D49A0"/>
    <w:rsid w:val="006D4F6E"/>
    <w:rsid w:val="006D52E4"/>
    <w:rsid w:val="006D542C"/>
    <w:rsid w:val="006D5599"/>
    <w:rsid w:val="006D5998"/>
    <w:rsid w:val="006D5A70"/>
    <w:rsid w:val="006D5CEA"/>
    <w:rsid w:val="006D5D5F"/>
    <w:rsid w:val="006D5F11"/>
    <w:rsid w:val="006D5FA9"/>
    <w:rsid w:val="006D61B8"/>
    <w:rsid w:val="006D6267"/>
    <w:rsid w:val="006D6433"/>
    <w:rsid w:val="006D67B5"/>
    <w:rsid w:val="006D68FB"/>
    <w:rsid w:val="006D6B47"/>
    <w:rsid w:val="006D7101"/>
    <w:rsid w:val="006D72A7"/>
    <w:rsid w:val="006D7A6D"/>
    <w:rsid w:val="006D7CAA"/>
    <w:rsid w:val="006D7E82"/>
    <w:rsid w:val="006E008E"/>
    <w:rsid w:val="006E00C1"/>
    <w:rsid w:val="006E012A"/>
    <w:rsid w:val="006E020A"/>
    <w:rsid w:val="006E0826"/>
    <w:rsid w:val="006E144A"/>
    <w:rsid w:val="006E1CCE"/>
    <w:rsid w:val="006E20A1"/>
    <w:rsid w:val="006E232D"/>
    <w:rsid w:val="006E24C4"/>
    <w:rsid w:val="006E2631"/>
    <w:rsid w:val="006E2868"/>
    <w:rsid w:val="006E2E67"/>
    <w:rsid w:val="006E2FE7"/>
    <w:rsid w:val="006E3124"/>
    <w:rsid w:val="006E32B4"/>
    <w:rsid w:val="006E34B8"/>
    <w:rsid w:val="006E3C78"/>
    <w:rsid w:val="006E4117"/>
    <w:rsid w:val="006E420C"/>
    <w:rsid w:val="006E45E3"/>
    <w:rsid w:val="006E4784"/>
    <w:rsid w:val="006E4845"/>
    <w:rsid w:val="006E4A58"/>
    <w:rsid w:val="006E590E"/>
    <w:rsid w:val="006E5A25"/>
    <w:rsid w:val="006E6431"/>
    <w:rsid w:val="006E64C8"/>
    <w:rsid w:val="006E6BF9"/>
    <w:rsid w:val="006F055F"/>
    <w:rsid w:val="006F08EA"/>
    <w:rsid w:val="006F0D08"/>
    <w:rsid w:val="006F0F16"/>
    <w:rsid w:val="006F0F39"/>
    <w:rsid w:val="006F1487"/>
    <w:rsid w:val="006F17F6"/>
    <w:rsid w:val="006F1D15"/>
    <w:rsid w:val="006F1F41"/>
    <w:rsid w:val="006F249B"/>
    <w:rsid w:val="006F24C1"/>
    <w:rsid w:val="006F2846"/>
    <w:rsid w:val="006F2BFE"/>
    <w:rsid w:val="006F2C73"/>
    <w:rsid w:val="006F2DED"/>
    <w:rsid w:val="006F2FCF"/>
    <w:rsid w:val="006F306C"/>
    <w:rsid w:val="006F30AE"/>
    <w:rsid w:val="006F32A6"/>
    <w:rsid w:val="006F390B"/>
    <w:rsid w:val="006F39B6"/>
    <w:rsid w:val="006F3DCF"/>
    <w:rsid w:val="006F3F16"/>
    <w:rsid w:val="006F3FBB"/>
    <w:rsid w:val="006F42F1"/>
    <w:rsid w:val="006F451A"/>
    <w:rsid w:val="006F464A"/>
    <w:rsid w:val="006F489B"/>
    <w:rsid w:val="006F4A20"/>
    <w:rsid w:val="006F4B3C"/>
    <w:rsid w:val="006F4E1D"/>
    <w:rsid w:val="006F4ED7"/>
    <w:rsid w:val="006F4F37"/>
    <w:rsid w:val="006F557D"/>
    <w:rsid w:val="006F588A"/>
    <w:rsid w:val="006F5D91"/>
    <w:rsid w:val="006F60BC"/>
    <w:rsid w:val="006F61A9"/>
    <w:rsid w:val="006F638C"/>
    <w:rsid w:val="006F63A5"/>
    <w:rsid w:val="006F63BA"/>
    <w:rsid w:val="006F6998"/>
    <w:rsid w:val="006F69BE"/>
    <w:rsid w:val="006F6EF2"/>
    <w:rsid w:val="006F743D"/>
    <w:rsid w:val="006F7FA7"/>
    <w:rsid w:val="0070008F"/>
    <w:rsid w:val="0070034E"/>
    <w:rsid w:val="00700883"/>
    <w:rsid w:val="00700AD0"/>
    <w:rsid w:val="00700ADE"/>
    <w:rsid w:val="0070142B"/>
    <w:rsid w:val="00701631"/>
    <w:rsid w:val="00701DEF"/>
    <w:rsid w:val="007022ED"/>
    <w:rsid w:val="007025C4"/>
    <w:rsid w:val="0070260D"/>
    <w:rsid w:val="0070276E"/>
    <w:rsid w:val="00702BE6"/>
    <w:rsid w:val="00702C01"/>
    <w:rsid w:val="00702F8F"/>
    <w:rsid w:val="007033F5"/>
    <w:rsid w:val="00703A13"/>
    <w:rsid w:val="00703E32"/>
    <w:rsid w:val="0070410A"/>
    <w:rsid w:val="007043B0"/>
    <w:rsid w:val="00705307"/>
    <w:rsid w:val="0070581E"/>
    <w:rsid w:val="007058EE"/>
    <w:rsid w:val="007058FB"/>
    <w:rsid w:val="00705F8A"/>
    <w:rsid w:val="00706253"/>
    <w:rsid w:val="0070672F"/>
    <w:rsid w:val="00706BC1"/>
    <w:rsid w:val="007079FC"/>
    <w:rsid w:val="00707FBF"/>
    <w:rsid w:val="0071031B"/>
    <w:rsid w:val="007104D3"/>
    <w:rsid w:val="00710F03"/>
    <w:rsid w:val="007111A1"/>
    <w:rsid w:val="00711755"/>
    <w:rsid w:val="00711A36"/>
    <w:rsid w:val="00711FAE"/>
    <w:rsid w:val="00711FCB"/>
    <w:rsid w:val="007125D3"/>
    <w:rsid w:val="007128D6"/>
    <w:rsid w:val="00712A0F"/>
    <w:rsid w:val="00712A30"/>
    <w:rsid w:val="00712D86"/>
    <w:rsid w:val="00712ECF"/>
    <w:rsid w:val="00713662"/>
    <w:rsid w:val="0071368B"/>
    <w:rsid w:val="0071411A"/>
    <w:rsid w:val="00714122"/>
    <w:rsid w:val="00714140"/>
    <w:rsid w:val="0071498E"/>
    <w:rsid w:val="00714B56"/>
    <w:rsid w:val="00714C26"/>
    <w:rsid w:val="00714FCE"/>
    <w:rsid w:val="00715274"/>
    <w:rsid w:val="0071529C"/>
    <w:rsid w:val="0071565C"/>
    <w:rsid w:val="00715875"/>
    <w:rsid w:val="00715C0D"/>
    <w:rsid w:val="00715D05"/>
    <w:rsid w:val="0071634A"/>
    <w:rsid w:val="00716D3E"/>
    <w:rsid w:val="007170DA"/>
    <w:rsid w:val="0071724A"/>
    <w:rsid w:val="00717275"/>
    <w:rsid w:val="00717277"/>
    <w:rsid w:val="007172AD"/>
    <w:rsid w:val="00717546"/>
    <w:rsid w:val="007175A0"/>
    <w:rsid w:val="0071784F"/>
    <w:rsid w:val="00717BE5"/>
    <w:rsid w:val="007203BF"/>
    <w:rsid w:val="00720717"/>
    <w:rsid w:val="00720801"/>
    <w:rsid w:val="00720E8A"/>
    <w:rsid w:val="0072101C"/>
    <w:rsid w:val="00721C91"/>
    <w:rsid w:val="00721D4B"/>
    <w:rsid w:val="00722343"/>
    <w:rsid w:val="007228A7"/>
    <w:rsid w:val="00722A32"/>
    <w:rsid w:val="00722A5B"/>
    <w:rsid w:val="00722B1B"/>
    <w:rsid w:val="00722EEC"/>
    <w:rsid w:val="0072305E"/>
    <w:rsid w:val="00723190"/>
    <w:rsid w:val="00723892"/>
    <w:rsid w:val="007239D4"/>
    <w:rsid w:val="00723C54"/>
    <w:rsid w:val="00723D55"/>
    <w:rsid w:val="0072416F"/>
    <w:rsid w:val="007244BE"/>
    <w:rsid w:val="00724E3F"/>
    <w:rsid w:val="00724FA7"/>
    <w:rsid w:val="00725ACD"/>
    <w:rsid w:val="00725B65"/>
    <w:rsid w:val="007262C1"/>
    <w:rsid w:val="00726461"/>
    <w:rsid w:val="007264A0"/>
    <w:rsid w:val="007266CF"/>
    <w:rsid w:val="007266E7"/>
    <w:rsid w:val="00726856"/>
    <w:rsid w:val="00726987"/>
    <w:rsid w:val="00726B62"/>
    <w:rsid w:val="00726C9E"/>
    <w:rsid w:val="00726ED5"/>
    <w:rsid w:val="007275CD"/>
    <w:rsid w:val="007277CF"/>
    <w:rsid w:val="00727C94"/>
    <w:rsid w:val="00727DF6"/>
    <w:rsid w:val="0073008C"/>
    <w:rsid w:val="007300D8"/>
    <w:rsid w:val="007304E3"/>
    <w:rsid w:val="00730646"/>
    <w:rsid w:val="00731286"/>
    <w:rsid w:val="007317DB"/>
    <w:rsid w:val="00731B0A"/>
    <w:rsid w:val="00731BF6"/>
    <w:rsid w:val="00731C8E"/>
    <w:rsid w:val="00731EAE"/>
    <w:rsid w:val="007320A7"/>
    <w:rsid w:val="0073271B"/>
    <w:rsid w:val="00732921"/>
    <w:rsid w:val="00733073"/>
    <w:rsid w:val="00733155"/>
    <w:rsid w:val="0073334E"/>
    <w:rsid w:val="0073350C"/>
    <w:rsid w:val="007337AF"/>
    <w:rsid w:val="00733873"/>
    <w:rsid w:val="0073387F"/>
    <w:rsid w:val="007338D3"/>
    <w:rsid w:val="00733C46"/>
    <w:rsid w:val="00733CF0"/>
    <w:rsid w:val="00733DD3"/>
    <w:rsid w:val="00733F5A"/>
    <w:rsid w:val="00733FB3"/>
    <w:rsid w:val="00734027"/>
    <w:rsid w:val="007340C8"/>
    <w:rsid w:val="007341A9"/>
    <w:rsid w:val="007344BF"/>
    <w:rsid w:val="00735033"/>
    <w:rsid w:val="00735328"/>
    <w:rsid w:val="0073536E"/>
    <w:rsid w:val="00735481"/>
    <w:rsid w:val="0073567F"/>
    <w:rsid w:val="00735703"/>
    <w:rsid w:val="00735853"/>
    <w:rsid w:val="007358EB"/>
    <w:rsid w:val="00735BD7"/>
    <w:rsid w:val="007360F4"/>
    <w:rsid w:val="00736409"/>
    <w:rsid w:val="00736455"/>
    <w:rsid w:val="00736616"/>
    <w:rsid w:val="007366D9"/>
    <w:rsid w:val="0073679F"/>
    <w:rsid w:val="0073685B"/>
    <w:rsid w:val="0073713A"/>
    <w:rsid w:val="007371D4"/>
    <w:rsid w:val="00737213"/>
    <w:rsid w:val="007374D0"/>
    <w:rsid w:val="007374E6"/>
    <w:rsid w:val="00737840"/>
    <w:rsid w:val="00737C79"/>
    <w:rsid w:val="00737F23"/>
    <w:rsid w:val="007402F0"/>
    <w:rsid w:val="007409BE"/>
    <w:rsid w:val="007410A5"/>
    <w:rsid w:val="007414B9"/>
    <w:rsid w:val="00741904"/>
    <w:rsid w:val="00741DD6"/>
    <w:rsid w:val="00741F74"/>
    <w:rsid w:val="007420DC"/>
    <w:rsid w:val="007426A2"/>
    <w:rsid w:val="00742863"/>
    <w:rsid w:val="00742BF1"/>
    <w:rsid w:val="0074379D"/>
    <w:rsid w:val="00744536"/>
    <w:rsid w:val="007449BF"/>
    <w:rsid w:val="00744A7F"/>
    <w:rsid w:val="00744B6A"/>
    <w:rsid w:val="007450C6"/>
    <w:rsid w:val="007454D8"/>
    <w:rsid w:val="007459B4"/>
    <w:rsid w:val="00745A0C"/>
    <w:rsid w:val="00745EAB"/>
    <w:rsid w:val="007462EE"/>
    <w:rsid w:val="007463FE"/>
    <w:rsid w:val="00746892"/>
    <w:rsid w:val="00746BC0"/>
    <w:rsid w:val="00746E9D"/>
    <w:rsid w:val="00746FF1"/>
    <w:rsid w:val="007471D7"/>
    <w:rsid w:val="00747325"/>
    <w:rsid w:val="007474E5"/>
    <w:rsid w:val="007475B6"/>
    <w:rsid w:val="00747624"/>
    <w:rsid w:val="00747867"/>
    <w:rsid w:val="007479FD"/>
    <w:rsid w:val="00747A3E"/>
    <w:rsid w:val="00747BE1"/>
    <w:rsid w:val="00747D0E"/>
    <w:rsid w:val="007500A0"/>
    <w:rsid w:val="00750671"/>
    <w:rsid w:val="00750988"/>
    <w:rsid w:val="00750BF9"/>
    <w:rsid w:val="00750F88"/>
    <w:rsid w:val="007510B4"/>
    <w:rsid w:val="007512C4"/>
    <w:rsid w:val="007513FA"/>
    <w:rsid w:val="007514DF"/>
    <w:rsid w:val="0075169B"/>
    <w:rsid w:val="00752142"/>
    <w:rsid w:val="00752383"/>
    <w:rsid w:val="007523F9"/>
    <w:rsid w:val="0075275A"/>
    <w:rsid w:val="0075280B"/>
    <w:rsid w:val="00752B52"/>
    <w:rsid w:val="0075357E"/>
    <w:rsid w:val="00753647"/>
    <w:rsid w:val="00753657"/>
    <w:rsid w:val="00753685"/>
    <w:rsid w:val="00753881"/>
    <w:rsid w:val="00753A62"/>
    <w:rsid w:val="00753B29"/>
    <w:rsid w:val="00753BA6"/>
    <w:rsid w:val="00753C25"/>
    <w:rsid w:val="00753C78"/>
    <w:rsid w:val="00753CA9"/>
    <w:rsid w:val="007540BC"/>
    <w:rsid w:val="0075444E"/>
    <w:rsid w:val="00755642"/>
    <w:rsid w:val="00755753"/>
    <w:rsid w:val="00755C23"/>
    <w:rsid w:val="00755DE1"/>
    <w:rsid w:val="007566DD"/>
    <w:rsid w:val="0075691F"/>
    <w:rsid w:val="00756A16"/>
    <w:rsid w:val="00756ABA"/>
    <w:rsid w:val="00756CDA"/>
    <w:rsid w:val="00757093"/>
    <w:rsid w:val="007570D1"/>
    <w:rsid w:val="007573E8"/>
    <w:rsid w:val="0075786D"/>
    <w:rsid w:val="00757925"/>
    <w:rsid w:val="00757EE7"/>
    <w:rsid w:val="007600D1"/>
    <w:rsid w:val="0076097C"/>
    <w:rsid w:val="00760C4E"/>
    <w:rsid w:val="00760F9E"/>
    <w:rsid w:val="007616E6"/>
    <w:rsid w:val="00761A16"/>
    <w:rsid w:val="00761BD3"/>
    <w:rsid w:val="0076206F"/>
    <w:rsid w:val="0076276A"/>
    <w:rsid w:val="007627BE"/>
    <w:rsid w:val="00762885"/>
    <w:rsid w:val="007628BB"/>
    <w:rsid w:val="007630A8"/>
    <w:rsid w:val="007631A2"/>
    <w:rsid w:val="0076333F"/>
    <w:rsid w:val="00763531"/>
    <w:rsid w:val="007635DB"/>
    <w:rsid w:val="00763630"/>
    <w:rsid w:val="007636AA"/>
    <w:rsid w:val="00763999"/>
    <w:rsid w:val="00763AC5"/>
    <w:rsid w:val="0076417F"/>
    <w:rsid w:val="00764369"/>
    <w:rsid w:val="007644F2"/>
    <w:rsid w:val="00764553"/>
    <w:rsid w:val="007645DE"/>
    <w:rsid w:val="00764632"/>
    <w:rsid w:val="00764EF7"/>
    <w:rsid w:val="00764F03"/>
    <w:rsid w:val="00764F0D"/>
    <w:rsid w:val="00765331"/>
    <w:rsid w:val="0076565E"/>
    <w:rsid w:val="007656AA"/>
    <w:rsid w:val="00765B1A"/>
    <w:rsid w:val="00765DC1"/>
    <w:rsid w:val="00765E5F"/>
    <w:rsid w:val="00765EDB"/>
    <w:rsid w:val="007664A9"/>
    <w:rsid w:val="00766813"/>
    <w:rsid w:val="00766CD9"/>
    <w:rsid w:val="00766E84"/>
    <w:rsid w:val="00767101"/>
    <w:rsid w:val="00767189"/>
    <w:rsid w:val="007675BE"/>
    <w:rsid w:val="0076763D"/>
    <w:rsid w:val="00767727"/>
    <w:rsid w:val="0076774C"/>
    <w:rsid w:val="00767B90"/>
    <w:rsid w:val="00767E31"/>
    <w:rsid w:val="007701AC"/>
    <w:rsid w:val="00770292"/>
    <w:rsid w:val="007702B3"/>
    <w:rsid w:val="00770390"/>
    <w:rsid w:val="007708FD"/>
    <w:rsid w:val="00770A37"/>
    <w:rsid w:val="00770D02"/>
    <w:rsid w:val="007712D4"/>
    <w:rsid w:val="0077144A"/>
    <w:rsid w:val="007714F5"/>
    <w:rsid w:val="00771543"/>
    <w:rsid w:val="00771672"/>
    <w:rsid w:val="00771816"/>
    <w:rsid w:val="0077188A"/>
    <w:rsid w:val="007718C2"/>
    <w:rsid w:val="0077190C"/>
    <w:rsid w:val="00771B11"/>
    <w:rsid w:val="00771D4C"/>
    <w:rsid w:val="00771DB8"/>
    <w:rsid w:val="00771E32"/>
    <w:rsid w:val="00771E52"/>
    <w:rsid w:val="007720A0"/>
    <w:rsid w:val="007723B8"/>
    <w:rsid w:val="00772796"/>
    <w:rsid w:val="007727C9"/>
    <w:rsid w:val="007727D0"/>
    <w:rsid w:val="00772A6F"/>
    <w:rsid w:val="00773525"/>
    <w:rsid w:val="00773BF1"/>
    <w:rsid w:val="007745B6"/>
    <w:rsid w:val="00774918"/>
    <w:rsid w:val="00774E92"/>
    <w:rsid w:val="00774FD2"/>
    <w:rsid w:val="007752E0"/>
    <w:rsid w:val="00775469"/>
    <w:rsid w:val="00775594"/>
    <w:rsid w:val="00775C56"/>
    <w:rsid w:val="0077620E"/>
    <w:rsid w:val="00776347"/>
    <w:rsid w:val="0077660B"/>
    <w:rsid w:val="00776881"/>
    <w:rsid w:val="00776AAC"/>
    <w:rsid w:val="00776E0E"/>
    <w:rsid w:val="00776FE9"/>
    <w:rsid w:val="007772E5"/>
    <w:rsid w:val="00777335"/>
    <w:rsid w:val="007775E7"/>
    <w:rsid w:val="007779E5"/>
    <w:rsid w:val="00777F96"/>
    <w:rsid w:val="0078071C"/>
    <w:rsid w:val="007807A5"/>
    <w:rsid w:val="00780964"/>
    <w:rsid w:val="00780A55"/>
    <w:rsid w:val="00780B46"/>
    <w:rsid w:val="00780CB5"/>
    <w:rsid w:val="00780D89"/>
    <w:rsid w:val="00781069"/>
    <w:rsid w:val="00782657"/>
    <w:rsid w:val="0078292E"/>
    <w:rsid w:val="00783166"/>
    <w:rsid w:val="007833C5"/>
    <w:rsid w:val="007834A9"/>
    <w:rsid w:val="007838F2"/>
    <w:rsid w:val="00783EB2"/>
    <w:rsid w:val="007843F2"/>
    <w:rsid w:val="00784471"/>
    <w:rsid w:val="007845C0"/>
    <w:rsid w:val="00784664"/>
    <w:rsid w:val="007846FA"/>
    <w:rsid w:val="0078472C"/>
    <w:rsid w:val="007850FE"/>
    <w:rsid w:val="0078512B"/>
    <w:rsid w:val="007851E9"/>
    <w:rsid w:val="00785646"/>
    <w:rsid w:val="00785A67"/>
    <w:rsid w:val="00785A9F"/>
    <w:rsid w:val="00785EE7"/>
    <w:rsid w:val="00785F4A"/>
    <w:rsid w:val="007861F7"/>
    <w:rsid w:val="00786666"/>
    <w:rsid w:val="007867C2"/>
    <w:rsid w:val="00786D05"/>
    <w:rsid w:val="00787256"/>
    <w:rsid w:val="0078753E"/>
    <w:rsid w:val="007879A1"/>
    <w:rsid w:val="00787BAD"/>
    <w:rsid w:val="00787D57"/>
    <w:rsid w:val="00787E38"/>
    <w:rsid w:val="00790044"/>
    <w:rsid w:val="0079070C"/>
    <w:rsid w:val="00790A74"/>
    <w:rsid w:val="00790BE1"/>
    <w:rsid w:val="00790DC7"/>
    <w:rsid w:val="00790E5D"/>
    <w:rsid w:val="007910C6"/>
    <w:rsid w:val="00791945"/>
    <w:rsid w:val="0079197B"/>
    <w:rsid w:val="00791E25"/>
    <w:rsid w:val="00792117"/>
    <w:rsid w:val="007925DF"/>
    <w:rsid w:val="00792656"/>
    <w:rsid w:val="00792953"/>
    <w:rsid w:val="00792A40"/>
    <w:rsid w:val="0079446B"/>
    <w:rsid w:val="00794765"/>
    <w:rsid w:val="007947AA"/>
    <w:rsid w:val="0079480E"/>
    <w:rsid w:val="00795285"/>
    <w:rsid w:val="00795524"/>
    <w:rsid w:val="00795A76"/>
    <w:rsid w:val="00795B0C"/>
    <w:rsid w:val="00795B6F"/>
    <w:rsid w:val="00796C1E"/>
    <w:rsid w:val="00796E82"/>
    <w:rsid w:val="007974F7"/>
    <w:rsid w:val="007976D5"/>
    <w:rsid w:val="0079795E"/>
    <w:rsid w:val="00797AD4"/>
    <w:rsid w:val="007A0648"/>
    <w:rsid w:val="007A08AA"/>
    <w:rsid w:val="007A0A12"/>
    <w:rsid w:val="007A0B0F"/>
    <w:rsid w:val="007A1256"/>
    <w:rsid w:val="007A1293"/>
    <w:rsid w:val="007A132D"/>
    <w:rsid w:val="007A1345"/>
    <w:rsid w:val="007A1543"/>
    <w:rsid w:val="007A1625"/>
    <w:rsid w:val="007A1A6B"/>
    <w:rsid w:val="007A212C"/>
    <w:rsid w:val="007A27D1"/>
    <w:rsid w:val="007A2D86"/>
    <w:rsid w:val="007A2DDB"/>
    <w:rsid w:val="007A3284"/>
    <w:rsid w:val="007A332B"/>
    <w:rsid w:val="007A33BB"/>
    <w:rsid w:val="007A3C6A"/>
    <w:rsid w:val="007A3FDE"/>
    <w:rsid w:val="007A43E5"/>
    <w:rsid w:val="007A4BA1"/>
    <w:rsid w:val="007A4BFC"/>
    <w:rsid w:val="007A4EB2"/>
    <w:rsid w:val="007A5136"/>
    <w:rsid w:val="007A525A"/>
    <w:rsid w:val="007A532B"/>
    <w:rsid w:val="007A57AF"/>
    <w:rsid w:val="007A57EC"/>
    <w:rsid w:val="007A5E03"/>
    <w:rsid w:val="007A6028"/>
    <w:rsid w:val="007A62D0"/>
    <w:rsid w:val="007A646C"/>
    <w:rsid w:val="007A65FE"/>
    <w:rsid w:val="007A68C4"/>
    <w:rsid w:val="007A6BA4"/>
    <w:rsid w:val="007A70BA"/>
    <w:rsid w:val="007A7128"/>
    <w:rsid w:val="007A732F"/>
    <w:rsid w:val="007A73AE"/>
    <w:rsid w:val="007A7419"/>
    <w:rsid w:val="007A79F2"/>
    <w:rsid w:val="007B0719"/>
    <w:rsid w:val="007B085D"/>
    <w:rsid w:val="007B0D68"/>
    <w:rsid w:val="007B0E33"/>
    <w:rsid w:val="007B1580"/>
    <w:rsid w:val="007B16E6"/>
    <w:rsid w:val="007B198D"/>
    <w:rsid w:val="007B1BEF"/>
    <w:rsid w:val="007B1E08"/>
    <w:rsid w:val="007B1F10"/>
    <w:rsid w:val="007B2223"/>
    <w:rsid w:val="007B2434"/>
    <w:rsid w:val="007B251D"/>
    <w:rsid w:val="007B2B17"/>
    <w:rsid w:val="007B340C"/>
    <w:rsid w:val="007B3533"/>
    <w:rsid w:val="007B3BE6"/>
    <w:rsid w:val="007B3D15"/>
    <w:rsid w:val="007B4402"/>
    <w:rsid w:val="007B4638"/>
    <w:rsid w:val="007B46A9"/>
    <w:rsid w:val="007B4CEA"/>
    <w:rsid w:val="007B4F58"/>
    <w:rsid w:val="007B512C"/>
    <w:rsid w:val="007B528D"/>
    <w:rsid w:val="007B5FE9"/>
    <w:rsid w:val="007B6336"/>
    <w:rsid w:val="007B63CA"/>
    <w:rsid w:val="007B654D"/>
    <w:rsid w:val="007B68F3"/>
    <w:rsid w:val="007B6F8F"/>
    <w:rsid w:val="007B6F97"/>
    <w:rsid w:val="007B7154"/>
    <w:rsid w:val="007B77D1"/>
    <w:rsid w:val="007B7863"/>
    <w:rsid w:val="007B7C59"/>
    <w:rsid w:val="007B7D97"/>
    <w:rsid w:val="007C07C7"/>
    <w:rsid w:val="007C095C"/>
    <w:rsid w:val="007C117B"/>
    <w:rsid w:val="007C15B0"/>
    <w:rsid w:val="007C19CE"/>
    <w:rsid w:val="007C1C93"/>
    <w:rsid w:val="007C1CD9"/>
    <w:rsid w:val="007C1DAA"/>
    <w:rsid w:val="007C1DC2"/>
    <w:rsid w:val="007C20A6"/>
    <w:rsid w:val="007C28EF"/>
    <w:rsid w:val="007C2B6D"/>
    <w:rsid w:val="007C2CE2"/>
    <w:rsid w:val="007C32EF"/>
    <w:rsid w:val="007C361D"/>
    <w:rsid w:val="007C3780"/>
    <w:rsid w:val="007C408F"/>
    <w:rsid w:val="007C418E"/>
    <w:rsid w:val="007C44C9"/>
    <w:rsid w:val="007C4B84"/>
    <w:rsid w:val="007C5E6F"/>
    <w:rsid w:val="007C6074"/>
    <w:rsid w:val="007C6174"/>
    <w:rsid w:val="007C6415"/>
    <w:rsid w:val="007C6818"/>
    <w:rsid w:val="007C6B5C"/>
    <w:rsid w:val="007C6C9B"/>
    <w:rsid w:val="007C70FF"/>
    <w:rsid w:val="007C7379"/>
    <w:rsid w:val="007C763D"/>
    <w:rsid w:val="007C7846"/>
    <w:rsid w:val="007C79DF"/>
    <w:rsid w:val="007C7C25"/>
    <w:rsid w:val="007D004F"/>
    <w:rsid w:val="007D035F"/>
    <w:rsid w:val="007D06B2"/>
    <w:rsid w:val="007D0B38"/>
    <w:rsid w:val="007D0F63"/>
    <w:rsid w:val="007D1020"/>
    <w:rsid w:val="007D11E8"/>
    <w:rsid w:val="007D16B6"/>
    <w:rsid w:val="007D1999"/>
    <w:rsid w:val="007D1ADD"/>
    <w:rsid w:val="007D29D4"/>
    <w:rsid w:val="007D2B8D"/>
    <w:rsid w:val="007D304A"/>
    <w:rsid w:val="007D3356"/>
    <w:rsid w:val="007D3B66"/>
    <w:rsid w:val="007D4691"/>
    <w:rsid w:val="007D4A2F"/>
    <w:rsid w:val="007D4A6E"/>
    <w:rsid w:val="007D4DC5"/>
    <w:rsid w:val="007D5440"/>
    <w:rsid w:val="007D5D17"/>
    <w:rsid w:val="007D5FC8"/>
    <w:rsid w:val="007D601C"/>
    <w:rsid w:val="007D6165"/>
    <w:rsid w:val="007D6192"/>
    <w:rsid w:val="007D6735"/>
    <w:rsid w:val="007D69EB"/>
    <w:rsid w:val="007D724F"/>
    <w:rsid w:val="007D77FD"/>
    <w:rsid w:val="007D7E4D"/>
    <w:rsid w:val="007E007D"/>
    <w:rsid w:val="007E023D"/>
    <w:rsid w:val="007E07BC"/>
    <w:rsid w:val="007E0832"/>
    <w:rsid w:val="007E0A30"/>
    <w:rsid w:val="007E0CF6"/>
    <w:rsid w:val="007E128F"/>
    <w:rsid w:val="007E15E1"/>
    <w:rsid w:val="007E19C7"/>
    <w:rsid w:val="007E1B7D"/>
    <w:rsid w:val="007E1D16"/>
    <w:rsid w:val="007E1DEF"/>
    <w:rsid w:val="007E1DF4"/>
    <w:rsid w:val="007E2361"/>
    <w:rsid w:val="007E2843"/>
    <w:rsid w:val="007E29FA"/>
    <w:rsid w:val="007E2ABA"/>
    <w:rsid w:val="007E2B37"/>
    <w:rsid w:val="007E2B66"/>
    <w:rsid w:val="007E39DE"/>
    <w:rsid w:val="007E3AD0"/>
    <w:rsid w:val="007E3B22"/>
    <w:rsid w:val="007E3CF7"/>
    <w:rsid w:val="007E4ADA"/>
    <w:rsid w:val="007E4E34"/>
    <w:rsid w:val="007E4FA6"/>
    <w:rsid w:val="007E539B"/>
    <w:rsid w:val="007E5401"/>
    <w:rsid w:val="007E55DD"/>
    <w:rsid w:val="007E5A30"/>
    <w:rsid w:val="007E5F63"/>
    <w:rsid w:val="007E639D"/>
    <w:rsid w:val="007E6495"/>
    <w:rsid w:val="007E6BA1"/>
    <w:rsid w:val="007E6CAF"/>
    <w:rsid w:val="007E6EBF"/>
    <w:rsid w:val="007E70D3"/>
    <w:rsid w:val="007E7342"/>
    <w:rsid w:val="007E74A7"/>
    <w:rsid w:val="007E7699"/>
    <w:rsid w:val="007E7DD2"/>
    <w:rsid w:val="007F014A"/>
    <w:rsid w:val="007F06A8"/>
    <w:rsid w:val="007F06CA"/>
    <w:rsid w:val="007F08FC"/>
    <w:rsid w:val="007F1017"/>
    <w:rsid w:val="007F1233"/>
    <w:rsid w:val="007F123C"/>
    <w:rsid w:val="007F1528"/>
    <w:rsid w:val="007F185C"/>
    <w:rsid w:val="007F197C"/>
    <w:rsid w:val="007F1B22"/>
    <w:rsid w:val="007F2025"/>
    <w:rsid w:val="007F24C5"/>
    <w:rsid w:val="007F3017"/>
    <w:rsid w:val="007F32AE"/>
    <w:rsid w:val="007F427F"/>
    <w:rsid w:val="007F4826"/>
    <w:rsid w:val="007F4A3F"/>
    <w:rsid w:val="007F4A61"/>
    <w:rsid w:val="007F4DD2"/>
    <w:rsid w:val="007F4E19"/>
    <w:rsid w:val="007F508D"/>
    <w:rsid w:val="007F5255"/>
    <w:rsid w:val="007F56CC"/>
    <w:rsid w:val="007F5720"/>
    <w:rsid w:val="007F5981"/>
    <w:rsid w:val="007F59BA"/>
    <w:rsid w:val="007F5CFF"/>
    <w:rsid w:val="007F5F9F"/>
    <w:rsid w:val="007F61C2"/>
    <w:rsid w:val="007F686B"/>
    <w:rsid w:val="007F6D26"/>
    <w:rsid w:val="007F6E23"/>
    <w:rsid w:val="007F74B2"/>
    <w:rsid w:val="007F75C9"/>
    <w:rsid w:val="007F782C"/>
    <w:rsid w:val="007F792D"/>
    <w:rsid w:val="007F7AAF"/>
    <w:rsid w:val="007F7BA5"/>
    <w:rsid w:val="008003B3"/>
    <w:rsid w:val="0080073F"/>
    <w:rsid w:val="008007F4"/>
    <w:rsid w:val="008009BE"/>
    <w:rsid w:val="00800C27"/>
    <w:rsid w:val="008018D4"/>
    <w:rsid w:val="00801CC8"/>
    <w:rsid w:val="008020CE"/>
    <w:rsid w:val="0080227A"/>
    <w:rsid w:val="00802D0E"/>
    <w:rsid w:val="00802D12"/>
    <w:rsid w:val="00802E3D"/>
    <w:rsid w:val="00803554"/>
    <w:rsid w:val="00803640"/>
    <w:rsid w:val="008037C8"/>
    <w:rsid w:val="00803D37"/>
    <w:rsid w:val="00804171"/>
    <w:rsid w:val="008046B2"/>
    <w:rsid w:val="008049BD"/>
    <w:rsid w:val="00804A19"/>
    <w:rsid w:val="00805142"/>
    <w:rsid w:val="00805517"/>
    <w:rsid w:val="00805520"/>
    <w:rsid w:val="008056B9"/>
    <w:rsid w:val="00805C99"/>
    <w:rsid w:val="00805FCE"/>
    <w:rsid w:val="00806259"/>
    <w:rsid w:val="008063F1"/>
    <w:rsid w:val="00806679"/>
    <w:rsid w:val="00806B3B"/>
    <w:rsid w:val="00806BCF"/>
    <w:rsid w:val="00806D54"/>
    <w:rsid w:val="00806F89"/>
    <w:rsid w:val="00807133"/>
    <w:rsid w:val="008071FF"/>
    <w:rsid w:val="008076A5"/>
    <w:rsid w:val="008079F4"/>
    <w:rsid w:val="00807A8B"/>
    <w:rsid w:val="00807C3F"/>
    <w:rsid w:val="008104DB"/>
    <w:rsid w:val="008104F3"/>
    <w:rsid w:val="00810EED"/>
    <w:rsid w:val="00811383"/>
    <w:rsid w:val="00811861"/>
    <w:rsid w:val="008118A7"/>
    <w:rsid w:val="00811A06"/>
    <w:rsid w:val="00811D98"/>
    <w:rsid w:val="00812122"/>
    <w:rsid w:val="00812149"/>
    <w:rsid w:val="0081258D"/>
    <w:rsid w:val="00812CAC"/>
    <w:rsid w:val="00812CB7"/>
    <w:rsid w:val="00812EA9"/>
    <w:rsid w:val="008130B7"/>
    <w:rsid w:val="00813227"/>
    <w:rsid w:val="0081374B"/>
    <w:rsid w:val="00813945"/>
    <w:rsid w:val="00814231"/>
    <w:rsid w:val="008143F1"/>
    <w:rsid w:val="00814446"/>
    <w:rsid w:val="008145E4"/>
    <w:rsid w:val="00814BBF"/>
    <w:rsid w:val="00815130"/>
    <w:rsid w:val="0081515E"/>
    <w:rsid w:val="008152C4"/>
    <w:rsid w:val="008155C8"/>
    <w:rsid w:val="00815B12"/>
    <w:rsid w:val="00815B46"/>
    <w:rsid w:val="00815CD7"/>
    <w:rsid w:val="008160D2"/>
    <w:rsid w:val="00816275"/>
    <w:rsid w:val="00816361"/>
    <w:rsid w:val="0081656C"/>
    <w:rsid w:val="008166EF"/>
    <w:rsid w:val="00816749"/>
    <w:rsid w:val="00816E14"/>
    <w:rsid w:val="00816F86"/>
    <w:rsid w:val="00816FEF"/>
    <w:rsid w:val="00816FF9"/>
    <w:rsid w:val="00817DE8"/>
    <w:rsid w:val="00820065"/>
    <w:rsid w:val="00820653"/>
    <w:rsid w:val="00820A8C"/>
    <w:rsid w:val="00820A98"/>
    <w:rsid w:val="00820C28"/>
    <w:rsid w:val="0082115E"/>
    <w:rsid w:val="008215FB"/>
    <w:rsid w:val="008216ED"/>
    <w:rsid w:val="00821778"/>
    <w:rsid w:val="0082186B"/>
    <w:rsid w:val="0082204E"/>
    <w:rsid w:val="008220CC"/>
    <w:rsid w:val="00822562"/>
    <w:rsid w:val="00822782"/>
    <w:rsid w:val="00822F7A"/>
    <w:rsid w:val="0082300C"/>
    <w:rsid w:val="008230F5"/>
    <w:rsid w:val="00823174"/>
    <w:rsid w:val="008232AE"/>
    <w:rsid w:val="00823E59"/>
    <w:rsid w:val="008243D6"/>
    <w:rsid w:val="0082455E"/>
    <w:rsid w:val="00824822"/>
    <w:rsid w:val="008248B0"/>
    <w:rsid w:val="00824CE5"/>
    <w:rsid w:val="00824E0A"/>
    <w:rsid w:val="00824E6B"/>
    <w:rsid w:val="008250AE"/>
    <w:rsid w:val="00825751"/>
    <w:rsid w:val="008259A8"/>
    <w:rsid w:val="00825B0B"/>
    <w:rsid w:val="00825F41"/>
    <w:rsid w:val="008264EB"/>
    <w:rsid w:val="008268CE"/>
    <w:rsid w:val="008269E6"/>
    <w:rsid w:val="00826A52"/>
    <w:rsid w:val="00826EB9"/>
    <w:rsid w:val="008271E4"/>
    <w:rsid w:val="008276DE"/>
    <w:rsid w:val="00827C23"/>
    <w:rsid w:val="00827C50"/>
    <w:rsid w:val="00827F8F"/>
    <w:rsid w:val="008300DA"/>
    <w:rsid w:val="0083015F"/>
    <w:rsid w:val="0083057D"/>
    <w:rsid w:val="008307ED"/>
    <w:rsid w:val="00830AE6"/>
    <w:rsid w:val="00830CB1"/>
    <w:rsid w:val="00830D7C"/>
    <w:rsid w:val="00830F35"/>
    <w:rsid w:val="00830FC6"/>
    <w:rsid w:val="00831166"/>
    <w:rsid w:val="00831329"/>
    <w:rsid w:val="0083144D"/>
    <w:rsid w:val="0083172D"/>
    <w:rsid w:val="0083173F"/>
    <w:rsid w:val="00832166"/>
    <w:rsid w:val="00832639"/>
    <w:rsid w:val="00832F4F"/>
    <w:rsid w:val="008337C7"/>
    <w:rsid w:val="00833A5F"/>
    <w:rsid w:val="00833B05"/>
    <w:rsid w:val="008345CD"/>
    <w:rsid w:val="00834AAC"/>
    <w:rsid w:val="00834C07"/>
    <w:rsid w:val="00834D52"/>
    <w:rsid w:val="0083515B"/>
    <w:rsid w:val="00835254"/>
    <w:rsid w:val="008356F2"/>
    <w:rsid w:val="0083578F"/>
    <w:rsid w:val="00835D0A"/>
    <w:rsid w:val="008362B4"/>
    <w:rsid w:val="00836646"/>
    <w:rsid w:val="00836D97"/>
    <w:rsid w:val="00837020"/>
    <w:rsid w:val="0083739B"/>
    <w:rsid w:val="0083747D"/>
    <w:rsid w:val="00837488"/>
    <w:rsid w:val="008379FC"/>
    <w:rsid w:val="00837B6F"/>
    <w:rsid w:val="00837EFB"/>
    <w:rsid w:val="008402D1"/>
    <w:rsid w:val="00840CA2"/>
    <w:rsid w:val="00840D6B"/>
    <w:rsid w:val="00840EC9"/>
    <w:rsid w:val="00840FA2"/>
    <w:rsid w:val="0084181A"/>
    <w:rsid w:val="00841963"/>
    <w:rsid w:val="00841C21"/>
    <w:rsid w:val="00841E3F"/>
    <w:rsid w:val="0084227C"/>
    <w:rsid w:val="008422DA"/>
    <w:rsid w:val="00842F02"/>
    <w:rsid w:val="0084374F"/>
    <w:rsid w:val="00843E01"/>
    <w:rsid w:val="0084423F"/>
    <w:rsid w:val="00844A22"/>
    <w:rsid w:val="00844B70"/>
    <w:rsid w:val="00844BB6"/>
    <w:rsid w:val="00844D1F"/>
    <w:rsid w:val="00844FEE"/>
    <w:rsid w:val="008454AC"/>
    <w:rsid w:val="00845710"/>
    <w:rsid w:val="008457D8"/>
    <w:rsid w:val="00845B25"/>
    <w:rsid w:val="00845C42"/>
    <w:rsid w:val="00846077"/>
    <w:rsid w:val="0084620F"/>
    <w:rsid w:val="0084639D"/>
    <w:rsid w:val="008465BA"/>
    <w:rsid w:val="00846639"/>
    <w:rsid w:val="00846989"/>
    <w:rsid w:val="00846B80"/>
    <w:rsid w:val="00846C12"/>
    <w:rsid w:val="00846C48"/>
    <w:rsid w:val="00846C6E"/>
    <w:rsid w:val="00847502"/>
    <w:rsid w:val="0084757E"/>
    <w:rsid w:val="00847703"/>
    <w:rsid w:val="0084786F"/>
    <w:rsid w:val="00847A49"/>
    <w:rsid w:val="00847AA4"/>
    <w:rsid w:val="00847DF5"/>
    <w:rsid w:val="00847EE6"/>
    <w:rsid w:val="00847F58"/>
    <w:rsid w:val="0085003F"/>
    <w:rsid w:val="008508FB"/>
    <w:rsid w:val="00850A22"/>
    <w:rsid w:val="00850C00"/>
    <w:rsid w:val="00850CA5"/>
    <w:rsid w:val="00851394"/>
    <w:rsid w:val="00851673"/>
    <w:rsid w:val="00851D2B"/>
    <w:rsid w:val="00851DAD"/>
    <w:rsid w:val="008520E2"/>
    <w:rsid w:val="00852304"/>
    <w:rsid w:val="00852445"/>
    <w:rsid w:val="00852883"/>
    <w:rsid w:val="00852FAC"/>
    <w:rsid w:val="0085309D"/>
    <w:rsid w:val="00853376"/>
    <w:rsid w:val="00853A7E"/>
    <w:rsid w:val="008543CC"/>
    <w:rsid w:val="008544FE"/>
    <w:rsid w:val="00854E8B"/>
    <w:rsid w:val="0085530D"/>
    <w:rsid w:val="00855565"/>
    <w:rsid w:val="008557F5"/>
    <w:rsid w:val="0085599A"/>
    <w:rsid w:val="00855AF4"/>
    <w:rsid w:val="00855BD0"/>
    <w:rsid w:val="008562B9"/>
    <w:rsid w:val="00856807"/>
    <w:rsid w:val="00856897"/>
    <w:rsid w:val="008568E2"/>
    <w:rsid w:val="00856E9A"/>
    <w:rsid w:val="0085728A"/>
    <w:rsid w:val="008574C0"/>
    <w:rsid w:val="0085795A"/>
    <w:rsid w:val="00860172"/>
    <w:rsid w:val="008604C3"/>
    <w:rsid w:val="00860586"/>
    <w:rsid w:val="008605B2"/>
    <w:rsid w:val="0086075D"/>
    <w:rsid w:val="00860819"/>
    <w:rsid w:val="008608DF"/>
    <w:rsid w:val="00860E1B"/>
    <w:rsid w:val="008620CB"/>
    <w:rsid w:val="00862502"/>
    <w:rsid w:val="008626B3"/>
    <w:rsid w:val="00862CC1"/>
    <w:rsid w:val="00862CD8"/>
    <w:rsid w:val="00862F46"/>
    <w:rsid w:val="008631A8"/>
    <w:rsid w:val="00863D4F"/>
    <w:rsid w:val="00863D5F"/>
    <w:rsid w:val="00863E9C"/>
    <w:rsid w:val="008642A7"/>
    <w:rsid w:val="008643F8"/>
    <w:rsid w:val="0086486A"/>
    <w:rsid w:val="0086492E"/>
    <w:rsid w:val="00864D0F"/>
    <w:rsid w:val="00864E93"/>
    <w:rsid w:val="00864FB1"/>
    <w:rsid w:val="0086529E"/>
    <w:rsid w:val="00865684"/>
    <w:rsid w:val="0086582C"/>
    <w:rsid w:val="00865CBD"/>
    <w:rsid w:val="00865E4A"/>
    <w:rsid w:val="008660D4"/>
    <w:rsid w:val="008668D5"/>
    <w:rsid w:val="00866D1E"/>
    <w:rsid w:val="00867087"/>
    <w:rsid w:val="00867128"/>
    <w:rsid w:val="008671CE"/>
    <w:rsid w:val="00867495"/>
    <w:rsid w:val="0086760E"/>
    <w:rsid w:val="008679A0"/>
    <w:rsid w:val="008679F6"/>
    <w:rsid w:val="00867A57"/>
    <w:rsid w:val="00867FE0"/>
    <w:rsid w:val="008709B5"/>
    <w:rsid w:val="00870DD6"/>
    <w:rsid w:val="00870EF7"/>
    <w:rsid w:val="008711DF"/>
    <w:rsid w:val="008716DA"/>
    <w:rsid w:val="00871834"/>
    <w:rsid w:val="00871FA9"/>
    <w:rsid w:val="00871FC6"/>
    <w:rsid w:val="00872845"/>
    <w:rsid w:val="008728E9"/>
    <w:rsid w:val="00872953"/>
    <w:rsid w:val="00872C82"/>
    <w:rsid w:val="00872E83"/>
    <w:rsid w:val="0087361B"/>
    <w:rsid w:val="008737A5"/>
    <w:rsid w:val="0087398B"/>
    <w:rsid w:val="00873E66"/>
    <w:rsid w:val="0087410F"/>
    <w:rsid w:val="00874202"/>
    <w:rsid w:val="00874536"/>
    <w:rsid w:val="008749ED"/>
    <w:rsid w:val="00874DBD"/>
    <w:rsid w:val="00874F7E"/>
    <w:rsid w:val="0087531D"/>
    <w:rsid w:val="00875325"/>
    <w:rsid w:val="00875C83"/>
    <w:rsid w:val="00875E11"/>
    <w:rsid w:val="00875F47"/>
    <w:rsid w:val="0087619C"/>
    <w:rsid w:val="008761D8"/>
    <w:rsid w:val="00876B44"/>
    <w:rsid w:val="00876BF2"/>
    <w:rsid w:val="00876E13"/>
    <w:rsid w:val="0087709C"/>
    <w:rsid w:val="0087713E"/>
    <w:rsid w:val="008776F7"/>
    <w:rsid w:val="00877886"/>
    <w:rsid w:val="008801B1"/>
    <w:rsid w:val="00880550"/>
    <w:rsid w:val="0088116B"/>
    <w:rsid w:val="0088136E"/>
    <w:rsid w:val="008814BC"/>
    <w:rsid w:val="00881685"/>
    <w:rsid w:val="008819B3"/>
    <w:rsid w:val="00881F67"/>
    <w:rsid w:val="008826C2"/>
    <w:rsid w:val="00882874"/>
    <w:rsid w:val="008829CB"/>
    <w:rsid w:val="00882CA4"/>
    <w:rsid w:val="00882D5F"/>
    <w:rsid w:val="00882E3C"/>
    <w:rsid w:val="00882EFE"/>
    <w:rsid w:val="0088308A"/>
    <w:rsid w:val="00883511"/>
    <w:rsid w:val="00883787"/>
    <w:rsid w:val="00884046"/>
    <w:rsid w:val="0088434D"/>
    <w:rsid w:val="008844C9"/>
    <w:rsid w:val="00884F2C"/>
    <w:rsid w:val="00885036"/>
    <w:rsid w:val="008850BD"/>
    <w:rsid w:val="008853A5"/>
    <w:rsid w:val="008855E4"/>
    <w:rsid w:val="00885BA5"/>
    <w:rsid w:val="00885CEA"/>
    <w:rsid w:val="00885EBA"/>
    <w:rsid w:val="008863AC"/>
    <w:rsid w:val="00886697"/>
    <w:rsid w:val="008868DD"/>
    <w:rsid w:val="00886CD2"/>
    <w:rsid w:val="00886D8F"/>
    <w:rsid w:val="00886E65"/>
    <w:rsid w:val="00887382"/>
    <w:rsid w:val="008879AB"/>
    <w:rsid w:val="00887E30"/>
    <w:rsid w:val="008900EC"/>
    <w:rsid w:val="00890771"/>
    <w:rsid w:val="00890B64"/>
    <w:rsid w:val="00890C20"/>
    <w:rsid w:val="00890EB1"/>
    <w:rsid w:val="00891060"/>
    <w:rsid w:val="008913CB"/>
    <w:rsid w:val="0089148B"/>
    <w:rsid w:val="0089164A"/>
    <w:rsid w:val="008916C4"/>
    <w:rsid w:val="0089184B"/>
    <w:rsid w:val="00891E6F"/>
    <w:rsid w:val="00891E8F"/>
    <w:rsid w:val="008921BC"/>
    <w:rsid w:val="0089275D"/>
    <w:rsid w:val="00892A36"/>
    <w:rsid w:val="00893239"/>
    <w:rsid w:val="0089363F"/>
    <w:rsid w:val="00893D7C"/>
    <w:rsid w:val="00894091"/>
    <w:rsid w:val="008940A3"/>
    <w:rsid w:val="00894134"/>
    <w:rsid w:val="00894285"/>
    <w:rsid w:val="00894489"/>
    <w:rsid w:val="00894728"/>
    <w:rsid w:val="008947FE"/>
    <w:rsid w:val="008949FB"/>
    <w:rsid w:val="008949FE"/>
    <w:rsid w:val="00894CD6"/>
    <w:rsid w:val="00895574"/>
    <w:rsid w:val="008958B0"/>
    <w:rsid w:val="00895AE8"/>
    <w:rsid w:val="008961B4"/>
    <w:rsid w:val="008963A5"/>
    <w:rsid w:val="008964DA"/>
    <w:rsid w:val="008965E8"/>
    <w:rsid w:val="00896716"/>
    <w:rsid w:val="00896A28"/>
    <w:rsid w:val="00896B0B"/>
    <w:rsid w:val="00896D5D"/>
    <w:rsid w:val="008973B6"/>
    <w:rsid w:val="0089789C"/>
    <w:rsid w:val="008A0437"/>
    <w:rsid w:val="008A0DBF"/>
    <w:rsid w:val="008A1609"/>
    <w:rsid w:val="008A183B"/>
    <w:rsid w:val="008A1A14"/>
    <w:rsid w:val="008A1E4A"/>
    <w:rsid w:val="008A2109"/>
    <w:rsid w:val="008A28DF"/>
    <w:rsid w:val="008A2AAB"/>
    <w:rsid w:val="008A2D6B"/>
    <w:rsid w:val="008A2F54"/>
    <w:rsid w:val="008A3158"/>
    <w:rsid w:val="008A31AB"/>
    <w:rsid w:val="008A3363"/>
    <w:rsid w:val="008A3371"/>
    <w:rsid w:val="008A372C"/>
    <w:rsid w:val="008A3C3E"/>
    <w:rsid w:val="008A3F7F"/>
    <w:rsid w:val="008A404D"/>
    <w:rsid w:val="008A440D"/>
    <w:rsid w:val="008A4428"/>
    <w:rsid w:val="008A4E08"/>
    <w:rsid w:val="008A4F89"/>
    <w:rsid w:val="008A5163"/>
    <w:rsid w:val="008A580D"/>
    <w:rsid w:val="008A5842"/>
    <w:rsid w:val="008A5F41"/>
    <w:rsid w:val="008A6576"/>
    <w:rsid w:val="008A6792"/>
    <w:rsid w:val="008A6EAA"/>
    <w:rsid w:val="008A6FC7"/>
    <w:rsid w:val="008A71A2"/>
    <w:rsid w:val="008A728B"/>
    <w:rsid w:val="008A7411"/>
    <w:rsid w:val="008A75B2"/>
    <w:rsid w:val="008A79DE"/>
    <w:rsid w:val="008A7C27"/>
    <w:rsid w:val="008B0514"/>
    <w:rsid w:val="008B0533"/>
    <w:rsid w:val="008B09A6"/>
    <w:rsid w:val="008B13D9"/>
    <w:rsid w:val="008B1524"/>
    <w:rsid w:val="008B1757"/>
    <w:rsid w:val="008B1A5D"/>
    <w:rsid w:val="008B1C33"/>
    <w:rsid w:val="008B1CE0"/>
    <w:rsid w:val="008B1CFE"/>
    <w:rsid w:val="008B1E1F"/>
    <w:rsid w:val="008B241E"/>
    <w:rsid w:val="008B30B6"/>
    <w:rsid w:val="008B3827"/>
    <w:rsid w:val="008B424E"/>
    <w:rsid w:val="008B4546"/>
    <w:rsid w:val="008B4903"/>
    <w:rsid w:val="008B4B6F"/>
    <w:rsid w:val="008B4DD1"/>
    <w:rsid w:val="008B4EBB"/>
    <w:rsid w:val="008B52A3"/>
    <w:rsid w:val="008B57D0"/>
    <w:rsid w:val="008B58E1"/>
    <w:rsid w:val="008B5BE8"/>
    <w:rsid w:val="008B5C23"/>
    <w:rsid w:val="008B5C62"/>
    <w:rsid w:val="008B5E2C"/>
    <w:rsid w:val="008B6117"/>
    <w:rsid w:val="008B62D5"/>
    <w:rsid w:val="008B6926"/>
    <w:rsid w:val="008B69FC"/>
    <w:rsid w:val="008B6C50"/>
    <w:rsid w:val="008B6CFA"/>
    <w:rsid w:val="008B7322"/>
    <w:rsid w:val="008B76DB"/>
    <w:rsid w:val="008B7992"/>
    <w:rsid w:val="008B7D7E"/>
    <w:rsid w:val="008C03DB"/>
    <w:rsid w:val="008C0B09"/>
    <w:rsid w:val="008C0BC1"/>
    <w:rsid w:val="008C0C8D"/>
    <w:rsid w:val="008C0CCE"/>
    <w:rsid w:val="008C12D5"/>
    <w:rsid w:val="008C18D8"/>
    <w:rsid w:val="008C1A03"/>
    <w:rsid w:val="008C1B64"/>
    <w:rsid w:val="008C1CE7"/>
    <w:rsid w:val="008C1FD1"/>
    <w:rsid w:val="008C2012"/>
    <w:rsid w:val="008C2375"/>
    <w:rsid w:val="008C24EC"/>
    <w:rsid w:val="008C2B89"/>
    <w:rsid w:val="008C384F"/>
    <w:rsid w:val="008C3B3A"/>
    <w:rsid w:val="008C3C47"/>
    <w:rsid w:val="008C3E58"/>
    <w:rsid w:val="008C3E6A"/>
    <w:rsid w:val="008C3F22"/>
    <w:rsid w:val="008C413C"/>
    <w:rsid w:val="008C48AF"/>
    <w:rsid w:val="008C5435"/>
    <w:rsid w:val="008C5610"/>
    <w:rsid w:val="008C5739"/>
    <w:rsid w:val="008C640E"/>
    <w:rsid w:val="008C6C0D"/>
    <w:rsid w:val="008C6CCA"/>
    <w:rsid w:val="008C6EBD"/>
    <w:rsid w:val="008C6F8D"/>
    <w:rsid w:val="008C7282"/>
    <w:rsid w:val="008C746D"/>
    <w:rsid w:val="008C75F4"/>
    <w:rsid w:val="008C7ADB"/>
    <w:rsid w:val="008C7ECB"/>
    <w:rsid w:val="008D007D"/>
    <w:rsid w:val="008D05B7"/>
    <w:rsid w:val="008D07F0"/>
    <w:rsid w:val="008D0A5F"/>
    <w:rsid w:val="008D0B34"/>
    <w:rsid w:val="008D0E4E"/>
    <w:rsid w:val="008D1339"/>
    <w:rsid w:val="008D1668"/>
    <w:rsid w:val="008D1FB7"/>
    <w:rsid w:val="008D207F"/>
    <w:rsid w:val="008D20C8"/>
    <w:rsid w:val="008D2231"/>
    <w:rsid w:val="008D26A1"/>
    <w:rsid w:val="008D2A32"/>
    <w:rsid w:val="008D2DEB"/>
    <w:rsid w:val="008D3088"/>
    <w:rsid w:val="008D308D"/>
    <w:rsid w:val="008D361A"/>
    <w:rsid w:val="008D395C"/>
    <w:rsid w:val="008D3AD3"/>
    <w:rsid w:val="008D3B86"/>
    <w:rsid w:val="008D419E"/>
    <w:rsid w:val="008D43C1"/>
    <w:rsid w:val="008D43FD"/>
    <w:rsid w:val="008D45E1"/>
    <w:rsid w:val="008D46D4"/>
    <w:rsid w:val="008D4755"/>
    <w:rsid w:val="008D4C3D"/>
    <w:rsid w:val="008D5255"/>
    <w:rsid w:val="008D54F9"/>
    <w:rsid w:val="008D56DB"/>
    <w:rsid w:val="008D5992"/>
    <w:rsid w:val="008D5D69"/>
    <w:rsid w:val="008D64D3"/>
    <w:rsid w:val="008D6B37"/>
    <w:rsid w:val="008D6C72"/>
    <w:rsid w:val="008D6D21"/>
    <w:rsid w:val="008D70B0"/>
    <w:rsid w:val="008D7182"/>
    <w:rsid w:val="008D743C"/>
    <w:rsid w:val="008D7948"/>
    <w:rsid w:val="008D7AF2"/>
    <w:rsid w:val="008D7B85"/>
    <w:rsid w:val="008E0002"/>
    <w:rsid w:val="008E0534"/>
    <w:rsid w:val="008E05C9"/>
    <w:rsid w:val="008E0702"/>
    <w:rsid w:val="008E0826"/>
    <w:rsid w:val="008E096D"/>
    <w:rsid w:val="008E0D3C"/>
    <w:rsid w:val="008E0D5C"/>
    <w:rsid w:val="008E0F51"/>
    <w:rsid w:val="008E11E2"/>
    <w:rsid w:val="008E1B9E"/>
    <w:rsid w:val="008E1E87"/>
    <w:rsid w:val="008E1F67"/>
    <w:rsid w:val="008E2614"/>
    <w:rsid w:val="008E2939"/>
    <w:rsid w:val="008E297F"/>
    <w:rsid w:val="008E31F4"/>
    <w:rsid w:val="008E3CBE"/>
    <w:rsid w:val="008E3CCA"/>
    <w:rsid w:val="008E415E"/>
    <w:rsid w:val="008E4345"/>
    <w:rsid w:val="008E4434"/>
    <w:rsid w:val="008E4EBE"/>
    <w:rsid w:val="008E4F8B"/>
    <w:rsid w:val="008E5046"/>
    <w:rsid w:val="008E53EF"/>
    <w:rsid w:val="008E55AB"/>
    <w:rsid w:val="008E5A68"/>
    <w:rsid w:val="008E5CDD"/>
    <w:rsid w:val="008E5F9B"/>
    <w:rsid w:val="008E62B8"/>
    <w:rsid w:val="008E637E"/>
    <w:rsid w:val="008E6906"/>
    <w:rsid w:val="008E6B68"/>
    <w:rsid w:val="008E6B7D"/>
    <w:rsid w:val="008E6DEB"/>
    <w:rsid w:val="008E6DFF"/>
    <w:rsid w:val="008E70E6"/>
    <w:rsid w:val="008E767C"/>
    <w:rsid w:val="008E7A61"/>
    <w:rsid w:val="008E7BDF"/>
    <w:rsid w:val="008F07AF"/>
    <w:rsid w:val="008F0BFA"/>
    <w:rsid w:val="008F1043"/>
    <w:rsid w:val="008F120A"/>
    <w:rsid w:val="008F13CE"/>
    <w:rsid w:val="008F1B85"/>
    <w:rsid w:val="008F1D33"/>
    <w:rsid w:val="008F1D7C"/>
    <w:rsid w:val="008F2179"/>
    <w:rsid w:val="008F260A"/>
    <w:rsid w:val="008F27E0"/>
    <w:rsid w:val="008F2999"/>
    <w:rsid w:val="008F2EE8"/>
    <w:rsid w:val="008F31E8"/>
    <w:rsid w:val="008F32AB"/>
    <w:rsid w:val="008F371D"/>
    <w:rsid w:val="008F3E93"/>
    <w:rsid w:val="008F3EE1"/>
    <w:rsid w:val="008F411C"/>
    <w:rsid w:val="008F4307"/>
    <w:rsid w:val="008F4492"/>
    <w:rsid w:val="008F475F"/>
    <w:rsid w:val="008F486E"/>
    <w:rsid w:val="008F48DC"/>
    <w:rsid w:val="008F48EB"/>
    <w:rsid w:val="008F4E4D"/>
    <w:rsid w:val="008F4F0B"/>
    <w:rsid w:val="008F5417"/>
    <w:rsid w:val="008F5458"/>
    <w:rsid w:val="008F57D5"/>
    <w:rsid w:val="008F58BC"/>
    <w:rsid w:val="008F5F7D"/>
    <w:rsid w:val="008F6739"/>
    <w:rsid w:val="008F6806"/>
    <w:rsid w:val="008F69FB"/>
    <w:rsid w:val="008F703F"/>
    <w:rsid w:val="008F7059"/>
    <w:rsid w:val="008F7080"/>
    <w:rsid w:val="008F73D7"/>
    <w:rsid w:val="008F7570"/>
    <w:rsid w:val="008F7595"/>
    <w:rsid w:val="008F7627"/>
    <w:rsid w:val="008F7DB3"/>
    <w:rsid w:val="009000A8"/>
    <w:rsid w:val="00900209"/>
    <w:rsid w:val="00900293"/>
    <w:rsid w:val="00900321"/>
    <w:rsid w:val="00900A42"/>
    <w:rsid w:val="00901450"/>
    <w:rsid w:val="00901919"/>
    <w:rsid w:val="00901CA6"/>
    <w:rsid w:val="00901D69"/>
    <w:rsid w:val="00901E48"/>
    <w:rsid w:val="00902082"/>
    <w:rsid w:val="00902510"/>
    <w:rsid w:val="00902607"/>
    <w:rsid w:val="00902AFB"/>
    <w:rsid w:val="00902C18"/>
    <w:rsid w:val="00902E07"/>
    <w:rsid w:val="00902F8D"/>
    <w:rsid w:val="0090321E"/>
    <w:rsid w:val="00903423"/>
    <w:rsid w:val="009036EC"/>
    <w:rsid w:val="0090375D"/>
    <w:rsid w:val="00903867"/>
    <w:rsid w:val="00903BBF"/>
    <w:rsid w:val="00903DDF"/>
    <w:rsid w:val="00903ECD"/>
    <w:rsid w:val="009042D8"/>
    <w:rsid w:val="00904396"/>
    <w:rsid w:val="00904667"/>
    <w:rsid w:val="009046C4"/>
    <w:rsid w:val="009048DD"/>
    <w:rsid w:val="009049B4"/>
    <w:rsid w:val="00904B75"/>
    <w:rsid w:val="00904CAF"/>
    <w:rsid w:val="00905232"/>
    <w:rsid w:val="009054A6"/>
    <w:rsid w:val="009056EC"/>
    <w:rsid w:val="00905D87"/>
    <w:rsid w:val="00905F0C"/>
    <w:rsid w:val="0090617D"/>
    <w:rsid w:val="009062A5"/>
    <w:rsid w:val="00906408"/>
    <w:rsid w:val="009066C5"/>
    <w:rsid w:val="009068F7"/>
    <w:rsid w:val="00906DBF"/>
    <w:rsid w:val="00907699"/>
    <w:rsid w:val="00907E35"/>
    <w:rsid w:val="00910138"/>
    <w:rsid w:val="00910500"/>
    <w:rsid w:val="0091084F"/>
    <w:rsid w:val="00910AE2"/>
    <w:rsid w:val="00910B83"/>
    <w:rsid w:val="00910F5E"/>
    <w:rsid w:val="00910FA7"/>
    <w:rsid w:val="0091115D"/>
    <w:rsid w:val="00911272"/>
    <w:rsid w:val="00911339"/>
    <w:rsid w:val="00911856"/>
    <w:rsid w:val="0091204A"/>
    <w:rsid w:val="00912B24"/>
    <w:rsid w:val="00912CE8"/>
    <w:rsid w:val="00912DBA"/>
    <w:rsid w:val="009135D6"/>
    <w:rsid w:val="00913644"/>
    <w:rsid w:val="009136F7"/>
    <w:rsid w:val="009137CB"/>
    <w:rsid w:val="00913A3E"/>
    <w:rsid w:val="00913D4E"/>
    <w:rsid w:val="00914349"/>
    <w:rsid w:val="00914362"/>
    <w:rsid w:val="00914C04"/>
    <w:rsid w:val="00914C77"/>
    <w:rsid w:val="0091507A"/>
    <w:rsid w:val="00915B84"/>
    <w:rsid w:val="00915DF3"/>
    <w:rsid w:val="00915EEF"/>
    <w:rsid w:val="00916037"/>
    <w:rsid w:val="00916D0A"/>
    <w:rsid w:val="00916D86"/>
    <w:rsid w:val="009207E7"/>
    <w:rsid w:val="00920B20"/>
    <w:rsid w:val="00920DDA"/>
    <w:rsid w:val="009215BD"/>
    <w:rsid w:val="00921ACB"/>
    <w:rsid w:val="00921D99"/>
    <w:rsid w:val="00921D9F"/>
    <w:rsid w:val="00921EF3"/>
    <w:rsid w:val="00922128"/>
    <w:rsid w:val="009224CC"/>
    <w:rsid w:val="009226A9"/>
    <w:rsid w:val="0092277E"/>
    <w:rsid w:val="00922845"/>
    <w:rsid w:val="00922A10"/>
    <w:rsid w:val="00922CE2"/>
    <w:rsid w:val="00922E57"/>
    <w:rsid w:val="00922ED5"/>
    <w:rsid w:val="00922F5B"/>
    <w:rsid w:val="00923255"/>
    <w:rsid w:val="0092369B"/>
    <w:rsid w:val="009239C5"/>
    <w:rsid w:val="009239F5"/>
    <w:rsid w:val="00923A5D"/>
    <w:rsid w:val="00923EFE"/>
    <w:rsid w:val="00923F5C"/>
    <w:rsid w:val="009248A2"/>
    <w:rsid w:val="00924B33"/>
    <w:rsid w:val="00924D1E"/>
    <w:rsid w:val="00924D4F"/>
    <w:rsid w:val="00924D91"/>
    <w:rsid w:val="00924E5D"/>
    <w:rsid w:val="00925367"/>
    <w:rsid w:val="009253B8"/>
    <w:rsid w:val="009256B5"/>
    <w:rsid w:val="0092588B"/>
    <w:rsid w:val="00925A89"/>
    <w:rsid w:val="00925DC5"/>
    <w:rsid w:val="00926B70"/>
    <w:rsid w:val="00926BA4"/>
    <w:rsid w:val="009275C8"/>
    <w:rsid w:val="0092769B"/>
    <w:rsid w:val="00927995"/>
    <w:rsid w:val="00927D98"/>
    <w:rsid w:val="00927F58"/>
    <w:rsid w:val="00927FD6"/>
    <w:rsid w:val="0093006E"/>
    <w:rsid w:val="009306FE"/>
    <w:rsid w:val="00930B79"/>
    <w:rsid w:val="00930DA4"/>
    <w:rsid w:val="0093166F"/>
    <w:rsid w:val="00931689"/>
    <w:rsid w:val="00931FFC"/>
    <w:rsid w:val="009320AB"/>
    <w:rsid w:val="009321B3"/>
    <w:rsid w:val="00932211"/>
    <w:rsid w:val="00932828"/>
    <w:rsid w:val="009333B1"/>
    <w:rsid w:val="00933570"/>
    <w:rsid w:val="00933E1D"/>
    <w:rsid w:val="009346A9"/>
    <w:rsid w:val="00934753"/>
    <w:rsid w:val="00934988"/>
    <w:rsid w:val="009349AF"/>
    <w:rsid w:val="00934B86"/>
    <w:rsid w:val="009353DA"/>
    <w:rsid w:val="009354C0"/>
    <w:rsid w:val="00935795"/>
    <w:rsid w:val="009357C1"/>
    <w:rsid w:val="00935C39"/>
    <w:rsid w:val="009361B5"/>
    <w:rsid w:val="00936520"/>
    <w:rsid w:val="00936651"/>
    <w:rsid w:val="009367BD"/>
    <w:rsid w:val="00936AAD"/>
    <w:rsid w:val="00936D1D"/>
    <w:rsid w:val="00937089"/>
    <w:rsid w:val="009374D5"/>
    <w:rsid w:val="00937554"/>
    <w:rsid w:val="00937660"/>
    <w:rsid w:val="009378A4"/>
    <w:rsid w:val="009400B8"/>
    <w:rsid w:val="00940217"/>
    <w:rsid w:val="00940332"/>
    <w:rsid w:val="0094040A"/>
    <w:rsid w:val="00940BEF"/>
    <w:rsid w:val="00940D05"/>
    <w:rsid w:val="00940D2C"/>
    <w:rsid w:val="00940E6C"/>
    <w:rsid w:val="009418FD"/>
    <w:rsid w:val="00941978"/>
    <w:rsid w:val="00941988"/>
    <w:rsid w:val="00941FA0"/>
    <w:rsid w:val="00942070"/>
    <w:rsid w:val="0094217B"/>
    <w:rsid w:val="00942481"/>
    <w:rsid w:val="00942501"/>
    <w:rsid w:val="00942850"/>
    <w:rsid w:val="00942ABC"/>
    <w:rsid w:val="00942CD5"/>
    <w:rsid w:val="00943013"/>
    <w:rsid w:val="00943032"/>
    <w:rsid w:val="009431F3"/>
    <w:rsid w:val="009432E1"/>
    <w:rsid w:val="0094347E"/>
    <w:rsid w:val="009434E1"/>
    <w:rsid w:val="00943A54"/>
    <w:rsid w:val="00943C65"/>
    <w:rsid w:val="00943EB8"/>
    <w:rsid w:val="0094452D"/>
    <w:rsid w:val="00944B98"/>
    <w:rsid w:val="00944F8A"/>
    <w:rsid w:val="00945090"/>
    <w:rsid w:val="009452AD"/>
    <w:rsid w:val="009457C3"/>
    <w:rsid w:val="00945C18"/>
    <w:rsid w:val="00946870"/>
    <w:rsid w:val="00946882"/>
    <w:rsid w:val="009468F3"/>
    <w:rsid w:val="00946A9B"/>
    <w:rsid w:val="00946DAE"/>
    <w:rsid w:val="00946EC0"/>
    <w:rsid w:val="00946F79"/>
    <w:rsid w:val="009470EB"/>
    <w:rsid w:val="00947552"/>
    <w:rsid w:val="009475DC"/>
    <w:rsid w:val="0094788A"/>
    <w:rsid w:val="00947B9C"/>
    <w:rsid w:val="00947DFB"/>
    <w:rsid w:val="00950B18"/>
    <w:rsid w:val="00950EE0"/>
    <w:rsid w:val="00951091"/>
    <w:rsid w:val="009510A2"/>
    <w:rsid w:val="009516DA"/>
    <w:rsid w:val="00951C9F"/>
    <w:rsid w:val="009521CE"/>
    <w:rsid w:val="009526E4"/>
    <w:rsid w:val="00952733"/>
    <w:rsid w:val="0095275D"/>
    <w:rsid w:val="00952C87"/>
    <w:rsid w:val="00953257"/>
    <w:rsid w:val="0095352F"/>
    <w:rsid w:val="00953596"/>
    <w:rsid w:val="0095360E"/>
    <w:rsid w:val="009538FB"/>
    <w:rsid w:val="00953B0C"/>
    <w:rsid w:val="00953FDC"/>
    <w:rsid w:val="009540B0"/>
    <w:rsid w:val="0095474C"/>
    <w:rsid w:val="009549D0"/>
    <w:rsid w:val="00955171"/>
    <w:rsid w:val="009551A3"/>
    <w:rsid w:val="0095535B"/>
    <w:rsid w:val="009559AA"/>
    <w:rsid w:val="00955B57"/>
    <w:rsid w:val="00955DED"/>
    <w:rsid w:val="00955F1B"/>
    <w:rsid w:val="00955F35"/>
    <w:rsid w:val="00955F7D"/>
    <w:rsid w:val="009561AF"/>
    <w:rsid w:val="00956299"/>
    <w:rsid w:val="009563D0"/>
    <w:rsid w:val="0095665D"/>
    <w:rsid w:val="00956785"/>
    <w:rsid w:val="00956BBF"/>
    <w:rsid w:val="00957A8A"/>
    <w:rsid w:val="00957D92"/>
    <w:rsid w:val="00960404"/>
    <w:rsid w:val="009609BE"/>
    <w:rsid w:val="00960A4D"/>
    <w:rsid w:val="00960AAB"/>
    <w:rsid w:val="00960C6E"/>
    <w:rsid w:val="00960F66"/>
    <w:rsid w:val="00961068"/>
    <w:rsid w:val="0096109B"/>
    <w:rsid w:val="0096143F"/>
    <w:rsid w:val="00961A0E"/>
    <w:rsid w:val="00961A94"/>
    <w:rsid w:val="00962440"/>
    <w:rsid w:val="00962561"/>
    <w:rsid w:val="00962582"/>
    <w:rsid w:val="00962748"/>
    <w:rsid w:val="00962778"/>
    <w:rsid w:val="00962A0F"/>
    <w:rsid w:val="00962CB9"/>
    <w:rsid w:val="00962FA8"/>
    <w:rsid w:val="009630C0"/>
    <w:rsid w:val="00963328"/>
    <w:rsid w:val="0096350F"/>
    <w:rsid w:val="00963943"/>
    <w:rsid w:val="00963B2F"/>
    <w:rsid w:val="00963BE1"/>
    <w:rsid w:val="00963DD7"/>
    <w:rsid w:val="009641C2"/>
    <w:rsid w:val="009641E7"/>
    <w:rsid w:val="00964312"/>
    <w:rsid w:val="0096440B"/>
    <w:rsid w:val="00964E86"/>
    <w:rsid w:val="00964EB8"/>
    <w:rsid w:val="00965892"/>
    <w:rsid w:val="0096589F"/>
    <w:rsid w:val="00965AB3"/>
    <w:rsid w:val="00965B8A"/>
    <w:rsid w:val="00965C88"/>
    <w:rsid w:val="00965D19"/>
    <w:rsid w:val="00965E67"/>
    <w:rsid w:val="00966276"/>
    <w:rsid w:val="0096632F"/>
    <w:rsid w:val="009663FA"/>
    <w:rsid w:val="00966580"/>
    <w:rsid w:val="00966BB7"/>
    <w:rsid w:val="00966EA8"/>
    <w:rsid w:val="00966F49"/>
    <w:rsid w:val="009670DF"/>
    <w:rsid w:val="00967468"/>
    <w:rsid w:val="00967703"/>
    <w:rsid w:val="009677CD"/>
    <w:rsid w:val="00967855"/>
    <w:rsid w:val="00967F7F"/>
    <w:rsid w:val="0097007F"/>
    <w:rsid w:val="00970560"/>
    <w:rsid w:val="0097071F"/>
    <w:rsid w:val="0097092C"/>
    <w:rsid w:val="009709BB"/>
    <w:rsid w:val="00970E48"/>
    <w:rsid w:val="00970F2B"/>
    <w:rsid w:val="009716FF"/>
    <w:rsid w:val="009717AC"/>
    <w:rsid w:val="00972309"/>
    <w:rsid w:val="00972340"/>
    <w:rsid w:val="009729BF"/>
    <w:rsid w:val="00972D92"/>
    <w:rsid w:val="00972EEC"/>
    <w:rsid w:val="00973185"/>
    <w:rsid w:val="009732A6"/>
    <w:rsid w:val="00973BF2"/>
    <w:rsid w:val="00973F75"/>
    <w:rsid w:val="009740F7"/>
    <w:rsid w:val="0097491F"/>
    <w:rsid w:val="009749B7"/>
    <w:rsid w:val="00974B4C"/>
    <w:rsid w:val="009751C1"/>
    <w:rsid w:val="009751F6"/>
    <w:rsid w:val="009756A2"/>
    <w:rsid w:val="009756AC"/>
    <w:rsid w:val="0097574C"/>
    <w:rsid w:val="009758AC"/>
    <w:rsid w:val="00976395"/>
    <w:rsid w:val="009766CA"/>
    <w:rsid w:val="0097678B"/>
    <w:rsid w:val="009769C8"/>
    <w:rsid w:val="00976A8E"/>
    <w:rsid w:val="00976B7C"/>
    <w:rsid w:val="00976F25"/>
    <w:rsid w:val="0097711F"/>
    <w:rsid w:val="009773C9"/>
    <w:rsid w:val="009774D6"/>
    <w:rsid w:val="00977BC2"/>
    <w:rsid w:val="0098031C"/>
    <w:rsid w:val="00980489"/>
    <w:rsid w:val="009804A6"/>
    <w:rsid w:val="00980BCD"/>
    <w:rsid w:val="00980BE1"/>
    <w:rsid w:val="00980D55"/>
    <w:rsid w:val="00980EC3"/>
    <w:rsid w:val="009811F1"/>
    <w:rsid w:val="00982B58"/>
    <w:rsid w:val="00982BAF"/>
    <w:rsid w:val="00982F13"/>
    <w:rsid w:val="0098327C"/>
    <w:rsid w:val="00983363"/>
    <w:rsid w:val="00983A41"/>
    <w:rsid w:val="00983E57"/>
    <w:rsid w:val="00984279"/>
    <w:rsid w:val="009848A9"/>
    <w:rsid w:val="0098491B"/>
    <w:rsid w:val="00984AE0"/>
    <w:rsid w:val="00984CAD"/>
    <w:rsid w:val="0098562C"/>
    <w:rsid w:val="00985985"/>
    <w:rsid w:val="00985CFF"/>
    <w:rsid w:val="00985D66"/>
    <w:rsid w:val="00985DE2"/>
    <w:rsid w:val="00985E6C"/>
    <w:rsid w:val="00985FE5"/>
    <w:rsid w:val="00986191"/>
    <w:rsid w:val="0098675D"/>
    <w:rsid w:val="009869D9"/>
    <w:rsid w:val="00986E5A"/>
    <w:rsid w:val="009876EA"/>
    <w:rsid w:val="009878CF"/>
    <w:rsid w:val="00987918"/>
    <w:rsid w:val="009879F8"/>
    <w:rsid w:val="00987B6D"/>
    <w:rsid w:val="00987BA4"/>
    <w:rsid w:val="009902EC"/>
    <w:rsid w:val="009904F8"/>
    <w:rsid w:val="00990550"/>
    <w:rsid w:val="00990682"/>
    <w:rsid w:val="009907A1"/>
    <w:rsid w:val="0099111D"/>
    <w:rsid w:val="0099120D"/>
    <w:rsid w:val="009916A3"/>
    <w:rsid w:val="00991917"/>
    <w:rsid w:val="009919ED"/>
    <w:rsid w:val="009926E0"/>
    <w:rsid w:val="00992902"/>
    <w:rsid w:val="00993035"/>
    <w:rsid w:val="00993139"/>
    <w:rsid w:val="00993183"/>
    <w:rsid w:val="009931EA"/>
    <w:rsid w:val="00993371"/>
    <w:rsid w:val="00993390"/>
    <w:rsid w:val="00993500"/>
    <w:rsid w:val="00994086"/>
    <w:rsid w:val="009944A3"/>
    <w:rsid w:val="0099451E"/>
    <w:rsid w:val="00994A34"/>
    <w:rsid w:val="00994E96"/>
    <w:rsid w:val="00995974"/>
    <w:rsid w:val="0099598B"/>
    <w:rsid w:val="00995A5B"/>
    <w:rsid w:val="00995F6F"/>
    <w:rsid w:val="0099628B"/>
    <w:rsid w:val="0099652E"/>
    <w:rsid w:val="0099669C"/>
    <w:rsid w:val="00996A7D"/>
    <w:rsid w:val="00996B1A"/>
    <w:rsid w:val="00996D61"/>
    <w:rsid w:val="00997718"/>
    <w:rsid w:val="00997AC2"/>
    <w:rsid w:val="00997E2F"/>
    <w:rsid w:val="00997EF5"/>
    <w:rsid w:val="009A0346"/>
    <w:rsid w:val="009A03BB"/>
    <w:rsid w:val="009A18F6"/>
    <w:rsid w:val="009A1A35"/>
    <w:rsid w:val="009A1F4F"/>
    <w:rsid w:val="009A1FB7"/>
    <w:rsid w:val="009A20ED"/>
    <w:rsid w:val="009A219D"/>
    <w:rsid w:val="009A2381"/>
    <w:rsid w:val="009A23F2"/>
    <w:rsid w:val="009A258E"/>
    <w:rsid w:val="009A2A23"/>
    <w:rsid w:val="009A2B76"/>
    <w:rsid w:val="009A2DCC"/>
    <w:rsid w:val="009A32A9"/>
    <w:rsid w:val="009A33B2"/>
    <w:rsid w:val="009A3DB8"/>
    <w:rsid w:val="009A3EF9"/>
    <w:rsid w:val="009A451F"/>
    <w:rsid w:val="009A4896"/>
    <w:rsid w:val="009A48DE"/>
    <w:rsid w:val="009A4B1F"/>
    <w:rsid w:val="009A4FEB"/>
    <w:rsid w:val="009A5008"/>
    <w:rsid w:val="009A511D"/>
    <w:rsid w:val="009A5201"/>
    <w:rsid w:val="009A5386"/>
    <w:rsid w:val="009A53BD"/>
    <w:rsid w:val="009A5447"/>
    <w:rsid w:val="009A54DF"/>
    <w:rsid w:val="009A5ABC"/>
    <w:rsid w:val="009A5BB8"/>
    <w:rsid w:val="009A5C37"/>
    <w:rsid w:val="009A67C7"/>
    <w:rsid w:val="009A778D"/>
    <w:rsid w:val="009A783E"/>
    <w:rsid w:val="009A7F10"/>
    <w:rsid w:val="009B034E"/>
    <w:rsid w:val="009B0644"/>
    <w:rsid w:val="009B0DC9"/>
    <w:rsid w:val="009B1107"/>
    <w:rsid w:val="009B1419"/>
    <w:rsid w:val="009B150A"/>
    <w:rsid w:val="009B1613"/>
    <w:rsid w:val="009B1CA4"/>
    <w:rsid w:val="009B1CE1"/>
    <w:rsid w:val="009B20AE"/>
    <w:rsid w:val="009B21A0"/>
    <w:rsid w:val="009B2313"/>
    <w:rsid w:val="009B2AF4"/>
    <w:rsid w:val="009B2FD5"/>
    <w:rsid w:val="009B312D"/>
    <w:rsid w:val="009B3578"/>
    <w:rsid w:val="009B3808"/>
    <w:rsid w:val="009B3E18"/>
    <w:rsid w:val="009B3E26"/>
    <w:rsid w:val="009B4556"/>
    <w:rsid w:val="009B4771"/>
    <w:rsid w:val="009B4A20"/>
    <w:rsid w:val="009B4B6B"/>
    <w:rsid w:val="009B56E8"/>
    <w:rsid w:val="009B57CC"/>
    <w:rsid w:val="009B5BBD"/>
    <w:rsid w:val="009B5C38"/>
    <w:rsid w:val="009B5C57"/>
    <w:rsid w:val="009B6188"/>
    <w:rsid w:val="009B6690"/>
    <w:rsid w:val="009B6EA6"/>
    <w:rsid w:val="009B73FB"/>
    <w:rsid w:val="009B77B1"/>
    <w:rsid w:val="009B7863"/>
    <w:rsid w:val="009B78C1"/>
    <w:rsid w:val="009B7DDE"/>
    <w:rsid w:val="009B7FC0"/>
    <w:rsid w:val="009C0241"/>
    <w:rsid w:val="009C02E3"/>
    <w:rsid w:val="009C041B"/>
    <w:rsid w:val="009C0444"/>
    <w:rsid w:val="009C0927"/>
    <w:rsid w:val="009C1025"/>
    <w:rsid w:val="009C109D"/>
    <w:rsid w:val="009C1271"/>
    <w:rsid w:val="009C1BFD"/>
    <w:rsid w:val="009C1F3F"/>
    <w:rsid w:val="009C229C"/>
    <w:rsid w:val="009C2DE8"/>
    <w:rsid w:val="009C2E92"/>
    <w:rsid w:val="009C306B"/>
    <w:rsid w:val="009C34BB"/>
    <w:rsid w:val="009C3706"/>
    <w:rsid w:val="009C382C"/>
    <w:rsid w:val="009C3A3A"/>
    <w:rsid w:val="009C446B"/>
    <w:rsid w:val="009C45C0"/>
    <w:rsid w:val="009C46A9"/>
    <w:rsid w:val="009C46AC"/>
    <w:rsid w:val="009C47CF"/>
    <w:rsid w:val="009C4A4D"/>
    <w:rsid w:val="009C4AE7"/>
    <w:rsid w:val="009C526E"/>
    <w:rsid w:val="009C5568"/>
    <w:rsid w:val="009C5771"/>
    <w:rsid w:val="009C57F1"/>
    <w:rsid w:val="009C5B60"/>
    <w:rsid w:val="009C5BA4"/>
    <w:rsid w:val="009C5E8D"/>
    <w:rsid w:val="009C6028"/>
    <w:rsid w:val="009C630D"/>
    <w:rsid w:val="009C6642"/>
    <w:rsid w:val="009C6973"/>
    <w:rsid w:val="009C6AF6"/>
    <w:rsid w:val="009C6CEA"/>
    <w:rsid w:val="009C765F"/>
    <w:rsid w:val="009C7998"/>
    <w:rsid w:val="009C7B85"/>
    <w:rsid w:val="009C7DD1"/>
    <w:rsid w:val="009C7E66"/>
    <w:rsid w:val="009C7F03"/>
    <w:rsid w:val="009C7F21"/>
    <w:rsid w:val="009D0254"/>
    <w:rsid w:val="009D03AA"/>
    <w:rsid w:val="009D0511"/>
    <w:rsid w:val="009D0C97"/>
    <w:rsid w:val="009D1060"/>
    <w:rsid w:val="009D163F"/>
    <w:rsid w:val="009D176F"/>
    <w:rsid w:val="009D1A64"/>
    <w:rsid w:val="009D1B96"/>
    <w:rsid w:val="009D2979"/>
    <w:rsid w:val="009D2D10"/>
    <w:rsid w:val="009D337F"/>
    <w:rsid w:val="009D3C32"/>
    <w:rsid w:val="009D3F29"/>
    <w:rsid w:val="009D4026"/>
    <w:rsid w:val="009D4206"/>
    <w:rsid w:val="009D4380"/>
    <w:rsid w:val="009D4A46"/>
    <w:rsid w:val="009D4BFF"/>
    <w:rsid w:val="009D5464"/>
    <w:rsid w:val="009D5749"/>
    <w:rsid w:val="009D5831"/>
    <w:rsid w:val="009D5B91"/>
    <w:rsid w:val="009D5C8B"/>
    <w:rsid w:val="009D5D5B"/>
    <w:rsid w:val="009D603D"/>
    <w:rsid w:val="009D66A9"/>
    <w:rsid w:val="009D67F5"/>
    <w:rsid w:val="009D6DFC"/>
    <w:rsid w:val="009D6EBB"/>
    <w:rsid w:val="009D725C"/>
    <w:rsid w:val="009D76B7"/>
    <w:rsid w:val="009D772A"/>
    <w:rsid w:val="009D792E"/>
    <w:rsid w:val="009D7A53"/>
    <w:rsid w:val="009E0350"/>
    <w:rsid w:val="009E0592"/>
    <w:rsid w:val="009E0825"/>
    <w:rsid w:val="009E088E"/>
    <w:rsid w:val="009E0DFC"/>
    <w:rsid w:val="009E0DFE"/>
    <w:rsid w:val="009E1138"/>
    <w:rsid w:val="009E1403"/>
    <w:rsid w:val="009E16FD"/>
    <w:rsid w:val="009E192D"/>
    <w:rsid w:val="009E1AC0"/>
    <w:rsid w:val="009E2022"/>
    <w:rsid w:val="009E20E3"/>
    <w:rsid w:val="009E219F"/>
    <w:rsid w:val="009E288F"/>
    <w:rsid w:val="009E2CC7"/>
    <w:rsid w:val="009E31F6"/>
    <w:rsid w:val="009E34A3"/>
    <w:rsid w:val="009E3B30"/>
    <w:rsid w:val="009E401C"/>
    <w:rsid w:val="009E436E"/>
    <w:rsid w:val="009E4461"/>
    <w:rsid w:val="009E4751"/>
    <w:rsid w:val="009E482C"/>
    <w:rsid w:val="009E491E"/>
    <w:rsid w:val="009E4A12"/>
    <w:rsid w:val="009E4BF5"/>
    <w:rsid w:val="009E4C07"/>
    <w:rsid w:val="009E503A"/>
    <w:rsid w:val="009E52B2"/>
    <w:rsid w:val="009E5451"/>
    <w:rsid w:val="009E54C2"/>
    <w:rsid w:val="009E57D9"/>
    <w:rsid w:val="009E5E14"/>
    <w:rsid w:val="009E64C3"/>
    <w:rsid w:val="009E64F0"/>
    <w:rsid w:val="009E66FE"/>
    <w:rsid w:val="009E68E8"/>
    <w:rsid w:val="009E6AFE"/>
    <w:rsid w:val="009E6FBD"/>
    <w:rsid w:val="009E7267"/>
    <w:rsid w:val="009E7341"/>
    <w:rsid w:val="009E777F"/>
    <w:rsid w:val="009F0057"/>
    <w:rsid w:val="009F00F5"/>
    <w:rsid w:val="009F0726"/>
    <w:rsid w:val="009F07B8"/>
    <w:rsid w:val="009F0B4F"/>
    <w:rsid w:val="009F0BA8"/>
    <w:rsid w:val="009F0EC0"/>
    <w:rsid w:val="009F1961"/>
    <w:rsid w:val="009F1A95"/>
    <w:rsid w:val="009F1AEA"/>
    <w:rsid w:val="009F1BB8"/>
    <w:rsid w:val="009F1C96"/>
    <w:rsid w:val="009F24CB"/>
    <w:rsid w:val="009F2697"/>
    <w:rsid w:val="009F3BDA"/>
    <w:rsid w:val="009F4C32"/>
    <w:rsid w:val="009F4DC4"/>
    <w:rsid w:val="009F520E"/>
    <w:rsid w:val="009F5846"/>
    <w:rsid w:val="009F5AD6"/>
    <w:rsid w:val="009F5E25"/>
    <w:rsid w:val="009F600E"/>
    <w:rsid w:val="009F6120"/>
    <w:rsid w:val="009F64EE"/>
    <w:rsid w:val="009F6B87"/>
    <w:rsid w:val="009F70EA"/>
    <w:rsid w:val="009F73F8"/>
    <w:rsid w:val="009F79E9"/>
    <w:rsid w:val="009F7ACE"/>
    <w:rsid w:val="009F7C89"/>
    <w:rsid w:val="009F7F4C"/>
    <w:rsid w:val="00A00032"/>
    <w:rsid w:val="00A0032E"/>
    <w:rsid w:val="00A00587"/>
    <w:rsid w:val="00A00B48"/>
    <w:rsid w:val="00A00D76"/>
    <w:rsid w:val="00A01184"/>
    <w:rsid w:val="00A01449"/>
    <w:rsid w:val="00A0156C"/>
    <w:rsid w:val="00A01B14"/>
    <w:rsid w:val="00A01E0B"/>
    <w:rsid w:val="00A02980"/>
    <w:rsid w:val="00A02B04"/>
    <w:rsid w:val="00A02F84"/>
    <w:rsid w:val="00A037C2"/>
    <w:rsid w:val="00A03C22"/>
    <w:rsid w:val="00A03D43"/>
    <w:rsid w:val="00A03EF5"/>
    <w:rsid w:val="00A03FAB"/>
    <w:rsid w:val="00A0418A"/>
    <w:rsid w:val="00A04288"/>
    <w:rsid w:val="00A04380"/>
    <w:rsid w:val="00A045E0"/>
    <w:rsid w:val="00A04786"/>
    <w:rsid w:val="00A04D5E"/>
    <w:rsid w:val="00A051DE"/>
    <w:rsid w:val="00A05472"/>
    <w:rsid w:val="00A054C1"/>
    <w:rsid w:val="00A0597A"/>
    <w:rsid w:val="00A05A79"/>
    <w:rsid w:val="00A05B40"/>
    <w:rsid w:val="00A05B8A"/>
    <w:rsid w:val="00A05C32"/>
    <w:rsid w:val="00A05CFA"/>
    <w:rsid w:val="00A06090"/>
    <w:rsid w:val="00A060B8"/>
    <w:rsid w:val="00A061C3"/>
    <w:rsid w:val="00A062BB"/>
    <w:rsid w:val="00A06445"/>
    <w:rsid w:val="00A0653F"/>
    <w:rsid w:val="00A0685A"/>
    <w:rsid w:val="00A06890"/>
    <w:rsid w:val="00A06A60"/>
    <w:rsid w:val="00A06AB4"/>
    <w:rsid w:val="00A07015"/>
    <w:rsid w:val="00A072F5"/>
    <w:rsid w:val="00A074C2"/>
    <w:rsid w:val="00A10010"/>
    <w:rsid w:val="00A10CE3"/>
    <w:rsid w:val="00A10D22"/>
    <w:rsid w:val="00A11423"/>
    <w:rsid w:val="00A11CD0"/>
    <w:rsid w:val="00A11F3F"/>
    <w:rsid w:val="00A11FEA"/>
    <w:rsid w:val="00A12251"/>
    <w:rsid w:val="00A126CB"/>
    <w:rsid w:val="00A128C3"/>
    <w:rsid w:val="00A12BCA"/>
    <w:rsid w:val="00A12BEE"/>
    <w:rsid w:val="00A12DE3"/>
    <w:rsid w:val="00A1305F"/>
    <w:rsid w:val="00A134E7"/>
    <w:rsid w:val="00A13580"/>
    <w:rsid w:val="00A13948"/>
    <w:rsid w:val="00A140A6"/>
    <w:rsid w:val="00A14120"/>
    <w:rsid w:val="00A148DE"/>
    <w:rsid w:val="00A14BDC"/>
    <w:rsid w:val="00A14D4E"/>
    <w:rsid w:val="00A14FA6"/>
    <w:rsid w:val="00A15031"/>
    <w:rsid w:val="00A15236"/>
    <w:rsid w:val="00A1555B"/>
    <w:rsid w:val="00A1558D"/>
    <w:rsid w:val="00A155C5"/>
    <w:rsid w:val="00A1580F"/>
    <w:rsid w:val="00A15BB6"/>
    <w:rsid w:val="00A15E5C"/>
    <w:rsid w:val="00A16228"/>
    <w:rsid w:val="00A16296"/>
    <w:rsid w:val="00A16747"/>
    <w:rsid w:val="00A16AD8"/>
    <w:rsid w:val="00A16B36"/>
    <w:rsid w:val="00A16E8F"/>
    <w:rsid w:val="00A17027"/>
    <w:rsid w:val="00A174C8"/>
    <w:rsid w:val="00A1781B"/>
    <w:rsid w:val="00A178E4"/>
    <w:rsid w:val="00A17BE3"/>
    <w:rsid w:val="00A2019B"/>
    <w:rsid w:val="00A2021E"/>
    <w:rsid w:val="00A20360"/>
    <w:rsid w:val="00A207FF"/>
    <w:rsid w:val="00A21159"/>
    <w:rsid w:val="00A21252"/>
    <w:rsid w:val="00A21505"/>
    <w:rsid w:val="00A215A8"/>
    <w:rsid w:val="00A21BC8"/>
    <w:rsid w:val="00A21C95"/>
    <w:rsid w:val="00A21CB9"/>
    <w:rsid w:val="00A21CF3"/>
    <w:rsid w:val="00A23419"/>
    <w:rsid w:val="00A2392E"/>
    <w:rsid w:val="00A23DEB"/>
    <w:rsid w:val="00A23EBE"/>
    <w:rsid w:val="00A23F70"/>
    <w:rsid w:val="00A24085"/>
    <w:rsid w:val="00A240AE"/>
    <w:rsid w:val="00A24451"/>
    <w:rsid w:val="00A246BD"/>
    <w:rsid w:val="00A24753"/>
    <w:rsid w:val="00A2475F"/>
    <w:rsid w:val="00A24813"/>
    <w:rsid w:val="00A24DBB"/>
    <w:rsid w:val="00A25733"/>
    <w:rsid w:val="00A25850"/>
    <w:rsid w:val="00A25883"/>
    <w:rsid w:val="00A2593D"/>
    <w:rsid w:val="00A25A93"/>
    <w:rsid w:val="00A25D04"/>
    <w:rsid w:val="00A2661B"/>
    <w:rsid w:val="00A2690E"/>
    <w:rsid w:val="00A26A4A"/>
    <w:rsid w:val="00A26D06"/>
    <w:rsid w:val="00A26D97"/>
    <w:rsid w:val="00A27268"/>
    <w:rsid w:val="00A2794D"/>
    <w:rsid w:val="00A27AEC"/>
    <w:rsid w:val="00A27C15"/>
    <w:rsid w:val="00A27C39"/>
    <w:rsid w:val="00A3010D"/>
    <w:rsid w:val="00A306AD"/>
    <w:rsid w:val="00A30964"/>
    <w:rsid w:val="00A311E1"/>
    <w:rsid w:val="00A315C2"/>
    <w:rsid w:val="00A3183C"/>
    <w:rsid w:val="00A318B4"/>
    <w:rsid w:val="00A31918"/>
    <w:rsid w:val="00A319ED"/>
    <w:rsid w:val="00A31B36"/>
    <w:rsid w:val="00A31B8F"/>
    <w:rsid w:val="00A32074"/>
    <w:rsid w:val="00A320DB"/>
    <w:rsid w:val="00A321E0"/>
    <w:rsid w:val="00A32721"/>
    <w:rsid w:val="00A32775"/>
    <w:rsid w:val="00A32ACD"/>
    <w:rsid w:val="00A32E08"/>
    <w:rsid w:val="00A331A7"/>
    <w:rsid w:val="00A33245"/>
    <w:rsid w:val="00A33717"/>
    <w:rsid w:val="00A33C94"/>
    <w:rsid w:val="00A33E2A"/>
    <w:rsid w:val="00A33ECD"/>
    <w:rsid w:val="00A3401F"/>
    <w:rsid w:val="00A34586"/>
    <w:rsid w:val="00A34686"/>
    <w:rsid w:val="00A3491D"/>
    <w:rsid w:val="00A34CAB"/>
    <w:rsid w:val="00A35730"/>
    <w:rsid w:val="00A357AB"/>
    <w:rsid w:val="00A357EB"/>
    <w:rsid w:val="00A358CE"/>
    <w:rsid w:val="00A35AE8"/>
    <w:rsid w:val="00A35D16"/>
    <w:rsid w:val="00A36318"/>
    <w:rsid w:val="00A3643B"/>
    <w:rsid w:val="00A364F7"/>
    <w:rsid w:val="00A36522"/>
    <w:rsid w:val="00A36C16"/>
    <w:rsid w:val="00A36CD3"/>
    <w:rsid w:val="00A36FFC"/>
    <w:rsid w:val="00A375F1"/>
    <w:rsid w:val="00A377E3"/>
    <w:rsid w:val="00A378C2"/>
    <w:rsid w:val="00A37BCD"/>
    <w:rsid w:val="00A40747"/>
    <w:rsid w:val="00A4097B"/>
    <w:rsid w:val="00A40A43"/>
    <w:rsid w:val="00A41345"/>
    <w:rsid w:val="00A41689"/>
    <w:rsid w:val="00A418E5"/>
    <w:rsid w:val="00A4212B"/>
    <w:rsid w:val="00A42592"/>
    <w:rsid w:val="00A428A7"/>
    <w:rsid w:val="00A42B52"/>
    <w:rsid w:val="00A42DA6"/>
    <w:rsid w:val="00A4325F"/>
    <w:rsid w:val="00A432A8"/>
    <w:rsid w:val="00A43320"/>
    <w:rsid w:val="00A4336C"/>
    <w:rsid w:val="00A43372"/>
    <w:rsid w:val="00A434D9"/>
    <w:rsid w:val="00A43781"/>
    <w:rsid w:val="00A43A8C"/>
    <w:rsid w:val="00A43C59"/>
    <w:rsid w:val="00A43F16"/>
    <w:rsid w:val="00A43FD6"/>
    <w:rsid w:val="00A44029"/>
    <w:rsid w:val="00A44584"/>
    <w:rsid w:val="00A449C9"/>
    <w:rsid w:val="00A44CFF"/>
    <w:rsid w:val="00A44DE0"/>
    <w:rsid w:val="00A45245"/>
    <w:rsid w:val="00A454C9"/>
    <w:rsid w:val="00A45B2A"/>
    <w:rsid w:val="00A4600B"/>
    <w:rsid w:val="00A460EF"/>
    <w:rsid w:val="00A46266"/>
    <w:rsid w:val="00A463BD"/>
    <w:rsid w:val="00A466B6"/>
    <w:rsid w:val="00A46A4F"/>
    <w:rsid w:val="00A46BCA"/>
    <w:rsid w:val="00A46C78"/>
    <w:rsid w:val="00A46EE2"/>
    <w:rsid w:val="00A46F5D"/>
    <w:rsid w:val="00A476BB"/>
    <w:rsid w:val="00A476C9"/>
    <w:rsid w:val="00A47E78"/>
    <w:rsid w:val="00A50405"/>
    <w:rsid w:val="00A50522"/>
    <w:rsid w:val="00A506F7"/>
    <w:rsid w:val="00A5096D"/>
    <w:rsid w:val="00A50C8C"/>
    <w:rsid w:val="00A50EA0"/>
    <w:rsid w:val="00A50ECD"/>
    <w:rsid w:val="00A50F85"/>
    <w:rsid w:val="00A51140"/>
    <w:rsid w:val="00A5131A"/>
    <w:rsid w:val="00A5185B"/>
    <w:rsid w:val="00A518F3"/>
    <w:rsid w:val="00A51FE9"/>
    <w:rsid w:val="00A521C4"/>
    <w:rsid w:val="00A52638"/>
    <w:rsid w:val="00A52729"/>
    <w:rsid w:val="00A52A5C"/>
    <w:rsid w:val="00A52B7A"/>
    <w:rsid w:val="00A52DC9"/>
    <w:rsid w:val="00A52EF3"/>
    <w:rsid w:val="00A52FD7"/>
    <w:rsid w:val="00A53106"/>
    <w:rsid w:val="00A5342A"/>
    <w:rsid w:val="00A5348F"/>
    <w:rsid w:val="00A53675"/>
    <w:rsid w:val="00A540A5"/>
    <w:rsid w:val="00A54295"/>
    <w:rsid w:val="00A546B9"/>
    <w:rsid w:val="00A54FC0"/>
    <w:rsid w:val="00A55244"/>
    <w:rsid w:val="00A55407"/>
    <w:rsid w:val="00A5557E"/>
    <w:rsid w:val="00A55CAE"/>
    <w:rsid w:val="00A561FE"/>
    <w:rsid w:val="00A562AF"/>
    <w:rsid w:val="00A564D7"/>
    <w:rsid w:val="00A569AF"/>
    <w:rsid w:val="00A56B6A"/>
    <w:rsid w:val="00A56EA5"/>
    <w:rsid w:val="00A57629"/>
    <w:rsid w:val="00A5774F"/>
    <w:rsid w:val="00A5782C"/>
    <w:rsid w:val="00A578DC"/>
    <w:rsid w:val="00A57D75"/>
    <w:rsid w:val="00A60282"/>
    <w:rsid w:val="00A60579"/>
    <w:rsid w:val="00A6079F"/>
    <w:rsid w:val="00A607A6"/>
    <w:rsid w:val="00A60E58"/>
    <w:rsid w:val="00A6100B"/>
    <w:rsid w:val="00A610F7"/>
    <w:rsid w:val="00A61588"/>
    <w:rsid w:val="00A619C4"/>
    <w:rsid w:val="00A62148"/>
    <w:rsid w:val="00A6214E"/>
    <w:rsid w:val="00A62B78"/>
    <w:rsid w:val="00A62D17"/>
    <w:rsid w:val="00A63283"/>
    <w:rsid w:val="00A63343"/>
    <w:rsid w:val="00A63372"/>
    <w:rsid w:val="00A638A6"/>
    <w:rsid w:val="00A63D05"/>
    <w:rsid w:val="00A63DF2"/>
    <w:rsid w:val="00A63EFC"/>
    <w:rsid w:val="00A63FE2"/>
    <w:rsid w:val="00A640BD"/>
    <w:rsid w:val="00A640E2"/>
    <w:rsid w:val="00A64241"/>
    <w:rsid w:val="00A6432C"/>
    <w:rsid w:val="00A64A35"/>
    <w:rsid w:val="00A64B0E"/>
    <w:rsid w:val="00A64D65"/>
    <w:rsid w:val="00A64F57"/>
    <w:rsid w:val="00A650EE"/>
    <w:rsid w:val="00A65240"/>
    <w:rsid w:val="00A6590E"/>
    <w:rsid w:val="00A65A3B"/>
    <w:rsid w:val="00A65B04"/>
    <w:rsid w:val="00A66097"/>
    <w:rsid w:val="00A662F1"/>
    <w:rsid w:val="00A668E4"/>
    <w:rsid w:val="00A669E8"/>
    <w:rsid w:val="00A66AA6"/>
    <w:rsid w:val="00A6725B"/>
    <w:rsid w:val="00A67420"/>
    <w:rsid w:val="00A676A0"/>
    <w:rsid w:val="00A67BAE"/>
    <w:rsid w:val="00A67D6B"/>
    <w:rsid w:val="00A67E5F"/>
    <w:rsid w:val="00A70605"/>
    <w:rsid w:val="00A70815"/>
    <w:rsid w:val="00A70B0E"/>
    <w:rsid w:val="00A70CA8"/>
    <w:rsid w:val="00A70D69"/>
    <w:rsid w:val="00A70DA8"/>
    <w:rsid w:val="00A7153E"/>
    <w:rsid w:val="00A71D51"/>
    <w:rsid w:val="00A72983"/>
    <w:rsid w:val="00A72B60"/>
    <w:rsid w:val="00A72BE5"/>
    <w:rsid w:val="00A72C43"/>
    <w:rsid w:val="00A72E78"/>
    <w:rsid w:val="00A73134"/>
    <w:rsid w:val="00A7365A"/>
    <w:rsid w:val="00A738A7"/>
    <w:rsid w:val="00A74309"/>
    <w:rsid w:val="00A746F9"/>
    <w:rsid w:val="00A75129"/>
    <w:rsid w:val="00A75695"/>
    <w:rsid w:val="00A75E27"/>
    <w:rsid w:val="00A76001"/>
    <w:rsid w:val="00A7616B"/>
    <w:rsid w:val="00A7733D"/>
    <w:rsid w:val="00A7763F"/>
    <w:rsid w:val="00A777B2"/>
    <w:rsid w:val="00A77B61"/>
    <w:rsid w:val="00A77C82"/>
    <w:rsid w:val="00A77E4B"/>
    <w:rsid w:val="00A80107"/>
    <w:rsid w:val="00A80155"/>
    <w:rsid w:val="00A803F0"/>
    <w:rsid w:val="00A80978"/>
    <w:rsid w:val="00A80C72"/>
    <w:rsid w:val="00A80F31"/>
    <w:rsid w:val="00A816CB"/>
    <w:rsid w:val="00A82308"/>
    <w:rsid w:val="00A823A8"/>
    <w:rsid w:val="00A825D4"/>
    <w:rsid w:val="00A828F6"/>
    <w:rsid w:val="00A82B73"/>
    <w:rsid w:val="00A82D90"/>
    <w:rsid w:val="00A82EF8"/>
    <w:rsid w:val="00A83531"/>
    <w:rsid w:val="00A837DF"/>
    <w:rsid w:val="00A837EC"/>
    <w:rsid w:val="00A83B54"/>
    <w:rsid w:val="00A83EF4"/>
    <w:rsid w:val="00A841A7"/>
    <w:rsid w:val="00A843A0"/>
    <w:rsid w:val="00A8451E"/>
    <w:rsid w:val="00A8462A"/>
    <w:rsid w:val="00A84B1C"/>
    <w:rsid w:val="00A84BF0"/>
    <w:rsid w:val="00A84EC5"/>
    <w:rsid w:val="00A85505"/>
    <w:rsid w:val="00A85C10"/>
    <w:rsid w:val="00A862DC"/>
    <w:rsid w:val="00A864E2"/>
    <w:rsid w:val="00A8663E"/>
    <w:rsid w:val="00A86E8B"/>
    <w:rsid w:val="00A86EEF"/>
    <w:rsid w:val="00A86FB2"/>
    <w:rsid w:val="00A87164"/>
    <w:rsid w:val="00A871A9"/>
    <w:rsid w:val="00A872BE"/>
    <w:rsid w:val="00A873BA"/>
    <w:rsid w:val="00A87869"/>
    <w:rsid w:val="00A9031A"/>
    <w:rsid w:val="00A90354"/>
    <w:rsid w:val="00A90666"/>
    <w:rsid w:val="00A906D7"/>
    <w:rsid w:val="00A907E0"/>
    <w:rsid w:val="00A90BE2"/>
    <w:rsid w:val="00A90D15"/>
    <w:rsid w:val="00A90D19"/>
    <w:rsid w:val="00A91146"/>
    <w:rsid w:val="00A9121F"/>
    <w:rsid w:val="00A91BB9"/>
    <w:rsid w:val="00A91F92"/>
    <w:rsid w:val="00A92173"/>
    <w:rsid w:val="00A921E9"/>
    <w:rsid w:val="00A923C8"/>
    <w:rsid w:val="00A92640"/>
    <w:rsid w:val="00A92D4F"/>
    <w:rsid w:val="00A92E7B"/>
    <w:rsid w:val="00A93072"/>
    <w:rsid w:val="00A933CE"/>
    <w:rsid w:val="00A9348F"/>
    <w:rsid w:val="00A93645"/>
    <w:rsid w:val="00A9364A"/>
    <w:rsid w:val="00A938BD"/>
    <w:rsid w:val="00A93953"/>
    <w:rsid w:val="00A93B99"/>
    <w:rsid w:val="00A93BDE"/>
    <w:rsid w:val="00A93D9E"/>
    <w:rsid w:val="00A9402A"/>
    <w:rsid w:val="00A9428B"/>
    <w:rsid w:val="00A947F5"/>
    <w:rsid w:val="00A94B3C"/>
    <w:rsid w:val="00A94D1F"/>
    <w:rsid w:val="00A94E06"/>
    <w:rsid w:val="00A950DA"/>
    <w:rsid w:val="00A959D8"/>
    <w:rsid w:val="00A959E8"/>
    <w:rsid w:val="00A95B1B"/>
    <w:rsid w:val="00A95D9B"/>
    <w:rsid w:val="00A95FEB"/>
    <w:rsid w:val="00A96481"/>
    <w:rsid w:val="00A96AA5"/>
    <w:rsid w:val="00A96CDC"/>
    <w:rsid w:val="00A96DFE"/>
    <w:rsid w:val="00A96E36"/>
    <w:rsid w:val="00A970EA"/>
    <w:rsid w:val="00A97421"/>
    <w:rsid w:val="00A976CB"/>
    <w:rsid w:val="00A97B1D"/>
    <w:rsid w:val="00AA00CD"/>
    <w:rsid w:val="00AA024B"/>
    <w:rsid w:val="00AA05D5"/>
    <w:rsid w:val="00AA0922"/>
    <w:rsid w:val="00AA09C6"/>
    <w:rsid w:val="00AA0BEB"/>
    <w:rsid w:val="00AA10D2"/>
    <w:rsid w:val="00AA113D"/>
    <w:rsid w:val="00AA1BC4"/>
    <w:rsid w:val="00AA1E21"/>
    <w:rsid w:val="00AA1F3D"/>
    <w:rsid w:val="00AA1F3F"/>
    <w:rsid w:val="00AA1FA6"/>
    <w:rsid w:val="00AA2327"/>
    <w:rsid w:val="00AA23E0"/>
    <w:rsid w:val="00AA2409"/>
    <w:rsid w:val="00AA242C"/>
    <w:rsid w:val="00AA246A"/>
    <w:rsid w:val="00AA281C"/>
    <w:rsid w:val="00AA2BF8"/>
    <w:rsid w:val="00AA30AB"/>
    <w:rsid w:val="00AA3900"/>
    <w:rsid w:val="00AA3CAE"/>
    <w:rsid w:val="00AA3DAC"/>
    <w:rsid w:val="00AA4028"/>
    <w:rsid w:val="00AA4270"/>
    <w:rsid w:val="00AA42CB"/>
    <w:rsid w:val="00AA4ADF"/>
    <w:rsid w:val="00AA4D04"/>
    <w:rsid w:val="00AA4DB8"/>
    <w:rsid w:val="00AA4E46"/>
    <w:rsid w:val="00AA4E78"/>
    <w:rsid w:val="00AA4ECD"/>
    <w:rsid w:val="00AA50C6"/>
    <w:rsid w:val="00AA53AB"/>
    <w:rsid w:val="00AA5807"/>
    <w:rsid w:val="00AA5CF6"/>
    <w:rsid w:val="00AA5F22"/>
    <w:rsid w:val="00AA5FF7"/>
    <w:rsid w:val="00AA6198"/>
    <w:rsid w:val="00AA670E"/>
    <w:rsid w:val="00AA6BD5"/>
    <w:rsid w:val="00AA6BD8"/>
    <w:rsid w:val="00AA6C7D"/>
    <w:rsid w:val="00AA6EB5"/>
    <w:rsid w:val="00AA7348"/>
    <w:rsid w:val="00AA758A"/>
    <w:rsid w:val="00AA782C"/>
    <w:rsid w:val="00AA7B24"/>
    <w:rsid w:val="00AA7FBB"/>
    <w:rsid w:val="00AA7FD6"/>
    <w:rsid w:val="00AB0040"/>
    <w:rsid w:val="00AB042A"/>
    <w:rsid w:val="00AB047E"/>
    <w:rsid w:val="00AB09D1"/>
    <w:rsid w:val="00AB0DAE"/>
    <w:rsid w:val="00AB11AD"/>
    <w:rsid w:val="00AB12BF"/>
    <w:rsid w:val="00AB1600"/>
    <w:rsid w:val="00AB19EF"/>
    <w:rsid w:val="00AB1A9C"/>
    <w:rsid w:val="00AB1DFC"/>
    <w:rsid w:val="00AB1EC9"/>
    <w:rsid w:val="00AB2495"/>
    <w:rsid w:val="00AB2549"/>
    <w:rsid w:val="00AB25B8"/>
    <w:rsid w:val="00AB25C0"/>
    <w:rsid w:val="00AB29B9"/>
    <w:rsid w:val="00AB2A78"/>
    <w:rsid w:val="00AB2D34"/>
    <w:rsid w:val="00AB2E91"/>
    <w:rsid w:val="00AB3430"/>
    <w:rsid w:val="00AB3599"/>
    <w:rsid w:val="00AB3792"/>
    <w:rsid w:val="00AB37B9"/>
    <w:rsid w:val="00AB3A14"/>
    <w:rsid w:val="00AB3C8C"/>
    <w:rsid w:val="00AB403E"/>
    <w:rsid w:val="00AB4048"/>
    <w:rsid w:val="00AB43F9"/>
    <w:rsid w:val="00AB46EE"/>
    <w:rsid w:val="00AB47A0"/>
    <w:rsid w:val="00AB49AE"/>
    <w:rsid w:val="00AB4AD1"/>
    <w:rsid w:val="00AB4E2C"/>
    <w:rsid w:val="00AB4FB0"/>
    <w:rsid w:val="00AB52E1"/>
    <w:rsid w:val="00AB56E3"/>
    <w:rsid w:val="00AB58DB"/>
    <w:rsid w:val="00AB5AED"/>
    <w:rsid w:val="00AB5DC1"/>
    <w:rsid w:val="00AB5E07"/>
    <w:rsid w:val="00AB62D2"/>
    <w:rsid w:val="00AB66B1"/>
    <w:rsid w:val="00AB6763"/>
    <w:rsid w:val="00AB6C49"/>
    <w:rsid w:val="00AB6EBB"/>
    <w:rsid w:val="00AB7139"/>
    <w:rsid w:val="00AB73BA"/>
    <w:rsid w:val="00AB7669"/>
    <w:rsid w:val="00AB7CFA"/>
    <w:rsid w:val="00AB7D3E"/>
    <w:rsid w:val="00AB7DA3"/>
    <w:rsid w:val="00AC011D"/>
    <w:rsid w:val="00AC0131"/>
    <w:rsid w:val="00AC02CE"/>
    <w:rsid w:val="00AC0A84"/>
    <w:rsid w:val="00AC0AB0"/>
    <w:rsid w:val="00AC2201"/>
    <w:rsid w:val="00AC2998"/>
    <w:rsid w:val="00AC2A4F"/>
    <w:rsid w:val="00AC2D9C"/>
    <w:rsid w:val="00AC2DD4"/>
    <w:rsid w:val="00AC2E14"/>
    <w:rsid w:val="00AC2F64"/>
    <w:rsid w:val="00AC39D9"/>
    <w:rsid w:val="00AC39F5"/>
    <w:rsid w:val="00AC3AD3"/>
    <w:rsid w:val="00AC3B97"/>
    <w:rsid w:val="00AC3F13"/>
    <w:rsid w:val="00AC41B2"/>
    <w:rsid w:val="00AC4334"/>
    <w:rsid w:val="00AC47EC"/>
    <w:rsid w:val="00AC5542"/>
    <w:rsid w:val="00AC5691"/>
    <w:rsid w:val="00AC5B04"/>
    <w:rsid w:val="00AC5B42"/>
    <w:rsid w:val="00AC5B48"/>
    <w:rsid w:val="00AC6071"/>
    <w:rsid w:val="00AC6603"/>
    <w:rsid w:val="00AC6AA2"/>
    <w:rsid w:val="00AC6DA8"/>
    <w:rsid w:val="00AC71DD"/>
    <w:rsid w:val="00AC72EA"/>
    <w:rsid w:val="00AC772E"/>
    <w:rsid w:val="00AC7810"/>
    <w:rsid w:val="00AC7885"/>
    <w:rsid w:val="00AC793D"/>
    <w:rsid w:val="00AC7BBE"/>
    <w:rsid w:val="00AC7F65"/>
    <w:rsid w:val="00AD017B"/>
    <w:rsid w:val="00AD068E"/>
    <w:rsid w:val="00AD0901"/>
    <w:rsid w:val="00AD0D48"/>
    <w:rsid w:val="00AD1450"/>
    <w:rsid w:val="00AD15E8"/>
    <w:rsid w:val="00AD1A72"/>
    <w:rsid w:val="00AD1C56"/>
    <w:rsid w:val="00AD1FF8"/>
    <w:rsid w:val="00AD22AC"/>
    <w:rsid w:val="00AD2650"/>
    <w:rsid w:val="00AD26F7"/>
    <w:rsid w:val="00AD29E7"/>
    <w:rsid w:val="00AD2B81"/>
    <w:rsid w:val="00AD3124"/>
    <w:rsid w:val="00AD356D"/>
    <w:rsid w:val="00AD3841"/>
    <w:rsid w:val="00AD3891"/>
    <w:rsid w:val="00AD3990"/>
    <w:rsid w:val="00AD425C"/>
    <w:rsid w:val="00AD442D"/>
    <w:rsid w:val="00AD442E"/>
    <w:rsid w:val="00AD4777"/>
    <w:rsid w:val="00AD4BB6"/>
    <w:rsid w:val="00AD4EDF"/>
    <w:rsid w:val="00AD4F72"/>
    <w:rsid w:val="00AD526C"/>
    <w:rsid w:val="00AD540A"/>
    <w:rsid w:val="00AD54C4"/>
    <w:rsid w:val="00AD5AA0"/>
    <w:rsid w:val="00AD5C88"/>
    <w:rsid w:val="00AD6384"/>
    <w:rsid w:val="00AD63DD"/>
    <w:rsid w:val="00AD6502"/>
    <w:rsid w:val="00AD6E9B"/>
    <w:rsid w:val="00AD7030"/>
    <w:rsid w:val="00AD7104"/>
    <w:rsid w:val="00AE0695"/>
    <w:rsid w:val="00AE06BF"/>
    <w:rsid w:val="00AE0DD6"/>
    <w:rsid w:val="00AE0EC6"/>
    <w:rsid w:val="00AE1A3C"/>
    <w:rsid w:val="00AE1B70"/>
    <w:rsid w:val="00AE1D28"/>
    <w:rsid w:val="00AE1D7C"/>
    <w:rsid w:val="00AE203C"/>
    <w:rsid w:val="00AE2213"/>
    <w:rsid w:val="00AE224A"/>
    <w:rsid w:val="00AE22CF"/>
    <w:rsid w:val="00AE24ED"/>
    <w:rsid w:val="00AE2B88"/>
    <w:rsid w:val="00AE301F"/>
    <w:rsid w:val="00AE3344"/>
    <w:rsid w:val="00AE3606"/>
    <w:rsid w:val="00AE3887"/>
    <w:rsid w:val="00AE3E7E"/>
    <w:rsid w:val="00AE3FDE"/>
    <w:rsid w:val="00AE486F"/>
    <w:rsid w:val="00AE49AC"/>
    <w:rsid w:val="00AE5060"/>
    <w:rsid w:val="00AE5600"/>
    <w:rsid w:val="00AE561F"/>
    <w:rsid w:val="00AE5753"/>
    <w:rsid w:val="00AE5986"/>
    <w:rsid w:val="00AE5ECB"/>
    <w:rsid w:val="00AE61C0"/>
    <w:rsid w:val="00AE6F0C"/>
    <w:rsid w:val="00AE7076"/>
    <w:rsid w:val="00AE70AA"/>
    <w:rsid w:val="00AE79A7"/>
    <w:rsid w:val="00AE7E53"/>
    <w:rsid w:val="00AE7F9C"/>
    <w:rsid w:val="00AF0540"/>
    <w:rsid w:val="00AF0A10"/>
    <w:rsid w:val="00AF10DB"/>
    <w:rsid w:val="00AF1315"/>
    <w:rsid w:val="00AF180F"/>
    <w:rsid w:val="00AF186F"/>
    <w:rsid w:val="00AF19BF"/>
    <w:rsid w:val="00AF1ED9"/>
    <w:rsid w:val="00AF1F29"/>
    <w:rsid w:val="00AF2015"/>
    <w:rsid w:val="00AF2725"/>
    <w:rsid w:val="00AF2A66"/>
    <w:rsid w:val="00AF2DC3"/>
    <w:rsid w:val="00AF2EB5"/>
    <w:rsid w:val="00AF32DB"/>
    <w:rsid w:val="00AF33CF"/>
    <w:rsid w:val="00AF39E4"/>
    <w:rsid w:val="00AF400E"/>
    <w:rsid w:val="00AF40B6"/>
    <w:rsid w:val="00AF444E"/>
    <w:rsid w:val="00AF4613"/>
    <w:rsid w:val="00AF4E16"/>
    <w:rsid w:val="00AF5237"/>
    <w:rsid w:val="00AF5540"/>
    <w:rsid w:val="00AF5686"/>
    <w:rsid w:val="00AF569A"/>
    <w:rsid w:val="00AF58A3"/>
    <w:rsid w:val="00AF5F04"/>
    <w:rsid w:val="00AF6678"/>
    <w:rsid w:val="00AF6B92"/>
    <w:rsid w:val="00AF6DA0"/>
    <w:rsid w:val="00AF7067"/>
    <w:rsid w:val="00AF71E2"/>
    <w:rsid w:val="00AF7CE6"/>
    <w:rsid w:val="00AF7CF8"/>
    <w:rsid w:val="00AF7D05"/>
    <w:rsid w:val="00B00204"/>
    <w:rsid w:val="00B002E4"/>
    <w:rsid w:val="00B00732"/>
    <w:rsid w:val="00B00893"/>
    <w:rsid w:val="00B00B85"/>
    <w:rsid w:val="00B00C8D"/>
    <w:rsid w:val="00B00ED6"/>
    <w:rsid w:val="00B010CA"/>
    <w:rsid w:val="00B01AD7"/>
    <w:rsid w:val="00B02111"/>
    <w:rsid w:val="00B0254F"/>
    <w:rsid w:val="00B02874"/>
    <w:rsid w:val="00B028B6"/>
    <w:rsid w:val="00B02998"/>
    <w:rsid w:val="00B02AEA"/>
    <w:rsid w:val="00B02E3A"/>
    <w:rsid w:val="00B03002"/>
    <w:rsid w:val="00B030F7"/>
    <w:rsid w:val="00B03178"/>
    <w:rsid w:val="00B033D3"/>
    <w:rsid w:val="00B033E5"/>
    <w:rsid w:val="00B03795"/>
    <w:rsid w:val="00B038C4"/>
    <w:rsid w:val="00B03A31"/>
    <w:rsid w:val="00B03A34"/>
    <w:rsid w:val="00B03A63"/>
    <w:rsid w:val="00B03EB8"/>
    <w:rsid w:val="00B0439F"/>
    <w:rsid w:val="00B04542"/>
    <w:rsid w:val="00B04904"/>
    <w:rsid w:val="00B054BE"/>
    <w:rsid w:val="00B05D7F"/>
    <w:rsid w:val="00B05F36"/>
    <w:rsid w:val="00B0624D"/>
    <w:rsid w:val="00B07A35"/>
    <w:rsid w:val="00B07E82"/>
    <w:rsid w:val="00B07ED6"/>
    <w:rsid w:val="00B10A39"/>
    <w:rsid w:val="00B10AD1"/>
    <w:rsid w:val="00B10C7D"/>
    <w:rsid w:val="00B112FF"/>
    <w:rsid w:val="00B11734"/>
    <w:rsid w:val="00B11AD3"/>
    <w:rsid w:val="00B1207F"/>
    <w:rsid w:val="00B12393"/>
    <w:rsid w:val="00B1250C"/>
    <w:rsid w:val="00B12852"/>
    <w:rsid w:val="00B129A4"/>
    <w:rsid w:val="00B12D15"/>
    <w:rsid w:val="00B13ACB"/>
    <w:rsid w:val="00B13D9E"/>
    <w:rsid w:val="00B13FC9"/>
    <w:rsid w:val="00B140EA"/>
    <w:rsid w:val="00B14798"/>
    <w:rsid w:val="00B147F7"/>
    <w:rsid w:val="00B14859"/>
    <w:rsid w:val="00B14975"/>
    <w:rsid w:val="00B14A67"/>
    <w:rsid w:val="00B14B85"/>
    <w:rsid w:val="00B14B87"/>
    <w:rsid w:val="00B157D6"/>
    <w:rsid w:val="00B15984"/>
    <w:rsid w:val="00B160C0"/>
    <w:rsid w:val="00B16252"/>
    <w:rsid w:val="00B16860"/>
    <w:rsid w:val="00B17513"/>
    <w:rsid w:val="00B17E95"/>
    <w:rsid w:val="00B201A4"/>
    <w:rsid w:val="00B201D1"/>
    <w:rsid w:val="00B20345"/>
    <w:rsid w:val="00B206CA"/>
    <w:rsid w:val="00B2092F"/>
    <w:rsid w:val="00B20A47"/>
    <w:rsid w:val="00B20A5C"/>
    <w:rsid w:val="00B20CDE"/>
    <w:rsid w:val="00B20E89"/>
    <w:rsid w:val="00B212F2"/>
    <w:rsid w:val="00B213A6"/>
    <w:rsid w:val="00B2142E"/>
    <w:rsid w:val="00B21C11"/>
    <w:rsid w:val="00B21C3D"/>
    <w:rsid w:val="00B22340"/>
    <w:rsid w:val="00B2261B"/>
    <w:rsid w:val="00B22638"/>
    <w:rsid w:val="00B22A3F"/>
    <w:rsid w:val="00B22F9E"/>
    <w:rsid w:val="00B231E5"/>
    <w:rsid w:val="00B232B2"/>
    <w:rsid w:val="00B235B0"/>
    <w:rsid w:val="00B2363F"/>
    <w:rsid w:val="00B236FF"/>
    <w:rsid w:val="00B23905"/>
    <w:rsid w:val="00B239EC"/>
    <w:rsid w:val="00B23C5E"/>
    <w:rsid w:val="00B24226"/>
    <w:rsid w:val="00B24A9E"/>
    <w:rsid w:val="00B24DF6"/>
    <w:rsid w:val="00B25016"/>
    <w:rsid w:val="00B25298"/>
    <w:rsid w:val="00B256F4"/>
    <w:rsid w:val="00B2580F"/>
    <w:rsid w:val="00B258DA"/>
    <w:rsid w:val="00B25BF9"/>
    <w:rsid w:val="00B25D44"/>
    <w:rsid w:val="00B26043"/>
    <w:rsid w:val="00B2661B"/>
    <w:rsid w:val="00B2671C"/>
    <w:rsid w:val="00B26D1D"/>
    <w:rsid w:val="00B26D92"/>
    <w:rsid w:val="00B26DAC"/>
    <w:rsid w:val="00B272B8"/>
    <w:rsid w:val="00B2753C"/>
    <w:rsid w:val="00B275A7"/>
    <w:rsid w:val="00B27734"/>
    <w:rsid w:val="00B278BE"/>
    <w:rsid w:val="00B27A61"/>
    <w:rsid w:val="00B3035C"/>
    <w:rsid w:val="00B303AB"/>
    <w:rsid w:val="00B309DA"/>
    <w:rsid w:val="00B30A4B"/>
    <w:rsid w:val="00B30A5D"/>
    <w:rsid w:val="00B30A90"/>
    <w:rsid w:val="00B30D8D"/>
    <w:rsid w:val="00B30EB6"/>
    <w:rsid w:val="00B30F88"/>
    <w:rsid w:val="00B3165C"/>
    <w:rsid w:val="00B31E67"/>
    <w:rsid w:val="00B31F41"/>
    <w:rsid w:val="00B32376"/>
    <w:rsid w:val="00B323BE"/>
    <w:rsid w:val="00B324C5"/>
    <w:rsid w:val="00B32633"/>
    <w:rsid w:val="00B32B69"/>
    <w:rsid w:val="00B32C0B"/>
    <w:rsid w:val="00B32F59"/>
    <w:rsid w:val="00B32FCE"/>
    <w:rsid w:val="00B333EC"/>
    <w:rsid w:val="00B33513"/>
    <w:rsid w:val="00B3383D"/>
    <w:rsid w:val="00B340DE"/>
    <w:rsid w:val="00B3463A"/>
    <w:rsid w:val="00B34AB5"/>
    <w:rsid w:val="00B34B9D"/>
    <w:rsid w:val="00B34DC1"/>
    <w:rsid w:val="00B34FE2"/>
    <w:rsid w:val="00B35166"/>
    <w:rsid w:val="00B354A4"/>
    <w:rsid w:val="00B355AD"/>
    <w:rsid w:val="00B357D8"/>
    <w:rsid w:val="00B360F4"/>
    <w:rsid w:val="00B3610A"/>
    <w:rsid w:val="00B3617F"/>
    <w:rsid w:val="00B361CB"/>
    <w:rsid w:val="00B363F2"/>
    <w:rsid w:val="00B36520"/>
    <w:rsid w:val="00B36534"/>
    <w:rsid w:val="00B36A00"/>
    <w:rsid w:val="00B36A98"/>
    <w:rsid w:val="00B371E2"/>
    <w:rsid w:val="00B373AF"/>
    <w:rsid w:val="00B3792B"/>
    <w:rsid w:val="00B37BFC"/>
    <w:rsid w:val="00B37C08"/>
    <w:rsid w:val="00B401DF"/>
    <w:rsid w:val="00B40358"/>
    <w:rsid w:val="00B40872"/>
    <w:rsid w:val="00B40B6C"/>
    <w:rsid w:val="00B41182"/>
    <w:rsid w:val="00B411A3"/>
    <w:rsid w:val="00B41614"/>
    <w:rsid w:val="00B41728"/>
    <w:rsid w:val="00B41DFA"/>
    <w:rsid w:val="00B4224F"/>
    <w:rsid w:val="00B42477"/>
    <w:rsid w:val="00B42851"/>
    <w:rsid w:val="00B42D80"/>
    <w:rsid w:val="00B42E21"/>
    <w:rsid w:val="00B42F80"/>
    <w:rsid w:val="00B43090"/>
    <w:rsid w:val="00B43313"/>
    <w:rsid w:val="00B433FB"/>
    <w:rsid w:val="00B435CB"/>
    <w:rsid w:val="00B43A33"/>
    <w:rsid w:val="00B43AF6"/>
    <w:rsid w:val="00B43CD1"/>
    <w:rsid w:val="00B43E42"/>
    <w:rsid w:val="00B43E52"/>
    <w:rsid w:val="00B43FB5"/>
    <w:rsid w:val="00B446E8"/>
    <w:rsid w:val="00B449E1"/>
    <w:rsid w:val="00B451D5"/>
    <w:rsid w:val="00B452CC"/>
    <w:rsid w:val="00B45485"/>
    <w:rsid w:val="00B454E8"/>
    <w:rsid w:val="00B45562"/>
    <w:rsid w:val="00B45BF0"/>
    <w:rsid w:val="00B465EC"/>
    <w:rsid w:val="00B46792"/>
    <w:rsid w:val="00B46FE9"/>
    <w:rsid w:val="00B47344"/>
    <w:rsid w:val="00B4794C"/>
    <w:rsid w:val="00B47F03"/>
    <w:rsid w:val="00B503C1"/>
    <w:rsid w:val="00B505C8"/>
    <w:rsid w:val="00B505D6"/>
    <w:rsid w:val="00B506F6"/>
    <w:rsid w:val="00B507ED"/>
    <w:rsid w:val="00B50AAB"/>
    <w:rsid w:val="00B50DB8"/>
    <w:rsid w:val="00B51079"/>
    <w:rsid w:val="00B512AB"/>
    <w:rsid w:val="00B517A2"/>
    <w:rsid w:val="00B51B60"/>
    <w:rsid w:val="00B51F7E"/>
    <w:rsid w:val="00B52244"/>
    <w:rsid w:val="00B52373"/>
    <w:rsid w:val="00B53654"/>
    <w:rsid w:val="00B53905"/>
    <w:rsid w:val="00B53AAD"/>
    <w:rsid w:val="00B544FA"/>
    <w:rsid w:val="00B546DB"/>
    <w:rsid w:val="00B548A0"/>
    <w:rsid w:val="00B54B5B"/>
    <w:rsid w:val="00B54FA7"/>
    <w:rsid w:val="00B5562E"/>
    <w:rsid w:val="00B55785"/>
    <w:rsid w:val="00B55862"/>
    <w:rsid w:val="00B55998"/>
    <w:rsid w:val="00B55D65"/>
    <w:rsid w:val="00B560D9"/>
    <w:rsid w:val="00B56305"/>
    <w:rsid w:val="00B56D01"/>
    <w:rsid w:val="00B56F43"/>
    <w:rsid w:val="00B57000"/>
    <w:rsid w:val="00B57151"/>
    <w:rsid w:val="00B571A2"/>
    <w:rsid w:val="00B574B8"/>
    <w:rsid w:val="00B576C4"/>
    <w:rsid w:val="00B57781"/>
    <w:rsid w:val="00B57BB8"/>
    <w:rsid w:val="00B57CA2"/>
    <w:rsid w:val="00B6030F"/>
    <w:rsid w:val="00B60939"/>
    <w:rsid w:val="00B60AFD"/>
    <w:rsid w:val="00B60B5E"/>
    <w:rsid w:val="00B618AB"/>
    <w:rsid w:val="00B6190C"/>
    <w:rsid w:val="00B61B16"/>
    <w:rsid w:val="00B620FF"/>
    <w:rsid w:val="00B62494"/>
    <w:rsid w:val="00B62692"/>
    <w:rsid w:val="00B62715"/>
    <w:rsid w:val="00B62950"/>
    <w:rsid w:val="00B62AFD"/>
    <w:rsid w:val="00B62E91"/>
    <w:rsid w:val="00B63004"/>
    <w:rsid w:val="00B635D7"/>
    <w:rsid w:val="00B6370D"/>
    <w:rsid w:val="00B638A2"/>
    <w:rsid w:val="00B6424D"/>
    <w:rsid w:val="00B643C8"/>
    <w:rsid w:val="00B646EE"/>
    <w:rsid w:val="00B64846"/>
    <w:rsid w:val="00B654CF"/>
    <w:rsid w:val="00B65611"/>
    <w:rsid w:val="00B66EA6"/>
    <w:rsid w:val="00B6706C"/>
    <w:rsid w:val="00B6796B"/>
    <w:rsid w:val="00B67C70"/>
    <w:rsid w:val="00B67F35"/>
    <w:rsid w:val="00B701EF"/>
    <w:rsid w:val="00B706E3"/>
    <w:rsid w:val="00B70761"/>
    <w:rsid w:val="00B70982"/>
    <w:rsid w:val="00B70B03"/>
    <w:rsid w:val="00B70E8E"/>
    <w:rsid w:val="00B71404"/>
    <w:rsid w:val="00B71497"/>
    <w:rsid w:val="00B717AB"/>
    <w:rsid w:val="00B71F86"/>
    <w:rsid w:val="00B7245B"/>
    <w:rsid w:val="00B72633"/>
    <w:rsid w:val="00B72977"/>
    <w:rsid w:val="00B72EFC"/>
    <w:rsid w:val="00B73371"/>
    <w:rsid w:val="00B7341E"/>
    <w:rsid w:val="00B73887"/>
    <w:rsid w:val="00B73F5D"/>
    <w:rsid w:val="00B7456C"/>
    <w:rsid w:val="00B7486B"/>
    <w:rsid w:val="00B74978"/>
    <w:rsid w:val="00B74B69"/>
    <w:rsid w:val="00B74F88"/>
    <w:rsid w:val="00B751E3"/>
    <w:rsid w:val="00B7554F"/>
    <w:rsid w:val="00B76202"/>
    <w:rsid w:val="00B76317"/>
    <w:rsid w:val="00B7676F"/>
    <w:rsid w:val="00B768CB"/>
    <w:rsid w:val="00B76C92"/>
    <w:rsid w:val="00B7727F"/>
    <w:rsid w:val="00B7751A"/>
    <w:rsid w:val="00B77A1D"/>
    <w:rsid w:val="00B77F16"/>
    <w:rsid w:val="00B80123"/>
    <w:rsid w:val="00B801DE"/>
    <w:rsid w:val="00B80533"/>
    <w:rsid w:val="00B80724"/>
    <w:rsid w:val="00B8086E"/>
    <w:rsid w:val="00B80D0E"/>
    <w:rsid w:val="00B80E75"/>
    <w:rsid w:val="00B80EFD"/>
    <w:rsid w:val="00B810B2"/>
    <w:rsid w:val="00B81114"/>
    <w:rsid w:val="00B813C6"/>
    <w:rsid w:val="00B8169A"/>
    <w:rsid w:val="00B817CF"/>
    <w:rsid w:val="00B818A4"/>
    <w:rsid w:val="00B81B77"/>
    <w:rsid w:val="00B81BE1"/>
    <w:rsid w:val="00B81CB3"/>
    <w:rsid w:val="00B81EAE"/>
    <w:rsid w:val="00B82C2C"/>
    <w:rsid w:val="00B82EAC"/>
    <w:rsid w:val="00B83022"/>
    <w:rsid w:val="00B8316A"/>
    <w:rsid w:val="00B831B2"/>
    <w:rsid w:val="00B832EC"/>
    <w:rsid w:val="00B83652"/>
    <w:rsid w:val="00B83739"/>
    <w:rsid w:val="00B83901"/>
    <w:rsid w:val="00B83CE3"/>
    <w:rsid w:val="00B83FB5"/>
    <w:rsid w:val="00B84117"/>
    <w:rsid w:val="00B84363"/>
    <w:rsid w:val="00B84557"/>
    <w:rsid w:val="00B847D9"/>
    <w:rsid w:val="00B84805"/>
    <w:rsid w:val="00B854E6"/>
    <w:rsid w:val="00B85835"/>
    <w:rsid w:val="00B858F0"/>
    <w:rsid w:val="00B85AA2"/>
    <w:rsid w:val="00B86421"/>
    <w:rsid w:val="00B8649C"/>
    <w:rsid w:val="00B8695D"/>
    <w:rsid w:val="00B86C96"/>
    <w:rsid w:val="00B87690"/>
    <w:rsid w:val="00B87990"/>
    <w:rsid w:val="00B87A4F"/>
    <w:rsid w:val="00B87AF2"/>
    <w:rsid w:val="00B87F0A"/>
    <w:rsid w:val="00B905C8"/>
    <w:rsid w:val="00B90690"/>
    <w:rsid w:val="00B90823"/>
    <w:rsid w:val="00B90B46"/>
    <w:rsid w:val="00B91390"/>
    <w:rsid w:val="00B91682"/>
    <w:rsid w:val="00B927A7"/>
    <w:rsid w:val="00B92D0B"/>
    <w:rsid w:val="00B92F54"/>
    <w:rsid w:val="00B930C4"/>
    <w:rsid w:val="00B935DD"/>
    <w:rsid w:val="00B9387D"/>
    <w:rsid w:val="00B9399E"/>
    <w:rsid w:val="00B93CB0"/>
    <w:rsid w:val="00B93E1B"/>
    <w:rsid w:val="00B940E8"/>
    <w:rsid w:val="00B94146"/>
    <w:rsid w:val="00B9461A"/>
    <w:rsid w:val="00B946C0"/>
    <w:rsid w:val="00B94945"/>
    <w:rsid w:val="00B94A15"/>
    <w:rsid w:val="00B94DD6"/>
    <w:rsid w:val="00B9513E"/>
    <w:rsid w:val="00B9514F"/>
    <w:rsid w:val="00B955F2"/>
    <w:rsid w:val="00B95742"/>
    <w:rsid w:val="00B957F9"/>
    <w:rsid w:val="00B95919"/>
    <w:rsid w:val="00B95B16"/>
    <w:rsid w:val="00B95BEB"/>
    <w:rsid w:val="00B95DA8"/>
    <w:rsid w:val="00B95E12"/>
    <w:rsid w:val="00B96347"/>
    <w:rsid w:val="00B96B9A"/>
    <w:rsid w:val="00B96C7B"/>
    <w:rsid w:val="00B970E7"/>
    <w:rsid w:val="00B9711E"/>
    <w:rsid w:val="00B97223"/>
    <w:rsid w:val="00B97281"/>
    <w:rsid w:val="00B9733A"/>
    <w:rsid w:val="00B97B16"/>
    <w:rsid w:val="00B97B91"/>
    <w:rsid w:val="00BA01BC"/>
    <w:rsid w:val="00BA0332"/>
    <w:rsid w:val="00BA0682"/>
    <w:rsid w:val="00BA0B11"/>
    <w:rsid w:val="00BA0D1E"/>
    <w:rsid w:val="00BA1077"/>
    <w:rsid w:val="00BA1253"/>
    <w:rsid w:val="00BA1353"/>
    <w:rsid w:val="00BA13C6"/>
    <w:rsid w:val="00BA141A"/>
    <w:rsid w:val="00BA154F"/>
    <w:rsid w:val="00BA191A"/>
    <w:rsid w:val="00BA1A7A"/>
    <w:rsid w:val="00BA1D3C"/>
    <w:rsid w:val="00BA213B"/>
    <w:rsid w:val="00BA221B"/>
    <w:rsid w:val="00BA234E"/>
    <w:rsid w:val="00BA267B"/>
    <w:rsid w:val="00BA319D"/>
    <w:rsid w:val="00BA322D"/>
    <w:rsid w:val="00BA3983"/>
    <w:rsid w:val="00BA4048"/>
    <w:rsid w:val="00BA4A21"/>
    <w:rsid w:val="00BA4F37"/>
    <w:rsid w:val="00BA5098"/>
    <w:rsid w:val="00BA5256"/>
    <w:rsid w:val="00BA56ED"/>
    <w:rsid w:val="00BA5EC3"/>
    <w:rsid w:val="00BA63FA"/>
    <w:rsid w:val="00BA6596"/>
    <w:rsid w:val="00BA6D23"/>
    <w:rsid w:val="00BA73BC"/>
    <w:rsid w:val="00BA7632"/>
    <w:rsid w:val="00BA7CE0"/>
    <w:rsid w:val="00BA7D22"/>
    <w:rsid w:val="00BB00B3"/>
    <w:rsid w:val="00BB0B56"/>
    <w:rsid w:val="00BB0BDD"/>
    <w:rsid w:val="00BB1254"/>
    <w:rsid w:val="00BB1274"/>
    <w:rsid w:val="00BB13C5"/>
    <w:rsid w:val="00BB176C"/>
    <w:rsid w:val="00BB18EE"/>
    <w:rsid w:val="00BB1D04"/>
    <w:rsid w:val="00BB1F18"/>
    <w:rsid w:val="00BB1FEC"/>
    <w:rsid w:val="00BB23D2"/>
    <w:rsid w:val="00BB26FB"/>
    <w:rsid w:val="00BB28B0"/>
    <w:rsid w:val="00BB2A73"/>
    <w:rsid w:val="00BB2CAD"/>
    <w:rsid w:val="00BB35BA"/>
    <w:rsid w:val="00BB3A45"/>
    <w:rsid w:val="00BB3AA4"/>
    <w:rsid w:val="00BB44BD"/>
    <w:rsid w:val="00BB4ACC"/>
    <w:rsid w:val="00BB4CDE"/>
    <w:rsid w:val="00BB4F4C"/>
    <w:rsid w:val="00BB52BE"/>
    <w:rsid w:val="00BB57C6"/>
    <w:rsid w:val="00BB5B73"/>
    <w:rsid w:val="00BB5EA8"/>
    <w:rsid w:val="00BB6027"/>
    <w:rsid w:val="00BB6304"/>
    <w:rsid w:val="00BB630A"/>
    <w:rsid w:val="00BB65B8"/>
    <w:rsid w:val="00BB6AC2"/>
    <w:rsid w:val="00BB703E"/>
    <w:rsid w:val="00BB717C"/>
    <w:rsid w:val="00BB732D"/>
    <w:rsid w:val="00BB73FA"/>
    <w:rsid w:val="00BB7405"/>
    <w:rsid w:val="00BC0F0E"/>
    <w:rsid w:val="00BC12E8"/>
    <w:rsid w:val="00BC14B0"/>
    <w:rsid w:val="00BC1F96"/>
    <w:rsid w:val="00BC2487"/>
    <w:rsid w:val="00BC2940"/>
    <w:rsid w:val="00BC2A34"/>
    <w:rsid w:val="00BC2D87"/>
    <w:rsid w:val="00BC31A7"/>
    <w:rsid w:val="00BC3318"/>
    <w:rsid w:val="00BC3631"/>
    <w:rsid w:val="00BC3844"/>
    <w:rsid w:val="00BC3947"/>
    <w:rsid w:val="00BC3994"/>
    <w:rsid w:val="00BC3C47"/>
    <w:rsid w:val="00BC3F59"/>
    <w:rsid w:val="00BC431A"/>
    <w:rsid w:val="00BC45B3"/>
    <w:rsid w:val="00BC4B6F"/>
    <w:rsid w:val="00BC4EE0"/>
    <w:rsid w:val="00BC50A5"/>
    <w:rsid w:val="00BC510A"/>
    <w:rsid w:val="00BC523A"/>
    <w:rsid w:val="00BC5437"/>
    <w:rsid w:val="00BC548E"/>
    <w:rsid w:val="00BC591F"/>
    <w:rsid w:val="00BC5A26"/>
    <w:rsid w:val="00BC5AB5"/>
    <w:rsid w:val="00BC5C6D"/>
    <w:rsid w:val="00BC5E26"/>
    <w:rsid w:val="00BC6462"/>
    <w:rsid w:val="00BC6914"/>
    <w:rsid w:val="00BC6C2A"/>
    <w:rsid w:val="00BC6CC9"/>
    <w:rsid w:val="00BC6DB0"/>
    <w:rsid w:val="00BC7166"/>
    <w:rsid w:val="00BC751C"/>
    <w:rsid w:val="00BC781F"/>
    <w:rsid w:val="00BC7A2E"/>
    <w:rsid w:val="00BC7AD3"/>
    <w:rsid w:val="00BC7B95"/>
    <w:rsid w:val="00BC7D6D"/>
    <w:rsid w:val="00BC7DE5"/>
    <w:rsid w:val="00BD00BF"/>
    <w:rsid w:val="00BD0141"/>
    <w:rsid w:val="00BD0186"/>
    <w:rsid w:val="00BD0436"/>
    <w:rsid w:val="00BD079B"/>
    <w:rsid w:val="00BD0880"/>
    <w:rsid w:val="00BD0AF6"/>
    <w:rsid w:val="00BD0BE4"/>
    <w:rsid w:val="00BD0D08"/>
    <w:rsid w:val="00BD0E89"/>
    <w:rsid w:val="00BD10AF"/>
    <w:rsid w:val="00BD19A7"/>
    <w:rsid w:val="00BD1DDE"/>
    <w:rsid w:val="00BD20CA"/>
    <w:rsid w:val="00BD2108"/>
    <w:rsid w:val="00BD236D"/>
    <w:rsid w:val="00BD23CE"/>
    <w:rsid w:val="00BD31C9"/>
    <w:rsid w:val="00BD3D0E"/>
    <w:rsid w:val="00BD3DC4"/>
    <w:rsid w:val="00BD3FE2"/>
    <w:rsid w:val="00BD41F5"/>
    <w:rsid w:val="00BD42A8"/>
    <w:rsid w:val="00BD473C"/>
    <w:rsid w:val="00BD4929"/>
    <w:rsid w:val="00BD4A9F"/>
    <w:rsid w:val="00BD51ED"/>
    <w:rsid w:val="00BD53D3"/>
    <w:rsid w:val="00BD55F7"/>
    <w:rsid w:val="00BD575A"/>
    <w:rsid w:val="00BD5930"/>
    <w:rsid w:val="00BD59B4"/>
    <w:rsid w:val="00BD5AD9"/>
    <w:rsid w:val="00BD5E93"/>
    <w:rsid w:val="00BD5E96"/>
    <w:rsid w:val="00BD5F38"/>
    <w:rsid w:val="00BD5FC7"/>
    <w:rsid w:val="00BD6191"/>
    <w:rsid w:val="00BD648C"/>
    <w:rsid w:val="00BD64CA"/>
    <w:rsid w:val="00BD688A"/>
    <w:rsid w:val="00BD689F"/>
    <w:rsid w:val="00BD68A3"/>
    <w:rsid w:val="00BD6938"/>
    <w:rsid w:val="00BD6CF3"/>
    <w:rsid w:val="00BD6FE1"/>
    <w:rsid w:val="00BD7041"/>
    <w:rsid w:val="00BD72CB"/>
    <w:rsid w:val="00BD7553"/>
    <w:rsid w:val="00BD78CE"/>
    <w:rsid w:val="00BD7DA0"/>
    <w:rsid w:val="00BD7F72"/>
    <w:rsid w:val="00BE0078"/>
    <w:rsid w:val="00BE0482"/>
    <w:rsid w:val="00BE076D"/>
    <w:rsid w:val="00BE0B35"/>
    <w:rsid w:val="00BE0ECA"/>
    <w:rsid w:val="00BE13AB"/>
    <w:rsid w:val="00BE1CB4"/>
    <w:rsid w:val="00BE2180"/>
    <w:rsid w:val="00BE21B8"/>
    <w:rsid w:val="00BE21F2"/>
    <w:rsid w:val="00BE2264"/>
    <w:rsid w:val="00BE22D6"/>
    <w:rsid w:val="00BE2451"/>
    <w:rsid w:val="00BE25F7"/>
    <w:rsid w:val="00BE2663"/>
    <w:rsid w:val="00BE29B2"/>
    <w:rsid w:val="00BE2DEF"/>
    <w:rsid w:val="00BE3494"/>
    <w:rsid w:val="00BE3E76"/>
    <w:rsid w:val="00BE3F02"/>
    <w:rsid w:val="00BE4275"/>
    <w:rsid w:val="00BE4675"/>
    <w:rsid w:val="00BE47D5"/>
    <w:rsid w:val="00BE5010"/>
    <w:rsid w:val="00BE503B"/>
    <w:rsid w:val="00BE52D6"/>
    <w:rsid w:val="00BE581B"/>
    <w:rsid w:val="00BE5B2D"/>
    <w:rsid w:val="00BE6C1D"/>
    <w:rsid w:val="00BE6CF6"/>
    <w:rsid w:val="00BE6EEC"/>
    <w:rsid w:val="00BE7771"/>
    <w:rsid w:val="00BE7932"/>
    <w:rsid w:val="00BF0082"/>
    <w:rsid w:val="00BF06AE"/>
    <w:rsid w:val="00BF06F9"/>
    <w:rsid w:val="00BF0F95"/>
    <w:rsid w:val="00BF17FC"/>
    <w:rsid w:val="00BF1948"/>
    <w:rsid w:val="00BF19C5"/>
    <w:rsid w:val="00BF1A20"/>
    <w:rsid w:val="00BF1D77"/>
    <w:rsid w:val="00BF1E1B"/>
    <w:rsid w:val="00BF20D1"/>
    <w:rsid w:val="00BF2432"/>
    <w:rsid w:val="00BF2433"/>
    <w:rsid w:val="00BF2A5E"/>
    <w:rsid w:val="00BF2DAD"/>
    <w:rsid w:val="00BF2E6E"/>
    <w:rsid w:val="00BF2FB5"/>
    <w:rsid w:val="00BF3179"/>
    <w:rsid w:val="00BF3363"/>
    <w:rsid w:val="00BF3E38"/>
    <w:rsid w:val="00BF4281"/>
    <w:rsid w:val="00BF4511"/>
    <w:rsid w:val="00BF4AD1"/>
    <w:rsid w:val="00BF501C"/>
    <w:rsid w:val="00BF54C6"/>
    <w:rsid w:val="00BF57D4"/>
    <w:rsid w:val="00BF5DF2"/>
    <w:rsid w:val="00BF61C9"/>
    <w:rsid w:val="00BF668A"/>
    <w:rsid w:val="00BF66D8"/>
    <w:rsid w:val="00BF66E8"/>
    <w:rsid w:val="00BF6C94"/>
    <w:rsid w:val="00BF6E4E"/>
    <w:rsid w:val="00BF74EF"/>
    <w:rsid w:val="00BF7CC4"/>
    <w:rsid w:val="00C00229"/>
    <w:rsid w:val="00C00424"/>
    <w:rsid w:val="00C0045F"/>
    <w:rsid w:val="00C00551"/>
    <w:rsid w:val="00C0059A"/>
    <w:rsid w:val="00C00927"/>
    <w:rsid w:val="00C00BB0"/>
    <w:rsid w:val="00C0103A"/>
    <w:rsid w:val="00C010C7"/>
    <w:rsid w:val="00C0154B"/>
    <w:rsid w:val="00C01588"/>
    <w:rsid w:val="00C01664"/>
    <w:rsid w:val="00C01B0C"/>
    <w:rsid w:val="00C01E9A"/>
    <w:rsid w:val="00C02015"/>
    <w:rsid w:val="00C02191"/>
    <w:rsid w:val="00C02299"/>
    <w:rsid w:val="00C022A4"/>
    <w:rsid w:val="00C02B4E"/>
    <w:rsid w:val="00C02B80"/>
    <w:rsid w:val="00C032BF"/>
    <w:rsid w:val="00C03459"/>
    <w:rsid w:val="00C03504"/>
    <w:rsid w:val="00C03DAC"/>
    <w:rsid w:val="00C03E48"/>
    <w:rsid w:val="00C04022"/>
    <w:rsid w:val="00C04360"/>
    <w:rsid w:val="00C0437E"/>
    <w:rsid w:val="00C04B7F"/>
    <w:rsid w:val="00C04C0A"/>
    <w:rsid w:val="00C04DA2"/>
    <w:rsid w:val="00C04FE6"/>
    <w:rsid w:val="00C052CF"/>
    <w:rsid w:val="00C05343"/>
    <w:rsid w:val="00C0539B"/>
    <w:rsid w:val="00C05771"/>
    <w:rsid w:val="00C0583E"/>
    <w:rsid w:val="00C05C9F"/>
    <w:rsid w:val="00C05CED"/>
    <w:rsid w:val="00C060F4"/>
    <w:rsid w:val="00C065A7"/>
    <w:rsid w:val="00C066FC"/>
    <w:rsid w:val="00C07378"/>
    <w:rsid w:val="00C07F66"/>
    <w:rsid w:val="00C07FBD"/>
    <w:rsid w:val="00C10144"/>
    <w:rsid w:val="00C10DDD"/>
    <w:rsid w:val="00C10E18"/>
    <w:rsid w:val="00C10ED9"/>
    <w:rsid w:val="00C10F51"/>
    <w:rsid w:val="00C11044"/>
    <w:rsid w:val="00C111E2"/>
    <w:rsid w:val="00C114AF"/>
    <w:rsid w:val="00C1167A"/>
    <w:rsid w:val="00C1179F"/>
    <w:rsid w:val="00C11990"/>
    <w:rsid w:val="00C121D0"/>
    <w:rsid w:val="00C1224F"/>
    <w:rsid w:val="00C124EC"/>
    <w:rsid w:val="00C12600"/>
    <w:rsid w:val="00C127B9"/>
    <w:rsid w:val="00C1289E"/>
    <w:rsid w:val="00C128FA"/>
    <w:rsid w:val="00C12C14"/>
    <w:rsid w:val="00C12E40"/>
    <w:rsid w:val="00C1335E"/>
    <w:rsid w:val="00C1347C"/>
    <w:rsid w:val="00C1351D"/>
    <w:rsid w:val="00C1374C"/>
    <w:rsid w:val="00C13AFE"/>
    <w:rsid w:val="00C13E80"/>
    <w:rsid w:val="00C14286"/>
    <w:rsid w:val="00C142B5"/>
    <w:rsid w:val="00C142B8"/>
    <w:rsid w:val="00C1436C"/>
    <w:rsid w:val="00C14712"/>
    <w:rsid w:val="00C14A51"/>
    <w:rsid w:val="00C155DD"/>
    <w:rsid w:val="00C1566F"/>
    <w:rsid w:val="00C15AEC"/>
    <w:rsid w:val="00C15D7A"/>
    <w:rsid w:val="00C15F04"/>
    <w:rsid w:val="00C16718"/>
    <w:rsid w:val="00C16A55"/>
    <w:rsid w:val="00C16C20"/>
    <w:rsid w:val="00C171A5"/>
    <w:rsid w:val="00C177EA"/>
    <w:rsid w:val="00C179B3"/>
    <w:rsid w:val="00C17A84"/>
    <w:rsid w:val="00C17E3F"/>
    <w:rsid w:val="00C200AA"/>
    <w:rsid w:val="00C200C1"/>
    <w:rsid w:val="00C2034F"/>
    <w:rsid w:val="00C20450"/>
    <w:rsid w:val="00C2056E"/>
    <w:rsid w:val="00C20B83"/>
    <w:rsid w:val="00C20CA0"/>
    <w:rsid w:val="00C20F9D"/>
    <w:rsid w:val="00C22506"/>
    <w:rsid w:val="00C23082"/>
    <w:rsid w:val="00C237ED"/>
    <w:rsid w:val="00C23938"/>
    <w:rsid w:val="00C23944"/>
    <w:rsid w:val="00C23A16"/>
    <w:rsid w:val="00C23AE5"/>
    <w:rsid w:val="00C23CD4"/>
    <w:rsid w:val="00C23F27"/>
    <w:rsid w:val="00C24632"/>
    <w:rsid w:val="00C24961"/>
    <w:rsid w:val="00C24964"/>
    <w:rsid w:val="00C24A5B"/>
    <w:rsid w:val="00C24A81"/>
    <w:rsid w:val="00C24B39"/>
    <w:rsid w:val="00C24E4A"/>
    <w:rsid w:val="00C24F34"/>
    <w:rsid w:val="00C25418"/>
    <w:rsid w:val="00C255D2"/>
    <w:rsid w:val="00C25796"/>
    <w:rsid w:val="00C25D1F"/>
    <w:rsid w:val="00C25D9C"/>
    <w:rsid w:val="00C263B6"/>
    <w:rsid w:val="00C264C5"/>
    <w:rsid w:val="00C264EF"/>
    <w:rsid w:val="00C26962"/>
    <w:rsid w:val="00C26B5F"/>
    <w:rsid w:val="00C26C99"/>
    <w:rsid w:val="00C271A9"/>
    <w:rsid w:val="00C273E1"/>
    <w:rsid w:val="00C2769C"/>
    <w:rsid w:val="00C2778B"/>
    <w:rsid w:val="00C2786F"/>
    <w:rsid w:val="00C27BC7"/>
    <w:rsid w:val="00C27BD3"/>
    <w:rsid w:val="00C27CB6"/>
    <w:rsid w:val="00C30ABE"/>
    <w:rsid w:val="00C30E21"/>
    <w:rsid w:val="00C31023"/>
    <w:rsid w:val="00C315E6"/>
    <w:rsid w:val="00C31649"/>
    <w:rsid w:val="00C31A9E"/>
    <w:rsid w:val="00C31B4E"/>
    <w:rsid w:val="00C31F45"/>
    <w:rsid w:val="00C3211D"/>
    <w:rsid w:val="00C3211F"/>
    <w:rsid w:val="00C3226C"/>
    <w:rsid w:val="00C3231A"/>
    <w:rsid w:val="00C326E1"/>
    <w:rsid w:val="00C32707"/>
    <w:rsid w:val="00C32BF7"/>
    <w:rsid w:val="00C32D22"/>
    <w:rsid w:val="00C32EE8"/>
    <w:rsid w:val="00C33552"/>
    <w:rsid w:val="00C33EA4"/>
    <w:rsid w:val="00C3434C"/>
    <w:rsid w:val="00C3490A"/>
    <w:rsid w:val="00C35BEE"/>
    <w:rsid w:val="00C35F75"/>
    <w:rsid w:val="00C3625B"/>
    <w:rsid w:val="00C366DD"/>
    <w:rsid w:val="00C37F7F"/>
    <w:rsid w:val="00C4033E"/>
    <w:rsid w:val="00C40385"/>
    <w:rsid w:val="00C40388"/>
    <w:rsid w:val="00C4054A"/>
    <w:rsid w:val="00C405F2"/>
    <w:rsid w:val="00C41623"/>
    <w:rsid w:val="00C41653"/>
    <w:rsid w:val="00C41768"/>
    <w:rsid w:val="00C417A7"/>
    <w:rsid w:val="00C41887"/>
    <w:rsid w:val="00C41B25"/>
    <w:rsid w:val="00C41BC5"/>
    <w:rsid w:val="00C42073"/>
    <w:rsid w:val="00C42589"/>
    <w:rsid w:val="00C4294C"/>
    <w:rsid w:val="00C42B30"/>
    <w:rsid w:val="00C42B6E"/>
    <w:rsid w:val="00C43140"/>
    <w:rsid w:val="00C4340B"/>
    <w:rsid w:val="00C43871"/>
    <w:rsid w:val="00C43949"/>
    <w:rsid w:val="00C43E08"/>
    <w:rsid w:val="00C44680"/>
    <w:rsid w:val="00C44A72"/>
    <w:rsid w:val="00C44B4A"/>
    <w:rsid w:val="00C44E1B"/>
    <w:rsid w:val="00C450DE"/>
    <w:rsid w:val="00C4519B"/>
    <w:rsid w:val="00C4560E"/>
    <w:rsid w:val="00C45DA9"/>
    <w:rsid w:val="00C464EF"/>
    <w:rsid w:val="00C46661"/>
    <w:rsid w:val="00C4709B"/>
    <w:rsid w:val="00C4710E"/>
    <w:rsid w:val="00C473A1"/>
    <w:rsid w:val="00C475AA"/>
    <w:rsid w:val="00C4763B"/>
    <w:rsid w:val="00C4766D"/>
    <w:rsid w:val="00C4787B"/>
    <w:rsid w:val="00C50135"/>
    <w:rsid w:val="00C50782"/>
    <w:rsid w:val="00C50D28"/>
    <w:rsid w:val="00C51296"/>
    <w:rsid w:val="00C514F0"/>
    <w:rsid w:val="00C51840"/>
    <w:rsid w:val="00C519DA"/>
    <w:rsid w:val="00C527C7"/>
    <w:rsid w:val="00C528B4"/>
    <w:rsid w:val="00C52D44"/>
    <w:rsid w:val="00C53201"/>
    <w:rsid w:val="00C533CF"/>
    <w:rsid w:val="00C535C4"/>
    <w:rsid w:val="00C53600"/>
    <w:rsid w:val="00C53B4E"/>
    <w:rsid w:val="00C53C98"/>
    <w:rsid w:val="00C53D95"/>
    <w:rsid w:val="00C541DD"/>
    <w:rsid w:val="00C54389"/>
    <w:rsid w:val="00C544CE"/>
    <w:rsid w:val="00C54615"/>
    <w:rsid w:val="00C54618"/>
    <w:rsid w:val="00C54729"/>
    <w:rsid w:val="00C547CC"/>
    <w:rsid w:val="00C5487B"/>
    <w:rsid w:val="00C5494B"/>
    <w:rsid w:val="00C54A8D"/>
    <w:rsid w:val="00C54EE8"/>
    <w:rsid w:val="00C552B0"/>
    <w:rsid w:val="00C555CC"/>
    <w:rsid w:val="00C556C4"/>
    <w:rsid w:val="00C5575C"/>
    <w:rsid w:val="00C559E3"/>
    <w:rsid w:val="00C55AF2"/>
    <w:rsid w:val="00C560AB"/>
    <w:rsid w:val="00C564D3"/>
    <w:rsid w:val="00C565B6"/>
    <w:rsid w:val="00C567A3"/>
    <w:rsid w:val="00C5694D"/>
    <w:rsid w:val="00C56C2A"/>
    <w:rsid w:val="00C56FCF"/>
    <w:rsid w:val="00C57232"/>
    <w:rsid w:val="00C574C4"/>
    <w:rsid w:val="00C5765E"/>
    <w:rsid w:val="00C57B6C"/>
    <w:rsid w:val="00C57BA1"/>
    <w:rsid w:val="00C57F71"/>
    <w:rsid w:val="00C601A5"/>
    <w:rsid w:val="00C60B67"/>
    <w:rsid w:val="00C60F96"/>
    <w:rsid w:val="00C613B8"/>
    <w:rsid w:val="00C61728"/>
    <w:rsid w:val="00C61A59"/>
    <w:rsid w:val="00C61C15"/>
    <w:rsid w:val="00C623DF"/>
    <w:rsid w:val="00C62460"/>
    <w:rsid w:val="00C628A6"/>
    <w:rsid w:val="00C6295E"/>
    <w:rsid w:val="00C62A7D"/>
    <w:rsid w:val="00C62C4A"/>
    <w:rsid w:val="00C62C55"/>
    <w:rsid w:val="00C62E3B"/>
    <w:rsid w:val="00C630A9"/>
    <w:rsid w:val="00C6329F"/>
    <w:rsid w:val="00C63A08"/>
    <w:rsid w:val="00C64344"/>
    <w:rsid w:val="00C6452A"/>
    <w:rsid w:val="00C64936"/>
    <w:rsid w:val="00C64FD8"/>
    <w:rsid w:val="00C650D0"/>
    <w:rsid w:val="00C65108"/>
    <w:rsid w:val="00C65114"/>
    <w:rsid w:val="00C65195"/>
    <w:rsid w:val="00C654CE"/>
    <w:rsid w:val="00C65576"/>
    <w:rsid w:val="00C657E1"/>
    <w:rsid w:val="00C65AA2"/>
    <w:rsid w:val="00C65C27"/>
    <w:rsid w:val="00C66165"/>
    <w:rsid w:val="00C66DBF"/>
    <w:rsid w:val="00C66F25"/>
    <w:rsid w:val="00C670CB"/>
    <w:rsid w:val="00C673E2"/>
    <w:rsid w:val="00C67820"/>
    <w:rsid w:val="00C7038C"/>
    <w:rsid w:val="00C7060A"/>
    <w:rsid w:val="00C708C8"/>
    <w:rsid w:val="00C71223"/>
    <w:rsid w:val="00C71226"/>
    <w:rsid w:val="00C713D8"/>
    <w:rsid w:val="00C7151A"/>
    <w:rsid w:val="00C717E3"/>
    <w:rsid w:val="00C71B23"/>
    <w:rsid w:val="00C71D2A"/>
    <w:rsid w:val="00C71F60"/>
    <w:rsid w:val="00C72180"/>
    <w:rsid w:val="00C72241"/>
    <w:rsid w:val="00C7289C"/>
    <w:rsid w:val="00C72A58"/>
    <w:rsid w:val="00C7308C"/>
    <w:rsid w:val="00C73BA4"/>
    <w:rsid w:val="00C73D3C"/>
    <w:rsid w:val="00C73D65"/>
    <w:rsid w:val="00C73D7A"/>
    <w:rsid w:val="00C73DE0"/>
    <w:rsid w:val="00C74355"/>
    <w:rsid w:val="00C74802"/>
    <w:rsid w:val="00C74A82"/>
    <w:rsid w:val="00C74B4A"/>
    <w:rsid w:val="00C750C8"/>
    <w:rsid w:val="00C7560F"/>
    <w:rsid w:val="00C75B40"/>
    <w:rsid w:val="00C75CB2"/>
    <w:rsid w:val="00C75D78"/>
    <w:rsid w:val="00C75F8C"/>
    <w:rsid w:val="00C76180"/>
    <w:rsid w:val="00C76452"/>
    <w:rsid w:val="00C766D2"/>
    <w:rsid w:val="00C76715"/>
    <w:rsid w:val="00C76717"/>
    <w:rsid w:val="00C76992"/>
    <w:rsid w:val="00C76D24"/>
    <w:rsid w:val="00C7709B"/>
    <w:rsid w:val="00C77272"/>
    <w:rsid w:val="00C77578"/>
    <w:rsid w:val="00C777A7"/>
    <w:rsid w:val="00C77C89"/>
    <w:rsid w:val="00C804D2"/>
    <w:rsid w:val="00C80792"/>
    <w:rsid w:val="00C80A0E"/>
    <w:rsid w:val="00C80D12"/>
    <w:rsid w:val="00C80DB1"/>
    <w:rsid w:val="00C813B6"/>
    <w:rsid w:val="00C81A7D"/>
    <w:rsid w:val="00C81AA0"/>
    <w:rsid w:val="00C81DAC"/>
    <w:rsid w:val="00C81EDA"/>
    <w:rsid w:val="00C81F1F"/>
    <w:rsid w:val="00C8213F"/>
    <w:rsid w:val="00C8217D"/>
    <w:rsid w:val="00C8241A"/>
    <w:rsid w:val="00C8252D"/>
    <w:rsid w:val="00C82613"/>
    <w:rsid w:val="00C829E1"/>
    <w:rsid w:val="00C82FD0"/>
    <w:rsid w:val="00C8303F"/>
    <w:rsid w:val="00C830C8"/>
    <w:rsid w:val="00C83330"/>
    <w:rsid w:val="00C83AAD"/>
    <w:rsid w:val="00C8414C"/>
    <w:rsid w:val="00C84222"/>
    <w:rsid w:val="00C84243"/>
    <w:rsid w:val="00C845E3"/>
    <w:rsid w:val="00C8479B"/>
    <w:rsid w:val="00C84942"/>
    <w:rsid w:val="00C84D1B"/>
    <w:rsid w:val="00C84E15"/>
    <w:rsid w:val="00C84F7F"/>
    <w:rsid w:val="00C85154"/>
    <w:rsid w:val="00C85284"/>
    <w:rsid w:val="00C85485"/>
    <w:rsid w:val="00C8592E"/>
    <w:rsid w:val="00C85A70"/>
    <w:rsid w:val="00C86159"/>
    <w:rsid w:val="00C862E8"/>
    <w:rsid w:val="00C8652B"/>
    <w:rsid w:val="00C868ED"/>
    <w:rsid w:val="00C86A85"/>
    <w:rsid w:val="00C86DA7"/>
    <w:rsid w:val="00C873A0"/>
    <w:rsid w:val="00C87450"/>
    <w:rsid w:val="00C875D7"/>
    <w:rsid w:val="00C8766C"/>
    <w:rsid w:val="00C877B3"/>
    <w:rsid w:val="00C8780F"/>
    <w:rsid w:val="00C8797A"/>
    <w:rsid w:val="00C879EE"/>
    <w:rsid w:val="00C87D13"/>
    <w:rsid w:val="00C87F7C"/>
    <w:rsid w:val="00C900B8"/>
    <w:rsid w:val="00C9018F"/>
    <w:rsid w:val="00C90197"/>
    <w:rsid w:val="00C90AEE"/>
    <w:rsid w:val="00C90C71"/>
    <w:rsid w:val="00C90EF5"/>
    <w:rsid w:val="00C9176C"/>
    <w:rsid w:val="00C91921"/>
    <w:rsid w:val="00C91A2D"/>
    <w:rsid w:val="00C91B6A"/>
    <w:rsid w:val="00C91C3A"/>
    <w:rsid w:val="00C91FD1"/>
    <w:rsid w:val="00C920B8"/>
    <w:rsid w:val="00C92722"/>
    <w:rsid w:val="00C92AAC"/>
    <w:rsid w:val="00C92B88"/>
    <w:rsid w:val="00C92BD2"/>
    <w:rsid w:val="00C92D56"/>
    <w:rsid w:val="00C931CF"/>
    <w:rsid w:val="00C93370"/>
    <w:rsid w:val="00C933FC"/>
    <w:rsid w:val="00C938CF"/>
    <w:rsid w:val="00C93D70"/>
    <w:rsid w:val="00C93F58"/>
    <w:rsid w:val="00C93F86"/>
    <w:rsid w:val="00C94029"/>
    <w:rsid w:val="00C94053"/>
    <w:rsid w:val="00C945AC"/>
    <w:rsid w:val="00C94C40"/>
    <w:rsid w:val="00C94D2E"/>
    <w:rsid w:val="00C94EBC"/>
    <w:rsid w:val="00C95473"/>
    <w:rsid w:val="00C956C7"/>
    <w:rsid w:val="00C95858"/>
    <w:rsid w:val="00C95D11"/>
    <w:rsid w:val="00C95DC9"/>
    <w:rsid w:val="00C95DD5"/>
    <w:rsid w:val="00C96036"/>
    <w:rsid w:val="00C9624D"/>
    <w:rsid w:val="00C96518"/>
    <w:rsid w:val="00C96856"/>
    <w:rsid w:val="00C969DA"/>
    <w:rsid w:val="00C96AD2"/>
    <w:rsid w:val="00C96BB1"/>
    <w:rsid w:val="00C96BE1"/>
    <w:rsid w:val="00C972B2"/>
    <w:rsid w:val="00C97C4E"/>
    <w:rsid w:val="00CA0712"/>
    <w:rsid w:val="00CA09D4"/>
    <w:rsid w:val="00CA10BB"/>
    <w:rsid w:val="00CA1528"/>
    <w:rsid w:val="00CA1639"/>
    <w:rsid w:val="00CA1B4A"/>
    <w:rsid w:val="00CA1BD1"/>
    <w:rsid w:val="00CA2C77"/>
    <w:rsid w:val="00CA3296"/>
    <w:rsid w:val="00CA3567"/>
    <w:rsid w:val="00CA3C15"/>
    <w:rsid w:val="00CA444F"/>
    <w:rsid w:val="00CA44BE"/>
    <w:rsid w:val="00CA4A97"/>
    <w:rsid w:val="00CA4C96"/>
    <w:rsid w:val="00CA4F29"/>
    <w:rsid w:val="00CA4F77"/>
    <w:rsid w:val="00CA5090"/>
    <w:rsid w:val="00CA5245"/>
    <w:rsid w:val="00CA5410"/>
    <w:rsid w:val="00CA55D5"/>
    <w:rsid w:val="00CA5B5B"/>
    <w:rsid w:val="00CA5C88"/>
    <w:rsid w:val="00CA5CD8"/>
    <w:rsid w:val="00CA60D3"/>
    <w:rsid w:val="00CA631A"/>
    <w:rsid w:val="00CA6635"/>
    <w:rsid w:val="00CA6C52"/>
    <w:rsid w:val="00CA6C68"/>
    <w:rsid w:val="00CA6E53"/>
    <w:rsid w:val="00CA71F4"/>
    <w:rsid w:val="00CA7439"/>
    <w:rsid w:val="00CA7812"/>
    <w:rsid w:val="00CA7B09"/>
    <w:rsid w:val="00CA7FE4"/>
    <w:rsid w:val="00CB01A9"/>
    <w:rsid w:val="00CB027F"/>
    <w:rsid w:val="00CB07A4"/>
    <w:rsid w:val="00CB07F5"/>
    <w:rsid w:val="00CB1001"/>
    <w:rsid w:val="00CB12A5"/>
    <w:rsid w:val="00CB132E"/>
    <w:rsid w:val="00CB17FB"/>
    <w:rsid w:val="00CB1C3C"/>
    <w:rsid w:val="00CB1CAC"/>
    <w:rsid w:val="00CB1F1E"/>
    <w:rsid w:val="00CB1F87"/>
    <w:rsid w:val="00CB2F2A"/>
    <w:rsid w:val="00CB3053"/>
    <w:rsid w:val="00CB346A"/>
    <w:rsid w:val="00CB3A4E"/>
    <w:rsid w:val="00CB4172"/>
    <w:rsid w:val="00CB4667"/>
    <w:rsid w:val="00CB51A3"/>
    <w:rsid w:val="00CB5584"/>
    <w:rsid w:val="00CB5B1A"/>
    <w:rsid w:val="00CB5F20"/>
    <w:rsid w:val="00CB6964"/>
    <w:rsid w:val="00CB6B22"/>
    <w:rsid w:val="00CB7142"/>
    <w:rsid w:val="00CB7357"/>
    <w:rsid w:val="00CB754A"/>
    <w:rsid w:val="00CB7F5F"/>
    <w:rsid w:val="00CC02F4"/>
    <w:rsid w:val="00CC0546"/>
    <w:rsid w:val="00CC054C"/>
    <w:rsid w:val="00CC0B83"/>
    <w:rsid w:val="00CC1060"/>
    <w:rsid w:val="00CC1906"/>
    <w:rsid w:val="00CC1925"/>
    <w:rsid w:val="00CC1A43"/>
    <w:rsid w:val="00CC1B39"/>
    <w:rsid w:val="00CC1B61"/>
    <w:rsid w:val="00CC1BFA"/>
    <w:rsid w:val="00CC1C3A"/>
    <w:rsid w:val="00CC1C80"/>
    <w:rsid w:val="00CC243B"/>
    <w:rsid w:val="00CC243E"/>
    <w:rsid w:val="00CC24C6"/>
    <w:rsid w:val="00CC2801"/>
    <w:rsid w:val="00CC2B4F"/>
    <w:rsid w:val="00CC2E9F"/>
    <w:rsid w:val="00CC2FF8"/>
    <w:rsid w:val="00CC35EA"/>
    <w:rsid w:val="00CC3717"/>
    <w:rsid w:val="00CC37FF"/>
    <w:rsid w:val="00CC3848"/>
    <w:rsid w:val="00CC3F50"/>
    <w:rsid w:val="00CC4070"/>
    <w:rsid w:val="00CC4296"/>
    <w:rsid w:val="00CC434C"/>
    <w:rsid w:val="00CC4593"/>
    <w:rsid w:val="00CC4622"/>
    <w:rsid w:val="00CC4755"/>
    <w:rsid w:val="00CC59F1"/>
    <w:rsid w:val="00CC5B45"/>
    <w:rsid w:val="00CC5D91"/>
    <w:rsid w:val="00CC6103"/>
    <w:rsid w:val="00CC6406"/>
    <w:rsid w:val="00CC6540"/>
    <w:rsid w:val="00CC674B"/>
    <w:rsid w:val="00CC67D7"/>
    <w:rsid w:val="00CC6875"/>
    <w:rsid w:val="00CC68EA"/>
    <w:rsid w:val="00CC6D5E"/>
    <w:rsid w:val="00CC73AE"/>
    <w:rsid w:val="00CC7988"/>
    <w:rsid w:val="00CC7F42"/>
    <w:rsid w:val="00CD0200"/>
    <w:rsid w:val="00CD0402"/>
    <w:rsid w:val="00CD0427"/>
    <w:rsid w:val="00CD06E6"/>
    <w:rsid w:val="00CD1015"/>
    <w:rsid w:val="00CD108D"/>
    <w:rsid w:val="00CD1A6F"/>
    <w:rsid w:val="00CD206E"/>
    <w:rsid w:val="00CD21C5"/>
    <w:rsid w:val="00CD23BB"/>
    <w:rsid w:val="00CD2492"/>
    <w:rsid w:val="00CD2D52"/>
    <w:rsid w:val="00CD3894"/>
    <w:rsid w:val="00CD3D01"/>
    <w:rsid w:val="00CD3D5E"/>
    <w:rsid w:val="00CD3F77"/>
    <w:rsid w:val="00CD4317"/>
    <w:rsid w:val="00CD4446"/>
    <w:rsid w:val="00CD488A"/>
    <w:rsid w:val="00CD4993"/>
    <w:rsid w:val="00CD49CC"/>
    <w:rsid w:val="00CD5135"/>
    <w:rsid w:val="00CD5488"/>
    <w:rsid w:val="00CD5813"/>
    <w:rsid w:val="00CD5B08"/>
    <w:rsid w:val="00CD5BEE"/>
    <w:rsid w:val="00CD5F0E"/>
    <w:rsid w:val="00CD6424"/>
    <w:rsid w:val="00CD64E5"/>
    <w:rsid w:val="00CD65EC"/>
    <w:rsid w:val="00CD6A42"/>
    <w:rsid w:val="00CD6ADC"/>
    <w:rsid w:val="00CD6BA3"/>
    <w:rsid w:val="00CD6F56"/>
    <w:rsid w:val="00CD701F"/>
    <w:rsid w:val="00CD7193"/>
    <w:rsid w:val="00CD73B8"/>
    <w:rsid w:val="00CD7437"/>
    <w:rsid w:val="00CD7925"/>
    <w:rsid w:val="00CD7985"/>
    <w:rsid w:val="00CD7A48"/>
    <w:rsid w:val="00CD7D5B"/>
    <w:rsid w:val="00CD7EEA"/>
    <w:rsid w:val="00CE023C"/>
    <w:rsid w:val="00CE02D8"/>
    <w:rsid w:val="00CE0541"/>
    <w:rsid w:val="00CE12FA"/>
    <w:rsid w:val="00CE1419"/>
    <w:rsid w:val="00CE1476"/>
    <w:rsid w:val="00CE1C86"/>
    <w:rsid w:val="00CE22E5"/>
    <w:rsid w:val="00CE28C3"/>
    <w:rsid w:val="00CE28D0"/>
    <w:rsid w:val="00CE2B5C"/>
    <w:rsid w:val="00CE2F48"/>
    <w:rsid w:val="00CE31A5"/>
    <w:rsid w:val="00CE3382"/>
    <w:rsid w:val="00CE3494"/>
    <w:rsid w:val="00CE38C8"/>
    <w:rsid w:val="00CE3DCD"/>
    <w:rsid w:val="00CE3E42"/>
    <w:rsid w:val="00CE4070"/>
    <w:rsid w:val="00CE414C"/>
    <w:rsid w:val="00CE4283"/>
    <w:rsid w:val="00CE42AC"/>
    <w:rsid w:val="00CE4316"/>
    <w:rsid w:val="00CE458B"/>
    <w:rsid w:val="00CE4651"/>
    <w:rsid w:val="00CE4774"/>
    <w:rsid w:val="00CE4C2A"/>
    <w:rsid w:val="00CE4E2A"/>
    <w:rsid w:val="00CE519E"/>
    <w:rsid w:val="00CE51A8"/>
    <w:rsid w:val="00CE524F"/>
    <w:rsid w:val="00CE5593"/>
    <w:rsid w:val="00CE571A"/>
    <w:rsid w:val="00CE5782"/>
    <w:rsid w:val="00CE587D"/>
    <w:rsid w:val="00CE5894"/>
    <w:rsid w:val="00CE58CC"/>
    <w:rsid w:val="00CE5DD3"/>
    <w:rsid w:val="00CE61DB"/>
    <w:rsid w:val="00CE6274"/>
    <w:rsid w:val="00CE650D"/>
    <w:rsid w:val="00CE65C2"/>
    <w:rsid w:val="00CE688C"/>
    <w:rsid w:val="00CE69B5"/>
    <w:rsid w:val="00CE69F8"/>
    <w:rsid w:val="00CE6C9C"/>
    <w:rsid w:val="00CE77B6"/>
    <w:rsid w:val="00CE7A5B"/>
    <w:rsid w:val="00CE7E85"/>
    <w:rsid w:val="00CF0A83"/>
    <w:rsid w:val="00CF1276"/>
    <w:rsid w:val="00CF1588"/>
    <w:rsid w:val="00CF1B5C"/>
    <w:rsid w:val="00CF1FB1"/>
    <w:rsid w:val="00CF2160"/>
    <w:rsid w:val="00CF2177"/>
    <w:rsid w:val="00CF288D"/>
    <w:rsid w:val="00CF2B8D"/>
    <w:rsid w:val="00CF2E62"/>
    <w:rsid w:val="00CF3040"/>
    <w:rsid w:val="00CF3457"/>
    <w:rsid w:val="00CF3886"/>
    <w:rsid w:val="00CF3A1B"/>
    <w:rsid w:val="00CF3A8F"/>
    <w:rsid w:val="00CF3C17"/>
    <w:rsid w:val="00CF456B"/>
    <w:rsid w:val="00CF495A"/>
    <w:rsid w:val="00CF5169"/>
    <w:rsid w:val="00CF5A22"/>
    <w:rsid w:val="00CF5C87"/>
    <w:rsid w:val="00CF6099"/>
    <w:rsid w:val="00CF6488"/>
    <w:rsid w:val="00CF6F4C"/>
    <w:rsid w:val="00CF714D"/>
    <w:rsid w:val="00CF7669"/>
    <w:rsid w:val="00CF770C"/>
    <w:rsid w:val="00CF7FC3"/>
    <w:rsid w:val="00D001C0"/>
    <w:rsid w:val="00D006F7"/>
    <w:rsid w:val="00D009FA"/>
    <w:rsid w:val="00D00F9E"/>
    <w:rsid w:val="00D0111B"/>
    <w:rsid w:val="00D0153D"/>
    <w:rsid w:val="00D01759"/>
    <w:rsid w:val="00D0188E"/>
    <w:rsid w:val="00D01A79"/>
    <w:rsid w:val="00D01BE2"/>
    <w:rsid w:val="00D0235E"/>
    <w:rsid w:val="00D0256D"/>
    <w:rsid w:val="00D0262E"/>
    <w:rsid w:val="00D027F4"/>
    <w:rsid w:val="00D02FCA"/>
    <w:rsid w:val="00D03222"/>
    <w:rsid w:val="00D03679"/>
    <w:rsid w:val="00D0373B"/>
    <w:rsid w:val="00D03B33"/>
    <w:rsid w:val="00D0495F"/>
    <w:rsid w:val="00D04C6A"/>
    <w:rsid w:val="00D050CE"/>
    <w:rsid w:val="00D0514D"/>
    <w:rsid w:val="00D05484"/>
    <w:rsid w:val="00D057B6"/>
    <w:rsid w:val="00D05E3D"/>
    <w:rsid w:val="00D06139"/>
    <w:rsid w:val="00D0638D"/>
    <w:rsid w:val="00D06C83"/>
    <w:rsid w:val="00D06E24"/>
    <w:rsid w:val="00D073A0"/>
    <w:rsid w:val="00D074BA"/>
    <w:rsid w:val="00D074D0"/>
    <w:rsid w:val="00D07561"/>
    <w:rsid w:val="00D07834"/>
    <w:rsid w:val="00D07AAE"/>
    <w:rsid w:val="00D07E80"/>
    <w:rsid w:val="00D07EBB"/>
    <w:rsid w:val="00D1046B"/>
    <w:rsid w:val="00D10A47"/>
    <w:rsid w:val="00D10EAE"/>
    <w:rsid w:val="00D10ED2"/>
    <w:rsid w:val="00D110BD"/>
    <w:rsid w:val="00D112FA"/>
    <w:rsid w:val="00D114B9"/>
    <w:rsid w:val="00D1153A"/>
    <w:rsid w:val="00D11773"/>
    <w:rsid w:val="00D11807"/>
    <w:rsid w:val="00D1193A"/>
    <w:rsid w:val="00D12000"/>
    <w:rsid w:val="00D1209E"/>
    <w:rsid w:val="00D12518"/>
    <w:rsid w:val="00D12546"/>
    <w:rsid w:val="00D12A59"/>
    <w:rsid w:val="00D12BCB"/>
    <w:rsid w:val="00D12BDF"/>
    <w:rsid w:val="00D12EA8"/>
    <w:rsid w:val="00D1304D"/>
    <w:rsid w:val="00D132AC"/>
    <w:rsid w:val="00D13675"/>
    <w:rsid w:val="00D13D97"/>
    <w:rsid w:val="00D141E1"/>
    <w:rsid w:val="00D143BB"/>
    <w:rsid w:val="00D143E1"/>
    <w:rsid w:val="00D14453"/>
    <w:rsid w:val="00D145CD"/>
    <w:rsid w:val="00D15179"/>
    <w:rsid w:val="00D15314"/>
    <w:rsid w:val="00D153D3"/>
    <w:rsid w:val="00D15961"/>
    <w:rsid w:val="00D159C1"/>
    <w:rsid w:val="00D15B06"/>
    <w:rsid w:val="00D15B48"/>
    <w:rsid w:val="00D15D92"/>
    <w:rsid w:val="00D16247"/>
    <w:rsid w:val="00D163F3"/>
    <w:rsid w:val="00D1646B"/>
    <w:rsid w:val="00D16524"/>
    <w:rsid w:val="00D1685D"/>
    <w:rsid w:val="00D16BFE"/>
    <w:rsid w:val="00D16D77"/>
    <w:rsid w:val="00D176F3"/>
    <w:rsid w:val="00D1775B"/>
    <w:rsid w:val="00D17D39"/>
    <w:rsid w:val="00D17D6C"/>
    <w:rsid w:val="00D17F55"/>
    <w:rsid w:val="00D2043F"/>
    <w:rsid w:val="00D204C8"/>
    <w:rsid w:val="00D21051"/>
    <w:rsid w:val="00D210C1"/>
    <w:rsid w:val="00D2155B"/>
    <w:rsid w:val="00D21B9C"/>
    <w:rsid w:val="00D21DF5"/>
    <w:rsid w:val="00D2209B"/>
    <w:rsid w:val="00D221FA"/>
    <w:rsid w:val="00D2231B"/>
    <w:rsid w:val="00D22356"/>
    <w:rsid w:val="00D22FCA"/>
    <w:rsid w:val="00D230BE"/>
    <w:rsid w:val="00D23275"/>
    <w:rsid w:val="00D2343A"/>
    <w:rsid w:val="00D23884"/>
    <w:rsid w:val="00D23D11"/>
    <w:rsid w:val="00D244B6"/>
    <w:rsid w:val="00D245EA"/>
    <w:rsid w:val="00D24B07"/>
    <w:rsid w:val="00D24CB4"/>
    <w:rsid w:val="00D250B7"/>
    <w:rsid w:val="00D25347"/>
    <w:rsid w:val="00D253E7"/>
    <w:rsid w:val="00D2559F"/>
    <w:rsid w:val="00D25901"/>
    <w:rsid w:val="00D25C1E"/>
    <w:rsid w:val="00D2612C"/>
    <w:rsid w:val="00D26268"/>
    <w:rsid w:val="00D26403"/>
    <w:rsid w:val="00D268AE"/>
    <w:rsid w:val="00D26D01"/>
    <w:rsid w:val="00D27369"/>
    <w:rsid w:val="00D27465"/>
    <w:rsid w:val="00D2754D"/>
    <w:rsid w:val="00D27555"/>
    <w:rsid w:val="00D276E7"/>
    <w:rsid w:val="00D276EA"/>
    <w:rsid w:val="00D27773"/>
    <w:rsid w:val="00D27880"/>
    <w:rsid w:val="00D27895"/>
    <w:rsid w:val="00D27B27"/>
    <w:rsid w:val="00D27D83"/>
    <w:rsid w:val="00D27E30"/>
    <w:rsid w:val="00D27EE9"/>
    <w:rsid w:val="00D3001B"/>
    <w:rsid w:val="00D30063"/>
    <w:rsid w:val="00D30123"/>
    <w:rsid w:val="00D303A5"/>
    <w:rsid w:val="00D304D1"/>
    <w:rsid w:val="00D30636"/>
    <w:rsid w:val="00D30D5B"/>
    <w:rsid w:val="00D31DC1"/>
    <w:rsid w:val="00D32010"/>
    <w:rsid w:val="00D32021"/>
    <w:rsid w:val="00D323EF"/>
    <w:rsid w:val="00D32585"/>
    <w:rsid w:val="00D3262B"/>
    <w:rsid w:val="00D326D6"/>
    <w:rsid w:val="00D328B2"/>
    <w:rsid w:val="00D32900"/>
    <w:rsid w:val="00D32DC1"/>
    <w:rsid w:val="00D33517"/>
    <w:rsid w:val="00D33556"/>
    <w:rsid w:val="00D336D5"/>
    <w:rsid w:val="00D3375E"/>
    <w:rsid w:val="00D337F2"/>
    <w:rsid w:val="00D3387F"/>
    <w:rsid w:val="00D33947"/>
    <w:rsid w:val="00D33958"/>
    <w:rsid w:val="00D33BE9"/>
    <w:rsid w:val="00D33C50"/>
    <w:rsid w:val="00D33E07"/>
    <w:rsid w:val="00D33E12"/>
    <w:rsid w:val="00D33F93"/>
    <w:rsid w:val="00D34BD9"/>
    <w:rsid w:val="00D34FA0"/>
    <w:rsid w:val="00D35021"/>
    <w:rsid w:val="00D35259"/>
    <w:rsid w:val="00D357FF"/>
    <w:rsid w:val="00D35963"/>
    <w:rsid w:val="00D35AFF"/>
    <w:rsid w:val="00D36139"/>
    <w:rsid w:val="00D3673D"/>
    <w:rsid w:val="00D36840"/>
    <w:rsid w:val="00D368E9"/>
    <w:rsid w:val="00D369D8"/>
    <w:rsid w:val="00D36A5E"/>
    <w:rsid w:val="00D36B68"/>
    <w:rsid w:val="00D3715D"/>
    <w:rsid w:val="00D373AA"/>
    <w:rsid w:val="00D37680"/>
    <w:rsid w:val="00D376FE"/>
    <w:rsid w:val="00D37F26"/>
    <w:rsid w:val="00D4018D"/>
    <w:rsid w:val="00D401CD"/>
    <w:rsid w:val="00D406BC"/>
    <w:rsid w:val="00D406C9"/>
    <w:rsid w:val="00D40AEC"/>
    <w:rsid w:val="00D40B31"/>
    <w:rsid w:val="00D40CBB"/>
    <w:rsid w:val="00D40D43"/>
    <w:rsid w:val="00D40FD8"/>
    <w:rsid w:val="00D418BC"/>
    <w:rsid w:val="00D41B9E"/>
    <w:rsid w:val="00D41C3D"/>
    <w:rsid w:val="00D41EF2"/>
    <w:rsid w:val="00D42291"/>
    <w:rsid w:val="00D424C7"/>
    <w:rsid w:val="00D42741"/>
    <w:rsid w:val="00D42D7B"/>
    <w:rsid w:val="00D43166"/>
    <w:rsid w:val="00D4325A"/>
    <w:rsid w:val="00D43365"/>
    <w:rsid w:val="00D4388C"/>
    <w:rsid w:val="00D43B2A"/>
    <w:rsid w:val="00D43CF1"/>
    <w:rsid w:val="00D43D83"/>
    <w:rsid w:val="00D44054"/>
    <w:rsid w:val="00D440C6"/>
    <w:rsid w:val="00D441D1"/>
    <w:rsid w:val="00D443EC"/>
    <w:rsid w:val="00D44515"/>
    <w:rsid w:val="00D44560"/>
    <w:rsid w:val="00D44588"/>
    <w:rsid w:val="00D44667"/>
    <w:rsid w:val="00D4477A"/>
    <w:rsid w:val="00D449A6"/>
    <w:rsid w:val="00D45004"/>
    <w:rsid w:val="00D45238"/>
    <w:rsid w:val="00D4535C"/>
    <w:rsid w:val="00D45CC1"/>
    <w:rsid w:val="00D45CC3"/>
    <w:rsid w:val="00D45E76"/>
    <w:rsid w:val="00D45F87"/>
    <w:rsid w:val="00D4681B"/>
    <w:rsid w:val="00D46989"/>
    <w:rsid w:val="00D469BA"/>
    <w:rsid w:val="00D471FF"/>
    <w:rsid w:val="00D47229"/>
    <w:rsid w:val="00D472FA"/>
    <w:rsid w:val="00D47575"/>
    <w:rsid w:val="00D50B82"/>
    <w:rsid w:val="00D50C9A"/>
    <w:rsid w:val="00D50D58"/>
    <w:rsid w:val="00D50F42"/>
    <w:rsid w:val="00D51819"/>
    <w:rsid w:val="00D51AD6"/>
    <w:rsid w:val="00D51EF4"/>
    <w:rsid w:val="00D52083"/>
    <w:rsid w:val="00D5213D"/>
    <w:rsid w:val="00D5243B"/>
    <w:rsid w:val="00D52460"/>
    <w:rsid w:val="00D528D4"/>
    <w:rsid w:val="00D528F1"/>
    <w:rsid w:val="00D52C46"/>
    <w:rsid w:val="00D530B2"/>
    <w:rsid w:val="00D53143"/>
    <w:rsid w:val="00D53314"/>
    <w:rsid w:val="00D533EC"/>
    <w:rsid w:val="00D5343D"/>
    <w:rsid w:val="00D53936"/>
    <w:rsid w:val="00D53C6D"/>
    <w:rsid w:val="00D53CB3"/>
    <w:rsid w:val="00D53DB0"/>
    <w:rsid w:val="00D54047"/>
    <w:rsid w:val="00D54318"/>
    <w:rsid w:val="00D54426"/>
    <w:rsid w:val="00D5447D"/>
    <w:rsid w:val="00D545C3"/>
    <w:rsid w:val="00D54691"/>
    <w:rsid w:val="00D55780"/>
    <w:rsid w:val="00D55A10"/>
    <w:rsid w:val="00D55C77"/>
    <w:rsid w:val="00D55D74"/>
    <w:rsid w:val="00D55FB1"/>
    <w:rsid w:val="00D5631F"/>
    <w:rsid w:val="00D56A95"/>
    <w:rsid w:val="00D56E20"/>
    <w:rsid w:val="00D570A6"/>
    <w:rsid w:val="00D571CC"/>
    <w:rsid w:val="00D5724C"/>
    <w:rsid w:val="00D57977"/>
    <w:rsid w:val="00D60429"/>
    <w:rsid w:val="00D604E9"/>
    <w:rsid w:val="00D606B4"/>
    <w:rsid w:val="00D6076E"/>
    <w:rsid w:val="00D60A05"/>
    <w:rsid w:val="00D60A51"/>
    <w:rsid w:val="00D60BA4"/>
    <w:rsid w:val="00D60BD2"/>
    <w:rsid w:val="00D60C61"/>
    <w:rsid w:val="00D60CA1"/>
    <w:rsid w:val="00D60E2C"/>
    <w:rsid w:val="00D6147F"/>
    <w:rsid w:val="00D6157A"/>
    <w:rsid w:val="00D615E2"/>
    <w:rsid w:val="00D61752"/>
    <w:rsid w:val="00D61D97"/>
    <w:rsid w:val="00D61F1E"/>
    <w:rsid w:val="00D6216F"/>
    <w:rsid w:val="00D6246F"/>
    <w:rsid w:val="00D624DE"/>
    <w:rsid w:val="00D62687"/>
    <w:rsid w:val="00D62C82"/>
    <w:rsid w:val="00D62CB5"/>
    <w:rsid w:val="00D62F5F"/>
    <w:rsid w:val="00D63147"/>
    <w:rsid w:val="00D634CB"/>
    <w:rsid w:val="00D634D7"/>
    <w:rsid w:val="00D63A08"/>
    <w:rsid w:val="00D63AE7"/>
    <w:rsid w:val="00D63B14"/>
    <w:rsid w:val="00D63CEA"/>
    <w:rsid w:val="00D64059"/>
    <w:rsid w:val="00D64708"/>
    <w:rsid w:val="00D64753"/>
    <w:rsid w:val="00D648BD"/>
    <w:rsid w:val="00D64B42"/>
    <w:rsid w:val="00D64D99"/>
    <w:rsid w:val="00D64F89"/>
    <w:rsid w:val="00D659CF"/>
    <w:rsid w:val="00D65B4E"/>
    <w:rsid w:val="00D65BB4"/>
    <w:rsid w:val="00D65E0C"/>
    <w:rsid w:val="00D65E6E"/>
    <w:rsid w:val="00D65E90"/>
    <w:rsid w:val="00D65ED7"/>
    <w:rsid w:val="00D6600B"/>
    <w:rsid w:val="00D66607"/>
    <w:rsid w:val="00D66670"/>
    <w:rsid w:val="00D66FBD"/>
    <w:rsid w:val="00D6792F"/>
    <w:rsid w:val="00D6794A"/>
    <w:rsid w:val="00D70055"/>
    <w:rsid w:val="00D7020C"/>
    <w:rsid w:val="00D7065D"/>
    <w:rsid w:val="00D70717"/>
    <w:rsid w:val="00D707D3"/>
    <w:rsid w:val="00D70ABC"/>
    <w:rsid w:val="00D70C0B"/>
    <w:rsid w:val="00D70F16"/>
    <w:rsid w:val="00D7114A"/>
    <w:rsid w:val="00D712BA"/>
    <w:rsid w:val="00D7167C"/>
    <w:rsid w:val="00D71D6B"/>
    <w:rsid w:val="00D71E48"/>
    <w:rsid w:val="00D7237C"/>
    <w:rsid w:val="00D724AF"/>
    <w:rsid w:val="00D72617"/>
    <w:rsid w:val="00D7268D"/>
    <w:rsid w:val="00D72721"/>
    <w:rsid w:val="00D728A7"/>
    <w:rsid w:val="00D72A37"/>
    <w:rsid w:val="00D72E53"/>
    <w:rsid w:val="00D72F57"/>
    <w:rsid w:val="00D73141"/>
    <w:rsid w:val="00D73144"/>
    <w:rsid w:val="00D731E6"/>
    <w:rsid w:val="00D73263"/>
    <w:rsid w:val="00D735BD"/>
    <w:rsid w:val="00D735C1"/>
    <w:rsid w:val="00D7420B"/>
    <w:rsid w:val="00D7445D"/>
    <w:rsid w:val="00D74645"/>
    <w:rsid w:val="00D7474E"/>
    <w:rsid w:val="00D74D59"/>
    <w:rsid w:val="00D74EE9"/>
    <w:rsid w:val="00D7563E"/>
    <w:rsid w:val="00D757C3"/>
    <w:rsid w:val="00D75827"/>
    <w:rsid w:val="00D759F5"/>
    <w:rsid w:val="00D76220"/>
    <w:rsid w:val="00D76265"/>
    <w:rsid w:val="00D76388"/>
    <w:rsid w:val="00D764D8"/>
    <w:rsid w:val="00D76617"/>
    <w:rsid w:val="00D76A44"/>
    <w:rsid w:val="00D76AEB"/>
    <w:rsid w:val="00D775A3"/>
    <w:rsid w:val="00D77B67"/>
    <w:rsid w:val="00D80213"/>
    <w:rsid w:val="00D807BD"/>
    <w:rsid w:val="00D80A75"/>
    <w:rsid w:val="00D80B4C"/>
    <w:rsid w:val="00D80E0C"/>
    <w:rsid w:val="00D80E6A"/>
    <w:rsid w:val="00D814E5"/>
    <w:rsid w:val="00D815EF"/>
    <w:rsid w:val="00D81949"/>
    <w:rsid w:val="00D81ABE"/>
    <w:rsid w:val="00D81CE6"/>
    <w:rsid w:val="00D81D0B"/>
    <w:rsid w:val="00D81E2D"/>
    <w:rsid w:val="00D81F26"/>
    <w:rsid w:val="00D822E2"/>
    <w:rsid w:val="00D822E4"/>
    <w:rsid w:val="00D82335"/>
    <w:rsid w:val="00D832AD"/>
    <w:rsid w:val="00D83660"/>
    <w:rsid w:val="00D83A7C"/>
    <w:rsid w:val="00D83D67"/>
    <w:rsid w:val="00D83E4B"/>
    <w:rsid w:val="00D843F2"/>
    <w:rsid w:val="00D84698"/>
    <w:rsid w:val="00D8470A"/>
    <w:rsid w:val="00D84F34"/>
    <w:rsid w:val="00D84FC0"/>
    <w:rsid w:val="00D85125"/>
    <w:rsid w:val="00D85434"/>
    <w:rsid w:val="00D85693"/>
    <w:rsid w:val="00D85727"/>
    <w:rsid w:val="00D85975"/>
    <w:rsid w:val="00D86175"/>
    <w:rsid w:val="00D86231"/>
    <w:rsid w:val="00D86378"/>
    <w:rsid w:val="00D86681"/>
    <w:rsid w:val="00D86CAF"/>
    <w:rsid w:val="00D86F02"/>
    <w:rsid w:val="00D873EC"/>
    <w:rsid w:val="00D876CB"/>
    <w:rsid w:val="00D878CE"/>
    <w:rsid w:val="00D87B1B"/>
    <w:rsid w:val="00D87FD9"/>
    <w:rsid w:val="00D90267"/>
    <w:rsid w:val="00D903E8"/>
    <w:rsid w:val="00D90A26"/>
    <w:rsid w:val="00D90E47"/>
    <w:rsid w:val="00D90EE2"/>
    <w:rsid w:val="00D90FC8"/>
    <w:rsid w:val="00D912AB"/>
    <w:rsid w:val="00D918B7"/>
    <w:rsid w:val="00D9191D"/>
    <w:rsid w:val="00D91923"/>
    <w:rsid w:val="00D91AC6"/>
    <w:rsid w:val="00D92282"/>
    <w:rsid w:val="00D93122"/>
    <w:rsid w:val="00D935A7"/>
    <w:rsid w:val="00D93753"/>
    <w:rsid w:val="00D93AC2"/>
    <w:rsid w:val="00D94002"/>
    <w:rsid w:val="00D94281"/>
    <w:rsid w:val="00D9474C"/>
    <w:rsid w:val="00D951A0"/>
    <w:rsid w:val="00D95210"/>
    <w:rsid w:val="00D95747"/>
    <w:rsid w:val="00D957AD"/>
    <w:rsid w:val="00D95849"/>
    <w:rsid w:val="00D95C20"/>
    <w:rsid w:val="00D95D0F"/>
    <w:rsid w:val="00D96336"/>
    <w:rsid w:val="00D96384"/>
    <w:rsid w:val="00D9638A"/>
    <w:rsid w:val="00D9653C"/>
    <w:rsid w:val="00D96CA2"/>
    <w:rsid w:val="00D974CD"/>
    <w:rsid w:val="00D97690"/>
    <w:rsid w:val="00D977CA"/>
    <w:rsid w:val="00D97C73"/>
    <w:rsid w:val="00D97F01"/>
    <w:rsid w:val="00DA0654"/>
    <w:rsid w:val="00DA091A"/>
    <w:rsid w:val="00DA0A4D"/>
    <w:rsid w:val="00DA0C7F"/>
    <w:rsid w:val="00DA0F28"/>
    <w:rsid w:val="00DA106A"/>
    <w:rsid w:val="00DA12FF"/>
    <w:rsid w:val="00DA1365"/>
    <w:rsid w:val="00DA14F3"/>
    <w:rsid w:val="00DA1AE6"/>
    <w:rsid w:val="00DA1D5A"/>
    <w:rsid w:val="00DA20A9"/>
    <w:rsid w:val="00DA21AC"/>
    <w:rsid w:val="00DA27F3"/>
    <w:rsid w:val="00DA2BA2"/>
    <w:rsid w:val="00DA2C99"/>
    <w:rsid w:val="00DA2F64"/>
    <w:rsid w:val="00DA3167"/>
    <w:rsid w:val="00DA3233"/>
    <w:rsid w:val="00DA3C3E"/>
    <w:rsid w:val="00DA4241"/>
    <w:rsid w:val="00DA42F5"/>
    <w:rsid w:val="00DA43FD"/>
    <w:rsid w:val="00DA4B1C"/>
    <w:rsid w:val="00DA4DC3"/>
    <w:rsid w:val="00DA5134"/>
    <w:rsid w:val="00DA5959"/>
    <w:rsid w:val="00DA5D3B"/>
    <w:rsid w:val="00DA5FF3"/>
    <w:rsid w:val="00DA60FB"/>
    <w:rsid w:val="00DA62EB"/>
    <w:rsid w:val="00DA635F"/>
    <w:rsid w:val="00DA7063"/>
    <w:rsid w:val="00DA7748"/>
    <w:rsid w:val="00DA77A5"/>
    <w:rsid w:val="00DA7989"/>
    <w:rsid w:val="00DB00B4"/>
    <w:rsid w:val="00DB0B47"/>
    <w:rsid w:val="00DB0E36"/>
    <w:rsid w:val="00DB0EC9"/>
    <w:rsid w:val="00DB100A"/>
    <w:rsid w:val="00DB101C"/>
    <w:rsid w:val="00DB1710"/>
    <w:rsid w:val="00DB22E4"/>
    <w:rsid w:val="00DB2A35"/>
    <w:rsid w:val="00DB31D6"/>
    <w:rsid w:val="00DB3379"/>
    <w:rsid w:val="00DB3DBF"/>
    <w:rsid w:val="00DB484F"/>
    <w:rsid w:val="00DB48E2"/>
    <w:rsid w:val="00DB4B1B"/>
    <w:rsid w:val="00DB4CE8"/>
    <w:rsid w:val="00DB4EA7"/>
    <w:rsid w:val="00DB4F79"/>
    <w:rsid w:val="00DB5421"/>
    <w:rsid w:val="00DB543F"/>
    <w:rsid w:val="00DB562B"/>
    <w:rsid w:val="00DB5792"/>
    <w:rsid w:val="00DB5827"/>
    <w:rsid w:val="00DB594E"/>
    <w:rsid w:val="00DB5A98"/>
    <w:rsid w:val="00DB5EEB"/>
    <w:rsid w:val="00DB5F0C"/>
    <w:rsid w:val="00DB627A"/>
    <w:rsid w:val="00DB649A"/>
    <w:rsid w:val="00DB664B"/>
    <w:rsid w:val="00DB6EAE"/>
    <w:rsid w:val="00DB6FCE"/>
    <w:rsid w:val="00DB6FE6"/>
    <w:rsid w:val="00DB702F"/>
    <w:rsid w:val="00DB73A4"/>
    <w:rsid w:val="00DC03F1"/>
    <w:rsid w:val="00DC04F6"/>
    <w:rsid w:val="00DC0690"/>
    <w:rsid w:val="00DC169C"/>
    <w:rsid w:val="00DC16DB"/>
    <w:rsid w:val="00DC1CE8"/>
    <w:rsid w:val="00DC1D65"/>
    <w:rsid w:val="00DC1E5A"/>
    <w:rsid w:val="00DC1E9C"/>
    <w:rsid w:val="00DC2249"/>
    <w:rsid w:val="00DC26F8"/>
    <w:rsid w:val="00DC2C31"/>
    <w:rsid w:val="00DC2DDE"/>
    <w:rsid w:val="00DC33C6"/>
    <w:rsid w:val="00DC375E"/>
    <w:rsid w:val="00DC3782"/>
    <w:rsid w:val="00DC37FF"/>
    <w:rsid w:val="00DC3C57"/>
    <w:rsid w:val="00DC42DB"/>
    <w:rsid w:val="00DC42E8"/>
    <w:rsid w:val="00DC42F5"/>
    <w:rsid w:val="00DC4745"/>
    <w:rsid w:val="00DC48EA"/>
    <w:rsid w:val="00DC4F20"/>
    <w:rsid w:val="00DC50BA"/>
    <w:rsid w:val="00DC51AB"/>
    <w:rsid w:val="00DC5501"/>
    <w:rsid w:val="00DC59DF"/>
    <w:rsid w:val="00DC5DE4"/>
    <w:rsid w:val="00DC6793"/>
    <w:rsid w:val="00DC6CC3"/>
    <w:rsid w:val="00DC6F4E"/>
    <w:rsid w:val="00DC7154"/>
    <w:rsid w:val="00DC73CF"/>
    <w:rsid w:val="00DC7A47"/>
    <w:rsid w:val="00DC7B96"/>
    <w:rsid w:val="00DC7E8A"/>
    <w:rsid w:val="00DD00A9"/>
    <w:rsid w:val="00DD040F"/>
    <w:rsid w:val="00DD082C"/>
    <w:rsid w:val="00DD0AD8"/>
    <w:rsid w:val="00DD0F78"/>
    <w:rsid w:val="00DD0FCE"/>
    <w:rsid w:val="00DD0FDA"/>
    <w:rsid w:val="00DD11FD"/>
    <w:rsid w:val="00DD165C"/>
    <w:rsid w:val="00DD1A10"/>
    <w:rsid w:val="00DD1E74"/>
    <w:rsid w:val="00DD273C"/>
    <w:rsid w:val="00DD28D4"/>
    <w:rsid w:val="00DD2AD3"/>
    <w:rsid w:val="00DD2B4F"/>
    <w:rsid w:val="00DD2B82"/>
    <w:rsid w:val="00DD2D4B"/>
    <w:rsid w:val="00DD3271"/>
    <w:rsid w:val="00DD3369"/>
    <w:rsid w:val="00DD3BFF"/>
    <w:rsid w:val="00DD3E6C"/>
    <w:rsid w:val="00DD3F28"/>
    <w:rsid w:val="00DD42C1"/>
    <w:rsid w:val="00DD4319"/>
    <w:rsid w:val="00DD4446"/>
    <w:rsid w:val="00DD4537"/>
    <w:rsid w:val="00DD467C"/>
    <w:rsid w:val="00DD48A2"/>
    <w:rsid w:val="00DD4B08"/>
    <w:rsid w:val="00DD4E0C"/>
    <w:rsid w:val="00DD4E15"/>
    <w:rsid w:val="00DD4ED9"/>
    <w:rsid w:val="00DD50F8"/>
    <w:rsid w:val="00DD54EE"/>
    <w:rsid w:val="00DD553A"/>
    <w:rsid w:val="00DD59A0"/>
    <w:rsid w:val="00DD5ACD"/>
    <w:rsid w:val="00DD5B0F"/>
    <w:rsid w:val="00DD5F78"/>
    <w:rsid w:val="00DD652E"/>
    <w:rsid w:val="00DD6A40"/>
    <w:rsid w:val="00DD6BA0"/>
    <w:rsid w:val="00DD6F42"/>
    <w:rsid w:val="00DD711D"/>
    <w:rsid w:val="00DD7437"/>
    <w:rsid w:val="00DD7814"/>
    <w:rsid w:val="00DD7C6C"/>
    <w:rsid w:val="00DD7C7E"/>
    <w:rsid w:val="00DD7E29"/>
    <w:rsid w:val="00DD7E56"/>
    <w:rsid w:val="00DE0108"/>
    <w:rsid w:val="00DE01EB"/>
    <w:rsid w:val="00DE0CBD"/>
    <w:rsid w:val="00DE160A"/>
    <w:rsid w:val="00DE1960"/>
    <w:rsid w:val="00DE1F22"/>
    <w:rsid w:val="00DE212B"/>
    <w:rsid w:val="00DE2304"/>
    <w:rsid w:val="00DE2946"/>
    <w:rsid w:val="00DE2F36"/>
    <w:rsid w:val="00DE3138"/>
    <w:rsid w:val="00DE353A"/>
    <w:rsid w:val="00DE37F8"/>
    <w:rsid w:val="00DE3F39"/>
    <w:rsid w:val="00DE3F93"/>
    <w:rsid w:val="00DE4273"/>
    <w:rsid w:val="00DE430D"/>
    <w:rsid w:val="00DE4321"/>
    <w:rsid w:val="00DE4787"/>
    <w:rsid w:val="00DE4DC1"/>
    <w:rsid w:val="00DE4F49"/>
    <w:rsid w:val="00DE4FBF"/>
    <w:rsid w:val="00DE4FCB"/>
    <w:rsid w:val="00DE4FDE"/>
    <w:rsid w:val="00DE53B3"/>
    <w:rsid w:val="00DE585E"/>
    <w:rsid w:val="00DE5D07"/>
    <w:rsid w:val="00DE6528"/>
    <w:rsid w:val="00DE672D"/>
    <w:rsid w:val="00DE684B"/>
    <w:rsid w:val="00DE6FFE"/>
    <w:rsid w:val="00DE710B"/>
    <w:rsid w:val="00DE72A7"/>
    <w:rsid w:val="00DE7455"/>
    <w:rsid w:val="00DE7832"/>
    <w:rsid w:val="00DE78A9"/>
    <w:rsid w:val="00DE7B7F"/>
    <w:rsid w:val="00DE7CD9"/>
    <w:rsid w:val="00DE7E42"/>
    <w:rsid w:val="00DF0303"/>
    <w:rsid w:val="00DF04FE"/>
    <w:rsid w:val="00DF0522"/>
    <w:rsid w:val="00DF05C7"/>
    <w:rsid w:val="00DF0A07"/>
    <w:rsid w:val="00DF0CDA"/>
    <w:rsid w:val="00DF0D30"/>
    <w:rsid w:val="00DF0D50"/>
    <w:rsid w:val="00DF1287"/>
    <w:rsid w:val="00DF1306"/>
    <w:rsid w:val="00DF18FC"/>
    <w:rsid w:val="00DF1CA9"/>
    <w:rsid w:val="00DF2494"/>
    <w:rsid w:val="00DF25D1"/>
    <w:rsid w:val="00DF2B19"/>
    <w:rsid w:val="00DF2B5D"/>
    <w:rsid w:val="00DF30FC"/>
    <w:rsid w:val="00DF31A2"/>
    <w:rsid w:val="00DF35D9"/>
    <w:rsid w:val="00DF366E"/>
    <w:rsid w:val="00DF3735"/>
    <w:rsid w:val="00DF3959"/>
    <w:rsid w:val="00DF3AE5"/>
    <w:rsid w:val="00DF3C57"/>
    <w:rsid w:val="00DF3E92"/>
    <w:rsid w:val="00DF408B"/>
    <w:rsid w:val="00DF42C1"/>
    <w:rsid w:val="00DF4857"/>
    <w:rsid w:val="00DF48D1"/>
    <w:rsid w:val="00DF4CEA"/>
    <w:rsid w:val="00DF4DC8"/>
    <w:rsid w:val="00DF4FB0"/>
    <w:rsid w:val="00DF5248"/>
    <w:rsid w:val="00DF53B5"/>
    <w:rsid w:val="00DF5D2B"/>
    <w:rsid w:val="00DF5D72"/>
    <w:rsid w:val="00DF60FB"/>
    <w:rsid w:val="00DF624B"/>
    <w:rsid w:val="00DF6341"/>
    <w:rsid w:val="00DF6486"/>
    <w:rsid w:val="00DF6576"/>
    <w:rsid w:val="00DF672C"/>
    <w:rsid w:val="00DF6BBA"/>
    <w:rsid w:val="00DF6C63"/>
    <w:rsid w:val="00DF6E90"/>
    <w:rsid w:val="00DF70E0"/>
    <w:rsid w:val="00DF73F4"/>
    <w:rsid w:val="00DF74B2"/>
    <w:rsid w:val="00DF75C8"/>
    <w:rsid w:val="00DF77F6"/>
    <w:rsid w:val="00DF7CDF"/>
    <w:rsid w:val="00E00108"/>
    <w:rsid w:val="00E00257"/>
    <w:rsid w:val="00E0065A"/>
    <w:rsid w:val="00E00BE2"/>
    <w:rsid w:val="00E00E8E"/>
    <w:rsid w:val="00E0127F"/>
    <w:rsid w:val="00E0139B"/>
    <w:rsid w:val="00E0141D"/>
    <w:rsid w:val="00E01603"/>
    <w:rsid w:val="00E01725"/>
    <w:rsid w:val="00E01B69"/>
    <w:rsid w:val="00E01E22"/>
    <w:rsid w:val="00E01FEB"/>
    <w:rsid w:val="00E02195"/>
    <w:rsid w:val="00E021E9"/>
    <w:rsid w:val="00E02306"/>
    <w:rsid w:val="00E0238A"/>
    <w:rsid w:val="00E028C1"/>
    <w:rsid w:val="00E02B76"/>
    <w:rsid w:val="00E02DF7"/>
    <w:rsid w:val="00E02E83"/>
    <w:rsid w:val="00E03993"/>
    <w:rsid w:val="00E03A51"/>
    <w:rsid w:val="00E03E13"/>
    <w:rsid w:val="00E03F14"/>
    <w:rsid w:val="00E04181"/>
    <w:rsid w:val="00E049BD"/>
    <w:rsid w:val="00E04A73"/>
    <w:rsid w:val="00E055BD"/>
    <w:rsid w:val="00E05630"/>
    <w:rsid w:val="00E05AF3"/>
    <w:rsid w:val="00E05BC5"/>
    <w:rsid w:val="00E05C81"/>
    <w:rsid w:val="00E05F4C"/>
    <w:rsid w:val="00E066E7"/>
    <w:rsid w:val="00E06C8C"/>
    <w:rsid w:val="00E06CB4"/>
    <w:rsid w:val="00E06DBB"/>
    <w:rsid w:val="00E0722C"/>
    <w:rsid w:val="00E077E2"/>
    <w:rsid w:val="00E07803"/>
    <w:rsid w:val="00E078B0"/>
    <w:rsid w:val="00E07CD6"/>
    <w:rsid w:val="00E07DE8"/>
    <w:rsid w:val="00E10149"/>
    <w:rsid w:val="00E10687"/>
    <w:rsid w:val="00E10CFC"/>
    <w:rsid w:val="00E10EAB"/>
    <w:rsid w:val="00E11035"/>
    <w:rsid w:val="00E11327"/>
    <w:rsid w:val="00E11340"/>
    <w:rsid w:val="00E115AC"/>
    <w:rsid w:val="00E11857"/>
    <w:rsid w:val="00E118E8"/>
    <w:rsid w:val="00E11AAD"/>
    <w:rsid w:val="00E11EEB"/>
    <w:rsid w:val="00E11FA9"/>
    <w:rsid w:val="00E120B1"/>
    <w:rsid w:val="00E12210"/>
    <w:rsid w:val="00E122A1"/>
    <w:rsid w:val="00E122B4"/>
    <w:rsid w:val="00E122DF"/>
    <w:rsid w:val="00E12518"/>
    <w:rsid w:val="00E12780"/>
    <w:rsid w:val="00E12844"/>
    <w:rsid w:val="00E12B07"/>
    <w:rsid w:val="00E13005"/>
    <w:rsid w:val="00E13165"/>
    <w:rsid w:val="00E13275"/>
    <w:rsid w:val="00E1345D"/>
    <w:rsid w:val="00E1357B"/>
    <w:rsid w:val="00E135BA"/>
    <w:rsid w:val="00E13B8D"/>
    <w:rsid w:val="00E13CB4"/>
    <w:rsid w:val="00E14097"/>
    <w:rsid w:val="00E140C8"/>
    <w:rsid w:val="00E14E66"/>
    <w:rsid w:val="00E14E7E"/>
    <w:rsid w:val="00E1559D"/>
    <w:rsid w:val="00E15721"/>
    <w:rsid w:val="00E15FE1"/>
    <w:rsid w:val="00E1619A"/>
    <w:rsid w:val="00E16372"/>
    <w:rsid w:val="00E165F2"/>
    <w:rsid w:val="00E16765"/>
    <w:rsid w:val="00E16AD8"/>
    <w:rsid w:val="00E16D86"/>
    <w:rsid w:val="00E16EF3"/>
    <w:rsid w:val="00E17087"/>
    <w:rsid w:val="00E172A6"/>
    <w:rsid w:val="00E172F8"/>
    <w:rsid w:val="00E174E9"/>
    <w:rsid w:val="00E17DA8"/>
    <w:rsid w:val="00E17E49"/>
    <w:rsid w:val="00E17FFA"/>
    <w:rsid w:val="00E20092"/>
    <w:rsid w:val="00E20593"/>
    <w:rsid w:val="00E20766"/>
    <w:rsid w:val="00E2087F"/>
    <w:rsid w:val="00E20C16"/>
    <w:rsid w:val="00E20C6E"/>
    <w:rsid w:val="00E20E4D"/>
    <w:rsid w:val="00E20ED6"/>
    <w:rsid w:val="00E2117C"/>
    <w:rsid w:val="00E21202"/>
    <w:rsid w:val="00E21358"/>
    <w:rsid w:val="00E21567"/>
    <w:rsid w:val="00E22046"/>
    <w:rsid w:val="00E22233"/>
    <w:rsid w:val="00E223EF"/>
    <w:rsid w:val="00E2249B"/>
    <w:rsid w:val="00E226A6"/>
    <w:rsid w:val="00E22729"/>
    <w:rsid w:val="00E22A0D"/>
    <w:rsid w:val="00E22C18"/>
    <w:rsid w:val="00E22D70"/>
    <w:rsid w:val="00E22ED4"/>
    <w:rsid w:val="00E2312D"/>
    <w:rsid w:val="00E236BF"/>
    <w:rsid w:val="00E23BAE"/>
    <w:rsid w:val="00E24491"/>
    <w:rsid w:val="00E244F6"/>
    <w:rsid w:val="00E24626"/>
    <w:rsid w:val="00E248DC"/>
    <w:rsid w:val="00E255D0"/>
    <w:rsid w:val="00E258DB"/>
    <w:rsid w:val="00E25BA9"/>
    <w:rsid w:val="00E25DDA"/>
    <w:rsid w:val="00E25F94"/>
    <w:rsid w:val="00E26306"/>
    <w:rsid w:val="00E267F8"/>
    <w:rsid w:val="00E26819"/>
    <w:rsid w:val="00E2715A"/>
    <w:rsid w:val="00E2771E"/>
    <w:rsid w:val="00E27974"/>
    <w:rsid w:val="00E27BD1"/>
    <w:rsid w:val="00E27EAB"/>
    <w:rsid w:val="00E30025"/>
    <w:rsid w:val="00E3024B"/>
    <w:rsid w:val="00E30323"/>
    <w:rsid w:val="00E305CA"/>
    <w:rsid w:val="00E30E22"/>
    <w:rsid w:val="00E30EEB"/>
    <w:rsid w:val="00E311EF"/>
    <w:rsid w:val="00E31B68"/>
    <w:rsid w:val="00E31F09"/>
    <w:rsid w:val="00E3215D"/>
    <w:rsid w:val="00E32180"/>
    <w:rsid w:val="00E322DB"/>
    <w:rsid w:val="00E326C6"/>
    <w:rsid w:val="00E3342C"/>
    <w:rsid w:val="00E33444"/>
    <w:rsid w:val="00E3380A"/>
    <w:rsid w:val="00E339EA"/>
    <w:rsid w:val="00E33FCA"/>
    <w:rsid w:val="00E344E3"/>
    <w:rsid w:val="00E34780"/>
    <w:rsid w:val="00E34938"/>
    <w:rsid w:val="00E34948"/>
    <w:rsid w:val="00E34989"/>
    <w:rsid w:val="00E34FDF"/>
    <w:rsid w:val="00E3518E"/>
    <w:rsid w:val="00E35370"/>
    <w:rsid w:val="00E354C6"/>
    <w:rsid w:val="00E35D4F"/>
    <w:rsid w:val="00E363CE"/>
    <w:rsid w:val="00E36422"/>
    <w:rsid w:val="00E3646F"/>
    <w:rsid w:val="00E366DC"/>
    <w:rsid w:val="00E3706A"/>
    <w:rsid w:val="00E371D0"/>
    <w:rsid w:val="00E374D4"/>
    <w:rsid w:val="00E37569"/>
    <w:rsid w:val="00E37751"/>
    <w:rsid w:val="00E37AEC"/>
    <w:rsid w:val="00E37BB7"/>
    <w:rsid w:val="00E401B2"/>
    <w:rsid w:val="00E40367"/>
    <w:rsid w:val="00E413DE"/>
    <w:rsid w:val="00E419AE"/>
    <w:rsid w:val="00E419F6"/>
    <w:rsid w:val="00E41E30"/>
    <w:rsid w:val="00E421F9"/>
    <w:rsid w:val="00E424D1"/>
    <w:rsid w:val="00E42760"/>
    <w:rsid w:val="00E42B49"/>
    <w:rsid w:val="00E42F73"/>
    <w:rsid w:val="00E4308C"/>
    <w:rsid w:val="00E434A0"/>
    <w:rsid w:val="00E434CE"/>
    <w:rsid w:val="00E43799"/>
    <w:rsid w:val="00E43821"/>
    <w:rsid w:val="00E43943"/>
    <w:rsid w:val="00E43D70"/>
    <w:rsid w:val="00E43EF0"/>
    <w:rsid w:val="00E43F2E"/>
    <w:rsid w:val="00E442EB"/>
    <w:rsid w:val="00E443A4"/>
    <w:rsid w:val="00E44555"/>
    <w:rsid w:val="00E445CF"/>
    <w:rsid w:val="00E44B3C"/>
    <w:rsid w:val="00E44D13"/>
    <w:rsid w:val="00E45492"/>
    <w:rsid w:val="00E45892"/>
    <w:rsid w:val="00E459FE"/>
    <w:rsid w:val="00E466F3"/>
    <w:rsid w:val="00E46935"/>
    <w:rsid w:val="00E469D8"/>
    <w:rsid w:val="00E46F10"/>
    <w:rsid w:val="00E475FB"/>
    <w:rsid w:val="00E476A8"/>
    <w:rsid w:val="00E47B2C"/>
    <w:rsid w:val="00E50A87"/>
    <w:rsid w:val="00E510FF"/>
    <w:rsid w:val="00E51537"/>
    <w:rsid w:val="00E51560"/>
    <w:rsid w:val="00E516D4"/>
    <w:rsid w:val="00E51821"/>
    <w:rsid w:val="00E518B3"/>
    <w:rsid w:val="00E51BF9"/>
    <w:rsid w:val="00E51E07"/>
    <w:rsid w:val="00E52025"/>
    <w:rsid w:val="00E52066"/>
    <w:rsid w:val="00E521B3"/>
    <w:rsid w:val="00E522A6"/>
    <w:rsid w:val="00E52B23"/>
    <w:rsid w:val="00E52F80"/>
    <w:rsid w:val="00E5303F"/>
    <w:rsid w:val="00E531E6"/>
    <w:rsid w:val="00E5385A"/>
    <w:rsid w:val="00E53C77"/>
    <w:rsid w:val="00E53D61"/>
    <w:rsid w:val="00E53DEB"/>
    <w:rsid w:val="00E53FC8"/>
    <w:rsid w:val="00E5430F"/>
    <w:rsid w:val="00E54347"/>
    <w:rsid w:val="00E544E9"/>
    <w:rsid w:val="00E553BB"/>
    <w:rsid w:val="00E55424"/>
    <w:rsid w:val="00E55767"/>
    <w:rsid w:val="00E55915"/>
    <w:rsid w:val="00E559A8"/>
    <w:rsid w:val="00E55A6C"/>
    <w:rsid w:val="00E55B3D"/>
    <w:rsid w:val="00E55BB5"/>
    <w:rsid w:val="00E55DEA"/>
    <w:rsid w:val="00E55FD6"/>
    <w:rsid w:val="00E5618A"/>
    <w:rsid w:val="00E56507"/>
    <w:rsid w:val="00E569AA"/>
    <w:rsid w:val="00E56EE4"/>
    <w:rsid w:val="00E571B6"/>
    <w:rsid w:val="00E5784C"/>
    <w:rsid w:val="00E57D59"/>
    <w:rsid w:val="00E57F29"/>
    <w:rsid w:val="00E606CF"/>
    <w:rsid w:val="00E60ED1"/>
    <w:rsid w:val="00E61010"/>
    <w:rsid w:val="00E61155"/>
    <w:rsid w:val="00E611DF"/>
    <w:rsid w:val="00E6158A"/>
    <w:rsid w:val="00E615FE"/>
    <w:rsid w:val="00E61D92"/>
    <w:rsid w:val="00E620B6"/>
    <w:rsid w:val="00E6266D"/>
    <w:rsid w:val="00E62A64"/>
    <w:rsid w:val="00E62DDF"/>
    <w:rsid w:val="00E63237"/>
    <w:rsid w:val="00E632BC"/>
    <w:rsid w:val="00E6364E"/>
    <w:rsid w:val="00E642B7"/>
    <w:rsid w:val="00E643DF"/>
    <w:rsid w:val="00E64717"/>
    <w:rsid w:val="00E64AC6"/>
    <w:rsid w:val="00E65234"/>
    <w:rsid w:val="00E65807"/>
    <w:rsid w:val="00E65B76"/>
    <w:rsid w:val="00E65C12"/>
    <w:rsid w:val="00E65D12"/>
    <w:rsid w:val="00E65E79"/>
    <w:rsid w:val="00E66BA2"/>
    <w:rsid w:val="00E6737D"/>
    <w:rsid w:val="00E67416"/>
    <w:rsid w:val="00E675A2"/>
    <w:rsid w:val="00E67B2C"/>
    <w:rsid w:val="00E67B59"/>
    <w:rsid w:val="00E700C6"/>
    <w:rsid w:val="00E704E8"/>
    <w:rsid w:val="00E704F4"/>
    <w:rsid w:val="00E71048"/>
    <w:rsid w:val="00E71120"/>
    <w:rsid w:val="00E71485"/>
    <w:rsid w:val="00E714E9"/>
    <w:rsid w:val="00E718B6"/>
    <w:rsid w:val="00E71C0C"/>
    <w:rsid w:val="00E71DF3"/>
    <w:rsid w:val="00E723B6"/>
    <w:rsid w:val="00E723BA"/>
    <w:rsid w:val="00E726CA"/>
    <w:rsid w:val="00E72B97"/>
    <w:rsid w:val="00E72F67"/>
    <w:rsid w:val="00E73278"/>
    <w:rsid w:val="00E73581"/>
    <w:rsid w:val="00E73962"/>
    <w:rsid w:val="00E73973"/>
    <w:rsid w:val="00E73F03"/>
    <w:rsid w:val="00E73F69"/>
    <w:rsid w:val="00E74826"/>
    <w:rsid w:val="00E74B06"/>
    <w:rsid w:val="00E74C01"/>
    <w:rsid w:val="00E74FA4"/>
    <w:rsid w:val="00E7523C"/>
    <w:rsid w:val="00E752CF"/>
    <w:rsid w:val="00E754CC"/>
    <w:rsid w:val="00E757A1"/>
    <w:rsid w:val="00E75A91"/>
    <w:rsid w:val="00E75AA0"/>
    <w:rsid w:val="00E75F7C"/>
    <w:rsid w:val="00E76CF8"/>
    <w:rsid w:val="00E77084"/>
    <w:rsid w:val="00E7744C"/>
    <w:rsid w:val="00E7763B"/>
    <w:rsid w:val="00E77789"/>
    <w:rsid w:val="00E77953"/>
    <w:rsid w:val="00E77C63"/>
    <w:rsid w:val="00E800BA"/>
    <w:rsid w:val="00E80247"/>
    <w:rsid w:val="00E805CA"/>
    <w:rsid w:val="00E807C5"/>
    <w:rsid w:val="00E8083A"/>
    <w:rsid w:val="00E809EA"/>
    <w:rsid w:val="00E81415"/>
    <w:rsid w:val="00E8196D"/>
    <w:rsid w:val="00E81AD7"/>
    <w:rsid w:val="00E81DA9"/>
    <w:rsid w:val="00E82036"/>
    <w:rsid w:val="00E820BE"/>
    <w:rsid w:val="00E82111"/>
    <w:rsid w:val="00E82226"/>
    <w:rsid w:val="00E8226B"/>
    <w:rsid w:val="00E82AF4"/>
    <w:rsid w:val="00E82E48"/>
    <w:rsid w:val="00E83160"/>
    <w:rsid w:val="00E83251"/>
    <w:rsid w:val="00E8339C"/>
    <w:rsid w:val="00E8339D"/>
    <w:rsid w:val="00E833F7"/>
    <w:rsid w:val="00E837E9"/>
    <w:rsid w:val="00E83BDF"/>
    <w:rsid w:val="00E83E1B"/>
    <w:rsid w:val="00E84312"/>
    <w:rsid w:val="00E84B5E"/>
    <w:rsid w:val="00E8503B"/>
    <w:rsid w:val="00E85116"/>
    <w:rsid w:val="00E85500"/>
    <w:rsid w:val="00E86005"/>
    <w:rsid w:val="00E86074"/>
    <w:rsid w:val="00E86403"/>
    <w:rsid w:val="00E864C8"/>
    <w:rsid w:val="00E864E0"/>
    <w:rsid w:val="00E866C7"/>
    <w:rsid w:val="00E8672E"/>
    <w:rsid w:val="00E8685A"/>
    <w:rsid w:val="00E86BA3"/>
    <w:rsid w:val="00E86EF4"/>
    <w:rsid w:val="00E86FCC"/>
    <w:rsid w:val="00E8712B"/>
    <w:rsid w:val="00E873B6"/>
    <w:rsid w:val="00E87449"/>
    <w:rsid w:val="00E874D3"/>
    <w:rsid w:val="00E87502"/>
    <w:rsid w:val="00E87575"/>
    <w:rsid w:val="00E87A1D"/>
    <w:rsid w:val="00E87A21"/>
    <w:rsid w:val="00E901B3"/>
    <w:rsid w:val="00E9034B"/>
    <w:rsid w:val="00E9063D"/>
    <w:rsid w:val="00E906AC"/>
    <w:rsid w:val="00E9094A"/>
    <w:rsid w:val="00E90BC8"/>
    <w:rsid w:val="00E910CB"/>
    <w:rsid w:val="00E910D3"/>
    <w:rsid w:val="00E91142"/>
    <w:rsid w:val="00E91BB5"/>
    <w:rsid w:val="00E91D35"/>
    <w:rsid w:val="00E91E3B"/>
    <w:rsid w:val="00E91F9A"/>
    <w:rsid w:val="00E92327"/>
    <w:rsid w:val="00E9250E"/>
    <w:rsid w:val="00E925EA"/>
    <w:rsid w:val="00E9263C"/>
    <w:rsid w:val="00E926A5"/>
    <w:rsid w:val="00E928F1"/>
    <w:rsid w:val="00E9348F"/>
    <w:rsid w:val="00E93879"/>
    <w:rsid w:val="00E938F9"/>
    <w:rsid w:val="00E93AD2"/>
    <w:rsid w:val="00E93B9A"/>
    <w:rsid w:val="00E93D3E"/>
    <w:rsid w:val="00E9460F"/>
    <w:rsid w:val="00E94662"/>
    <w:rsid w:val="00E948BD"/>
    <w:rsid w:val="00E9501A"/>
    <w:rsid w:val="00E9555C"/>
    <w:rsid w:val="00E95C09"/>
    <w:rsid w:val="00E95CCB"/>
    <w:rsid w:val="00E95F8A"/>
    <w:rsid w:val="00E962CC"/>
    <w:rsid w:val="00E96608"/>
    <w:rsid w:val="00E96670"/>
    <w:rsid w:val="00E96864"/>
    <w:rsid w:val="00E96B88"/>
    <w:rsid w:val="00E96E87"/>
    <w:rsid w:val="00E96F1A"/>
    <w:rsid w:val="00E9710F"/>
    <w:rsid w:val="00E97299"/>
    <w:rsid w:val="00E978A4"/>
    <w:rsid w:val="00E97C85"/>
    <w:rsid w:val="00E97C8F"/>
    <w:rsid w:val="00E97E29"/>
    <w:rsid w:val="00E97E2E"/>
    <w:rsid w:val="00EA0C4C"/>
    <w:rsid w:val="00EA0EBB"/>
    <w:rsid w:val="00EA0F2E"/>
    <w:rsid w:val="00EA1119"/>
    <w:rsid w:val="00EA11BE"/>
    <w:rsid w:val="00EA131E"/>
    <w:rsid w:val="00EA143A"/>
    <w:rsid w:val="00EA17C3"/>
    <w:rsid w:val="00EA1D13"/>
    <w:rsid w:val="00EA207D"/>
    <w:rsid w:val="00EA2215"/>
    <w:rsid w:val="00EA2280"/>
    <w:rsid w:val="00EA2CAA"/>
    <w:rsid w:val="00EA3062"/>
    <w:rsid w:val="00EA356E"/>
    <w:rsid w:val="00EA36B1"/>
    <w:rsid w:val="00EA3864"/>
    <w:rsid w:val="00EA42C5"/>
    <w:rsid w:val="00EA4AB5"/>
    <w:rsid w:val="00EA4E6B"/>
    <w:rsid w:val="00EA5C05"/>
    <w:rsid w:val="00EA665C"/>
    <w:rsid w:val="00EA69BE"/>
    <w:rsid w:val="00EA6DD6"/>
    <w:rsid w:val="00EA6EE7"/>
    <w:rsid w:val="00EA7226"/>
    <w:rsid w:val="00EA7294"/>
    <w:rsid w:val="00EA785E"/>
    <w:rsid w:val="00EA78A6"/>
    <w:rsid w:val="00EA7912"/>
    <w:rsid w:val="00EA7F1C"/>
    <w:rsid w:val="00EB01B2"/>
    <w:rsid w:val="00EB0AFA"/>
    <w:rsid w:val="00EB0D25"/>
    <w:rsid w:val="00EB0E48"/>
    <w:rsid w:val="00EB0F53"/>
    <w:rsid w:val="00EB121C"/>
    <w:rsid w:val="00EB1597"/>
    <w:rsid w:val="00EB15B6"/>
    <w:rsid w:val="00EB184C"/>
    <w:rsid w:val="00EB1B5E"/>
    <w:rsid w:val="00EB2331"/>
    <w:rsid w:val="00EB2533"/>
    <w:rsid w:val="00EB2670"/>
    <w:rsid w:val="00EB32B0"/>
    <w:rsid w:val="00EB32F0"/>
    <w:rsid w:val="00EB357D"/>
    <w:rsid w:val="00EB3C59"/>
    <w:rsid w:val="00EB3D06"/>
    <w:rsid w:val="00EB3E13"/>
    <w:rsid w:val="00EB4151"/>
    <w:rsid w:val="00EB4916"/>
    <w:rsid w:val="00EB4F87"/>
    <w:rsid w:val="00EB50DF"/>
    <w:rsid w:val="00EB5625"/>
    <w:rsid w:val="00EB57FB"/>
    <w:rsid w:val="00EB5ED0"/>
    <w:rsid w:val="00EB5F3D"/>
    <w:rsid w:val="00EB6106"/>
    <w:rsid w:val="00EB695C"/>
    <w:rsid w:val="00EB6AE4"/>
    <w:rsid w:val="00EB6C1D"/>
    <w:rsid w:val="00EB6E89"/>
    <w:rsid w:val="00EB79A3"/>
    <w:rsid w:val="00EC00C9"/>
    <w:rsid w:val="00EC04AE"/>
    <w:rsid w:val="00EC0612"/>
    <w:rsid w:val="00EC0803"/>
    <w:rsid w:val="00EC0A9B"/>
    <w:rsid w:val="00EC0B48"/>
    <w:rsid w:val="00EC0B58"/>
    <w:rsid w:val="00EC0DD9"/>
    <w:rsid w:val="00EC0FFC"/>
    <w:rsid w:val="00EC14B4"/>
    <w:rsid w:val="00EC1775"/>
    <w:rsid w:val="00EC18B4"/>
    <w:rsid w:val="00EC18BF"/>
    <w:rsid w:val="00EC1A0B"/>
    <w:rsid w:val="00EC1BF3"/>
    <w:rsid w:val="00EC1C6D"/>
    <w:rsid w:val="00EC1E38"/>
    <w:rsid w:val="00EC1E5C"/>
    <w:rsid w:val="00EC263F"/>
    <w:rsid w:val="00EC2649"/>
    <w:rsid w:val="00EC26F0"/>
    <w:rsid w:val="00EC28E4"/>
    <w:rsid w:val="00EC2CF3"/>
    <w:rsid w:val="00EC2D78"/>
    <w:rsid w:val="00EC311F"/>
    <w:rsid w:val="00EC31ED"/>
    <w:rsid w:val="00EC32B3"/>
    <w:rsid w:val="00EC3375"/>
    <w:rsid w:val="00EC3380"/>
    <w:rsid w:val="00EC3516"/>
    <w:rsid w:val="00EC3751"/>
    <w:rsid w:val="00EC37D5"/>
    <w:rsid w:val="00EC38C6"/>
    <w:rsid w:val="00EC38E0"/>
    <w:rsid w:val="00EC3D8C"/>
    <w:rsid w:val="00EC3F03"/>
    <w:rsid w:val="00EC422A"/>
    <w:rsid w:val="00EC49FF"/>
    <w:rsid w:val="00EC4B25"/>
    <w:rsid w:val="00EC4B42"/>
    <w:rsid w:val="00EC5439"/>
    <w:rsid w:val="00EC5836"/>
    <w:rsid w:val="00EC5AF5"/>
    <w:rsid w:val="00EC5F93"/>
    <w:rsid w:val="00EC62DF"/>
    <w:rsid w:val="00EC6868"/>
    <w:rsid w:val="00EC688C"/>
    <w:rsid w:val="00EC6950"/>
    <w:rsid w:val="00EC6DC5"/>
    <w:rsid w:val="00EC76F6"/>
    <w:rsid w:val="00EC797A"/>
    <w:rsid w:val="00EC7D80"/>
    <w:rsid w:val="00EC7F9B"/>
    <w:rsid w:val="00ED00D3"/>
    <w:rsid w:val="00ED02AB"/>
    <w:rsid w:val="00ED0866"/>
    <w:rsid w:val="00ED0A83"/>
    <w:rsid w:val="00ED0CD5"/>
    <w:rsid w:val="00ED0D56"/>
    <w:rsid w:val="00ED0DF9"/>
    <w:rsid w:val="00ED0F6A"/>
    <w:rsid w:val="00ED100A"/>
    <w:rsid w:val="00ED12E3"/>
    <w:rsid w:val="00ED143A"/>
    <w:rsid w:val="00ED145D"/>
    <w:rsid w:val="00ED1520"/>
    <w:rsid w:val="00ED16BB"/>
    <w:rsid w:val="00ED18E4"/>
    <w:rsid w:val="00ED1945"/>
    <w:rsid w:val="00ED198F"/>
    <w:rsid w:val="00ED19F6"/>
    <w:rsid w:val="00ED1B28"/>
    <w:rsid w:val="00ED1C7B"/>
    <w:rsid w:val="00ED1EB0"/>
    <w:rsid w:val="00ED2277"/>
    <w:rsid w:val="00ED2503"/>
    <w:rsid w:val="00ED2826"/>
    <w:rsid w:val="00ED292B"/>
    <w:rsid w:val="00ED2BF9"/>
    <w:rsid w:val="00ED2C0D"/>
    <w:rsid w:val="00ED2C9C"/>
    <w:rsid w:val="00ED2DD5"/>
    <w:rsid w:val="00ED2DE9"/>
    <w:rsid w:val="00ED2EF0"/>
    <w:rsid w:val="00ED2F88"/>
    <w:rsid w:val="00ED307B"/>
    <w:rsid w:val="00ED312B"/>
    <w:rsid w:val="00ED330A"/>
    <w:rsid w:val="00ED3504"/>
    <w:rsid w:val="00ED367E"/>
    <w:rsid w:val="00ED3A1A"/>
    <w:rsid w:val="00ED3AD9"/>
    <w:rsid w:val="00ED3C3F"/>
    <w:rsid w:val="00ED411A"/>
    <w:rsid w:val="00ED4B04"/>
    <w:rsid w:val="00ED4C42"/>
    <w:rsid w:val="00ED4FF5"/>
    <w:rsid w:val="00ED512C"/>
    <w:rsid w:val="00ED51EF"/>
    <w:rsid w:val="00ED53CE"/>
    <w:rsid w:val="00ED573F"/>
    <w:rsid w:val="00ED57EA"/>
    <w:rsid w:val="00ED5A94"/>
    <w:rsid w:val="00ED5BD4"/>
    <w:rsid w:val="00ED5EAE"/>
    <w:rsid w:val="00ED60DE"/>
    <w:rsid w:val="00ED691B"/>
    <w:rsid w:val="00ED7288"/>
    <w:rsid w:val="00ED737A"/>
    <w:rsid w:val="00ED7C33"/>
    <w:rsid w:val="00ED7C70"/>
    <w:rsid w:val="00ED7DB6"/>
    <w:rsid w:val="00EE0002"/>
    <w:rsid w:val="00EE001F"/>
    <w:rsid w:val="00EE07D3"/>
    <w:rsid w:val="00EE089C"/>
    <w:rsid w:val="00EE0C5D"/>
    <w:rsid w:val="00EE1007"/>
    <w:rsid w:val="00EE1207"/>
    <w:rsid w:val="00EE1841"/>
    <w:rsid w:val="00EE1996"/>
    <w:rsid w:val="00EE1C01"/>
    <w:rsid w:val="00EE2020"/>
    <w:rsid w:val="00EE2092"/>
    <w:rsid w:val="00EE20C0"/>
    <w:rsid w:val="00EE2162"/>
    <w:rsid w:val="00EE22AF"/>
    <w:rsid w:val="00EE246D"/>
    <w:rsid w:val="00EE2581"/>
    <w:rsid w:val="00EE2BC2"/>
    <w:rsid w:val="00EE2E11"/>
    <w:rsid w:val="00EE3953"/>
    <w:rsid w:val="00EE3E0D"/>
    <w:rsid w:val="00EE3ED4"/>
    <w:rsid w:val="00EE410C"/>
    <w:rsid w:val="00EE41FB"/>
    <w:rsid w:val="00EE45AB"/>
    <w:rsid w:val="00EE4696"/>
    <w:rsid w:val="00EE4719"/>
    <w:rsid w:val="00EE4B09"/>
    <w:rsid w:val="00EE4CA2"/>
    <w:rsid w:val="00EE5015"/>
    <w:rsid w:val="00EE521C"/>
    <w:rsid w:val="00EE5F83"/>
    <w:rsid w:val="00EE60EC"/>
    <w:rsid w:val="00EE612C"/>
    <w:rsid w:val="00EE6245"/>
    <w:rsid w:val="00EE64F7"/>
    <w:rsid w:val="00EE6793"/>
    <w:rsid w:val="00EE6B88"/>
    <w:rsid w:val="00EE6FA5"/>
    <w:rsid w:val="00EE7063"/>
    <w:rsid w:val="00EE72FA"/>
    <w:rsid w:val="00EE73AF"/>
    <w:rsid w:val="00EE77DD"/>
    <w:rsid w:val="00EE7B8E"/>
    <w:rsid w:val="00EE7C23"/>
    <w:rsid w:val="00EE7DD4"/>
    <w:rsid w:val="00EF0171"/>
    <w:rsid w:val="00EF0614"/>
    <w:rsid w:val="00EF0EF6"/>
    <w:rsid w:val="00EF1177"/>
    <w:rsid w:val="00EF14B7"/>
    <w:rsid w:val="00EF17B1"/>
    <w:rsid w:val="00EF1A6A"/>
    <w:rsid w:val="00EF1B25"/>
    <w:rsid w:val="00EF1CD1"/>
    <w:rsid w:val="00EF1DA0"/>
    <w:rsid w:val="00EF1EAB"/>
    <w:rsid w:val="00EF25DE"/>
    <w:rsid w:val="00EF260E"/>
    <w:rsid w:val="00EF2D32"/>
    <w:rsid w:val="00EF376B"/>
    <w:rsid w:val="00EF3A4B"/>
    <w:rsid w:val="00EF3C79"/>
    <w:rsid w:val="00EF3FE9"/>
    <w:rsid w:val="00EF405C"/>
    <w:rsid w:val="00EF412F"/>
    <w:rsid w:val="00EF4398"/>
    <w:rsid w:val="00EF4693"/>
    <w:rsid w:val="00EF4747"/>
    <w:rsid w:val="00EF4BF8"/>
    <w:rsid w:val="00EF4D3A"/>
    <w:rsid w:val="00EF5398"/>
    <w:rsid w:val="00EF5A08"/>
    <w:rsid w:val="00EF5F74"/>
    <w:rsid w:val="00EF66AB"/>
    <w:rsid w:val="00EF66CF"/>
    <w:rsid w:val="00EF6B7C"/>
    <w:rsid w:val="00EF6E94"/>
    <w:rsid w:val="00EF6E97"/>
    <w:rsid w:val="00EF70F0"/>
    <w:rsid w:val="00EF7AC7"/>
    <w:rsid w:val="00EF7CCE"/>
    <w:rsid w:val="00EF7F02"/>
    <w:rsid w:val="00F000CD"/>
    <w:rsid w:val="00F00234"/>
    <w:rsid w:val="00F0093A"/>
    <w:rsid w:val="00F00B8A"/>
    <w:rsid w:val="00F00F22"/>
    <w:rsid w:val="00F013DC"/>
    <w:rsid w:val="00F01518"/>
    <w:rsid w:val="00F018C0"/>
    <w:rsid w:val="00F01B31"/>
    <w:rsid w:val="00F01CA9"/>
    <w:rsid w:val="00F01DA2"/>
    <w:rsid w:val="00F02046"/>
    <w:rsid w:val="00F02253"/>
    <w:rsid w:val="00F026AB"/>
    <w:rsid w:val="00F026D7"/>
    <w:rsid w:val="00F02866"/>
    <w:rsid w:val="00F032FF"/>
    <w:rsid w:val="00F033B8"/>
    <w:rsid w:val="00F036E7"/>
    <w:rsid w:val="00F038C0"/>
    <w:rsid w:val="00F03A6B"/>
    <w:rsid w:val="00F03C2E"/>
    <w:rsid w:val="00F03D91"/>
    <w:rsid w:val="00F03F16"/>
    <w:rsid w:val="00F04A66"/>
    <w:rsid w:val="00F04B4B"/>
    <w:rsid w:val="00F0516C"/>
    <w:rsid w:val="00F056DC"/>
    <w:rsid w:val="00F056F6"/>
    <w:rsid w:val="00F05A33"/>
    <w:rsid w:val="00F06043"/>
    <w:rsid w:val="00F06740"/>
    <w:rsid w:val="00F067A2"/>
    <w:rsid w:val="00F070BC"/>
    <w:rsid w:val="00F070D6"/>
    <w:rsid w:val="00F071D4"/>
    <w:rsid w:val="00F0787F"/>
    <w:rsid w:val="00F07B9E"/>
    <w:rsid w:val="00F07E62"/>
    <w:rsid w:val="00F10D93"/>
    <w:rsid w:val="00F10E92"/>
    <w:rsid w:val="00F10F8E"/>
    <w:rsid w:val="00F11042"/>
    <w:rsid w:val="00F110DF"/>
    <w:rsid w:val="00F1116F"/>
    <w:rsid w:val="00F11A2B"/>
    <w:rsid w:val="00F11A4A"/>
    <w:rsid w:val="00F11F68"/>
    <w:rsid w:val="00F1235A"/>
    <w:rsid w:val="00F1263A"/>
    <w:rsid w:val="00F12835"/>
    <w:rsid w:val="00F1283E"/>
    <w:rsid w:val="00F12A01"/>
    <w:rsid w:val="00F12D00"/>
    <w:rsid w:val="00F12E2E"/>
    <w:rsid w:val="00F131D5"/>
    <w:rsid w:val="00F13755"/>
    <w:rsid w:val="00F13767"/>
    <w:rsid w:val="00F13857"/>
    <w:rsid w:val="00F139C5"/>
    <w:rsid w:val="00F13E31"/>
    <w:rsid w:val="00F13F77"/>
    <w:rsid w:val="00F14688"/>
    <w:rsid w:val="00F1482B"/>
    <w:rsid w:val="00F14A76"/>
    <w:rsid w:val="00F14AF0"/>
    <w:rsid w:val="00F14C9C"/>
    <w:rsid w:val="00F15152"/>
    <w:rsid w:val="00F15616"/>
    <w:rsid w:val="00F1590C"/>
    <w:rsid w:val="00F1596E"/>
    <w:rsid w:val="00F159BA"/>
    <w:rsid w:val="00F15B77"/>
    <w:rsid w:val="00F15C45"/>
    <w:rsid w:val="00F16072"/>
    <w:rsid w:val="00F16906"/>
    <w:rsid w:val="00F16970"/>
    <w:rsid w:val="00F16C32"/>
    <w:rsid w:val="00F16E60"/>
    <w:rsid w:val="00F16EC5"/>
    <w:rsid w:val="00F1740D"/>
    <w:rsid w:val="00F17482"/>
    <w:rsid w:val="00F174EB"/>
    <w:rsid w:val="00F179AD"/>
    <w:rsid w:val="00F202A6"/>
    <w:rsid w:val="00F2061A"/>
    <w:rsid w:val="00F21049"/>
    <w:rsid w:val="00F21236"/>
    <w:rsid w:val="00F21488"/>
    <w:rsid w:val="00F21B7C"/>
    <w:rsid w:val="00F221E4"/>
    <w:rsid w:val="00F22208"/>
    <w:rsid w:val="00F22309"/>
    <w:rsid w:val="00F225A3"/>
    <w:rsid w:val="00F22744"/>
    <w:rsid w:val="00F229AE"/>
    <w:rsid w:val="00F22D8A"/>
    <w:rsid w:val="00F22FC9"/>
    <w:rsid w:val="00F2331E"/>
    <w:rsid w:val="00F2333D"/>
    <w:rsid w:val="00F2369A"/>
    <w:rsid w:val="00F237F0"/>
    <w:rsid w:val="00F239DF"/>
    <w:rsid w:val="00F23B21"/>
    <w:rsid w:val="00F23E22"/>
    <w:rsid w:val="00F2411A"/>
    <w:rsid w:val="00F24297"/>
    <w:rsid w:val="00F242AC"/>
    <w:rsid w:val="00F244FA"/>
    <w:rsid w:val="00F2465F"/>
    <w:rsid w:val="00F247EC"/>
    <w:rsid w:val="00F24837"/>
    <w:rsid w:val="00F2484D"/>
    <w:rsid w:val="00F24BF6"/>
    <w:rsid w:val="00F25248"/>
    <w:rsid w:val="00F25418"/>
    <w:rsid w:val="00F2575F"/>
    <w:rsid w:val="00F25CF4"/>
    <w:rsid w:val="00F25DB2"/>
    <w:rsid w:val="00F25EB1"/>
    <w:rsid w:val="00F2633B"/>
    <w:rsid w:val="00F265B1"/>
    <w:rsid w:val="00F265D3"/>
    <w:rsid w:val="00F26751"/>
    <w:rsid w:val="00F26858"/>
    <w:rsid w:val="00F26B96"/>
    <w:rsid w:val="00F26D54"/>
    <w:rsid w:val="00F26FFB"/>
    <w:rsid w:val="00F27332"/>
    <w:rsid w:val="00F27375"/>
    <w:rsid w:val="00F27565"/>
    <w:rsid w:val="00F27CE2"/>
    <w:rsid w:val="00F27E2A"/>
    <w:rsid w:val="00F301F1"/>
    <w:rsid w:val="00F305B6"/>
    <w:rsid w:val="00F30E36"/>
    <w:rsid w:val="00F310D4"/>
    <w:rsid w:val="00F31A6E"/>
    <w:rsid w:val="00F31B23"/>
    <w:rsid w:val="00F31B59"/>
    <w:rsid w:val="00F31D5A"/>
    <w:rsid w:val="00F32838"/>
    <w:rsid w:val="00F32C6F"/>
    <w:rsid w:val="00F32E50"/>
    <w:rsid w:val="00F33086"/>
    <w:rsid w:val="00F33363"/>
    <w:rsid w:val="00F3336B"/>
    <w:rsid w:val="00F33975"/>
    <w:rsid w:val="00F33DE9"/>
    <w:rsid w:val="00F33E30"/>
    <w:rsid w:val="00F33ED3"/>
    <w:rsid w:val="00F34073"/>
    <w:rsid w:val="00F34116"/>
    <w:rsid w:val="00F34151"/>
    <w:rsid w:val="00F34184"/>
    <w:rsid w:val="00F341A2"/>
    <w:rsid w:val="00F34C31"/>
    <w:rsid w:val="00F34F7C"/>
    <w:rsid w:val="00F3525B"/>
    <w:rsid w:val="00F35599"/>
    <w:rsid w:val="00F35763"/>
    <w:rsid w:val="00F3594C"/>
    <w:rsid w:val="00F35A98"/>
    <w:rsid w:val="00F35E6D"/>
    <w:rsid w:val="00F35F93"/>
    <w:rsid w:val="00F35FB2"/>
    <w:rsid w:val="00F3604C"/>
    <w:rsid w:val="00F3619A"/>
    <w:rsid w:val="00F36612"/>
    <w:rsid w:val="00F36917"/>
    <w:rsid w:val="00F3696C"/>
    <w:rsid w:val="00F36FCF"/>
    <w:rsid w:val="00F374EF"/>
    <w:rsid w:val="00F3764E"/>
    <w:rsid w:val="00F377A0"/>
    <w:rsid w:val="00F37A38"/>
    <w:rsid w:val="00F37EAB"/>
    <w:rsid w:val="00F40181"/>
    <w:rsid w:val="00F4045E"/>
    <w:rsid w:val="00F4055A"/>
    <w:rsid w:val="00F4076B"/>
    <w:rsid w:val="00F408BB"/>
    <w:rsid w:val="00F40AAA"/>
    <w:rsid w:val="00F40BA7"/>
    <w:rsid w:val="00F40F9D"/>
    <w:rsid w:val="00F415EE"/>
    <w:rsid w:val="00F41ACD"/>
    <w:rsid w:val="00F4219F"/>
    <w:rsid w:val="00F425D5"/>
    <w:rsid w:val="00F4272F"/>
    <w:rsid w:val="00F42881"/>
    <w:rsid w:val="00F42CA1"/>
    <w:rsid w:val="00F42E26"/>
    <w:rsid w:val="00F42ED1"/>
    <w:rsid w:val="00F432A6"/>
    <w:rsid w:val="00F433C2"/>
    <w:rsid w:val="00F434E1"/>
    <w:rsid w:val="00F43688"/>
    <w:rsid w:val="00F43A0E"/>
    <w:rsid w:val="00F43CDC"/>
    <w:rsid w:val="00F43FA1"/>
    <w:rsid w:val="00F440ED"/>
    <w:rsid w:val="00F445C9"/>
    <w:rsid w:val="00F44670"/>
    <w:rsid w:val="00F446F0"/>
    <w:rsid w:val="00F447BC"/>
    <w:rsid w:val="00F44EB0"/>
    <w:rsid w:val="00F453CF"/>
    <w:rsid w:val="00F4562C"/>
    <w:rsid w:val="00F4595B"/>
    <w:rsid w:val="00F45A77"/>
    <w:rsid w:val="00F45CDD"/>
    <w:rsid w:val="00F45E1D"/>
    <w:rsid w:val="00F45F59"/>
    <w:rsid w:val="00F45FCD"/>
    <w:rsid w:val="00F463BE"/>
    <w:rsid w:val="00F46572"/>
    <w:rsid w:val="00F4660C"/>
    <w:rsid w:val="00F46A04"/>
    <w:rsid w:val="00F46A59"/>
    <w:rsid w:val="00F46A71"/>
    <w:rsid w:val="00F46CB6"/>
    <w:rsid w:val="00F47066"/>
    <w:rsid w:val="00F472A4"/>
    <w:rsid w:val="00F47511"/>
    <w:rsid w:val="00F4756D"/>
    <w:rsid w:val="00F4786C"/>
    <w:rsid w:val="00F479C5"/>
    <w:rsid w:val="00F47C7E"/>
    <w:rsid w:val="00F47DE8"/>
    <w:rsid w:val="00F47F1A"/>
    <w:rsid w:val="00F50021"/>
    <w:rsid w:val="00F5031C"/>
    <w:rsid w:val="00F50A3B"/>
    <w:rsid w:val="00F51B34"/>
    <w:rsid w:val="00F51B5F"/>
    <w:rsid w:val="00F51E61"/>
    <w:rsid w:val="00F51E63"/>
    <w:rsid w:val="00F520DB"/>
    <w:rsid w:val="00F529CB"/>
    <w:rsid w:val="00F53127"/>
    <w:rsid w:val="00F5312F"/>
    <w:rsid w:val="00F53237"/>
    <w:rsid w:val="00F5328B"/>
    <w:rsid w:val="00F53694"/>
    <w:rsid w:val="00F53702"/>
    <w:rsid w:val="00F5383A"/>
    <w:rsid w:val="00F53A1B"/>
    <w:rsid w:val="00F54017"/>
    <w:rsid w:val="00F541F0"/>
    <w:rsid w:val="00F542C1"/>
    <w:rsid w:val="00F543A2"/>
    <w:rsid w:val="00F54547"/>
    <w:rsid w:val="00F54C69"/>
    <w:rsid w:val="00F54F8A"/>
    <w:rsid w:val="00F550E3"/>
    <w:rsid w:val="00F550E6"/>
    <w:rsid w:val="00F551F8"/>
    <w:rsid w:val="00F55E73"/>
    <w:rsid w:val="00F55EDA"/>
    <w:rsid w:val="00F56399"/>
    <w:rsid w:val="00F565CE"/>
    <w:rsid w:val="00F5660F"/>
    <w:rsid w:val="00F56C12"/>
    <w:rsid w:val="00F56C80"/>
    <w:rsid w:val="00F56CAA"/>
    <w:rsid w:val="00F56EDE"/>
    <w:rsid w:val="00F57210"/>
    <w:rsid w:val="00F57434"/>
    <w:rsid w:val="00F574DD"/>
    <w:rsid w:val="00F60092"/>
    <w:rsid w:val="00F60439"/>
    <w:rsid w:val="00F6097F"/>
    <w:rsid w:val="00F609BE"/>
    <w:rsid w:val="00F60A4C"/>
    <w:rsid w:val="00F60AE0"/>
    <w:rsid w:val="00F60F93"/>
    <w:rsid w:val="00F618F0"/>
    <w:rsid w:val="00F61C18"/>
    <w:rsid w:val="00F61CAB"/>
    <w:rsid w:val="00F61E34"/>
    <w:rsid w:val="00F62098"/>
    <w:rsid w:val="00F623C3"/>
    <w:rsid w:val="00F626B3"/>
    <w:rsid w:val="00F62C10"/>
    <w:rsid w:val="00F63024"/>
    <w:rsid w:val="00F63307"/>
    <w:rsid w:val="00F63A37"/>
    <w:rsid w:val="00F63B3C"/>
    <w:rsid w:val="00F640ED"/>
    <w:rsid w:val="00F643D5"/>
    <w:rsid w:val="00F6443F"/>
    <w:rsid w:val="00F64C6C"/>
    <w:rsid w:val="00F64D7C"/>
    <w:rsid w:val="00F64D9D"/>
    <w:rsid w:val="00F6502B"/>
    <w:rsid w:val="00F652DE"/>
    <w:rsid w:val="00F6556E"/>
    <w:rsid w:val="00F65955"/>
    <w:rsid w:val="00F65B89"/>
    <w:rsid w:val="00F65ED2"/>
    <w:rsid w:val="00F65F4B"/>
    <w:rsid w:val="00F661A1"/>
    <w:rsid w:val="00F66236"/>
    <w:rsid w:val="00F66481"/>
    <w:rsid w:val="00F664D7"/>
    <w:rsid w:val="00F66512"/>
    <w:rsid w:val="00F66B37"/>
    <w:rsid w:val="00F66BD9"/>
    <w:rsid w:val="00F66EEE"/>
    <w:rsid w:val="00F66FEE"/>
    <w:rsid w:val="00F6739C"/>
    <w:rsid w:val="00F67A69"/>
    <w:rsid w:val="00F67CA5"/>
    <w:rsid w:val="00F70311"/>
    <w:rsid w:val="00F7046E"/>
    <w:rsid w:val="00F7063D"/>
    <w:rsid w:val="00F709AE"/>
    <w:rsid w:val="00F70BFF"/>
    <w:rsid w:val="00F70C9D"/>
    <w:rsid w:val="00F70D14"/>
    <w:rsid w:val="00F70FEF"/>
    <w:rsid w:val="00F713D7"/>
    <w:rsid w:val="00F713FA"/>
    <w:rsid w:val="00F718E9"/>
    <w:rsid w:val="00F71D08"/>
    <w:rsid w:val="00F71F3E"/>
    <w:rsid w:val="00F72239"/>
    <w:rsid w:val="00F730E1"/>
    <w:rsid w:val="00F737D6"/>
    <w:rsid w:val="00F739F4"/>
    <w:rsid w:val="00F73C47"/>
    <w:rsid w:val="00F73E08"/>
    <w:rsid w:val="00F73E8A"/>
    <w:rsid w:val="00F742EC"/>
    <w:rsid w:val="00F7433E"/>
    <w:rsid w:val="00F7448D"/>
    <w:rsid w:val="00F747D0"/>
    <w:rsid w:val="00F74871"/>
    <w:rsid w:val="00F74965"/>
    <w:rsid w:val="00F74A5A"/>
    <w:rsid w:val="00F74CD9"/>
    <w:rsid w:val="00F74DEA"/>
    <w:rsid w:val="00F74E3E"/>
    <w:rsid w:val="00F74E87"/>
    <w:rsid w:val="00F75179"/>
    <w:rsid w:val="00F75D56"/>
    <w:rsid w:val="00F76095"/>
    <w:rsid w:val="00F7622A"/>
    <w:rsid w:val="00F765E0"/>
    <w:rsid w:val="00F7675F"/>
    <w:rsid w:val="00F76938"/>
    <w:rsid w:val="00F769AE"/>
    <w:rsid w:val="00F77285"/>
    <w:rsid w:val="00F77C9E"/>
    <w:rsid w:val="00F801A0"/>
    <w:rsid w:val="00F801A1"/>
    <w:rsid w:val="00F80287"/>
    <w:rsid w:val="00F8034C"/>
    <w:rsid w:val="00F80A7B"/>
    <w:rsid w:val="00F80B44"/>
    <w:rsid w:val="00F80BFC"/>
    <w:rsid w:val="00F80C9F"/>
    <w:rsid w:val="00F80E5D"/>
    <w:rsid w:val="00F81239"/>
    <w:rsid w:val="00F81299"/>
    <w:rsid w:val="00F81E78"/>
    <w:rsid w:val="00F822E9"/>
    <w:rsid w:val="00F823BE"/>
    <w:rsid w:val="00F825A1"/>
    <w:rsid w:val="00F825DD"/>
    <w:rsid w:val="00F82620"/>
    <w:rsid w:val="00F82D53"/>
    <w:rsid w:val="00F8359A"/>
    <w:rsid w:val="00F83916"/>
    <w:rsid w:val="00F8422A"/>
    <w:rsid w:val="00F844FC"/>
    <w:rsid w:val="00F851CE"/>
    <w:rsid w:val="00F85FB2"/>
    <w:rsid w:val="00F860AC"/>
    <w:rsid w:val="00F8636C"/>
    <w:rsid w:val="00F86921"/>
    <w:rsid w:val="00F86CDC"/>
    <w:rsid w:val="00F86F8C"/>
    <w:rsid w:val="00F870EA"/>
    <w:rsid w:val="00F87749"/>
    <w:rsid w:val="00F87CB4"/>
    <w:rsid w:val="00F87DC2"/>
    <w:rsid w:val="00F87F69"/>
    <w:rsid w:val="00F90308"/>
    <w:rsid w:val="00F9031D"/>
    <w:rsid w:val="00F905C3"/>
    <w:rsid w:val="00F905F2"/>
    <w:rsid w:val="00F90B1D"/>
    <w:rsid w:val="00F90D45"/>
    <w:rsid w:val="00F91076"/>
    <w:rsid w:val="00F910CB"/>
    <w:rsid w:val="00F91219"/>
    <w:rsid w:val="00F915DD"/>
    <w:rsid w:val="00F91831"/>
    <w:rsid w:val="00F91DB7"/>
    <w:rsid w:val="00F91DF8"/>
    <w:rsid w:val="00F91E4C"/>
    <w:rsid w:val="00F92444"/>
    <w:rsid w:val="00F92450"/>
    <w:rsid w:val="00F9280F"/>
    <w:rsid w:val="00F9282B"/>
    <w:rsid w:val="00F92909"/>
    <w:rsid w:val="00F92BB0"/>
    <w:rsid w:val="00F92C74"/>
    <w:rsid w:val="00F9393E"/>
    <w:rsid w:val="00F94B1C"/>
    <w:rsid w:val="00F94E47"/>
    <w:rsid w:val="00F955C3"/>
    <w:rsid w:val="00F95685"/>
    <w:rsid w:val="00F957E8"/>
    <w:rsid w:val="00F9599D"/>
    <w:rsid w:val="00F96807"/>
    <w:rsid w:val="00F96969"/>
    <w:rsid w:val="00F96BBF"/>
    <w:rsid w:val="00F96DF5"/>
    <w:rsid w:val="00F96E22"/>
    <w:rsid w:val="00F96FD0"/>
    <w:rsid w:val="00F9708E"/>
    <w:rsid w:val="00F9745B"/>
    <w:rsid w:val="00F974AE"/>
    <w:rsid w:val="00F97A78"/>
    <w:rsid w:val="00FA0B20"/>
    <w:rsid w:val="00FA100F"/>
    <w:rsid w:val="00FA1456"/>
    <w:rsid w:val="00FA2052"/>
    <w:rsid w:val="00FA2136"/>
    <w:rsid w:val="00FA24E7"/>
    <w:rsid w:val="00FA2FFC"/>
    <w:rsid w:val="00FA337C"/>
    <w:rsid w:val="00FA34D0"/>
    <w:rsid w:val="00FA35AF"/>
    <w:rsid w:val="00FA365D"/>
    <w:rsid w:val="00FA380E"/>
    <w:rsid w:val="00FA3D28"/>
    <w:rsid w:val="00FA3DFC"/>
    <w:rsid w:val="00FA3E91"/>
    <w:rsid w:val="00FA400F"/>
    <w:rsid w:val="00FA4097"/>
    <w:rsid w:val="00FA429F"/>
    <w:rsid w:val="00FA4542"/>
    <w:rsid w:val="00FA48BC"/>
    <w:rsid w:val="00FA48EC"/>
    <w:rsid w:val="00FA48F9"/>
    <w:rsid w:val="00FA4B32"/>
    <w:rsid w:val="00FA5B55"/>
    <w:rsid w:val="00FA5E55"/>
    <w:rsid w:val="00FA5EE6"/>
    <w:rsid w:val="00FA5FFA"/>
    <w:rsid w:val="00FA6094"/>
    <w:rsid w:val="00FA631A"/>
    <w:rsid w:val="00FA648B"/>
    <w:rsid w:val="00FA6841"/>
    <w:rsid w:val="00FA68E9"/>
    <w:rsid w:val="00FA6D73"/>
    <w:rsid w:val="00FA7233"/>
    <w:rsid w:val="00FA765B"/>
    <w:rsid w:val="00FA769C"/>
    <w:rsid w:val="00FA7956"/>
    <w:rsid w:val="00FA7D1E"/>
    <w:rsid w:val="00FA7FCC"/>
    <w:rsid w:val="00FB0326"/>
    <w:rsid w:val="00FB06BB"/>
    <w:rsid w:val="00FB0824"/>
    <w:rsid w:val="00FB0923"/>
    <w:rsid w:val="00FB0CC0"/>
    <w:rsid w:val="00FB0CDB"/>
    <w:rsid w:val="00FB0EA4"/>
    <w:rsid w:val="00FB0FB4"/>
    <w:rsid w:val="00FB1046"/>
    <w:rsid w:val="00FB1148"/>
    <w:rsid w:val="00FB1626"/>
    <w:rsid w:val="00FB204B"/>
    <w:rsid w:val="00FB234B"/>
    <w:rsid w:val="00FB242E"/>
    <w:rsid w:val="00FB28A5"/>
    <w:rsid w:val="00FB2B83"/>
    <w:rsid w:val="00FB2CFC"/>
    <w:rsid w:val="00FB2FCB"/>
    <w:rsid w:val="00FB33E2"/>
    <w:rsid w:val="00FB37B8"/>
    <w:rsid w:val="00FB37E9"/>
    <w:rsid w:val="00FB39A4"/>
    <w:rsid w:val="00FB3C61"/>
    <w:rsid w:val="00FB42B9"/>
    <w:rsid w:val="00FB440E"/>
    <w:rsid w:val="00FB4C9C"/>
    <w:rsid w:val="00FB4E18"/>
    <w:rsid w:val="00FB4F4B"/>
    <w:rsid w:val="00FB500A"/>
    <w:rsid w:val="00FB500F"/>
    <w:rsid w:val="00FB527C"/>
    <w:rsid w:val="00FB595F"/>
    <w:rsid w:val="00FB5B51"/>
    <w:rsid w:val="00FB5DB9"/>
    <w:rsid w:val="00FB6072"/>
    <w:rsid w:val="00FB6603"/>
    <w:rsid w:val="00FB6878"/>
    <w:rsid w:val="00FB7164"/>
    <w:rsid w:val="00FB71BA"/>
    <w:rsid w:val="00FB73E0"/>
    <w:rsid w:val="00FB7C55"/>
    <w:rsid w:val="00FB7C92"/>
    <w:rsid w:val="00FC012D"/>
    <w:rsid w:val="00FC0924"/>
    <w:rsid w:val="00FC1074"/>
    <w:rsid w:val="00FC12A1"/>
    <w:rsid w:val="00FC1392"/>
    <w:rsid w:val="00FC13EE"/>
    <w:rsid w:val="00FC1884"/>
    <w:rsid w:val="00FC1897"/>
    <w:rsid w:val="00FC1CBB"/>
    <w:rsid w:val="00FC22B1"/>
    <w:rsid w:val="00FC248B"/>
    <w:rsid w:val="00FC2600"/>
    <w:rsid w:val="00FC295A"/>
    <w:rsid w:val="00FC2D8F"/>
    <w:rsid w:val="00FC332B"/>
    <w:rsid w:val="00FC339D"/>
    <w:rsid w:val="00FC371D"/>
    <w:rsid w:val="00FC3785"/>
    <w:rsid w:val="00FC37F3"/>
    <w:rsid w:val="00FC3DC3"/>
    <w:rsid w:val="00FC3E77"/>
    <w:rsid w:val="00FC3F81"/>
    <w:rsid w:val="00FC42AC"/>
    <w:rsid w:val="00FC48AA"/>
    <w:rsid w:val="00FC4C90"/>
    <w:rsid w:val="00FC4CE0"/>
    <w:rsid w:val="00FC52DD"/>
    <w:rsid w:val="00FC5512"/>
    <w:rsid w:val="00FC5ED3"/>
    <w:rsid w:val="00FC5F0B"/>
    <w:rsid w:val="00FC6604"/>
    <w:rsid w:val="00FC6629"/>
    <w:rsid w:val="00FC6BEF"/>
    <w:rsid w:val="00FC6F99"/>
    <w:rsid w:val="00FC70B8"/>
    <w:rsid w:val="00FC71BC"/>
    <w:rsid w:val="00FC7623"/>
    <w:rsid w:val="00FC7B2B"/>
    <w:rsid w:val="00FC7E56"/>
    <w:rsid w:val="00FC7E82"/>
    <w:rsid w:val="00FD07E0"/>
    <w:rsid w:val="00FD122C"/>
    <w:rsid w:val="00FD1545"/>
    <w:rsid w:val="00FD1597"/>
    <w:rsid w:val="00FD16FA"/>
    <w:rsid w:val="00FD1740"/>
    <w:rsid w:val="00FD17A6"/>
    <w:rsid w:val="00FD1B0F"/>
    <w:rsid w:val="00FD1C44"/>
    <w:rsid w:val="00FD1E80"/>
    <w:rsid w:val="00FD1EA5"/>
    <w:rsid w:val="00FD1FFB"/>
    <w:rsid w:val="00FD2100"/>
    <w:rsid w:val="00FD2152"/>
    <w:rsid w:val="00FD29A8"/>
    <w:rsid w:val="00FD2F19"/>
    <w:rsid w:val="00FD311B"/>
    <w:rsid w:val="00FD325E"/>
    <w:rsid w:val="00FD3345"/>
    <w:rsid w:val="00FD3500"/>
    <w:rsid w:val="00FD35B1"/>
    <w:rsid w:val="00FD436C"/>
    <w:rsid w:val="00FD446D"/>
    <w:rsid w:val="00FD4B74"/>
    <w:rsid w:val="00FD4E3D"/>
    <w:rsid w:val="00FD4E7F"/>
    <w:rsid w:val="00FD4F2C"/>
    <w:rsid w:val="00FD52EB"/>
    <w:rsid w:val="00FD5DFE"/>
    <w:rsid w:val="00FD5F77"/>
    <w:rsid w:val="00FD6394"/>
    <w:rsid w:val="00FD6A10"/>
    <w:rsid w:val="00FD6CC4"/>
    <w:rsid w:val="00FD6FC8"/>
    <w:rsid w:val="00FD755C"/>
    <w:rsid w:val="00FD7A4C"/>
    <w:rsid w:val="00FD7B86"/>
    <w:rsid w:val="00FD7D1D"/>
    <w:rsid w:val="00FD7E16"/>
    <w:rsid w:val="00FD7E84"/>
    <w:rsid w:val="00FE0E6C"/>
    <w:rsid w:val="00FE1459"/>
    <w:rsid w:val="00FE1CDC"/>
    <w:rsid w:val="00FE1DF9"/>
    <w:rsid w:val="00FE1FDF"/>
    <w:rsid w:val="00FE216F"/>
    <w:rsid w:val="00FE21DC"/>
    <w:rsid w:val="00FE26FE"/>
    <w:rsid w:val="00FE27A9"/>
    <w:rsid w:val="00FE2842"/>
    <w:rsid w:val="00FE2924"/>
    <w:rsid w:val="00FE2A76"/>
    <w:rsid w:val="00FE2DED"/>
    <w:rsid w:val="00FE2F08"/>
    <w:rsid w:val="00FE40D6"/>
    <w:rsid w:val="00FE482C"/>
    <w:rsid w:val="00FE4954"/>
    <w:rsid w:val="00FE4E54"/>
    <w:rsid w:val="00FE4F3D"/>
    <w:rsid w:val="00FE51D7"/>
    <w:rsid w:val="00FE524C"/>
    <w:rsid w:val="00FE5384"/>
    <w:rsid w:val="00FE542C"/>
    <w:rsid w:val="00FE55FF"/>
    <w:rsid w:val="00FE5D38"/>
    <w:rsid w:val="00FE6287"/>
    <w:rsid w:val="00FE6330"/>
    <w:rsid w:val="00FE6604"/>
    <w:rsid w:val="00FE68BA"/>
    <w:rsid w:val="00FE690F"/>
    <w:rsid w:val="00FE707A"/>
    <w:rsid w:val="00FE70C3"/>
    <w:rsid w:val="00FE7395"/>
    <w:rsid w:val="00FE73A2"/>
    <w:rsid w:val="00FE74AD"/>
    <w:rsid w:val="00FE7C67"/>
    <w:rsid w:val="00FF030A"/>
    <w:rsid w:val="00FF044C"/>
    <w:rsid w:val="00FF06D7"/>
    <w:rsid w:val="00FF1385"/>
    <w:rsid w:val="00FF1A8B"/>
    <w:rsid w:val="00FF1B3F"/>
    <w:rsid w:val="00FF1C43"/>
    <w:rsid w:val="00FF1E07"/>
    <w:rsid w:val="00FF1E29"/>
    <w:rsid w:val="00FF240F"/>
    <w:rsid w:val="00FF2855"/>
    <w:rsid w:val="00FF2AD9"/>
    <w:rsid w:val="00FF2ADD"/>
    <w:rsid w:val="00FF2D04"/>
    <w:rsid w:val="00FF2D9F"/>
    <w:rsid w:val="00FF310C"/>
    <w:rsid w:val="00FF34E0"/>
    <w:rsid w:val="00FF359F"/>
    <w:rsid w:val="00FF3935"/>
    <w:rsid w:val="00FF3B12"/>
    <w:rsid w:val="00FF3DCF"/>
    <w:rsid w:val="00FF3E31"/>
    <w:rsid w:val="00FF43F5"/>
    <w:rsid w:val="00FF4430"/>
    <w:rsid w:val="00FF46A4"/>
    <w:rsid w:val="00FF477E"/>
    <w:rsid w:val="00FF4864"/>
    <w:rsid w:val="00FF48F9"/>
    <w:rsid w:val="00FF492C"/>
    <w:rsid w:val="00FF4977"/>
    <w:rsid w:val="00FF4A07"/>
    <w:rsid w:val="00FF4A21"/>
    <w:rsid w:val="00FF4ABC"/>
    <w:rsid w:val="00FF510D"/>
    <w:rsid w:val="00FF5368"/>
    <w:rsid w:val="00FF59CE"/>
    <w:rsid w:val="00FF5AA3"/>
    <w:rsid w:val="00FF5AD8"/>
    <w:rsid w:val="00FF5D06"/>
    <w:rsid w:val="00FF631F"/>
    <w:rsid w:val="00FF6463"/>
    <w:rsid w:val="00FF66D7"/>
    <w:rsid w:val="00FF6D97"/>
    <w:rsid w:val="00FF72F2"/>
    <w:rsid w:val="00FF74EF"/>
    <w:rsid w:val="00FF7A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2BF"/>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har,Caption Char1, Char,figure,Caption-FUSA,! Q,Table"/>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
    <w:next w:val="ListBullet"/>
    <w:link w:val="ListParagraphChar"/>
    <w:uiPriority w:val="34"/>
    <w:qFormat/>
    <w:rsid w:val="00BB00B3"/>
    <w:pPr>
      <w:numPr>
        <w:ilvl w:val="3"/>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ilvl w:val="0"/>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9"/>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ilvl w:val="0"/>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068F3"/>
    <w:rPr>
      <w:color w:val="605E5C"/>
      <w:shd w:val="clear" w:color="auto" w:fill="E1DFDD"/>
    </w:rPr>
  </w:style>
  <w:style w:type="paragraph" w:customStyle="1" w:styleId="Tabletextbullet">
    <w:name w:val="Tabletext bullet"/>
    <w:basedOn w:val="Tabletext"/>
    <w:link w:val="TabletextbulletChar"/>
    <w:qFormat/>
    <w:rsid w:val="005068F3"/>
    <w:pPr>
      <w:keepNext/>
      <w:keepLines/>
      <w:numPr>
        <w:numId w:val="5"/>
      </w:numPr>
    </w:pPr>
    <w:rPr>
      <w:snapToGrid/>
      <w:szCs w:val="22"/>
      <w:lang w:eastAsia="en-US"/>
    </w:rPr>
  </w:style>
  <w:style w:type="character" w:customStyle="1" w:styleId="TabletextbulletChar">
    <w:name w:val="Tabletext bullet Char"/>
    <w:basedOn w:val="TabletextChar"/>
    <w:link w:val="Tabletextbullet"/>
    <w:rsid w:val="005068F3"/>
    <w:rPr>
      <w:rFonts w:ascii="Arial Narrow" w:hAnsi="Arial Narrow"/>
      <w:szCs w:val="22"/>
      <w:lang w:eastAsia="en-US"/>
    </w:rPr>
  </w:style>
  <w:style w:type="character" w:styleId="PlaceholderText">
    <w:name w:val="Placeholder Text"/>
    <w:basedOn w:val="DefaultParagraphFont"/>
    <w:uiPriority w:val="99"/>
    <w:semiHidden/>
    <w:rsid w:val="00EC2D78"/>
    <w:rPr>
      <w:color w:val="808080"/>
    </w:rPr>
  </w:style>
  <w:style w:type="paragraph" w:styleId="FootnoteText">
    <w:name w:val="footnote text"/>
    <w:aliases w:val="Footnote Text Char Char,Footnote Text Char2,Footnote Text Char Char1"/>
    <w:basedOn w:val="Normal"/>
    <w:link w:val="FootnoteTextChar"/>
    <w:unhideWhenUsed/>
    <w:rsid w:val="00514E45"/>
    <w:rPr>
      <w:sz w:val="20"/>
      <w:szCs w:val="20"/>
    </w:rPr>
  </w:style>
  <w:style w:type="character" w:customStyle="1" w:styleId="FootnoteTextChar">
    <w:name w:val="Footnote Text Char"/>
    <w:aliases w:val="Footnote Text Char Char Char,Footnote Text Char2 Char,Footnote Text Char Char1 Char"/>
    <w:basedOn w:val="DefaultParagraphFont"/>
    <w:link w:val="FootnoteText"/>
    <w:rsid w:val="00514E45"/>
    <w:rPr>
      <w:rFonts w:ascii="Calibri" w:hAnsi="Calibri" w:cs="Arial"/>
    </w:rPr>
  </w:style>
  <w:style w:type="character" w:styleId="FootnoteReference">
    <w:name w:val="footnote reference"/>
    <w:basedOn w:val="DefaultParagraphFont"/>
    <w:unhideWhenUsed/>
    <w:rsid w:val="00514E45"/>
    <w:rPr>
      <w:vertAlign w:val="superscript"/>
    </w:rPr>
  </w:style>
  <w:style w:type="character" w:customStyle="1" w:styleId="normaltextrun">
    <w:name w:val="normaltextrun"/>
    <w:basedOn w:val="DefaultParagraphFont"/>
    <w:rsid w:val="00255072"/>
  </w:style>
  <w:style w:type="character" w:styleId="EndnoteReference">
    <w:name w:val="endnote reference"/>
    <w:basedOn w:val="DefaultParagraphFont"/>
    <w:semiHidden/>
    <w:unhideWhenUsed/>
    <w:rsid w:val="003D21A8"/>
    <w:rPr>
      <w:vertAlign w:val="superscript"/>
    </w:rPr>
  </w:style>
  <w:style w:type="table" w:customStyle="1" w:styleId="Summarybox1">
    <w:name w:val="Summary box1"/>
    <w:basedOn w:val="TableNormal"/>
    <w:next w:val="TableGrid"/>
    <w:uiPriority w:val="59"/>
    <w:rsid w:val="00441B25"/>
    <w:pPr>
      <w:spacing w:after="120" w:line="360" w:lineRule="auto"/>
      <w:ind w:right="57"/>
    </w:pPr>
    <w:rPr>
      <w:rFonts w:ascii="Arial" w:eastAsia="Arial" w:hAnsi="Arial" w:cs="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customStyle="1" w:styleId="Table-Normal">
    <w:name w:val="Table - Normal"/>
    <w:basedOn w:val="Normal"/>
    <w:qFormat/>
    <w:rsid w:val="00BA221B"/>
    <w:pPr>
      <w:jc w:val="left"/>
    </w:pPr>
    <w:rPr>
      <w:rFonts w:asciiTheme="minorHAnsi" w:eastAsiaTheme="minorEastAsia" w:hAnsiTheme="minorHAnsi" w:cstheme="minorBidi"/>
      <w:bCs/>
      <w:color w:val="000000" w:themeColor="text1"/>
      <w:sz w:val="18"/>
      <w:szCs w:val="22"/>
      <w:lang w:val="en-US" w:eastAsia="en-US"/>
    </w:rPr>
  </w:style>
  <w:style w:type="character" w:customStyle="1" w:styleId="Heading1Char">
    <w:name w:val="Heading 1 Char"/>
    <w:basedOn w:val="DefaultParagraphFont"/>
    <w:link w:val="Heading1"/>
    <w:uiPriority w:val="1"/>
    <w:rsid w:val="00001F35"/>
    <w:rPr>
      <w:rFonts w:ascii="Calibri" w:hAnsi="Calibri" w:cs="Arial"/>
      <w:b/>
      <w:caps/>
      <w:sz w:val="32"/>
      <w:szCs w:val="24"/>
    </w:rPr>
  </w:style>
  <w:style w:type="table" w:customStyle="1" w:styleId="ASDTable4">
    <w:name w:val="ASD Table4"/>
    <w:basedOn w:val="TableNormal"/>
    <w:next w:val="TableGrid"/>
    <w:uiPriority w:val="59"/>
    <w:rsid w:val="005355C2"/>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paragraph" w:customStyle="1" w:styleId="Tablefootnote">
    <w:name w:val="Table footnote"/>
    <w:basedOn w:val="Normal"/>
    <w:link w:val="TablefootnoteChar"/>
    <w:qFormat/>
    <w:rsid w:val="00A96CDC"/>
    <w:pPr>
      <w:keepNext/>
      <w:keepLines/>
      <w:spacing w:after="36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A96CDC"/>
    <w:rPr>
      <w:rFonts w:ascii="Arial Narrow" w:hAnsi="Arial Narrow"/>
      <w:sz w:val="18"/>
      <w:szCs w:val="22"/>
      <w:lang w:eastAsia="en-US"/>
    </w:rPr>
  </w:style>
  <w:style w:type="paragraph" w:customStyle="1" w:styleId="Comfootnote">
    <w:name w:val="Com footnote"/>
    <w:basedOn w:val="FootnoteText"/>
    <w:link w:val="ComfootnoteChar"/>
    <w:qFormat/>
    <w:rsid w:val="001B3E08"/>
    <w:pPr>
      <w:jc w:val="left"/>
    </w:pPr>
    <w:rPr>
      <w:rFonts w:ascii="Arial Narrow" w:hAnsi="Arial Narrow"/>
      <w:sz w:val="16"/>
    </w:rPr>
  </w:style>
  <w:style w:type="character" w:customStyle="1" w:styleId="ComfootnoteChar">
    <w:name w:val="Com footnote Char"/>
    <w:basedOn w:val="FootnoteTextChar"/>
    <w:link w:val="Comfootnote"/>
    <w:rsid w:val="001B3E08"/>
    <w:rPr>
      <w:rFonts w:ascii="Arial Narrow" w:hAnsi="Arial Narrow" w:cs="Arial"/>
      <w:sz w:val="16"/>
    </w:rPr>
  </w:style>
  <w:style w:type="character" w:customStyle="1" w:styleId="3-SubsectionHeadingChar">
    <w:name w:val="3-Subsection Heading Char"/>
    <w:basedOn w:val="DefaultParagraphFont"/>
    <w:link w:val="3-SubsectionHeading"/>
    <w:locked/>
    <w:rsid w:val="001E394B"/>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1E394B"/>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paragraph" w:customStyle="1" w:styleId="gmail-msolistparagraph">
    <w:name w:val="gmail-msolistparagraph"/>
    <w:basedOn w:val="Normal"/>
    <w:rsid w:val="00AF186F"/>
    <w:pPr>
      <w:spacing w:before="100" w:beforeAutospacing="1" w:after="100" w:afterAutospacing="1"/>
      <w:jc w:val="left"/>
    </w:pPr>
    <w:rPr>
      <w:rFonts w:eastAsiaTheme="minorHAnsi" w:cs="Calibri"/>
      <w:sz w:val="22"/>
      <w:szCs w:val="22"/>
    </w:rPr>
  </w:style>
  <w:style w:type="paragraph" w:customStyle="1" w:styleId="Tablecaption">
    <w:name w:val="Table caption"/>
    <w:basedOn w:val="Caption"/>
    <w:link w:val="TablecaptionChar"/>
    <w:qFormat/>
    <w:rsid w:val="00715C0D"/>
    <w:pPr>
      <w:keepLines w:val="0"/>
      <w:spacing w:after="40" w:line="259" w:lineRule="auto"/>
      <w:ind w:left="851" w:hanging="851"/>
    </w:pPr>
    <w:rPr>
      <w:rFonts w:eastAsiaTheme="minorHAnsi"/>
      <w:iCs/>
      <w:sz w:val="22"/>
      <w:szCs w:val="24"/>
      <w:lang w:eastAsia="en-US"/>
    </w:rPr>
  </w:style>
  <w:style w:type="character" w:customStyle="1" w:styleId="TablecaptionChar">
    <w:name w:val="Table caption Char"/>
    <w:basedOn w:val="DefaultParagraphFont"/>
    <w:link w:val="Tablecaption"/>
    <w:rsid w:val="00715C0D"/>
    <w:rPr>
      <w:rFonts w:ascii="Arial Narrow" w:eastAsiaTheme="minorHAnsi" w:hAnsi="Arial Narrow" w:cs="Arial"/>
      <w:b/>
      <w:bCs/>
      <w:iCs/>
      <w:sz w:val="22"/>
      <w:szCs w:val="24"/>
      <w:lang w:eastAsia="en-US"/>
    </w:rPr>
  </w:style>
  <w:style w:type="paragraph" w:customStyle="1" w:styleId="NormalBulletList">
    <w:name w:val="Normal Bullet List"/>
    <w:basedOn w:val="Normal"/>
    <w:uiPriority w:val="3"/>
    <w:qFormat/>
    <w:rsid w:val="00715C0D"/>
    <w:pPr>
      <w:numPr>
        <w:numId w:val="18"/>
      </w:numPr>
      <w:spacing w:after="240" w:line="276" w:lineRule="auto"/>
      <w:contextualSpacing/>
    </w:pPr>
    <w:rPr>
      <w:rFonts w:ascii="Candara" w:eastAsiaTheme="majorEastAsia" w:hAnsi="Candara" w:cstheme="majorBidi"/>
      <w:sz w:val="22"/>
      <w:szCs w:val="22"/>
      <w:lang w:eastAsia="en-US" w:bidi="en-US"/>
    </w:rPr>
  </w:style>
  <w:style w:type="paragraph" w:customStyle="1" w:styleId="Tablenotes">
    <w:name w:val="Table notes"/>
    <w:basedOn w:val="Normal"/>
    <w:link w:val="TablenotesChar"/>
    <w:qFormat/>
    <w:rsid w:val="00715C0D"/>
    <w:pPr>
      <w:spacing w:after="240" w:line="259" w:lineRule="auto"/>
      <w:contextualSpacing/>
      <w:jc w:val="left"/>
    </w:pPr>
    <w:rPr>
      <w:rFonts w:ascii="Arial Narrow" w:eastAsiaTheme="minorHAnsi" w:hAnsi="Arial Narrow"/>
      <w:sz w:val="20"/>
      <w:szCs w:val="22"/>
      <w:lang w:eastAsia="en-US"/>
    </w:rPr>
  </w:style>
  <w:style w:type="character" w:customStyle="1" w:styleId="TablenotesChar">
    <w:name w:val="Table notes Char"/>
    <w:basedOn w:val="DefaultParagraphFont"/>
    <w:link w:val="Tablenotes"/>
    <w:rsid w:val="00715C0D"/>
    <w:rPr>
      <w:rFonts w:ascii="Arial Narrow" w:eastAsiaTheme="minorHAnsi" w:hAnsi="Arial Narrow" w:cs="Arial"/>
      <w:szCs w:val="22"/>
      <w:lang w:eastAsia="en-US"/>
    </w:rPr>
  </w:style>
  <w:style w:type="character" w:customStyle="1" w:styleId="Heading3Char">
    <w:name w:val="Heading 3 Char"/>
    <w:basedOn w:val="DefaultParagraphFont"/>
    <w:link w:val="Heading3"/>
    <w:rsid w:val="00940332"/>
    <w:rPr>
      <w:rFonts w:ascii="Calibri" w:hAnsi="Calibri" w:cs="Arial"/>
      <w:sz w:val="24"/>
      <w:szCs w:val="24"/>
      <w:u w:val="single"/>
    </w:rPr>
  </w:style>
  <w:style w:type="character" w:customStyle="1" w:styleId="Heading4Char">
    <w:name w:val="Heading 4 Char"/>
    <w:basedOn w:val="DefaultParagraphFont"/>
    <w:link w:val="Heading4"/>
    <w:rsid w:val="00940332"/>
    <w:rPr>
      <w:rFonts w:ascii="Calibri" w:hAnsi="Calibri" w:cs="Arial"/>
      <w:b/>
      <w:bCs/>
      <w:i/>
      <w:sz w:val="26"/>
      <w:szCs w:val="28"/>
    </w:rPr>
  </w:style>
  <w:style w:type="character" w:customStyle="1" w:styleId="Heading5Char">
    <w:name w:val="Heading 5 Char"/>
    <w:basedOn w:val="DefaultParagraphFont"/>
    <w:link w:val="Heading5"/>
    <w:rsid w:val="00940332"/>
    <w:rPr>
      <w:rFonts w:ascii="Calibri" w:hAnsi="Calibri" w:cs="Arial"/>
      <w:b/>
      <w:bCs/>
      <w:iCs/>
      <w:sz w:val="26"/>
      <w:szCs w:val="26"/>
    </w:rPr>
  </w:style>
  <w:style w:type="character" w:customStyle="1" w:styleId="Heading6Char">
    <w:name w:val="Heading 6 Char"/>
    <w:basedOn w:val="DefaultParagraphFont"/>
    <w:link w:val="Heading6"/>
    <w:rsid w:val="00940332"/>
    <w:rPr>
      <w:rFonts w:ascii="Calibri" w:hAnsi="Calibri" w:cs="Arial"/>
      <w:b/>
      <w:bCs/>
      <w:i/>
      <w:sz w:val="24"/>
      <w:szCs w:val="24"/>
    </w:rPr>
  </w:style>
  <w:style w:type="paragraph" w:customStyle="1" w:styleId="1MainTitle">
    <w:name w:val="1. Main Title"/>
    <w:basedOn w:val="Title"/>
    <w:link w:val="1MainTitleChar"/>
    <w:qFormat/>
    <w:rsid w:val="00940332"/>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940332"/>
    <w:rPr>
      <w:rFonts w:asciiTheme="minorHAnsi" w:eastAsiaTheme="majorEastAsia" w:hAnsiTheme="minorHAnsi" w:cstheme="majorBidi"/>
      <w:b/>
      <w:bCs w:val="0"/>
      <w:snapToGrid/>
      <w:spacing w:val="5"/>
      <w:kern w:val="28"/>
      <w:sz w:val="36"/>
      <w:szCs w:val="36"/>
      <w:lang w:eastAsia="en-US"/>
    </w:rPr>
  </w:style>
  <w:style w:type="paragraph" w:customStyle="1" w:styleId="m9100226901587176502msolistparagraph">
    <w:name w:val="m_9100226901587176502msolistparagraph"/>
    <w:basedOn w:val="Normal"/>
    <w:rsid w:val="00940332"/>
    <w:pPr>
      <w:spacing w:before="100" w:beforeAutospacing="1" w:after="100" w:afterAutospacing="1"/>
      <w:jc w:val="left"/>
    </w:pPr>
    <w:rPr>
      <w:rFonts w:eastAsiaTheme="minorHAnsi" w:cs="Calibri"/>
      <w:sz w:val="22"/>
      <w:szCs w:val="22"/>
    </w:rPr>
  </w:style>
  <w:style w:type="paragraph" w:customStyle="1" w:styleId="Numberbullet2">
    <w:name w:val="Number bullet 2"/>
    <w:basedOn w:val="ListBullet2"/>
    <w:qFormat/>
    <w:rsid w:val="009769C8"/>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9769C8"/>
    <w:pPr>
      <w:numPr>
        <w:ilvl w:val="2"/>
        <w:numId w:val="38"/>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9769C8"/>
    <w:pPr>
      <w:numPr>
        <w:numId w:val="38"/>
      </w:numPr>
    </w:pPr>
  </w:style>
  <w:style w:type="paragraph" w:customStyle="1" w:styleId="COMH1numbered">
    <w:name w:val="COM H1 numbered"/>
    <w:next w:val="Normal"/>
    <w:link w:val="COMH1numberedChar"/>
    <w:qFormat/>
    <w:rsid w:val="009769C8"/>
    <w:pPr>
      <w:keepNext/>
      <w:numPr>
        <w:numId w:val="38"/>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9769C8"/>
    <w:rPr>
      <w:rFonts w:asciiTheme="minorHAnsi" w:hAnsiTheme="minorHAnsi" w:cs="Arial"/>
      <w:b/>
      <w:snapToGrid w:val="0"/>
      <w:sz w:val="32"/>
      <w:szCs w:val="32"/>
    </w:rPr>
  </w:style>
  <w:style w:type="paragraph" w:styleId="ListBullet2">
    <w:name w:val="List Bullet 2"/>
    <w:basedOn w:val="Normal"/>
    <w:semiHidden/>
    <w:unhideWhenUsed/>
    <w:rsid w:val="009769C8"/>
    <w:pPr>
      <w:ind w:left="425" w:hanging="425"/>
      <w:contextualSpacing/>
    </w:pPr>
  </w:style>
  <w:style w:type="paragraph" w:styleId="ListBullet3">
    <w:name w:val="List Bullet 3"/>
    <w:basedOn w:val="Normal"/>
    <w:semiHidden/>
    <w:unhideWhenUsed/>
    <w:rsid w:val="009769C8"/>
    <w:pPr>
      <w:ind w:left="720" w:hanging="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519">
      <w:bodyDiv w:val="1"/>
      <w:marLeft w:val="0"/>
      <w:marRight w:val="0"/>
      <w:marTop w:val="0"/>
      <w:marBottom w:val="0"/>
      <w:divBdr>
        <w:top w:val="none" w:sz="0" w:space="0" w:color="auto"/>
        <w:left w:val="none" w:sz="0" w:space="0" w:color="auto"/>
        <w:bottom w:val="none" w:sz="0" w:space="0" w:color="auto"/>
        <w:right w:val="none" w:sz="0" w:space="0" w:color="auto"/>
      </w:divBdr>
    </w:div>
    <w:div w:id="41490029">
      <w:bodyDiv w:val="1"/>
      <w:marLeft w:val="0"/>
      <w:marRight w:val="0"/>
      <w:marTop w:val="0"/>
      <w:marBottom w:val="0"/>
      <w:divBdr>
        <w:top w:val="none" w:sz="0" w:space="0" w:color="auto"/>
        <w:left w:val="none" w:sz="0" w:space="0" w:color="auto"/>
        <w:bottom w:val="none" w:sz="0" w:space="0" w:color="auto"/>
        <w:right w:val="none" w:sz="0" w:space="0" w:color="auto"/>
      </w:divBdr>
    </w:div>
    <w:div w:id="6149102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165689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220378">
      <w:bodyDiv w:val="1"/>
      <w:marLeft w:val="0"/>
      <w:marRight w:val="0"/>
      <w:marTop w:val="0"/>
      <w:marBottom w:val="0"/>
      <w:divBdr>
        <w:top w:val="none" w:sz="0" w:space="0" w:color="auto"/>
        <w:left w:val="none" w:sz="0" w:space="0" w:color="auto"/>
        <w:bottom w:val="none" w:sz="0" w:space="0" w:color="auto"/>
        <w:right w:val="none" w:sz="0" w:space="0" w:color="auto"/>
      </w:divBdr>
    </w:div>
    <w:div w:id="152987251">
      <w:bodyDiv w:val="1"/>
      <w:marLeft w:val="0"/>
      <w:marRight w:val="0"/>
      <w:marTop w:val="0"/>
      <w:marBottom w:val="0"/>
      <w:divBdr>
        <w:top w:val="none" w:sz="0" w:space="0" w:color="auto"/>
        <w:left w:val="none" w:sz="0" w:space="0" w:color="auto"/>
        <w:bottom w:val="none" w:sz="0" w:space="0" w:color="auto"/>
        <w:right w:val="none" w:sz="0" w:space="0" w:color="auto"/>
      </w:divBdr>
    </w:div>
    <w:div w:id="206190473">
      <w:bodyDiv w:val="1"/>
      <w:marLeft w:val="0"/>
      <w:marRight w:val="0"/>
      <w:marTop w:val="0"/>
      <w:marBottom w:val="0"/>
      <w:divBdr>
        <w:top w:val="none" w:sz="0" w:space="0" w:color="auto"/>
        <w:left w:val="none" w:sz="0" w:space="0" w:color="auto"/>
        <w:bottom w:val="none" w:sz="0" w:space="0" w:color="auto"/>
        <w:right w:val="none" w:sz="0" w:space="0" w:color="auto"/>
      </w:divBdr>
    </w:div>
    <w:div w:id="222326981">
      <w:bodyDiv w:val="1"/>
      <w:marLeft w:val="0"/>
      <w:marRight w:val="0"/>
      <w:marTop w:val="0"/>
      <w:marBottom w:val="0"/>
      <w:divBdr>
        <w:top w:val="none" w:sz="0" w:space="0" w:color="auto"/>
        <w:left w:val="none" w:sz="0" w:space="0" w:color="auto"/>
        <w:bottom w:val="none" w:sz="0" w:space="0" w:color="auto"/>
        <w:right w:val="none" w:sz="0" w:space="0" w:color="auto"/>
      </w:divBdr>
    </w:div>
    <w:div w:id="238486852">
      <w:bodyDiv w:val="1"/>
      <w:marLeft w:val="0"/>
      <w:marRight w:val="0"/>
      <w:marTop w:val="0"/>
      <w:marBottom w:val="0"/>
      <w:divBdr>
        <w:top w:val="none" w:sz="0" w:space="0" w:color="auto"/>
        <w:left w:val="none" w:sz="0" w:space="0" w:color="auto"/>
        <w:bottom w:val="none" w:sz="0" w:space="0" w:color="auto"/>
        <w:right w:val="none" w:sz="0" w:space="0" w:color="auto"/>
      </w:divBdr>
      <w:divsChild>
        <w:div w:id="1715500477">
          <w:marLeft w:val="360"/>
          <w:marRight w:val="0"/>
          <w:marTop w:val="200"/>
          <w:marBottom w:val="0"/>
          <w:divBdr>
            <w:top w:val="none" w:sz="0" w:space="0" w:color="auto"/>
            <w:left w:val="none" w:sz="0" w:space="0" w:color="auto"/>
            <w:bottom w:val="none" w:sz="0" w:space="0" w:color="auto"/>
            <w:right w:val="none" w:sz="0" w:space="0" w:color="auto"/>
          </w:divBdr>
        </w:div>
      </w:divsChild>
    </w:div>
    <w:div w:id="244388415">
      <w:bodyDiv w:val="1"/>
      <w:marLeft w:val="0"/>
      <w:marRight w:val="0"/>
      <w:marTop w:val="0"/>
      <w:marBottom w:val="0"/>
      <w:divBdr>
        <w:top w:val="none" w:sz="0" w:space="0" w:color="auto"/>
        <w:left w:val="none" w:sz="0" w:space="0" w:color="auto"/>
        <w:bottom w:val="none" w:sz="0" w:space="0" w:color="auto"/>
        <w:right w:val="none" w:sz="0" w:space="0" w:color="auto"/>
      </w:divBdr>
      <w:divsChild>
        <w:div w:id="1561209353">
          <w:marLeft w:val="360"/>
          <w:marRight w:val="0"/>
          <w:marTop w:val="200"/>
          <w:marBottom w:val="0"/>
          <w:divBdr>
            <w:top w:val="none" w:sz="0" w:space="0" w:color="auto"/>
            <w:left w:val="none" w:sz="0" w:space="0" w:color="auto"/>
            <w:bottom w:val="none" w:sz="0" w:space="0" w:color="auto"/>
            <w:right w:val="none" w:sz="0" w:space="0" w:color="auto"/>
          </w:divBdr>
        </w:div>
        <w:div w:id="1013071205">
          <w:marLeft w:val="360"/>
          <w:marRight w:val="0"/>
          <w:marTop w:val="200"/>
          <w:marBottom w:val="0"/>
          <w:divBdr>
            <w:top w:val="none" w:sz="0" w:space="0" w:color="auto"/>
            <w:left w:val="none" w:sz="0" w:space="0" w:color="auto"/>
            <w:bottom w:val="none" w:sz="0" w:space="0" w:color="auto"/>
            <w:right w:val="none" w:sz="0" w:space="0" w:color="auto"/>
          </w:divBdr>
        </w:div>
        <w:div w:id="2084983474">
          <w:marLeft w:val="360"/>
          <w:marRight w:val="0"/>
          <w:marTop w:val="200"/>
          <w:marBottom w:val="0"/>
          <w:divBdr>
            <w:top w:val="none" w:sz="0" w:space="0" w:color="auto"/>
            <w:left w:val="none" w:sz="0" w:space="0" w:color="auto"/>
            <w:bottom w:val="none" w:sz="0" w:space="0" w:color="auto"/>
            <w:right w:val="none" w:sz="0" w:space="0" w:color="auto"/>
          </w:divBdr>
        </w:div>
      </w:divsChild>
    </w:div>
    <w:div w:id="288055428">
      <w:bodyDiv w:val="1"/>
      <w:marLeft w:val="0"/>
      <w:marRight w:val="0"/>
      <w:marTop w:val="0"/>
      <w:marBottom w:val="0"/>
      <w:divBdr>
        <w:top w:val="none" w:sz="0" w:space="0" w:color="auto"/>
        <w:left w:val="none" w:sz="0" w:space="0" w:color="auto"/>
        <w:bottom w:val="none" w:sz="0" w:space="0" w:color="auto"/>
        <w:right w:val="none" w:sz="0" w:space="0" w:color="auto"/>
      </w:divBdr>
      <w:divsChild>
        <w:div w:id="1359619669">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3627948">
      <w:bodyDiv w:val="1"/>
      <w:marLeft w:val="0"/>
      <w:marRight w:val="0"/>
      <w:marTop w:val="0"/>
      <w:marBottom w:val="0"/>
      <w:divBdr>
        <w:top w:val="none" w:sz="0" w:space="0" w:color="auto"/>
        <w:left w:val="none" w:sz="0" w:space="0" w:color="auto"/>
        <w:bottom w:val="none" w:sz="0" w:space="0" w:color="auto"/>
        <w:right w:val="none" w:sz="0" w:space="0" w:color="auto"/>
      </w:divBdr>
    </w:div>
    <w:div w:id="353966749">
      <w:bodyDiv w:val="1"/>
      <w:marLeft w:val="0"/>
      <w:marRight w:val="0"/>
      <w:marTop w:val="0"/>
      <w:marBottom w:val="0"/>
      <w:divBdr>
        <w:top w:val="none" w:sz="0" w:space="0" w:color="auto"/>
        <w:left w:val="none" w:sz="0" w:space="0" w:color="auto"/>
        <w:bottom w:val="none" w:sz="0" w:space="0" w:color="auto"/>
        <w:right w:val="none" w:sz="0" w:space="0" w:color="auto"/>
      </w:divBdr>
    </w:div>
    <w:div w:id="406460492">
      <w:bodyDiv w:val="1"/>
      <w:marLeft w:val="0"/>
      <w:marRight w:val="0"/>
      <w:marTop w:val="0"/>
      <w:marBottom w:val="0"/>
      <w:divBdr>
        <w:top w:val="none" w:sz="0" w:space="0" w:color="auto"/>
        <w:left w:val="none" w:sz="0" w:space="0" w:color="auto"/>
        <w:bottom w:val="none" w:sz="0" w:space="0" w:color="auto"/>
        <w:right w:val="none" w:sz="0" w:space="0" w:color="auto"/>
      </w:divBdr>
    </w:div>
    <w:div w:id="441729810">
      <w:bodyDiv w:val="1"/>
      <w:marLeft w:val="0"/>
      <w:marRight w:val="0"/>
      <w:marTop w:val="0"/>
      <w:marBottom w:val="0"/>
      <w:divBdr>
        <w:top w:val="none" w:sz="0" w:space="0" w:color="auto"/>
        <w:left w:val="none" w:sz="0" w:space="0" w:color="auto"/>
        <w:bottom w:val="none" w:sz="0" w:space="0" w:color="auto"/>
        <w:right w:val="none" w:sz="0" w:space="0" w:color="auto"/>
      </w:divBdr>
    </w:div>
    <w:div w:id="457188342">
      <w:bodyDiv w:val="1"/>
      <w:marLeft w:val="0"/>
      <w:marRight w:val="0"/>
      <w:marTop w:val="0"/>
      <w:marBottom w:val="0"/>
      <w:divBdr>
        <w:top w:val="none" w:sz="0" w:space="0" w:color="auto"/>
        <w:left w:val="none" w:sz="0" w:space="0" w:color="auto"/>
        <w:bottom w:val="none" w:sz="0" w:space="0" w:color="auto"/>
        <w:right w:val="none" w:sz="0" w:space="0" w:color="auto"/>
      </w:divBdr>
    </w:div>
    <w:div w:id="521630981">
      <w:bodyDiv w:val="1"/>
      <w:marLeft w:val="0"/>
      <w:marRight w:val="0"/>
      <w:marTop w:val="0"/>
      <w:marBottom w:val="0"/>
      <w:divBdr>
        <w:top w:val="none" w:sz="0" w:space="0" w:color="auto"/>
        <w:left w:val="none" w:sz="0" w:space="0" w:color="auto"/>
        <w:bottom w:val="none" w:sz="0" w:space="0" w:color="auto"/>
        <w:right w:val="none" w:sz="0" w:space="0" w:color="auto"/>
      </w:divBdr>
      <w:divsChild>
        <w:div w:id="70734888">
          <w:marLeft w:val="360"/>
          <w:marRight w:val="0"/>
          <w:marTop w:val="200"/>
          <w:marBottom w:val="0"/>
          <w:divBdr>
            <w:top w:val="none" w:sz="0" w:space="0" w:color="auto"/>
            <w:left w:val="none" w:sz="0" w:space="0" w:color="auto"/>
            <w:bottom w:val="none" w:sz="0" w:space="0" w:color="auto"/>
            <w:right w:val="none" w:sz="0" w:space="0" w:color="auto"/>
          </w:divBdr>
        </w:div>
      </w:divsChild>
    </w:div>
    <w:div w:id="576402636">
      <w:bodyDiv w:val="1"/>
      <w:marLeft w:val="0"/>
      <w:marRight w:val="0"/>
      <w:marTop w:val="0"/>
      <w:marBottom w:val="0"/>
      <w:divBdr>
        <w:top w:val="none" w:sz="0" w:space="0" w:color="auto"/>
        <w:left w:val="none" w:sz="0" w:space="0" w:color="auto"/>
        <w:bottom w:val="none" w:sz="0" w:space="0" w:color="auto"/>
        <w:right w:val="none" w:sz="0" w:space="0" w:color="auto"/>
      </w:divBdr>
    </w:div>
    <w:div w:id="589001863">
      <w:bodyDiv w:val="1"/>
      <w:marLeft w:val="0"/>
      <w:marRight w:val="0"/>
      <w:marTop w:val="0"/>
      <w:marBottom w:val="0"/>
      <w:divBdr>
        <w:top w:val="none" w:sz="0" w:space="0" w:color="auto"/>
        <w:left w:val="none" w:sz="0" w:space="0" w:color="auto"/>
        <w:bottom w:val="none" w:sz="0" w:space="0" w:color="auto"/>
        <w:right w:val="none" w:sz="0" w:space="0" w:color="auto"/>
      </w:divBdr>
    </w:div>
    <w:div w:id="599527958">
      <w:bodyDiv w:val="1"/>
      <w:marLeft w:val="0"/>
      <w:marRight w:val="0"/>
      <w:marTop w:val="0"/>
      <w:marBottom w:val="0"/>
      <w:divBdr>
        <w:top w:val="none" w:sz="0" w:space="0" w:color="auto"/>
        <w:left w:val="none" w:sz="0" w:space="0" w:color="auto"/>
        <w:bottom w:val="none" w:sz="0" w:space="0" w:color="auto"/>
        <w:right w:val="none" w:sz="0" w:space="0" w:color="auto"/>
      </w:divBdr>
    </w:div>
    <w:div w:id="675838474">
      <w:bodyDiv w:val="1"/>
      <w:marLeft w:val="0"/>
      <w:marRight w:val="0"/>
      <w:marTop w:val="0"/>
      <w:marBottom w:val="0"/>
      <w:divBdr>
        <w:top w:val="none" w:sz="0" w:space="0" w:color="auto"/>
        <w:left w:val="none" w:sz="0" w:space="0" w:color="auto"/>
        <w:bottom w:val="none" w:sz="0" w:space="0" w:color="auto"/>
        <w:right w:val="none" w:sz="0" w:space="0" w:color="auto"/>
      </w:divBdr>
    </w:div>
    <w:div w:id="691878870">
      <w:bodyDiv w:val="1"/>
      <w:marLeft w:val="0"/>
      <w:marRight w:val="0"/>
      <w:marTop w:val="0"/>
      <w:marBottom w:val="0"/>
      <w:divBdr>
        <w:top w:val="none" w:sz="0" w:space="0" w:color="auto"/>
        <w:left w:val="none" w:sz="0" w:space="0" w:color="auto"/>
        <w:bottom w:val="none" w:sz="0" w:space="0" w:color="auto"/>
        <w:right w:val="none" w:sz="0" w:space="0" w:color="auto"/>
      </w:divBdr>
    </w:div>
    <w:div w:id="722486274">
      <w:bodyDiv w:val="1"/>
      <w:marLeft w:val="0"/>
      <w:marRight w:val="0"/>
      <w:marTop w:val="0"/>
      <w:marBottom w:val="0"/>
      <w:divBdr>
        <w:top w:val="none" w:sz="0" w:space="0" w:color="auto"/>
        <w:left w:val="none" w:sz="0" w:space="0" w:color="auto"/>
        <w:bottom w:val="none" w:sz="0" w:space="0" w:color="auto"/>
        <w:right w:val="none" w:sz="0" w:space="0" w:color="auto"/>
      </w:divBdr>
    </w:div>
    <w:div w:id="742138480">
      <w:bodyDiv w:val="1"/>
      <w:marLeft w:val="0"/>
      <w:marRight w:val="0"/>
      <w:marTop w:val="0"/>
      <w:marBottom w:val="0"/>
      <w:divBdr>
        <w:top w:val="none" w:sz="0" w:space="0" w:color="auto"/>
        <w:left w:val="none" w:sz="0" w:space="0" w:color="auto"/>
        <w:bottom w:val="none" w:sz="0" w:space="0" w:color="auto"/>
        <w:right w:val="none" w:sz="0" w:space="0" w:color="auto"/>
      </w:divBdr>
      <w:divsChild>
        <w:div w:id="789401523">
          <w:marLeft w:val="360"/>
          <w:marRight w:val="0"/>
          <w:marTop w:val="200"/>
          <w:marBottom w:val="0"/>
          <w:divBdr>
            <w:top w:val="none" w:sz="0" w:space="0" w:color="auto"/>
            <w:left w:val="none" w:sz="0" w:space="0" w:color="auto"/>
            <w:bottom w:val="none" w:sz="0" w:space="0" w:color="auto"/>
            <w:right w:val="none" w:sz="0" w:space="0" w:color="auto"/>
          </w:divBdr>
        </w:div>
      </w:divsChild>
    </w:div>
    <w:div w:id="750200456">
      <w:bodyDiv w:val="1"/>
      <w:marLeft w:val="0"/>
      <w:marRight w:val="0"/>
      <w:marTop w:val="0"/>
      <w:marBottom w:val="0"/>
      <w:divBdr>
        <w:top w:val="none" w:sz="0" w:space="0" w:color="auto"/>
        <w:left w:val="none" w:sz="0" w:space="0" w:color="auto"/>
        <w:bottom w:val="none" w:sz="0" w:space="0" w:color="auto"/>
        <w:right w:val="none" w:sz="0" w:space="0" w:color="auto"/>
      </w:divBdr>
    </w:div>
    <w:div w:id="78920884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65485422">
      <w:bodyDiv w:val="1"/>
      <w:marLeft w:val="0"/>
      <w:marRight w:val="0"/>
      <w:marTop w:val="0"/>
      <w:marBottom w:val="0"/>
      <w:divBdr>
        <w:top w:val="none" w:sz="0" w:space="0" w:color="auto"/>
        <w:left w:val="none" w:sz="0" w:space="0" w:color="auto"/>
        <w:bottom w:val="none" w:sz="0" w:space="0" w:color="auto"/>
        <w:right w:val="none" w:sz="0" w:space="0" w:color="auto"/>
      </w:divBdr>
    </w:div>
    <w:div w:id="879167048">
      <w:bodyDiv w:val="1"/>
      <w:marLeft w:val="0"/>
      <w:marRight w:val="0"/>
      <w:marTop w:val="0"/>
      <w:marBottom w:val="0"/>
      <w:divBdr>
        <w:top w:val="none" w:sz="0" w:space="0" w:color="auto"/>
        <w:left w:val="none" w:sz="0" w:space="0" w:color="auto"/>
        <w:bottom w:val="none" w:sz="0" w:space="0" w:color="auto"/>
        <w:right w:val="none" w:sz="0" w:space="0" w:color="auto"/>
      </w:divBdr>
    </w:div>
    <w:div w:id="904101095">
      <w:bodyDiv w:val="1"/>
      <w:marLeft w:val="0"/>
      <w:marRight w:val="0"/>
      <w:marTop w:val="0"/>
      <w:marBottom w:val="0"/>
      <w:divBdr>
        <w:top w:val="none" w:sz="0" w:space="0" w:color="auto"/>
        <w:left w:val="none" w:sz="0" w:space="0" w:color="auto"/>
        <w:bottom w:val="none" w:sz="0" w:space="0" w:color="auto"/>
        <w:right w:val="none" w:sz="0" w:space="0" w:color="auto"/>
      </w:divBdr>
    </w:div>
    <w:div w:id="974219417">
      <w:bodyDiv w:val="1"/>
      <w:marLeft w:val="0"/>
      <w:marRight w:val="0"/>
      <w:marTop w:val="0"/>
      <w:marBottom w:val="0"/>
      <w:divBdr>
        <w:top w:val="none" w:sz="0" w:space="0" w:color="auto"/>
        <w:left w:val="none" w:sz="0" w:space="0" w:color="auto"/>
        <w:bottom w:val="none" w:sz="0" w:space="0" w:color="auto"/>
        <w:right w:val="none" w:sz="0" w:space="0" w:color="auto"/>
      </w:divBdr>
      <w:divsChild>
        <w:div w:id="1809009114">
          <w:marLeft w:val="360"/>
          <w:marRight w:val="0"/>
          <w:marTop w:val="200"/>
          <w:marBottom w:val="0"/>
          <w:divBdr>
            <w:top w:val="none" w:sz="0" w:space="0" w:color="auto"/>
            <w:left w:val="none" w:sz="0" w:space="0" w:color="auto"/>
            <w:bottom w:val="none" w:sz="0" w:space="0" w:color="auto"/>
            <w:right w:val="none" w:sz="0" w:space="0" w:color="auto"/>
          </w:divBdr>
        </w:div>
        <w:div w:id="906769703">
          <w:marLeft w:val="360"/>
          <w:marRight w:val="0"/>
          <w:marTop w:val="200"/>
          <w:marBottom w:val="0"/>
          <w:divBdr>
            <w:top w:val="none" w:sz="0" w:space="0" w:color="auto"/>
            <w:left w:val="none" w:sz="0" w:space="0" w:color="auto"/>
            <w:bottom w:val="none" w:sz="0" w:space="0" w:color="auto"/>
            <w:right w:val="none" w:sz="0" w:space="0" w:color="auto"/>
          </w:divBdr>
        </w:div>
      </w:divsChild>
    </w:div>
    <w:div w:id="981080711">
      <w:bodyDiv w:val="1"/>
      <w:marLeft w:val="0"/>
      <w:marRight w:val="0"/>
      <w:marTop w:val="0"/>
      <w:marBottom w:val="0"/>
      <w:divBdr>
        <w:top w:val="none" w:sz="0" w:space="0" w:color="auto"/>
        <w:left w:val="none" w:sz="0" w:space="0" w:color="auto"/>
        <w:bottom w:val="none" w:sz="0" w:space="0" w:color="auto"/>
        <w:right w:val="none" w:sz="0" w:space="0" w:color="auto"/>
      </w:divBdr>
    </w:div>
    <w:div w:id="999231119">
      <w:bodyDiv w:val="1"/>
      <w:marLeft w:val="0"/>
      <w:marRight w:val="0"/>
      <w:marTop w:val="0"/>
      <w:marBottom w:val="0"/>
      <w:divBdr>
        <w:top w:val="none" w:sz="0" w:space="0" w:color="auto"/>
        <w:left w:val="none" w:sz="0" w:space="0" w:color="auto"/>
        <w:bottom w:val="none" w:sz="0" w:space="0" w:color="auto"/>
        <w:right w:val="none" w:sz="0" w:space="0" w:color="auto"/>
      </w:divBdr>
    </w:div>
    <w:div w:id="1043796162">
      <w:bodyDiv w:val="1"/>
      <w:marLeft w:val="0"/>
      <w:marRight w:val="0"/>
      <w:marTop w:val="0"/>
      <w:marBottom w:val="0"/>
      <w:divBdr>
        <w:top w:val="none" w:sz="0" w:space="0" w:color="auto"/>
        <w:left w:val="none" w:sz="0" w:space="0" w:color="auto"/>
        <w:bottom w:val="none" w:sz="0" w:space="0" w:color="auto"/>
        <w:right w:val="none" w:sz="0" w:space="0" w:color="auto"/>
      </w:divBdr>
      <w:divsChild>
        <w:div w:id="1088572621">
          <w:marLeft w:val="360"/>
          <w:marRight w:val="0"/>
          <w:marTop w:val="200"/>
          <w:marBottom w:val="0"/>
          <w:divBdr>
            <w:top w:val="none" w:sz="0" w:space="0" w:color="auto"/>
            <w:left w:val="none" w:sz="0" w:space="0" w:color="auto"/>
            <w:bottom w:val="none" w:sz="0" w:space="0" w:color="auto"/>
            <w:right w:val="none" w:sz="0" w:space="0" w:color="auto"/>
          </w:divBdr>
        </w:div>
        <w:div w:id="941643020">
          <w:marLeft w:val="360"/>
          <w:marRight w:val="0"/>
          <w:marTop w:val="200"/>
          <w:marBottom w:val="0"/>
          <w:divBdr>
            <w:top w:val="none" w:sz="0" w:space="0" w:color="auto"/>
            <w:left w:val="none" w:sz="0" w:space="0" w:color="auto"/>
            <w:bottom w:val="none" w:sz="0" w:space="0" w:color="auto"/>
            <w:right w:val="none" w:sz="0" w:space="0" w:color="auto"/>
          </w:divBdr>
        </w:div>
      </w:divsChild>
    </w:div>
    <w:div w:id="1050114667">
      <w:bodyDiv w:val="1"/>
      <w:marLeft w:val="0"/>
      <w:marRight w:val="0"/>
      <w:marTop w:val="0"/>
      <w:marBottom w:val="0"/>
      <w:divBdr>
        <w:top w:val="none" w:sz="0" w:space="0" w:color="auto"/>
        <w:left w:val="none" w:sz="0" w:space="0" w:color="auto"/>
        <w:bottom w:val="none" w:sz="0" w:space="0" w:color="auto"/>
        <w:right w:val="none" w:sz="0" w:space="0" w:color="auto"/>
      </w:divBdr>
    </w:div>
    <w:div w:id="1051540761">
      <w:bodyDiv w:val="1"/>
      <w:marLeft w:val="0"/>
      <w:marRight w:val="0"/>
      <w:marTop w:val="0"/>
      <w:marBottom w:val="0"/>
      <w:divBdr>
        <w:top w:val="none" w:sz="0" w:space="0" w:color="auto"/>
        <w:left w:val="none" w:sz="0" w:space="0" w:color="auto"/>
        <w:bottom w:val="none" w:sz="0" w:space="0" w:color="auto"/>
        <w:right w:val="none" w:sz="0" w:space="0" w:color="auto"/>
      </w:divBdr>
    </w:div>
    <w:div w:id="105704488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7938043">
      <w:bodyDiv w:val="1"/>
      <w:marLeft w:val="0"/>
      <w:marRight w:val="0"/>
      <w:marTop w:val="0"/>
      <w:marBottom w:val="0"/>
      <w:divBdr>
        <w:top w:val="none" w:sz="0" w:space="0" w:color="auto"/>
        <w:left w:val="none" w:sz="0" w:space="0" w:color="auto"/>
        <w:bottom w:val="none" w:sz="0" w:space="0" w:color="auto"/>
        <w:right w:val="none" w:sz="0" w:space="0" w:color="auto"/>
      </w:divBdr>
      <w:divsChild>
        <w:div w:id="1260875235">
          <w:marLeft w:val="360"/>
          <w:marRight w:val="0"/>
          <w:marTop w:val="200"/>
          <w:marBottom w:val="0"/>
          <w:divBdr>
            <w:top w:val="none" w:sz="0" w:space="0" w:color="auto"/>
            <w:left w:val="none" w:sz="0" w:space="0" w:color="auto"/>
            <w:bottom w:val="none" w:sz="0" w:space="0" w:color="auto"/>
            <w:right w:val="none" w:sz="0" w:space="0" w:color="auto"/>
          </w:divBdr>
        </w:div>
        <w:div w:id="727386458">
          <w:marLeft w:val="360"/>
          <w:marRight w:val="0"/>
          <w:marTop w:val="200"/>
          <w:marBottom w:val="0"/>
          <w:divBdr>
            <w:top w:val="none" w:sz="0" w:space="0" w:color="auto"/>
            <w:left w:val="none" w:sz="0" w:space="0" w:color="auto"/>
            <w:bottom w:val="none" w:sz="0" w:space="0" w:color="auto"/>
            <w:right w:val="none" w:sz="0" w:space="0" w:color="auto"/>
          </w:divBdr>
        </w:div>
      </w:divsChild>
    </w:div>
    <w:div w:id="1194348841">
      <w:bodyDiv w:val="1"/>
      <w:marLeft w:val="0"/>
      <w:marRight w:val="0"/>
      <w:marTop w:val="0"/>
      <w:marBottom w:val="0"/>
      <w:divBdr>
        <w:top w:val="none" w:sz="0" w:space="0" w:color="auto"/>
        <w:left w:val="none" w:sz="0" w:space="0" w:color="auto"/>
        <w:bottom w:val="none" w:sz="0" w:space="0" w:color="auto"/>
        <w:right w:val="none" w:sz="0" w:space="0" w:color="auto"/>
      </w:divBdr>
    </w:div>
    <w:div w:id="1223982222">
      <w:bodyDiv w:val="1"/>
      <w:marLeft w:val="0"/>
      <w:marRight w:val="0"/>
      <w:marTop w:val="0"/>
      <w:marBottom w:val="0"/>
      <w:divBdr>
        <w:top w:val="none" w:sz="0" w:space="0" w:color="auto"/>
        <w:left w:val="none" w:sz="0" w:space="0" w:color="auto"/>
        <w:bottom w:val="none" w:sz="0" w:space="0" w:color="auto"/>
        <w:right w:val="none" w:sz="0" w:space="0" w:color="auto"/>
      </w:divBdr>
      <w:divsChild>
        <w:div w:id="529682643">
          <w:marLeft w:val="360"/>
          <w:marRight w:val="0"/>
          <w:marTop w:val="2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7588763">
      <w:bodyDiv w:val="1"/>
      <w:marLeft w:val="0"/>
      <w:marRight w:val="0"/>
      <w:marTop w:val="0"/>
      <w:marBottom w:val="0"/>
      <w:divBdr>
        <w:top w:val="none" w:sz="0" w:space="0" w:color="auto"/>
        <w:left w:val="none" w:sz="0" w:space="0" w:color="auto"/>
        <w:bottom w:val="none" w:sz="0" w:space="0" w:color="auto"/>
        <w:right w:val="none" w:sz="0" w:space="0" w:color="auto"/>
      </w:divBdr>
    </w:div>
    <w:div w:id="1266421511">
      <w:bodyDiv w:val="1"/>
      <w:marLeft w:val="0"/>
      <w:marRight w:val="0"/>
      <w:marTop w:val="0"/>
      <w:marBottom w:val="0"/>
      <w:divBdr>
        <w:top w:val="none" w:sz="0" w:space="0" w:color="auto"/>
        <w:left w:val="none" w:sz="0" w:space="0" w:color="auto"/>
        <w:bottom w:val="none" w:sz="0" w:space="0" w:color="auto"/>
        <w:right w:val="none" w:sz="0" w:space="0" w:color="auto"/>
      </w:divBdr>
    </w:div>
    <w:div w:id="1311399179">
      <w:bodyDiv w:val="1"/>
      <w:marLeft w:val="0"/>
      <w:marRight w:val="0"/>
      <w:marTop w:val="0"/>
      <w:marBottom w:val="0"/>
      <w:divBdr>
        <w:top w:val="none" w:sz="0" w:space="0" w:color="auto"/>
        <w:left w:val="none" w:sz="0" w:space="0" w:color="auto"/>
        <w:bottom w:val="none" w:sz="0" w:space="0" w:color="auto"/>
        <w:right w:val="none" w:sz="0" w:space="0" w:color="auto"/>
      </w:divBdr>
      <w:divsChild>
        <w:div w:id="1285649689">
          <w:marLeft w:val="360"/>
          <w:marRight w:val="0"/>
          <w:marTop w:val="200"/>
          <w:marBottom w:val="0"/>
          <w:divBdr>
            <w:top w:val="none" w:sz="0" w:space="0" w:color="auto"/>
            <w:left w:val="none" w:sz="0" w:space="0" w:color="auto"/>
            <w:bottom w:val="none" w:sz="0" w:space="0" w:color="auto"/>
            <w:right w:val="none" w:sz="0" w:space="0" w:color="auto"/>
          </w:divBdr>
        </w:div>
        <w:div w:id="642582260">
          <w:marLeft w:val="360"/>
          <w:marRight w:val="0"/>
          <w:marTop w:val="200"/>
          <w:marBottom w:val="0"/>
          <w:divBdr>
            <w:top w:val="none" w:sz="0" w:space="0" w:color="auto"/>
            <w:left w:val="none" w:sz="0" w:space="0" w:color="auto"/>
            <w:bottom w:val="none" w:sz="0" w:space="0" w:color="auto"/>
            <w:right w:val="none" w:sz="0" w:space="0" w:color="auto"/>
          </w:divBdr>
        </w:div>
      </w:divsChild>
    </w:div>
    <w:div w:id="1347249938">
      <w:bodyDiv w:val="1"/>
      <w:marLeft w:val="0"/>
      <w:marRight w:val="0"/>
      <w:marTop w:val="0"/>
      <w:marBottom w:val="0"/>
      <w:divBdr>
        <w:top w:val="none" w:sz="0" w:space="0" w:color="auto"/>
        <w:left w:val="none" w:sz="0" w:space="0" w:color="auto"/>
        <w:bottom w:val="none" w:sz="0" w:space="0" w:color="auto"/>
        <w:right w:val="none" w:sz="0" w:space="0" w:color="auto"/>
      </w:divBdr>
    </w:div>
    <w:div w:id="1385064015">
      <w:bodyDiv w:val="1"/>
      <w:marLeft w:val="0"/>
      <w:marRight w:val="0"/>
      <w:marTop w:val="0"/>
      <w:marBottom w:val="0"/>
      <w:divBdr>
        <w:top w:val="none" w:sz="0" w:space="0" w:color="auto"/>
        <w:left w:val="none" w:sz="0" w:space="0" w:color="auto"/>
        <w:bottom w:val="none" w:sz="0" w:space="0" w:color="auto"/>
        <w:right w:val="none" w:sz="0" w:space="0" w:color="auto"/>
      </w:divBdr>
    </w:div>
    <w:div w:id="1442534894">
      <w:bodyDiv w:val="1"/>
      <w:marLeft w:val="0"/>
      <w:marRight w:val="0"/>
      <w:marTop w:val="0"/>
      <w:marBottom w:val="0"/>
      <w:divBdr>
        <w:top w:val="none" w:sz="0" w:space="0" w:color="auto"/>
        <w:left w:val="none" w:sz="0" w:space="0" w:color="auto"/>
        <w:bottom w:val="none" w:sz="0" w:space="0" w:color="auto"/>
        <w:right w:val="none" w:sz="0" w:space="0" w:color="auto"/>
      </w:divBdr>
    </w:div>
    <w:div w:id="1482455813">
      <w:bodyDiv w:val="1"/>
      <w:marLeft w:val="0"/>
      <w:marRight w:val="0"/>
      <w:marTop w:val="0"/>
      <w:marBottom w:val="0"/>
      <w:divBdr>
        <w:top w:val="none" w:sz="0" w:space="0" w:color="auto"/>
        <w:left w:val="none" w:sz="0" w:space="0" w:color="auto"/>
        <w:bottom w:val="none" w:sz="0" w:space="0" w:color="auto"/>
        <w:right w:val="none" w:sz="0" w:space="0" w:color="auto"/>
      </w:divBdr>
    </w:div>
    <w:div w:id="1494368614">
      <w:bodyDiv w:val="1"/>
      <w:marLeft w:val="0"/>
      <w:marRight w:val="0"/>
      <w:marTop w:val="0"/>
      <w:marBottom w:val="0"/>
      <w:divBdr>
        <w:top w:val="none" w:sz="0" w:space="0" w:color="auto"/>
        <w:left w:val="none" w:sz="0" w:space="0" w:color="auto"/>
        <w:bottom w:val="none" w:sz="0" w:space="0" w:color="auto"/>
        <w:right w:val="none" w:sz="0" w:space="0" w:color="auto"/>
      </w:divBdr>
      <w:divsChild>
        <w:div w:id="1043670314">
          <w:marLeft w:val="360"/>
          <w:marRight w:val="0"/>
          <w:marTop w:val="200"/>
          <w:marBottom w:val="0"/>
          <w:divBdr>
            <w:top w:val="none" w:sz="0" w:space="0" w:color="auto"/>
            <w:left w:val="none" w:sz="0" w:space="0" w:color="auto"/>
            <w:bottom w:val="none" w:sz="0" w:space="0" w:color="auto"/>
            <w:right w:val="none" w:sz="0" w:space="0" w:color="auto"/>
          </w:divBdr>
        </w:div>
      </w:divsChild>
    </w:div>
    <w:div w:id="1500462065">
      <w:bodyDiv w:val="1"/>
      <w:marLeft w:val="0"/>
      <w:marRight w:val="0"/>
      <w:marTop w:val="0"/>
      <w:marBottom w:val="0"/>
      <w:divBdr>
        <w:top w:val="none" w:sz="0" w:space="0" w:color="auto"/>
        <w:left w:val="none" w:sz="0" w:space="0" w:color="auto"/>
        <w:bottom w:val="none" w:sz="0" w:space="0" w:color="auto"/>
        <w:right w:val="none" w:sz="0" w:space="0" w:color="auto"/>
      </w:divBdr>
    </w:div>
    <w:div w:id="1552770501">
      <w:bodyDiv w:val="1"/>
      <w:marLeft w:val="0"/>
      <w:marRight w:val="0"/>
      <w:marTop w:val="0"/>
      <w:marBottom w:val="0"/>
      <w:divBdr>
        <w:top w:val="none" w:sz="0" w:space="0" w:color="auto"/>
        <w:left w:val="none" w:sz="0" w:space="0" w:color="auto"/>
        <w:bottom w:val="none" w:sz="0" w:space="0" w:color="auto"/>
        <w:right w:val="none" w:sz="0" w:space="0" w:color="auto"/>
      </w:divBdr>
      <w:divsChild>
        <w:div w:id="348072158">
          <w:marLeft w:val="360"/>
          <w:marRight w:val="0"/>
          <w:marTop w:val="200"/>
          <w:marBottom w:val="0"/>
          <w:divBdr>
            <w:top w:val="none" w:sz="0" w:space="0" w:color="auto"/>
            <w:left w:val="none" w:sz="0" w:space="0" w:color="auto"/>
            <w:bottom w:val="none" w:sz="0" w:space="0" w:color="auto"/>
            <w:right w:val="none" w:sz="0" w:space="0" w:color="auto"/>
          </w:divBdr>
        </w:div>
      </w:divsChild>
    </w:div>
    <w:div w:id="1599828708">
      <w:bodyDiv w:val="1"/>
      <w:marLeft w:val="0"/>
      <w:marRight w:val="0"/>
      <w:marTop w:val="0"/>
      <w:marBottom w:val="0"/>
      <w:divBdr>
        <w:top w:val="none" w:sz="0" w:space="0" w:color="auto"/>
        <w:left w:val="none" w:sz="0" w:space="0" w:color="auto"/>
        <w:bottom w:val="none" w:sz="0" w:space="0" w:color="auto"/>
        <w:right w:val="none" w:sz="0" w:space="0" w:color="auto"/>
      </w:divBdr>
    </w:div>
    <w:div w:id="1647003077">
      <w:bodyDiv w:val="1"/>
      <w:marLeft w:val="0"/>
      <w:marRight w:val="0"/>
      <w:marTop w:val="0"/>
      <w:marBottom w:val="0"/>
      <w:divBdr>
        <w:top w:val="none" w:sz="0" w:space="0" w:color="auto"/>
        <w:left w:val="none" w:sz="0" w:space="0" w:color="auto"/>
        <w:bottom w:val="none" w:sz="0" w:space="0" w:color="auto"/>
        <w:right w:val="none" w:sz="0" w:space="0" w:color="auto"/>
      </w:divBdr>
    </w:div>
    <w:div w:id="1663119847">
      <w:bodyDiv w:val="1"/>
      <w:marLeft w:val="0"/>
      <w:marRight w:val="0"/>
      <w:marTop w:val="0"/>
      <w:marBottom w:val="0"/>
      <w:divBdr>
        <w:top w:val="none" w:sz="0" w:space="0" w:color="auto"/>
        <w:left w:val="none" w:sz="0" w:space="0" w:color="auto"/>
        <w:bottom w:val="none" w:sz="0" w:space="0" w:color="auto"/>
        <w:right w:val="none" w:sz="0" w:space="0" w:color="auto"/>
      </w:divBdr>
      <w:divsChild>
        <w:div w:id="1521629047">
          <w:marLeft w:val="360"/>
          <w:marRight w:val="0"/>
          <w:marTop w:val="200"/>
          <w:marBottom w:val="0"/>
          <w:divBdr>
            <w:top w:val="none" w:sz="0" w:space="0" w:color="auto"/>
            <w:left w:val="none" w:sz="0" w:space="0" w:color="auto"/>
            <w:bottom w:val="none" w:sz="0" w:space="0" w:color="auto"/>
            <w:right w:val="none" w:sz="0" w:space="0" w:color="auto"/>
          </w:divBdr>
        </w:div>
      </w:divsChild>
    </w:div>
    <w:div w:id="1665817068">
      <w:bodyDiv w:val="1"/>
      <w:marLeft w:val="0"/>
      <w:marRight w:val="0"/>
      <w:marTop w:val="0"/>
      <w:marBottom w:val="0"/>
      <w:divBdr>
        <w:top w:val="none" w:sz="0" w:space="0" w:color="auto"/>
        <w:left w:val="none" w:sz="0" w:space="0" w:color="auto"/>
        <w:bottom w:val="none" w:sz="0" w:space="0" w:color="auto"/>
        <w:right w:val="none" w:sz="0" w:space="0" w:color="auto"/>
      </w:divBdr>
      <w:divsChild>
        <w:div w:id="973412793">
          <w:marLeft w:val="360"/>
          <w:marRight w:val="0"/>
          <w:marTop w:val="200"/>
          <w:marBottom w:val="0"/>
          <w:divBdr>
            <w:top w:val="none" w:sz="0" w:space="0" w:color="auto"/>
            <w:left w:val="none" w:sz="0" w:space="0" w:color="auto"/>
            <w:bottom w:val="none" w:sz="0" w:space="0" w:color="auto"/>
            <w:right w:val="none" w:sz="0" w:space="0" w:color="auto"/>
          </w:divBdr>
        </w:div>
      </w:divsChild>
    </w:div>
    <w:div w:id="1715497381">
      <w:bodyDiv w:val="1"/>
      <w:marLeft w:val="0"/>
      <w:marRight w:val="0"/>
      <w:marTop w:val="0"/>
      <w:marBottom w:val="0"/>
      <w:divBdr>
        <w:top w:val="none" w:sz="0" w:space="0" w:color="auto"/>
        <w:left w:val="none" w:sz="0" w:space="0" w:color="auto"/>
        <w:bottom w:val="none" w:sz="0" w:space="0" w:color="auto"/>
        <w:right w:val="none" w:sz="0" w:space="0" w:color="auto"/>
      </w:divBdr>
      <w:divsChild>
        <w:div w:id="1099250975">
          <w:marLeft w:val="360"/>
          <w:marRight w:val="0"/>
          <w:marTop w:val="200"/>
          <w:marBottom w:val="0"/>
          <w:divBdr>
            <w:top w:val="none" w:sz="0" w:space="0" w:color="auto"/>
            <w:left w:val="none" w:sz="0" w:space="0" w:color="auto"/>
            <w:bottom w:val="none" w:sz="0" w:space="0" w:color="auto"/>
            <w:right w:val="none" w:sz="0" w:space="0" w:color="auto"/>
          </w:divBdr>
        </w:div>
      </w:divsChild>
    </w:div>
    <w:div w:id="1718117279">
      <w:bodyDiv w:val="1"/>
      <w:marLeft w:val="0"/>
      <w:marRight w:val="0"/>
      <w:marTop w:val="0"/>
      <w:marBottom w:val="0"/>
      <w:divBdr>
        <w:top w:val="none" w:sz="0" w:space="0" w:color="auto"/>
        <w:left w:val="none" w:sz="0" w:space="0" w:color="auto"/>
        <w:bottom w:val="none" w:sz="0" w:space="0" w:color="auto"/>
        <w:right w:val="none" w:sz="0" w:space="0" w:color="auto"/>
      </w:divBdr>
      <w:divsChild>
        <w:div w:id="227501142">
          <w:marLeft w:val="360"/>
          <w:marRight w:val="0"/>
          <w:marTop w:val="200"/>
          <w:marBottom w:val="0"/>
          <w:divBdr>
            <w:top w:val="none" w:sz="0" w:space="0" w:color="auto"/>
            <w:left w:val="none" w:sz="0" w:space="0" w:color="auto"/>
            <w:bottom w:val="none" w:sz="0" w:space="0" w:color="auto"/>
            <w:right w:val="none" w:sz="0" w:space="0" w:color="auto"/>
          </w:divBdr>
        </w:div>
      </w:divsChild>
    </w:div>
    <w:div w:id="1732846256">
      <w:bodyDiv w:val="1"/>
      <w:marLeft w:val="0"/>
      <w:marRight w:val="0"/>
      <w:marTop w:val="0"/>
      <w:marBottom w:val="0"/>
      <w:divBdr>
        <w:top w:val="none" w:sz="0" w:space="0" w:color="auto"/>
        <w:left w:val="none" w:sz="0" w:space="0" w:color="auto"/>
        <w:bottom w:val="none" w:sz="0" w:space="0" w:color="auto"/>
        <w:right w:val="none" w:sz="0" w:space="0" w:color="auto"/>
      </w:divBdr>
    </w:div>
    <w:div w:id="1780829297">
      <w:bodyDiv w:val="1"/>
      <w:marLeft w:val="0"/>
      <w:marRight w:val="0"/>
      <w:marTop w:val="0"/>
      <w:marBottom w:val="0"/>
      <w:divBdr>
        <w:top w:val="none" w:sz="0" w:space="0" w:color="auto"/>
        <w:left w:val="none" w:sz="0" w:space="0" w:color="auto"/>
        <w:bottom w:val="none" w:sz="0" w:space="0" w:color="auto"/>
        <w:right w:val="none" w:sz="0" w:space="0" w:color="auto"/>
      </w:divBdr>
    </w:div>
    <w:div w:id="1794589799">
      <w:bodyDiv w:val="1"/>
      <w:marLeft w:val="0"/>
      <w:marRight w:val="0"/>
      <w:marTop w:val="0"/>
      <w:marBottom w:val="0"/>
      <w:divBdr>
        <w:top w:val="none" w:sz="0" w:space="0" w:color="auto"/>
        <w:left w:val="none" w:sz="0" w:space="0" w:color="auto"/>
        <w:bottom w:val="none" w:sz="0" w:space="0" w:color="auto"/>
        <w:right w:val="none" w:sz="0" w:space="0" w:color="auto"/>
      </w:divBdr>
    </w:div>
    <w:div w:id="1840533396">
      <w:bodyDiv w:val="1"/>
      <w:marLeft w:val="0"/>
      <w:marRight w:val="0"/>
      <w:marTop w:val="0"/>
      <w:marBottom w:val="0"/>
      <w:divBdr>
        <w:top w:val="none" w:sz="0" w:space="0" w:color="auto"/>
        <w:left w:val="none" w:sz="0" w:space="0" w:color="auto"/>
        <w:bottom w:val="none" w:sz="0" w:space="0" w:color="auto"/>
        <w:right w:val="none" w:sz="0" w:space="0" w:color="auto"/>
      </w:divBdr>
      <w:divsChild>
        <w:div w:id="720401903">
          <w:marLeft w:val="360"/>
          <w:marRight w:val="0"/>
          <w:marTop w:val="200"/>
          <w:marBottom w:val="0"/>
          <w:divBdr>
            <w:top w:val="none" w:sz="0" w:space="0" w:color="auto"/>
            <w:left w:val="none" w:sz="0" w:space="0" w:color="auto"/>
            <w:bottom w:val="none" w:sz="0" w:space="0" w:color="auto"/>
            <w:right w:val="none" w:sz="0" w:space="0" w:color="auto"/>
          </w:divBdr>
        </w:div>
      </w:divsChild>
    </w:div>
    <w:div w:id="1850872609">
      <w:bodyDiv w:val="1"/>
      <w:marLeft w:val="0"/>
      <w:marRight w:val="0"/>
      <w:marTop w:val="0"/>
      <w:marBottom w:val="0"/>
      <w:divBdr>
        <w:top w:val="none" w:sz="0" w:space="0" w:color="auto"/>
        <w:left w:val="none" w:sz="0" w:space="0" w:color="auto"/>
        <w:bottom w:val="none" w:sz="0" w:space="0" w:color="auto"/>
        <w:right w:val="none" w:sz="0" w:space="0" w:color="auto"/>
      </w:divBdr>
    </w:div>
    <w:div w:id="1855461444">
      <w:bodyDiv w:val="1"/>
      <w:marLeft w:val="0"/>
      <w:marRight w:val="0"/>
      <w:marTop w:val="0"/>
      <w:marBottom w:val="0"/>
      <w:divBdr>
        <w:top w:val="none" w:sz="0" w:space="0" w:color="auto"/>
        <w:left w:val="none" w:sz="0" w:space="0" w:color="auto"/>
        <w:bottom w:val="none" w:sz="0" w:space="0" w:color="auto"/>
        <w:right w:val="none" w:sz="0" w:space="0" w:color="auto"/>
      </w:divBdr>
    </w:div>
    <w:div w:id="1857379267">
      <w:bodyDiv w:val="1"/>
      <w:marLeft w:val="0"/>
      <w:marRight w:val="0"/>
      <w:marTop w:val="0"/>
      <w:marBottom w:val="0"/>
      <w:divBdr>
        <w:top w:val="none" w:sz="0" w:space="0" w:color="auto"/>
        <w:left w:val="none" w:sz="0" w:space="0" w:color="auto"/>
        <w:bottom w:val="none" w:sz="0" w:space="0" w:color="auto"/>
        <w:right w:val="none" w:sz="0" w:space="0" w:color="auto"/>
      </w:divBdr>
      <w:divsChild>
        <w:div w:id="1542016605">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5156941">
      <w:bodyDiv w:val="1"/>
      <w:marLeft w:val="0"/>
      <w:marRight w:val="0"/>
      <w:marTop w:val="0"/>
      <w:marBottom w:val="0"/>
      <w:divBdr>
        <w:top w:val="none" w:sz="0" w:space="0" w:color="auto"/>
        <w:left w:val="none" w:sz="0" w:space="0" w:color="auto"/>
        <w:bottom w:val="none" w:sz="0" w:space="0" w:color="auto"/>
        <w:right w:val="none" w:sz="0" w:space="0" w:color="auto"/>
      </w:divBdr>
    </w:div>
    <w:div w:id="1997152098">
      <w:bodyDiv w:val="1"/>
      <w:marLeft w:val="0"/>
      <w:marRight w:val="0"/>
      <w:marTop w:val="0"/>
      <w:marBottom w:val="0"/>
      <w:divBdr>
        <w:top w:val="none" w:sz="0" w:space="0" w:color="auto"/>
        <w:left w:val="none" w:sz="0" w:space="0" w:color="auto"/>
        <w:bottom w:val="none" w:sz="0" w:space="0" w:color="auto"/>
        <w:right w:val="none" w:sz="0" w:space="0" w:color="auto"/>
      </w:divBdr>
    </w:div>
    <w:div w:id="2001079897">
      <w:bodyDiv w:val="1"/>
      <w:marLeft w:val="0"/>
      <w:marRight w:val="0"/>
      <w:marTop w:val="0"/>
      <w:marBottom w:val="0"/>
      <w:divBdr>
        <w:top w:val="none" w:sz="0" w:space="0" w:color="auto"/>
        <w:left w:val="none" w:sz="0" w:space="0" w:color="auto"/>
        <w:bottom w:val="none" w:sz="0" w:space="0" w:color="auto"/>
        <w:right w:val="none" w:sz="0" w:space="0" w:color="auto"/>
      </w:divBdr>
    </w:div>
    <w:div w:id="2015374692">
      <w:bodyDiv w:val="1"/>
      <w:marLeft w:val="0"/>
      <w:marRight w:val="0"/>
      <w:marTop w:val="0"/>
      <w:marBottom w:val="0"/>
      <w:divBdr>
        <w:top w:val="none" w:sz="0" w:space="0" w:color="auto"/>
        <w:left w:val="none" w:sz="0" w:space="0" w:color="auto"/>
        <w:bottom w:val="none" w:sz="0" w:space="0" w:color="auto"/>
        <w:right w:val="none" w:sz="0" w:space="0" w:color="auto"/>
      </w:divBdr>
      <w:divsChild>
        <w:div w:id="846166450">
          <w:marLeft w:val="360"/>
          <w:marRight w:val="0"/>
          <w:marTop w:val="200"/>
          <w:marBottom w:val="0"/>
          <w:divBdr>
            <w:top w:val="none" w:sz="0" w:space="0" w:color="auto"/>
            <w:left w:val="none" w:sz="0" w:space="0" w:color="auto"/>
            <w:bottom w:val="none" w:sz="0" w:space="0" w:color="auto"/>
            <w:right w:val="none" w:sz="0" w:space="0" w:color="auto"/>
          </w:divBdr>
        </w:div>
        <w:div w:id="887112745">
          <w:marLeft w:val="360"/>
          <w:marRight w:val="0"/>
          <w:marTop w:val="200"/>
          <w:marBottom w:val="0"/>
          <w:divBdr>
            <w:top w:val="none" w:sz="0" w:space="0" w:color="auto"/>
            <w:left w:val="none" w:sz="0" w:space="0" w:color="auto"/>
            <w:bottom w:val="none" w:sz="0" w:space="0" w:color="auto"/>
            <w:right w:val="none" w:sz="0" w:space="0" w:color="auto"/>
          </w:divBdr>
        </w:div>
      </w:divsChild>
    </w:div>
    <w:div w:id="2057117690">
      <w:bodyDiv w:val="1"/>
      <w:marLeft w:val="0"/>
      <w:marRight w:val="0"/>
      <w:marTop w:val="0"/>
      <w:marBottom w:val="0"/>
      <w:divBdr>
        <w:top w:val="none" w:sz="0" w:space="0" w:color="auto"/>
        <w:left w:val="none" w:sz="0" w:space="0" w:color="auto"/>
        <w:bottom w:val="none" w:sz="0" w:space="0" w:color="auto"/>
        <w:right w:val="none" w:sz="0" w:space="0" w:color="auto"/>
      </w:divBdr>
    </w:div>
    <w:div w:id="2073650751">
      <w:bodyDiv w:val="1"/>
      <w:marLeft w:val="0"/>
      <w:marRight w:val="0"/>
      <w:marTop w:val="0"/>
      <w:marBottom w:val="0"/>
      <w:divBdr>
        <w:top w:val="none" w:sz="0" w:space="0" w:color="auto"/>
        <w:left w:val="none" w:sz="0" w:space="0" w:color="auto"/>
        <w:bottom w:val="none" w:sz="0" w:space="0" w:color="auto"/>
        <w:right w:val="none" w:sz="0" w:space="0" w:color="auto"/>
      </w:divBdr>
    </w:div>
    <w:div w:id="2107921986">
      <w:bodyDiv w:val="1"/>
      <w:marLeft w:val="0"/>
      <w:marRight w:val="0"/>
      <w:marTop w:val="0"/>
      <w:marBottom w:val="0"/>
      <w:divBdr>
        <w:top w:val="none" w:sz="0" w:space="0" w:color="auto"/>
        <w:left w:val="none" w:sz="0" w:space="0" w:color="auto"/>
        <w:bottom w:val="none" w:sz="0" w:space="0" w:color="auto"/>
        <w:right w:val="none" w:sz="0" w:space="0" w:color="auto"/>
      </w:divBdr>
      <w:divsChild>
        <w:div w:id="1556165510">
          <w:marLeft w:val="360"/>
          <w:marRight w:val="0"/>
          <w:marTop w:val="200"/>
          <w:marBottom w:val="0"/>
          <w:divBdr>
            <w:top w:val="none" w:sz="0" w:space="0" w:color="auto"/>
            <w:left w:val="none" w:sz="0" w:space="0" w:color="auto"/>
            <w:bottom w:val="none" w:sz="0" w:space="0" w:color="auto"/>
            <w:right w:val="none" w:sz="0" w:space="0" w:color="auto"/>
          </w:divBdr>
        </w:div>
        <w:div w:id="1834565460">
          <w:marLeft w:val="360"/>
          <w:marRight w:val="0"/>
          <w:marTop w:val="200"/>
          <w:marBottom w:val="0"/>
          <w:divBdr>
            <w:top w:val="none" w:sz="0" w:space="0" w:color="auto"/>
            <w:left w:val="none" w:sz="0" w:space="0" w:color="auto"/>
            <w:bottom w:val="none" w:sz="0" w:space="0" w:color="auto"/>
            <w:right w:val="none" w:sz="0" w:space="0" w:color="auto"/>
          </w:divBdr>
        </w:div>
        <w:div w:id="121659712">
          <w:marLeft w:val="360"/>
          <w:marRight w:val="0"/>
          <w:marTop w:val="200"/>
          <w:marBottom w:val="0"/>
          <w:divBdr>
            <w:top w:val="none" w:sz="0" w:space="0" w:color="auto"/>
            <w:left w:val="none" w:sz="0" w:space="0" w:color="auto"/>
            <w:bottom w:val="none" w:sz="0" w:space="0" w:color="auto"/>
            <w:right w:val="none" w:sz="0" w:space="0" w:color="auto"/>
          </w:divBdr>
        </w:div>
      </w:divsChild>
    </w:div>
    <w:div w:id="2119324420">
      <w:bodyDiv w:val="1"/>
      <w:marLeft w:val="0"/>
      <w:marRight w:val="0"/>
      <w:marTop w:val="0"/>
      <w:marBottom w:val="0"/>
      <w:divBdr>
        <w:top w:val="none" w:sz="0" w:space="0" w:color="auto"/>
        <w:left w:val="none" w:sz="0" w:space="0" w:color="auto"/>
        <w:bottom w:val="none" w:sz="0" w:space="0" w:color="auto"/>
        <w:right w:val="none" w:sz="0" w:space="0" w:color="auto"/>
      </w:divBdr>
      <w:divsChild>
        <w:div w:id="1349941065">
          <w:marLeft w:val="360"/>
          <w:marRight w:val="0"/>
          <w:marTop w:val="200"/>
          <w:marBottom w:val="0"/>
          <w:divBdr>
            <w:top w:val="none" w:sz="0" w:space="0" w:color="auto"/>
            <w:left w:val="none" w:sz="0" w:space="0" w:color="auto"/>
            <w:bottom w:val="none" w:sz="0" w:space="0" w:color="auto"/>
            <w:right w:val="none" w:sz="0" w:space="0" w:color="auto"/>
          </w:divBdr>
        </w:div>
        <w:div w:id="96293142">
          <w:marLeft w:val="360"/>
          <w:marRight w:val="0"/>
          <w:marTop w:val="200"/>
          <w:marBottom w:val="0"/>
          <w:divBdr>
            <w:top w:val="none" w:sz="0" w:space="0" w:color="auto"/>
            <w:left w:val="none" w:sz="0" w:space="0" w:color="auto"/>
            <w:bottom w:val="none" w:sz="0" w:space="0" w:color="auto"/>
            <w:right w:val="none" w:sz="0" w:space="0" w:color="auto"/>
          </w:divBdr>
        </w:div>
        <w:div w:id="2092383920">
          <w:marLeft w:val="360"/>
          <w:marRight w:val="0"/>
          <w:marTop w:val="200"/>
          <w:marBottom w:val="0"/>
          <w:divBdr>
            <w:top w:val="none" w:sz="0" w:space="0" w:color="auto"/>
            <w:left w:val="none" w:sz="0" w:space="0" w:color="auto"/>
            <w:bottom w:val="none" w:sz="0" w:space="0" w:color="auto"/>
            <w:right w:val="none" w:sz="0" w:space="0" w:color="auto"/>
          </w:divBdr>
        </w:div>
        <w:div w:id="94711237">
          <w:marLeft w:val="360"/>
          <w:marRight w:val="0"/>
          <w:marTop w:val="200"/>
          <w:marBottom w:val="0"/>
          <w:divBdr>
            <w:top w:val="none" w:sz="0" w:space="0" w:color="auto"/>
            <w:left w:val="none" w:sz="0" w:space="0" w:color="auto"/>
            <w:bottom w:val="none" w:sz="0" w:space="0" w:color="auto"/>
            <w:right w:val="none" w:sz="0" w:space="0" w:color="auto"/>
          </w:divBdr>
        </w:div>
        <w:div w:id="1526358690">
          <w:marLeft w:val="360"/>
          <w:marRight w:val="0"/>
          <w:marTop w:val="200"/>
          <w:marBottom w:val="0"/>
          <w:divBdr>
            <w:top w:val="none" w:sz="0" w:space="0" w:color="auto"/>
            <w:left w:val="none" w:sz="0" w:space="0" w:color="auto"/>
            <w:bottom w:val="none" w:sz="0" w:space="0" w:color="auto"/>
            <w:right w:val="none" w:sz="0" w:space="0" w:color="auto"/>
          </w:divBdr>
        </w:div>
        <w:div w:id="808134505">
          <w:marLeft w:val="360"/>
          <w:marRight w:val="0"/>
          <w:marTop w:val="200"/>
          <w:marBottom w:val="0"/>
          <w:divBdr>
            <w:top w:val="none" w:sz="0" w:space="0" w:color="auto"/>
            <w:left w:val="none" w:sz="0" w:space="0" w:color="auto"/>
            <w:bottom w:val="none" w:sz="0" w:space="0" w:color="auto"/>
            <w:right w:val="none" w:sz="0" w:space="0" w:color="auto"/>
          </w:divBdr>
        </w:div>
      </w:divsChild>
    </w:div>
    <w:div w:id="2133284647">
      <w:bodyDiv w:val="1"/>
      <w:marLeft w:val="0"/>
      <w:marRight w:val="0"/>
      <w:marTop w:val="0"/>
      <w:marBottom w:val="0"/>
      <w:divBdr>
        <w:top w:val="none" w:sz="0" w:space="0" w:color="auto"/>
        <w:left w:val="none" w:sz="0" w:space="0" w:color="auto"/>
        <w:bottom w:val="none" w:sz="0" w:space="0" w:color="auto"/>
        <w:right w:val="none" w:sz="0" w:space="0" w:color="auto"/>
      </w:divBdr>
    </w:div>
    <w:div w:id="2139376764">
      <w:bodyDiv w:val="1"/>
      <w:marLeft w:val="0"/>
      <w:marRight w:val="0"/>
      <w:marTop w:val="0"/>
      <w:marBottom w:val="0"/>
      <w:divBdr>
        <w:top w:val="none" w:sz="0" w:space="0" w:color="auto"/>
        <w:left w:val="none" w:sz="0" w:space="0" w:color="auto"/>
        <w:bottom w:val="none" w:sz="0" w:space="0" w:color="auto"/>
        <w:right w:val="none" w:sz="0" w:space="0" w:color="auto"/>
      </w:divBdr>
      <w:divsChild>
        <w:div w:id="1845622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restatistics.humanservices.gov.au/statistics/pbs_item.jsp" TargetMode="External"/><Relationship Id="rId13" Type="http://schemas.openxmlformats.org/officeDocument/2006/relationships/image" Target="media/image3.png"/><Relationship Id="rId18" Type="http://schemas.openxmlformats.org/officeDocument/2006/relationships/hyperlink" Target="https://www.medrxiv.org/content/10.1101/2022.12.05.22283134v2" TargetMode="External"/><Relationship Id="rId26" Type="http://schemas.openxmlformats.org/officeDocument/2006/relationships/image" Target="media/image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edicarestatistics.humanservices.gov.au/statistics/pbs_item.jsp" TargetMode="External"/><Relationship Id="rId17" Type="http://schemas.openxmlformats.org/officeDocument/2006/relationships/hyperlink" Target="https://www.researchsquare.com/article/rs-2115769/v1" TargetMode="External"/><Relationship Id="rId25" Type="http://schemas.openxmlformats.org/officeDocument/2006/relationships/image" Target="media/image8.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srn.com/abstract=4495142" TargetMode="External"/><Relationship Id="rId20" Type="http://schemas.openxmlformats.org/officeDocument/2006/relationships/hyperlink" Target="https://www.nejm.org/doi/full/10.1056/NEJMoa2116044" TargetMode="External"/><Relationship Id="rId29" Type="http://schemas.openxmlformats.org/officeDocument/2006/relationships/hyperlink" Target="https://www.covid19-druginteractions.org/chec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heconversation.com/paxlovid-is-australias-first-line-covid-antiviral-but-lagevrio-also-prevents-severe-disease-in-over-70s-195349" TargetMode="External"/><Relationship Id="rId23" Type="http://schemas.openxmlformats.org/officeDocument/2006/relationships/image" Target="media/image6.png"/><Relationship Id="rId28" Type="http://schemas.openxmlformats.org/officeDocument/2006/relationships/hyperlink" Target="https://www.covid19-druginteractions.org/checker" TargetMode="External"/><Relationship Id="rId36" Type="http://schemas.openxmlformats.org/officeDocument/2006/relationships/header" Target="header3.xml"/><Relationship Id="rId10" Type="http://schemas.openxmlformats.org/officeDocument/2006/relationships/hyperlink" Target="http://medicarestatistics.humanservices.gov.au/statistics/pbs_item.jsp" TargetMode="External"/><Relationship Id="rId19" Type="http://schemas.openxmlformats.org/officeDocument/2006/relationships/hyperlink" Target="https://doi.org/10.1016/j.lanwpc.2022.100602" TargetMode="External"/><Relationship Id="rId31" Type="http://schemas.openxmlformats.org/officeDocument/2006/relationships/hyperlink" Target="https://www.covid19-druginteractions.org/check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56/NEJMoa2118542"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s://www.covid19-druginteractions.org/checker"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news/atagi-update-on-the-covid-19-vaccination-program" TargetMode="External"/><Relationship Id="rId3" Type="http://schemas.openxmlformats.org/officeDocument/2006/relationships/hyperlink" Target="https://doi.org/10.1016/S0140-6736(22)02593-4" TargetMode="External"/><Relationship Id="rId7" Type="http://schemas.openxmlformats.org/officeDocument/2006/relationships/hyperlink" Target="https://dx.doi.org/10.2139/ssrn.4495142" TargetMode="External"/><Relationship Id="rId2" Type="http://schemas.openxmlformats.org/officeDocument/2006/relationships/hyperlink" Target="https://www.ema.europa.eu/documents/smop-initial/questions-answers-refusal-marketing-authorisation-lagevrio-molnupiravir_en.pdf" TargetMode="External"/><Relationship Id="rId1" Type="http://schemas.openxmlformats.org/officeDocument/2006/relationships/hyperlink" Target="https://www.fda.gov/media/155054/download" TargetMode="External"/><Relationship Id="rId6" Type="http://schemas.openxmlformats.org/officeDocument/2006/relationships/hyperlink" Target="https://ssrn.com/abstract=4495142" TargetMode="External"/><Relationship Id="rId5" Type="http://schemas.openxmlformats.org/officeDocument/2006/relationships/hyperlink" Target="https://app.magicapp.org/" TargetMode="External"/><Relationship Id="rId10" Type="http://schemas.openxmlformats.org/officeDocument/2006/relationships/hyperlink" Target="https://www.health.gov.au/news/atagi-update-on-the-covid-19-vaccination-program" TargetMode="External"/><Relationship Id="rId4" Type="http://schemas.openxmlformats.org/officeDocument/2006/relationships/hyperlink" Target="https://www.fda.gov/media/166197/download" TargetMode="External"/><Relationship Id="rId9" Type="http://schemas.openxmlformats.org/officeDocument/2006/relationships/hyperlink" Target="https://clinicalevidence.net.au/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3717-7C72-4A04-9A08-B56FC276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28055</Words>
  <Characters>161351</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189028</CharactersWithSpaces>
  <SharedDoc>false</SharedDoc>
  <HLinks>
    <vt:vector size="576" baseType="variant">
      <vt:variant>
        <vt:i4>5439577</vt:i4>
      </vt:variant>
      <vt:variant>
        <vt:i4>747</vt:i4>
      </vt:variant>
      <vt:variant>
        <vt:i4>0</vt:i4>
      </vt:variant>
      <vt:variant>
        <vt:i4>5</vt:i4>
      </vt:variant>
      <vt:variant>
        <vt:lpwstr>https://doi.org/10.1016/j.lanwpc.2022.100602</vt:lpwstr>
      </vt:variant>
      <vt:variant>
        <vt:lpwstr/>
      </vt:variant>
      <vt:variant>
        <vt:i4>6225985</vt:i4>
      </vt:variant>
      <vt:variant>
        <vt:i4>744</vt:i4>
      </vt:variant>
      <vt:variant>
        <vt:i4>0</vt:i4>
      </vt:variant>
      <vt:variant>
        <vt:i4>5</vt:i4>
      </vt:variant>
      <vt:variant>
        <vt:lpwstr>https://www.medrxiv.org/content/10.1101/2022.12.05.22283134v2</vt:lpwstr>
      </vt:variant>
      <vt:variant>
        <vt:lpwstr/>
      </vt:variant>
      <vt:variant>
        <vt:i4>4784137</vt:i4>
      </vt:variant>
      <vt:variant>
        <vt:i4>741</vt:i4>
      </vt:variant>
      <vt:variant>
        <vt:i4>0</vt:i4>
      </vt:variant>
      <vt:variant>
        <vt:i4>5</vt:i4>
      </vt:variant>
      <vt:variant>
        <vt:lpwstr>https://www.researchsquare.com/article/rs-2115769/v1</vt:lpwstr>
      </vt:variant>
      <vt:variant>
        <vt:lpwstr/>
      </vt:variant>
      <vt:variant>
        <vt:i4>7864370</vt:i4>
      </vt:variant>
      <vt:variant>
        <vt:i4>738</vt:i4>
      </vt:variant>
      <vt:variant>
        <vt:i4>0</vt:i4>
      </vt:variant>
      <vt:variant>
        <vt:i4>5</vt:i4>
      </vt:variant>
      <vt:variant>
        <vt:lpwstr>https://theconversation.com/paxlovid-is-australias-first-line-covid-antiviral-but-lagevrio-also-prevents-severe-disease-in-over-70s-195349</vt:lpwstr>
      </vt:variant>
      <vt:variant>
        <vt:lpwstr/>
      </vt:variant>
      <vt:variant>
        <vt:i4>4325377</vt:i4>
      </vt:variant>
      <vt:variant>
        <vt:i4>735</vt:i4>
      </vt:variant>
      <vt:variant>
        <vt:i4>0</vt:i4>
      </vt:variant>
      <vt:variant>
        <vt:i4>5</vt:i4>
      </vt:variant>
      <vt:variant>
        <vt:lpwstr>https://doi.org/10.1056/NEJMoa2118542</vt:lpwstr>
      </vt:variant>
      <vt:variant>
        <vt:lpwstr/>
      </vt:variant>
      <vt:variant>
        <vt:i4>983140</vt:i4>
      </vt:variant>
      <vt:variant>
        <vt:i4>717</vt:i4>
      </vt:variant>
      <vt:variant>
        <vt:i4>0</vt:i4>
      </vt:variant>
      <vt:variant>
        <vt:i4>5</vt:i4>
      </vt:variant>
      <vt:variant>
        <vt:lpwstr>http://medicarestatistics.humanservices.gov.au/statistics/pbs_item.jsp</vt:lpwstr>
      </vt:variant>
      <vt:variant>
        <vt:lpwstr/>
      </vt:variant>
      <vt:variant>
        <vt:i4>983140</vt:i4>
      </vt:variant>
      <vt:variant>
        <vt:i4>714</vt:i4>
      </vt:variant>
      <vt:variant>
        <vt:i4>0</vt:i4>
      </vt:variant>
      <vt:variant>
        <vt:i4>5</vt:i4>
      </vt:variant>
      <vt:variant>
        <vt:lpwstr>http://medicarestatistics.humanservices.gov.au/statistics/pbs_item.jsp</vt:lpwstr>
      </vt:variant>
      <vt:variant>
        <vt:lpwstr/>
      </vt:variant>
      <vt:variant>
        <vt:i4>983140</vt:i4>
      </vt:variant>
      <vt:variant>
        <vt:i4>711</vt:i4>
      </vt:variant>
      <vt:variant>
        <vt:i4>0</vt:i4>
      </vt:variant>
      <vt:variant>
        <vt:i4>5</vt:i4>
      </vt:variant>
      <vt:variant>
        <vt:lpwstr>http://medicarestatistics.humanservices.gov.au/statistics/pbs_item.jsp</vt:lpwstr>
      </vt:variant>
      <vt:variant>
        <vt:lpwstr/>
      </vt:variant>
      <vt:variant>
        <vt:i4>983140</vt:i4>
      </vt:variant>
      <vt:variant>
        <vt:i4>708</vt:i4>
      </vt:variant>
      <vt:variant>
        <vt:i4>0</vt:i4>
      </vt:variant>
      <vt:variant>
        <vt:i4>5</vt:i4>
      </vt:variant>
      <vt:variant>
        <vt:lpwstr>http://medicarestatistics.humanservices.gov.au/statistics/pbs_item.jsp</vt:lpwstr>
      </vt:variant>
      <vt:variant>
        <vt:lpwstr/>
      </vt:variant>
      <vt:variant>
        <vt:i4>5439577</vt:i4>
      </vt:variant>
      <vt:variant>
        <vt:i4>561</vt:i4>
      </vt:variant>
      <vt:variant>
        <vt:i4>0</vt:i4>
      </vt:variant>
      <vt:variant>
        <vt:i4>5</vt:i4>
      </vt:variant>
      <vt:variant>
        <vt:lpwstr>https://doi.org/10.1016/j.lanwpc.2022.100602</vt:lpwstr>
      </vt:variant>
      <vt:variant>
        <vt:lpwstr/>
      </vt:variant>
      <vt:variant>
        <vt:i4>6225985</vt:i4>
      </vt:variant>
      <vt:variant>
        <vt:i4>558</vt:i4>
      </vt:variant>
      <vt:variant>
        <vt:i4>0</vt:i4>
      </vt:variant>
      <vt:variant>
        <vt:i4>5</vt:i4>
      </vt:variant>
      <vt:variant>
        <vt:lpwstr>https://www.medrxiv.org/content/10.1101/2022.12.05.22283134v2</vt:lpwstr>
      </vt:variant>
      <vt:variant>
        <vt:lpwstr/>
      </vt:variant>
      <vt:variant>
        <vt:i4>4784137</vt:i4>
      </vt:variant>
      <vt:variant>
        <vt:i4>555</vt:i4>
      </vt:variant>
      <vt:variant>
        <vt:i4>0</vt:i4>
      </vt:variant>
      <vt:variant>
        <vt:i4>5</vt:i4>
      </vt:variant>
      <vt:variant>
        <vt:lpwstr>https://www.researchsquare.com/article/rs-2115769/v1</vt:lpwstr>
      </vt:variant>
      <vt:variant>
        <vt:lpwstr/>
      </vt:variant>
      <vt:variant>
        <vt:i4>7864370</vt:i4>
      </vt:variant>
      <vt:variant>
        <vt:i4>552</vt:i4>
      </vt:variant>
      <vt:variant>
        <vt:i4>0</vt:i4>
      </vt:variant>
      <vt:variant>
        <vt:i4>5</vt:i4>
      </vt:variant>
      <vt:variant>
        <vt:lpwstr>https://theconversation.com/paxlovid-is-australias-first-line-covid-antiviral-but-lagevrio-also-prevents-severe-disease-in-over-70s-195349</vt:lpwstr>
      </vt:variant>
      <vt:variant>
        <vt:lpwstr/>
      </vt:variant>
      <vt:variant>
        <vt:i4>4325377</vt:i4>
      </vt:variant>
      <vt:variant>
        <vt:i4>549</vt:i4>
      </vt:variant>
      <vt:variant>
        <vt:i4>0</vt:i4>
      </vt:variant>
      <vt:variant>
        <vt:i4>5</vt:i4>
      </vt:variant>
      <vt:variant>
        <vt:lpwstr>https://doi.org/10.1056/NEJMoa2118542</vt:lpwstr>
      </vt:variant>
      <vt:variant>
        <vt:lpwstr/>
      </vt:variant>
      <vt:variant>
        <vt:i4>983140</vt:i4>
      </vt:variant>
      <vt:variant>
        <vt:i4>534</vt:i4>
      </vt:variant>
      <vt:variant>
        <vt:i4>0</vt:i4>
      </vt:variant>
      <vt:variant>
        <vt:i4>5</vt:i4>
      </vt:variant>
      <vt:variant>
        <vt:lpwstr>http://medicarestatistics.humanservices.gov.au/statistics/pbs_item.jsp</vt:lpwstr>
      </vt:variant>
      <vt:variant>
        <vt:lpwstr/>
      </vt:variant>
      <vt:variant>
        <vt:i4>983140</vt:i4>
      </vt:variant>
      <vt:variant>
        <vt:i4>528</vt:i4>
      </vt:variant>
      <vt:variant>
        <vt:i4>0</vt:i4>
      </vt:variant>
      <vt:variant>
        <vt:i4>5</vt:i4>
      </vt:variant>
      <vt:variant>
        <vt:lpwstr>http://medicarestatistics.humanservices.gov.au/statistics/pbs_item.jsp</vt:lpwstr>
      </vt:variant>
      <vt:variant>
        <vt:lpwstr/>
      </vt:variant>
      <vt:variant>
        <vt:i4>983140</vt:i4>
      </vt:variant>
      <vt:variant>
        <vt:i4>522</vt:i4>
      </vt:variant>
      <vt:variant>
        <vt:i4>0</vt:i4>
      </vt:variant>
      <vt:variant>
        <vt:i4>5</vt:i4>
      </vt:variant>
      <vt:variant>
        <vt:lpwstr>http://medicarestatistics.humanservices.gov.au/statistics/pbs_item.jsp</vt:lpwstr>
      </vt:variant>
      <vt:variant>
        <vt:lpwstr/>
      </vt:variant>
      <vt:variant>
        <vt:i4>1114160</vt:i4>
      </vt:variant>
      <vt:variant>
        <vt:i4>446</vt:i4>
      </vt:variant>
      <vt:variant>
        <vt:i4>0</vt:i4>
      </vt:variant>
      <vt:variant>
        <vt:i4>5</vt:i4>
      </vt:variant>
      <vt:variant>
        <vt:lpwstr/>
      </vt:variant>
      <vt:variant>
        <vt:lpwstr>_Toc134741138</vt:lpwstr>
      </vt:variant>
      <vt:variant>
        <vt:i4>1114160</vt:i4>
      </vt:variant>
      <vt:variant>
        <vt:i4>440</vt:i4>
      </vt:variant>
      <vt:variant>
        <vt:i4>0</vt:i4>
      </vt:variant>
      <vt:variant>
        <vt:i4>5</vt:i4>
      </vt:variant>
      <vt:variant>
        <vt:lpwstr/>
      </vt:variant>
      <vt:variant>
        <vt:lpwstr>_Toc134741137</vt:lpwstr>
      </vt:variant>
      <vt:variant>
        <vt:i4>1114160</vt:i4>
      </vt:variant>
      <vt:variant>
        <vt:i4>434</vt:i4>
      </vt:variant>
      <vt:variant>
        <vt:i4>0</vt:i4>
      </vt:variant>
      <vt:variant>
        <vt:i4>5</vt:i4>
      </vt:variant>
      <vt:variant>
        <vt:lpwstr/>
      </vt:variant>
      <vt:variant>
        <vt:lpwstr>_Toc134741136</vt:lpwstr>
      </vt:variant>
      <vt:variant>
        <vt:i4>1114160</vt:i4>
      </vt:variant>
      <vt:variant>
        <vt:i4>428</vt:i4>
      </vt:variant>
      <vt:variant>
        <vt:i4>0</vt:i4>
      </vt:variant>
      <vt:variant>
        <vt:i4>5</vt:i4>
      </vt:variant>
      <vt:variant>
        <vt:lpwstr/>
      </vt:variant>
      <vt:variant>
        <vt:lpwstr>_Toc134741135</vt:lpwstr>
      </vt:variant>
      <vt:variant>
        <vt:i4>1114160</vt:i4>
      </vt:variant>
      <vt:variant>
        <vt:i4>422</vt:i4>
      </vt:variant>
      <vt:variant>
        <vt:i4>0</vt:i4>
      </vt:variant>
      <vt:variant>
        <vt:i4>5</vt:i4>
      </vt:variant>
      <vt:variant>
        <vt:lpwstr/>
      </vt:variant>
      <vt:variant>
        <vt:lpwstr>_Toc134741134</vt:lpwstr>
      </vt:variant>
      <vt:variant>
        <vt:i4>1114160</vt:i4>
      </vt:variant>
      <vt:variant>
        <vt:i4>416</vt:i4>
      </vt:variant>
      <vt:variant>
        <vt:i4>0</vt:i4>
      </vt:variant>
      <vt:variant>
        <vt:i4>5</vt:i4>
      </vt:variant>
      <vt:variant>
        <vt:lpwstr/>
      </vt:variant>
      <vt:variant>
        <vt:lpwstr>_Toc134741133</vt:lpwstr>
      </vt:variant>
      <vt:variant>
        <vt:i4>1114160</vt:i4>
      </vt:variant>
      <vt:variant>
        <vt:i4>410</vt:i4>
      </vt:variant>
      <vt:variant>
        <vt:i4>0</vt:i4>
      </vt:variant>
      <vt:variant>
        <vt:i4>5</vt:i4>
      </vt:variant>
      <vt:variant>
        <vt:lpwstr/>
      </vt:variant>
      <vt:variant>
        <vt:lpwstr>_Toc134741132</vt:lpwstr>
      </vt:variant>
      <vt:variant>
        <vt:i4>1114160</vt:i4>
      </vt:variant>
      <vt:variant>
        <vt:i4>404</vt:i4>
      </vt:variant>
      <vt:variant>
        <vt:i4>0</vt:i4>
      </vt:variant>
      <vt:variant>
        <vt:i4>5</vt:i4>
      </vt:variant>
      <vt:variant>
        <vt:lpwstr/>
      </vt:variant>
      <vt:variant>
        <vt:lpwstr>_Toc134741131</vt:lpwstr>
      </vt:variant>
      <vt:variant>
        <vt:i4>1114160</vt:i4>
      </vt:variant>
      <vt:variant>
        <vt:i4>398</vt:i4>
      </vt:variant>
      <vt:variant>
        <vt:i4>0</vt:i4>
      </vt:variant>
      <vt:variant>
        <vt:i4>5</vt:i4>
      </vt:variant>
      <vt:variant>
        <vt:lpwstr/>
      </vt:variant>
      <vt:variant>
        <vt:lpwstr>_Toc134741130</vt:lpwstr>
      </vt:variant>
      <vt:variant>
        <vt:i4>1048624</vt:i4>
      </vt:variant>
      <vt:variant>
        <vt:i4>392</vt:i4>
      </vt:variant>
      <vt:variant>
        <vt:i4>0</vt:i4>
      </vt:variant>
      <vt:variant>
        <vt:i4>5</vt:i4>
      </vt:variant>
      <vt:variant>
        <vt:lpwstr/>
      </vt:variant>
      <vt:variant>
        <vt:lpwstr>_Toc134741129</vt:lpwstr>
      </vt:variant>
      <vt:variant>
        <vt:i4>1048624</vt:i4>
      </vt:variant>
      <vt:variant>
        <vt:i4>386</vt:i4>
      </vt:variant>
      <vt:variant>
        <vt:i4>0</vt:i4>
      </vt:variant>
      <vt:variant>
        <vt:i4>5</vt:i4>
      </vt:variant>
      <vt:variant>
        <vt:lpwstr/>
      </vt:variant>
      <vt:variant>
        <vt:lpwstr>_Toc134741128</vt:lpwstr>
      </vt:variant>
      <vt:variant>
        <vt:i4>1048624</vt:i4>
      </vt:variant>
      <vt:variant>
        <vt:i4>380</vt:i4>
      </vt:variant>
      <vt:variant>
        <vt:i4>0</vt:i4>
      </vt:variant>
      <vt:variant>
        <vt:i4>5</vt:i4>
      </vt:variant>
      <vt:variant>
        <vt:lpwstr/>
      </vt:variant>
      <vt:variant>
        <vt:lpwstr>_Toc134741127</vt:lpwstr>
      </vt:variant>
      <vt:variant>
        <vt:i4>1048624</vt:i4>
      </vt:variant>
      <vt:variant>
        <vt:i4>374</vt:i4>
      </vt:variant>
      <vt:variant>
        <vt:i4>0</vt:i4>
      </vt:variant>
      <vt:variant>
        <vt:i4>5</vt:i4>
      </vt:variant>
      <vt:variant>
        <vt:lpwstr/>
      </vt:variant>
      <vt:variant>
        <vt:lpwstr>_Toc134741126</vt:lpwstr>
      </vt:variant>
      <vt:variant>
        <vt:i4>1048624</vt:i4>
      </vt:variant>
      <vt:variant>
        <vt:i4>368</vt:i4>
      </vt:variant>
      <vt:variant>
        <vt:i4>0</vt:i4>
      </vt:variant>
      <vt:variant>
        <vt:i4>5</vt:i4>
      </vt:variant>
      <vt:variant>
        <vt:lpwstr/>
      </vt:variant>
      <vt:variant>
        <vt:lpwstr>_Toc134741125</vt:lpwstr>
      </vt:variant>
      <vt:variant>
        <vt:i4>1048624</vt:i4>
      </vt:variant>
      <vt:variant>
        <vt:i4>362</vt:i4>
      </vt:variant>
      <vt:variant>
        <vt:i4>0</vt:i4>
      </vt:variant>
      <vt:variant>
        <vt:i4>5</vt:i4>
      </vt:variant>
      <vt:variant>
        <vt:lpwstr/>
      </vt:variant>
      <vt:variant>
        <vt:lpwstr>_Toc134741124</vt:lpwstr>
      </vt:variant>
      <vt:variant>
        <vt:i4>1048624</vt:i4>
      </vt:variant>
      <vt:variant>
        <vt:i4>356</vt:i4>
      </vt:variant>
      <vt:variant>
        <vt:i4>0</vt:i4>
      </vt:variant>
      <vt:variant>
        <vt:i4>5</vt:i4>
      </vt:variant>
      <vt:variant>
        <vt:lpwstr/>
      </vt:variant>
      <vt:variant>
        <vt:lpwstr>_Toc134741123</vt:lpwstr>
      </vt:variant>
      <vt:variant>
        <vt:i4>1048624</vt:i4>
      </vt:variant>
      <vt:variant>
        <vt:i4>350</vt:i4>
      </vt:variant>
      <vt:variant>
        <vt:i4>0</vt:i4>
      </vt:variant>
      <vt:variant>
        <vt:i4>5</vt:i4>
      </vt:variant>
      <vt:variant>
        <vt:lpwstr/>
      </vt:variant>
      <vt:variant>
        <vt:lpwstr>_Toc134741122</vt:lpwstr>
      </vt:variant>
      <vt:variant>
        <vt:i4>1048624</vt:i4>
      </vt:variant>
      <vt:variant>
        <vt:i4>344</vt:i4>
      </vt:variant>
      <vt:variant>
        <vt:i4>0</vt:i4>
      </vt:variant>
      <vt:variant>
        <vt:i4>5</vt:i4>
      </vt:variant>
      <vt:variant>
        <vt:lpwstr/>
      </vt:variant>
      <vt:variant>
        <vt:lpwstr>_Toc134741121</vt:lpwstr>
      </vt:variant>
      <vt:variant>
        <vt:i4>1048624</vt:i4>
      </vt:variant>
      <vt:variant>
        <vt:i4>338</vt:i4>
      </vt:variant>
      <vt:variant>
        <vt:i4>0</vt:i4>
      </vt:variant>
      <vt:variant>
        <vt:i4>5</vt:i4>
      </vt:variant>
      <vt:variant>
        <vt:lpwstr/>
      </vt:variant>
      <vt:variant>
        <vt:lpwstr>_Toc134741120</vt:lpwstr>
      </vt:variant>
      <vt:variant>
        <vt:i4>1245232</vt:i4>
      </vt:variant>
      <vt:variant>
        <vt:i4>332</vt:i4>
      </vt:variant>
      <vt:variant>
        <vt:i4>0</vt:i4>
      </vt:variant>
      <vt:variant>
        <vt:i4>5</vt:i4>
      </vt:variant>
      <vt:variant>
        <vt:lpwstr/>
      </vt:variant>
      <vt:variant>
        <vt:lpwstr>_Toc134741119</vt:lpwstr>
      </vt:variant>
      <vt:variant>
        <vt:i4>1245232</vt:i4>
      </vt:variant>
      <vt:variant>
        <vt:i4>326</vt:i4>
      </vt:variant>
      <vt:variant>
        <vt:i4>0</vt:i4>
      </vt:variant>
      <vt:variant>
        <vt:i4>5</vt:i4>
      </vt:variant>
      <vt:variant>
        <vt:lpwstr/>
      </vt:variant>
      <vt:variant>
        <vt:lpwstr>_Toc134741118</vt:lpwstr>
      </vt:variant>
      <vt:variant>
        <vt:i4>1245232</vt:i4>
      </vt:variant>
      <vt:variant>
        <vt:i4>320</vt:i4>
      </vt:variant>
      <vt:variant>
        <vt:i4>0</vt:i4>
      </vt:variant>
      <vt:variant>
        <vt:i4>5</vt:i4>
      </vt:variant>
      <vt:variant>
        <vt:lpwstr/>
      </vt:variant>
      <vt:variant>
        <vt:lpwstr>_Toc134741117</vt:lpwstr>
      </vt:variant>
      <vt:variant>
        <vt:i4>1245232</vt:i4>
      </vt:variant>
      <vt:variant>
        <vt:i4>314</vt:i4>
      </vt:variant>
      <vt:variant>
        <vt:i4>0</vt:i4>
      </vt:variant>
      <vt:variant>
        <vt:i4>5</vt:i4>
      </vt:variant>
      <vt:variant>
        <vt:lpwstr/>
      </vt:variant>
      <vt:variant>
        <vt:lpwstr>_Toc134741116</vt:lpwstr>
      </vt:variant>
      <vt:variant>
        <vt:i4>1245232</vt:i4>
      </vt:variant>
      <vt:variant>
        <vt:i4>308</vt:i4>
      </vt:variant>
      <vt:variant>
        <vt:i4>0</vt:i4>
      </vt:variant>
      <vt:variant>
        <vt:i4>5</vt:i4>
      </vt:variant>
      <vt:variant>
        <vt:lpwstr/>
      </vt:variant>
      <vt:variant>
        <vt:lpwstr>_Toc134741115</vt:lpwstr>
      </vt:variant>
      <vt:variant>
        <vt:i4>1245232</vt:i4>
      </vt:variant>
      <vt:variant>
        <vt:i4>302</vt:i4>
      </vt:variant>
      <vt:variant>
        <vt:i4>0</vt:i4>
      </vt:variant>
      <vt:variant>
        <vt:i4>5</vt:i4>
      </vt:variant>
      <vt:variant>
        <vt:lpwstr/>
      </vt:variant>
      <vt:variant>
        <vt:lpwstr>_Toc134741114</vt:lpwstr>
      </vt:variant>
      <vt:variant>
        <vt:i4>1245232</vt:i4>
      </vt:variant>
      <vt:variant>
        <vt:i4>296</vt:i4>
      </vt:variant>
      <vt:variant>
        <vt:i4>0</vt:i4>
      </vt:variant>
      <vt:variant>
        <vt:i4>5</vt:i4>
      </vt:variant>
      <vt:variant>
        <vt:lpwstr/>
      </vt:variant>
      <vt:variant>
        <vt:lpwstr>_Toc134741113</vt:lpwstr>
      </vt:variant>
      <vt:variant>
        <vt:i4>1245232</vt:i4>
      </vt:variant>
      <vt:variant>
        <vt:i4>290</vt:i4>
      </vt:variant>
      <vt:variant>
        <vt:i4>0</vt:i4>
      </vt:variant>
      <vt:variant>
        <vt:i4>5</vt:i4>
      </vt:variant>
      <vt:variant>
        <vt:lpwstr/>
      </vt:variant>
      <vt:variant>
        <vt:lpwstr>_Toc134741112</vt:lpwstr>
      </vt:variant>
      <vt:variant>
        <vt:i4>1245232</vt:i4>
      </vt:variant>
      <vt:variant>
        <vt:i4>284</vt:i4>
      </vt:variant>
      <vt:variant>
        <vt:i4>0</vt:i4>
      </vt:variant>
      <vt:variant>
        <vt:i4>5</vt:i4>
      </vt:variant>
      <vt:variant>
        <vt:lpwstr/>
      </vt:variant>
      <vt:variant>
        <vt:lpwstr>_Toc134741111</vt:lpwstr>
      </vt:variant>
      <vt:variant>
        <vt:i4>1245232</vt:i4>
      </vt:variant>
      <vt:variant>
        <vt:i4>278</vt:i4>
      </vt:variant>
      <vt:variant>
        <vt:i4>0</vt:i4>
      </vt:variant>
      <vt:variant>
        <vt:i4>5</vt:i4>
      </vt:variant>
      <vt:variant>
        <vt:lpwstr/>
      </vt:variant>
      <vt:variant>
        <vt:lpwstr>_Toc134741110</vt:lpwstr>
      </vt:variant>
      <vt:variant>
        <vt:i4>1179696</vt:i4>
      </vt:variant>
      <vt:variant>
        <vt:i4>272</vt:i4>
      </vt:variant>
      <vt:variant>
        <vt:i4>0</vt:i4>
      </vt:variant>
      <vt:variant>
        <vt:i4>5</vt:i4>
      </vt:variant>
      <vt:variant>
        <vt:lpwstr/>
      </vt:variant>
      <vt:variant>
        <vt:lpwstr>_Toc134741109</vt:lpwstr>
      </vt:variant>
      <vt:variant>
        <vt:i4>1179696</vt:i4>
      </vt:variant>
      <vt:variant>
        <vt:i4>266</vt:i4>
      </vt:variant>
      <vt:variant>
        <vt:i4>0</vt:i4>
      </vt:variant>
      <vt:variant>
        <vt:i4>5</vt:i4>
      </vt:variant>
      <vt:variant>
        <vt:lpwstr/>
      </vt:variant>
      <vt:variant>
        <vt:lpwstr>_Toc134741108</vt:lpwstr>
      </vt:variant>
      <vt:variant>
        <vt:i4>1179696</vt:i4>
      </vt:variant>
      <vt:variant>
        <vt:i4>260</vt:i4>
      </vt:variant>
      <vt:variant>
        <vt:i4>0</vt:i4>
      </vt:variant>
      <vt:variant>
        <vt:i4>5</vt:i4>
      </vt:variant>
      <vt:variant>
        <vt:lpwstr/>
      </vt:variant>
      <vt:variant>
        <vt:lpwstr>_Toc134741107</vt:lpwstr>
      </vt:variant>
      <vt:variant>
        <vt:i4>1179696</vt:i4>
      </vt:variant>
      <vt:variant>
        <vt:i4>254</vt:i4>
      </vt:variant>
      <vt:variant>
        <vt:i4>0</vt:i4>
      </vt:variant>
      <vt:variant>
        <vt:i4>5</vt:i4>
      </vt:variant>
      <vt:variant>
        <vt:lpwstr/>
      </vt:variant>
      <vt:variant>
        <vt:lpwstr>_Toc134741106</vt:lpwstr>
      </vt:variant>
      <vt:variant>
        <vt:i4>1179696</vt:i4>
      </vt:variant>
      <vt:variant>
        <vt:i4>248</vt:i4>
      </vt:variant>
      <vt:variant>
        <vt:i4>0</vt:i4>
      </vt:variant>
      <vt:variant>
        <vt:i4>5</vt:i4>
      </vt:variant>
      <vt:variant>
        <vt:lpwstr/>
      </vt:variant>
      <vt:variant>
        <vt:lpwstr>_Toc134741105</vt:lpwstr>
      </vt:variant>
      <vt:variant>
        <vt:i4>1179696</vt:i4>
      </vt:variant>
      <vt:variant>
        <vt:i4>242</vt:i4>
      </vt:variant>
      <vt:variant>
        <vt:i4>0</vt:i4>
      </vt:variant>
      <vt:variant>
        <vt:i4>5</vt:i4>
      </vt:variant>
      <vt:variant>
        <vt:lpwstr/>
      </vt:variant>
      <vt:variant>
        <vt:lpwstr>_Toc134741104</vt:lpwstr>
      </vt:variant>
      <vt:variant>
        <vt:i4>1179696</vt:i4>
      </vt:variant>
      <vt:variant>
        <vt:i4>236</vt:i4>
      </vt:variant>
      <vt:variant>
        <vt:i4>0</vt:i4>
      </vt:variant>
      <vt:variant>
        <vt:i4>5</vt:i4>
      </vt:variant>
      <vt:variant>
        <vt:lpwstr/>
      </vt:variant>
      <vt:variant>
        <vt:lpwstr>_Toc134741103</vt:lpwstr>
      </vt:variant>
      <vt:variant>
        <vt:i4>1179696</vt:i4>
      </vt:variant>
      <vt:variant>
        <vt:i4>230</vt:i4>
      </vt:variant>
      <vt:variant>
        <vt:i4>0</vt:i4>
      </vt:variant>
      <vt:variant>
        <vt:i4>5</vt:i4>
      </vt:variant>
      <vt:variant>
        <vt:lpwstr/>
      </vt:variant>
      <vt:variant>
        <vt:lpwstr>_Toc134741102</vt:lpwstr>
      </vt:variant>
      <vt:variant>
        <vt:i4>1179696</vt:i4>
      </vt:variant>
      <vt:variant>
        <vt:i4>224</vt:i4>
      </vt:variant>
      <vt:variant>
        <vt:i4>0</vt:i4>
      </vt:variant>
      <vt:variant>
        <vt:i4>5</vt:i4>
      </vt:variant>
      <vt:variant>
        <vt:lpwstr/>
      </vt:variant>
      <vt:variant>
        <vt:lpwstr>_Toc134741101</vt:lpwstr>
      </vt:variant>
      <vt:variant>
        <vt:i4>1179696</vt:i4>
      </vt:variant>
      <vt:variant>
        <vt:i4>218</vt:i4>
      </vt:variant>
      <vt:variant>
        <vt:i4>0</vt:i4>
      </vt:variant>
      <vt:variant>
        <vt:i4>5</vt:i4>
      </vt:variant>
      <vt:variant>
        <vt:lpwstr/>
      </vt:variant>
      <vt:variant>
        <vt:lpwstr>_Toc134741100</vt:lpwstr>
      </vt:variant>
      <vt:variant>
        <vt:i4>1769521</vt:i4>
      </vt:variant>
      <vt:variant>
        <vt:i4>212</vt:i4>
      </vt:variant>
      <vt:variant>
        <vt:i4>0</vt:i4>
      </vt:variant>
      <vt:variant>
        <vt:i4>5</vt:i4>
      </vt:variant>
      <vt:variant>
        <vt:lpwstr/>
      </vt:variant>
      <vt:variant>
        <vt:lpwstr>_Toc134741099</vt:lpwstr>
      </vt:variant>
      <vt:variant>
        <vt:i4>1769521</vt:i4>
      </vt:variant>
      <vt:variant>
        <vt:i4>206</vt:i4>
      </vt:variant>
      <vt:variant>
        <vt:i4>0</vt:i4>
      </vt:variant>
      <vt:variant>
        <vt:i4>5</vt:i4>
      </vt:variant>
      <vt:variant>
        <vt:lpwstr/>
      </vt:variant>
      <vt:variant>
        <vt:lpwstr>_Toc134741098</vt:lpwstr>
      </vt:variant>
      <vt:variant>
        <vt:i4>1769521</vt:i4>
      </vt:variant>
      <vt:variant>
        <vt:i4>200</vt:i4>
      </vt:variant>
      <vt:variant>
        <vt:i4>0</vt:i4>
      </vt:variant>
      <vt:variant>
        <vt:i4>5</vt:i4>
      </vt:variant>
      <vt:variant>
        <vt:lpwstr/>
      </vt:variant>
      <vt:variant>
        <vt:lpwstr>_Toc134741097</vt:lpwstr>
      </vt:variant>
      <vt:variant>
        <vt:i4>1769521</vt:i4>
      </vt:variant>
      <vt:variant>
        <vt:i4>194</vt:i4>
      </vt:variant>
      <vt:variant>
        <vt:i4>0</vt:i4>
      </vt:variant>
      <vt:variant>
        <vt:i4>5</vt:i4>
      </vt:variant>
      <vt:variant>
        <vt:lpwstr/>
      </vt:variant>
      <vt:variant>
        <vt:lpwstr>_Toc134741096</vt:lpwstr>
      </vt:variant>
      <vt:variant>
        <vt:i4>1769521</vt:i4>
      </vt:variant>
      <vt:variant>
        <vt:i4>188</vt:i4>
      </vt:variant>
      <vt:variant>
        <vt:i4>0</vt:i4>
      </vt:variant>
      <vt:variant>
        <vt:i4>5</vt:i4>
      </vt:variant>
      <vt:variant>
        <vt:lpwstr/>
      </vt:variant>
      <vt:variant>
        <vt:lpwstr>_Toc134741095</vt:lpwstr>
      </vt:variant>
      <vt:variant>
        <vt:i4>1769521</vt:i4>
      </vt:variant>
      <vt:variant>
        <vt:i4>182</vt:i4>
      </vt:variant>
      <vt:variant>
        <vt:i4>0</vt:i4>
      </vt:variant>
      <vt:variant>
        <vt:i4>5</vt:i4>
      </vt:variant>
      <vt:variant>
        <vt:lpwstr/>
      </vt:variant>
      <vt:variant>
        <vt:lpwstr>_Toc134741094</vt:lpwstr>
      </vt:variant>
      <vt:variant>
        <vt:i4>1769521</vt:i4>
      </vt:variant>
      <vt:variant>
        <vt:i4>176</vt:i4>
      </vt:variant>
      <vt:variant>
        <vt:i4>0</vt:i4>
      </vt:variant>
      <vt:variant>
        <vt:i4>5</vt:i4>
      </vt:variant>
      <vt:variant>
        <vt:lpwstr/>
      </vt:variant>
      <vt:variant>
        <vt:lpwstr>_Toc134741093</vt:lpwstr>
      </vt:variant>
      <vt:variant>
        <vt:i4>1769521</vt:i4>
      </vt:variant>
      <vt:variant>
        <vt:i4>170</vt:i4>
      </vt:variant>
      <vt:variant>
        <vt:i4>0</vt:i4>
      </vt:variant>
      <vt:variant>
        <vt:i4>5</vt:i4>
      </vt:variant>
      <vt:variant>
        <vt:lpwstr/>
      </vt:variant>
      <vt:variant>
        <vt:lpwstr>_Toc134741092</vt:lpwstr>
      </vt:variant>
      <vt:variant>
        <vt:i4>1769521</vt:i4>
      </vt:variant>
      <vt:variant>
        <vt:i4>164</vt:i4>
      </vt:variant>
      <vt:variant>
        <vt:i4>0</vt:i4>
      </vt:variant>
      <vt:variant>
        <vt:i4>5</vt:i4>
      </vt:variant>
      <vt:variant>
        <vt:lpwstr/>
      </vt:variant>
      <vt:variant>
        <vt:lpwstr>_Toc134741091</vt:lpwstr>
      </vt:variant>
      <vt:variant>
        <vt:i4>1769521</vt:i4>
      </vt:variant>
      <vt:variant>
        <vt:i4>158</vt:i4>
      </vt:variant>
      <vt:variant>
        <vt:i4>0</vt:i4>
      </vt:variant>
      <vt:variant>
        <vt:i4>5</vt:i4>
      </vt:variant>
      <vt:variant>
        <vt:lpwstr/>
      </vt:variant>
      <vt:variant>
        <vt:lpwstr>_Toc134741090</vt:lpwstr>
      </vt:variant>
      <vt:variant>
        <vt:i4>1703985</vt:i4>
      </vt:variant>
      <vt:variant>
        <vt:i4>152</vt:i4>
      </vt:variant>
      <vt:variant>
        <vt:i4>0</vt:i4>
      </vt:variant>
      <vt:variant>
        <vt:i4>5</vt:i4>
      </vt:variant>
      <vt:variant>
        <vt:lpwstr/>
      </vt:variant>
      <vt:variant>
        <vt:lpwstr>_Toc134741089</vt:lpwstr>
      </vt:variant>
      <vt:variant>
        <vt:i4>1703985</vt:i4>
      </vt:variant>
      <vt:variant>
        <vt:i4>146</vt:i4>
      </vt:variant>
      <vt:variant>
        <vt:i4>0</vt:i4>
      </vt:variant>
      <vt:variant>
        <vt:i4>5</vt:i4>
      </vt:variant>
      <vt:variant>
        <vt:lpwstr/>
      </vt:variant>
      <vt:variant>
        <vt:lpwstr>_Toc134741088</vt:lpwstr>
      </vt:variant>
      <vt:variant>
        <vt:i4>1703985</vt:i4>
      </vt:variant>
      <vt:variant>
        <vt:i4>140</vt:i4>
      </vt:variant>
      <vt:variant>
        <vt:i4>0</vt:i4>
      </vt:variant>
      <vt:variant>
        <vt:i4>5</vt:i4>
      </vt:variant>
      <vt:variant>
        <vt:lpwstr/>
      </vt:variant>
      <vt:variant>
        <vt:lpwstr>_Toc134741087</vt:lpwstr>
      </vt:variant>
      <vt:variant>
        <vt:i4>1703985</vt:i4>
      </vt:variant>
      <vt:variant>
        <vt:i4>134</vt:i4>
      </vt:variant>
      <vt:variant>
        <vt:i4>0</vt:i4>
      </vt:variant>
      <vt:variant>
        <vt:i4>5</vt:i4>
      </vt:variant>
      <vt:variant>
        <vt:lpwstr/>
      </vt:variant>
      <vt:variant>
        <vt:lpwstr>_Toc134741086</vt:lpwstr>
      </vt:variant>
      <vt:variant>
        <vt:i4>1703985</vt:i4>
      </vt:variant>
      <vt:variant>
        <vt:i4>128</vt:i4>
      </vt:variant>
      <vt:variant>
        <vt:i4>0</vt:i4>
      </vt:variant>
      <vt:variant>
        <vt:i4>5</vt:i4>
      </vt:variant>
      <vt:variant>
        <vt:lpwstr/>
      </vt:variant>
      <vt:variant>
        <vt:lpwstr>_Toc134741085</vt:lpwstr>
      </vt:variant>
      <vt:variant>
        <vt:i4>1703985</vt:i4>
      </vt:variant>
      <vt:variant>
        <vt:i4>122</vt:i4>
      </vt:variant>
      <vt:variant>
        <vt:i4>0</vt:i4>
      </vt:variant>
      <vt:variant>
        <vt:i4>5</vt:i4>
      </vt:variant>
      <vt:variant>
        <vt:lpwstr/>
      </vt:variant>
      <vt:variant>
        <vt:lpwstr>_Toc134741084</vt:lpwstr>
      </vt:variant>
      <vt:variant>
        <vt:i4>1703985</vt:i4>
      </vt:variant>
      <vt:variant>
        <vt:i4>116</vt:i4>
      </vt:variant>
      <vt:variant>
        <vt:i4>0</vt:i4>
      </vt:variant>
      <vt:variant>
        <vt:i4>5</vt:i4>
      </vt:variant>
      <vt:variant>
        <vt:lpwstr/>
      </vt:variant>
      <vt:variant>
        <vt:lpwstr>_Toc134741083</vt:lpwstr>
      </vt:variant>
      <vt:variant>
        <vt:i4>1703985</vt:i4>
      </vt:variant>
      <vt:variant>
        <vt:i4>110</vt:i4>
      </vt:variant>
      <vt:variant>
        <vt:i4>0</vt:i4>
      </vt:variant>
      <vt:variant>
        <vt:i4>5</vt:i4>
      </vt:variant>
      <vt:variant>
        <vt:lpwstr/>
      </vt:variant>
      <vt:variant>
        <vt:lpwstr>_Toc134741082</vt:lpwstr>
      </vt:variant>
      <vt:variant>
        <vt:i4>1703985</vt:i4>
      </vt:variant>
      <vt:variant>
        <vt:i4>104</vt:i4>
      </vt:variant>
      <vt:variant>
        <vt:i4>0</vt:i4>
      </vt:variant>
      <vt:variant>
        <vt:i4>5</vt:i4>
      </vt:variant>
      <vt:variant>
        <vt:lpwstr/>
      </vt:variant>
      <vt:variant>
        <vt:lpwstr>_Toc134741081</vt:lpwstr>
      </vt:variant>
      <vt:variant>
        <vt:i4>1703985</vt:i4>
      </vt:variant>
      <vt:variant>
        <vt:i4>98</vt:i4>
      </vt:variant>
      <vt:variant>
        <vt:i4>0</vt:i4>
      </vt:variant>
      <vt:variant>
        <vt:i4>5</vt:i4>
      </vt:variant>
      <vt:variant>
        <vt:lpwstr/>
      </vt:variant>
      <vt:variant>
        <vt:lpwstr>_Toc134741080</vt:lpwstr>
      </vt:variant>
      <vt:variant>
        <vt:i4>1376305</vt:i4>
      </vt:variant>
      <vt:variant>
        <vt:i4>92</vt:i4>
      </vt:variant>
      <vt:variant>
        <vt:i4>0</vt:i4>
      </vt:variant>
      <vt:variant>
        <vt:i4>5</vt:i4>
      </vt:variant>
      <vt:variant>
        <vt:lpwstr/>
      </vt:variant>
      <vt:variant>
        <vt:lpwstr>_Toc134741079</vt:lpwstr>
      </vt:variant>
      <vt:variant>
        <vt:i4>1376305</vt:i4>
      </vt:variant>
      <vt:variant>
        <vt:i4>86</vt:i4>
      </vt:variant>
      <vt:variant>
        <vt:i4>0</vt:i4>
      </vt:variant>
      <vt:variant>
        <vt:i4>5</vt:i4>
      </vt:variant>
      <vt:variant>
        <vt:lpwstr/>
      </vt:variant>
      <vt:variant>
        <vt:lpwstr>_Toc134741078</vt:lpwstr>
      </vt:variant>
      <vt:variant>
        <vt:i4>1376305</vt:i4>
      </vt:variant>
      <vt:variant>
        <vt:i4>80</vt:i4>
      </vt:variant>
      <vt:variant>
        <vt:i4>0</vt:i4>
      </vt:variant>
      <vt:variant>
        <vt:i4>5</vt:i4>
      </vt:variant>
      <vt:variant>
        <vt:lpwstr/>
      </vt:variant>
      <vt:variant>
        <vt:lpwstr>_Toc134741077</vt:lpwstr>
      </vt:variant>
      <vt:variant>
        <vt:i4>1376305</vt:i4>
      </vt:variant>
      <vt:variant>
        <vt:i4>74</vt:i4>
      </vt:variant>
      <vt:variant>
        <vt:i4>0</vt:i4>
      </vt:variant>
      <vt:variant>
        <vt:i4>5</vt:i4>
      </vt:variant>
      <vt:variant>
        <vt:lpwstr/>
      </vt:variant>
      <vt:variant>
        <vt:lpwstr>_Toc134741076</vt:lpwstr>
      </vt:variant>
      <vt:variant>
        <vt:i4>1376305</vt:i4>
      </vt:variant>
      <vt:variant>
        <vt:i4>68</vt:i4>
      </vt:variant>
      <vt:variant>
        <vt:i4>0</vt:i4>
      </vt:variant>
      <vt:variant>
        <vt:i4>5</vt:i4>
      </vt:variant>
      <vt:variant>
        <vt:lpwstr/>
      </vt:variant>
      <vt:variant>
        <vt:lpwstr>_Toc134741075</vt:lpwstr>
      </vt:variant>
      <vt:variant>
        <vt:i4>1376305</vt:i4>
      </vt:variant>
      <vt:variant>
        <vt:i4>62</vt:i4>
      </vt:variant>
      <vt:variant>
        <vt:i4>0</vt:i4>
      </vt:variant>
      <vt:variant>
        <vt:i4>5</vt:i4>
      </vt:variant>
      <vt:variant>
        <vt:lpwstr/>
      </vt:variant>
      <vt:variant>
        <vt:lpwstr>_Toc134741074</vt:lpwstr>
      </vt:variant>
      <vt:variant>
        <vt:i4>1376305</vt:i4>
      </vt:variant>
      <vt:variant>
        <vt:i4>56</vt:i4>
      </vt:variant>
      <vt:variant>
        <vt:i4>0</vt:i4>
      </vt:variant>
      <vt:variant>
        <vt:i4>5</vt:i4>
      </vt:variant>
      <vt:variant>
        <vt:lpwstr/>
      </vt:variant>
      <vt:variant>
        <vt:lpwstr>_Toc134741073</vt:lpwstr>
      </vt:variant>
      <vt:variant>
        <vt:i4>1376305</vt:i4>
      </vt:variant>
      <vt:variant>
        <vt:i4>50</vt:i4>
      </vt:variant>
      <vt:variant>
        <vt:i4>0</vt:i4>
      </vt:variant>
      <vt:variant>
        <vt:i4>5</vt:i4>
      </vt:variant>
      <vt:variant>
        <vt:lpwstr/>
      </vt:variant>
      <vt:variant>
        <vt:lpwstr>_Toc134741072</vt:lpwstr>
      </vt:variant>
      <vt:variant>
        <vt:i4>1376305</vt:i4>
      </vt:variant>
      <vt:variant>
        <vt:i4>44</vt:i4>
      </vt:variant>
      <vt:variant>
        <vt:i4>0</vt:i4>
      </vt:variant>
      <vt:variant>
        <vt:i4>5</vt:i4>
      </vt:variant>
      <vt:variant>
        <vt:lpwstr/>
      </vt:variant>
      <vt:variant>
        <vt:lpwstr>_Toc134741071</vt:lpwstr>
      </vt:variant>
      <vt:variant>
        <vt:i4>1376305</vt:i4>
      </vt:variant>
      <vt:variant>
        <vt:i4>38</vt:i4>
      </vt:variant>
      <vt:variant>
        <vt:i4>0</vt:i4>
      </vt:variant>
      <vt:variant>
        <vt:i4>5</vt:i4>
      </vt:variant>
      <vt:variant>
        <vt:lpwstr/>
      </vt:variant>
      <vt:variant>
        <vt:lpwstr>_Toc134741070</vt:lpwstr>
      </vt:variant>
      <vt:variant>
        <vt:i4>1310769</vt:i4>
      </vt:variant>
      <vt:variant>
        <vt:i4>32</vt:i4>
      </vt:variant>
      <vt:variant>
        <vt:i4>0</vt:i4>
      </vt:variant>
      <vt:variant>
        <vt:i4>5</vt:i4>
      </vt:variant>
      <vt:variant>
        <vt:lpwstr/>
      </vt:variant>
      <vt:variant>
        <vt:lpwstr>_Toc134741069</vt:lpwstr>
      </vt:variant>
      <vt:variant>
        <vt:i4>1310769</vt:i4>
      </vt:variant>
      <vt:variant>
        <vt:i4>26</vt:i4>
      </vt:variant>
      <vt:variant>
        <vt:i4>0</vt:i4>
      </vt:variant>
      <vt:variant>
        <vt:i4>5</vt:i4>
      </vt:variant>
      <vt:variant>
        <vt:lpwstr/>
      </vt:variant>
      <vt:variant>
        <vt:lpwstr>_Toc134741068</vt:lpwstr>
      </vt:variant>
      <vt:variant>
        <vt:i4>1310769</vt:i4>
      </vt:variant>
      <vt:variant>
        <vt:i4>20</vt:i4>
      </vt:variant>
      <vt:variant>
        <vt:i4>0</vt:i4>
      </vt:variant>
      <vt:variant>
        <vt:i4>5</vt:i4>
      </vt:variant>
      <vt:variant>
        <vt:lpwstr/>
      </vt:variant>
      <vt:variant>
        <vt:lpwstr>_Toc134741067</vt:lpwstr>
      </vt:variant>
      <vt:variant>
        <vt:i4>1310769</vt:i4>
      </vt:variant>
      <vt:variant>
        <vt:i4>14</vt:i4>
      </vt:variant>
      <vt:variant>
        <vt:i4>0</vt:i4>
      </vt:variant>
      <vt:variant>
        <vt:i4>5</vt:i4>
      </vt:variant>
      <vt:variant>
        <vt:lpwstr/>
      </vt:variant>
      <vt:variant>
        <vt:lpwstr>_Toc134741066</vt:lpwstr>
      </vt:variant>
      <vt:variant>
        <vt:i4>1310769</vt:i4>
      </vt:variant>
      <vt:variant>
        <vt:i4>8</vt:i4>
      </vt:variant>
      <vt:variant>
        <vt:i4>0</vt:i4>
      </vt:variant>
      <vt:variant>
        <vt:i4>5</vt:i4>
      </vt:variant>
      <vt:variant>
        <vt:lpwstr/>
      </vt:variant>
      <vt:variant>
        <vt:lpwstr>_Toc134741065</vt:lpwstr>
      </vt:variant>
      <vt:variant>
        <vt:i4>1310769</vt:i4>
      </vt:variant>
      <vt:variant>
        <vt:i4>2</vt:i4>
      </vt:variant>
      <vt:variant>
        <vt:i4>0</vt:i4>
      </vt:variant>
      <vt:variant>
        <vt:i4>5</vt:i4>
      </vt:variant>
      <vt:variant>
        <vt:lpwstr/>
      </vt:variant>
      <vt:variant>
        <vt:lpwstr>_Toc134741064</vt:lpwstr>
      </vt:variant>
      <vt:variant>
        <vt:i4>458759</vt:i4>
      </vt:variant>
      <vt:variant>
        <vt:i4>6</vt:i4>
      </vt:variant>
      <vt:variant>
        <vt:i4>0</vt:i4>
      </vt:variant>
      <vt:variant>
        <vt:i4>5</vt:i4>
      </vt:variant>
      <vt:variant>
        <vt:lpwstr>https://doi.org/10.1016/S0140-6736(22)02593-4</vt:lpwstr>
      </vt:variant>
      <vt:variant>
        <vt:lpwstr/>
      </vt:variant>
      <vt:variant>
        <vt:i4>6619142</vt:i4>
      </vt:variant>
      <vt:variant>
        <vt:i4>3</vt:i4>
      </vt:variant>
      <vt:variant>
        <vt:i4>0</vt:i4>
      </vt:variant>
      <vt:variant>
        <vt:i4>5</vt:i4>
      </vt:variant>
      <vt:variant>
        <vt:lpwstr>https://www.ema.europa.eu/documents/smop-initial/questions-answers-refusal-marketing-authorisation-lagevrio-molnupiravir_en.pdf</vt:lpwstr>
      </vt:variant>
      <vt:variant>
        <vt:lpwstr/>
      </vt:variant>
      <vt:variant>
        <vt:i4>5111886</vt:i4>
      </vt:variant>
      <vt:variant>
        <vt:i4>0</vt:i4>
      </vt:variant>
      <vt:variant>
        <vt:i4>0</vt:i4>
      </vt:variant>
      <vt:variant>
        <vt:i4>5</vt:i4>
      </vt:variant>
      <vt:variant>
        <vt:lpwstr>https://www.fda.gov/media/155054/download</vt:lpwstr>
      </vt:variant>
      <vt:variant>
        <vt:lpwstr/>
      </vt:variant>
      <vt:variant>
        <vt:i4>3407922</vt:i4>
      </vt:variant>
      <vt:variant>
        <vt:i4>0</vt:i4>
      </vt:variant>
      <vt:variant>
        <vt:i4>0</vt:i4>
      </vt:variant>
      <vt:variant>
        <vt:i4>5</vt:i4>
      </vt:variant>
      <vt:variant>
        <vt:lpwstr>https://www.nature.com/articles/d41586-023-01437-8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2024-02-28T04:50:00Z</dcterms:created>
  <dcterms:modified xsi:type="dcterms:W3CDTF">2024-02-28T04:53:00Z</dcterms:modified>
</cp:coreProperties>
</file>