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DB2D" w14:textId="4B4095E7" w:rsidR="00B60939" w:rsidRPr="007C0D91" w:rsidRDefault="00B83BF2" w:rsidP="00FB0DBF">
      <w:pPr>
        <w:pStyle w:val="1-MainHeading"/>
        <w:ind w:left="851" w:hanging="851"/>
      </w:pPr>
      <w:bookmarkStart w:id="0" w:name="_Toc135210103"/>
      <w:r w:rsidRPr="007C0D91">
        <w:t>7</w:t>
      </w:r>
      <w:r w:rsidR="00433044" w:rsidRPr="007C0D91">
        <w:t>.</w:t>
      </w:r>
      <w:r w:rsidRPr="007C0D91">
        <w:t>04</w:t>
      </w:r>
      <w:r w:rsidR="00163F66" w:rsidRPr="007C0D91">
        <w:tab/>
      </w:r>
      <w:r w:rsidRPr="007C0D91">
        <w:t>MOBOCERTINIB</w:t>
      </w:r>
      <w:r w:rsidR="00163F66" w:rsidRPr="007C0D91">
        <w:t>,</w:t>
      </w:r>
      <w:r w:rsidR="00163F66" w:rsidRPr="007C0D91">
        <w:br/>
      </w:r>
      <w:r w:rsidRPr="007C0D91">
        <w:t>Capsule 40</w:t>
      </w:r>
      <w:r w:rsidR="008C391B" w:rsidRPr="007C0D91">
        <w:t xml:space="preserve"> </w:t>
      </w:r>
      <w:r w:rsidRPr="007C0D91">
        <w:t>mg</w:t>
      </w:r>
      <w:r w:rsidR="00163F66" w:rsidRPr="007C0D91">
        <w:t>,</w:t>
      </w:r>
      <w:r w:rsidR="00163F66" w:rsidRPr="007C0D91">
        <w:br/>
      </w:r>
      <w:r w:rsidRPr="007C0D91">
        <w:t>EXKIVITY</w:t>
      </w:r>
      <w:r w:rsidRPr="007C0D91">
        <w:rPr>
          <w:vertAlign w:val="superscript"/>
        </w:rPr>
        <w:t xml:space="preserve"> </w:t>
      </w:r>
      <w:r w:rsidR="00B60939" w:rsidRPr="007C0D91">
        <w:rPr>
          <w:vertAlign w:val="superscript"/>
        </w:rPr>
        <w:t>®</w:t>
      </w:r>
      <w:r w:rsidR="004A6040" w:rsidRPr="007C0D91">
        <w:t>,</w:t>
      </w:r>
      <w:r w:rsidR="004A6040" w:rsidRPr="007C0D91">
        <w:br/>
      </w:r>
      <w:r w:rsidRPr="007C0D91">
        <w:t>Takeda Pharmaceuticals Australia Pty Ltd.</w:t>
      </w:r>
      <w:bookmarkEnd w:id="0"/>
      <w:r w:rsidR="00F73E08" w:rsidRPr="007C0D91">
        <w:t xml:space="preserve"> </w:t>
      </w:r>
    </w:p>
    <w:p w14:paraId="21C9D6A8" w14:textId="77777777" w:rsidR="005149D4" w:rsidRPr="007C0D91" w:rsidRDefault="005149D4" w:rsidP="007B48A1">
      <w:pPr>
        <w:pStyle w:val="2-SectionHeading"/>
      </w:pPr>
      <w:bookmarkStart w:id="1" w:name="_Toc107927618"/>
      <w:bookmarkStart w:id="2" w:name="_Toc135210105"/>
      <w:bookmarkStart w:id="3" w:name="_Toc107927631"/>
      <w:bookmarkStart w:id="4" w:name="_Toc22897645"/>
      <w:r w:rsidRPr="007C0D91">
        <w:t>Purpose of submission</w:t>
      </w:r>
      <w:bookmarkEnd w:id="1"/>
      <w:bookmarkEnd w:id="2"/>
    </w:p>
    <w:p w14:paraId="573C9FC8" w14:textId="0B83BB24"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The </w:t>
      </w:r>
      <w:r w:rsidR="008A5CFE" w:rsidRPr="007C0D91">
        <w:rPr>
          <w:rFonts w:asciiTheme="minorHAnsi" w:hAnsiTheme="minorHAnsi"/>
          <w:snapToGrid w:val="0"/>
        </w:rPr>
        <w:t xml:space="preserve">standard re-entry </w:t>
      </w:r>
      <w:r w:rsidRPr="007C0D91">
        <w:rPr>
          <w:rFonts w:asciiTheme="minorHAnsi" w:hAnsiTheme="minorHAnsi"/>
          <w:snapToGrid w:val="0"/>
        </w:rPr>
        <w:t>resubmission requested a General Schedule Authority Required listing for the treatment of adults with locally advanced (Stage IIIB/IIIC) or metastatic (Stage IV) non-small cell lung cancer (NSCLC) harbouring epidermal growth factor receptor exon 20 insertion (</w:t>
      </w:r>
      <w:bookmarkStart w:id="5" w:name="_Hlk140239590"/>
      <w:r w:rsidRPr="007C0D91">
        <w:rPr>
          <w:rFonts w:asciiTheme="minorHAnsi" w:hAnsiTheme="minorHAnsi"/>
          <w:i/>
          <w:snapToGrid w:val="0"/>
        </w:rPr>
        <w:t>EGFR</w:t>
      </w:r>
      <w:r w:rsidRPr="007C0D91">
        <w:rPr>
          <w:rFonts w:asciiTheme="minorHAnsi" w:hAnsiTheme="minorHAnsi"/>
          <w:snapToGrid w:val="0"/>
        </w:rPr>
        <w:t xml:space="preserve"> ex20ins) mutations </w:t>
      </w:r>
      <w:bookmarkEnd w:id="5"/>
      <w:r w:rsidRPr="007C0D91">
        <w:rPr>
          <w:rFonts w:asciiTheme="minorHAnsi" w:hAnsiTheme="minorHAnsi"/>
          <w:bCs/>
          <w:snapToGrid w:val="0"/>
        </w:rPr>
        <w:t>whose disease has progressed on or after platinum-based chemotherapy (PBC)</w:t>
      </w:r>
      <w:r w:rsidRPr="007C0D91">
        <w:rPr>
          <w:rFonts w:asciiTheme="minorHAnsi" w:hAnsiTheme="minorHAnsi"/>
          <w:snapToGrid w:val="0"/>
        </w:rPr>
        <w:t xml:space="preserve">. </w:t>
      </w:r>
    </w:p>
    <w:p w14:paraId="4BCA90B3" w14:textId="160BA377"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Listing was requested </w:t>
      </w:r>
      <w:proofErr w:type="gramStart"/>
      <w:r w:rsidRPr="007C0D91">
        <w:rPr>
          <w:rFonts w:asciiTheme="minorHAnsi" w:hAnsiTheme="minorHAnsi"/>
          <w:snapToGrid w:val="0"/>
        </w:rPr>
        <w:t>on the basis of</w:t>
      </w:r>
      <w:proofErr w:type="gramEnd"/>
      <w:r w:rsidRPr="007C0D91">
        <w:rPr>
          <w:rFonts w:asciiTheme="minorHAnsi" w:hAnsiTheme="minorHAnsi"/>
          <w:snapToGrid w:val="0"/>
        </w:rPr>
        <w:t xml:space="preserve"> a cost-utility analysis </w:t>
      </w:r>
      <w:r w:rsidRPr="007C0D91">
        <w:rPr>
          <w:rFonts w:asciiTheme="minorHAnsi" w:hAnsiTheme="minorHAnsi"/>
          <w:i/>
          <w:snapToGrid w:val="0"/>
        </w:rPr>
        <w:t xml:space="preserve">versus </w:t>
      </w:r>
      <w:r w:rsidRPr="007C0D91">
        <w:rPr>
          <w:rFonts w:asciiTheme="minorHAnsi" w:hAnsiTheme="minorHAnsi"/>
          <w:snapToGrid w:val="0"/>
        </w:rPr>
        <w:t xml:space="preserve">standard </w:t>
      </w:r>
      <w:r w:rsidRPr="007C0D91">
        <w:rPr>
          <w:rFonts w:asciiTheme="minorHAnsi" w:hAnsiTheme="minorHAnsi"/>
          <w:i/>
          <w:snapToGrid w:val="0"/>
        </w:rPr>
        <w:t>EGFR</w:t>
      </w:r>
      <w:r w:rsidRPr="007C0D91">
        <w:rPr>
          <w:rFonts w:asciiTheme="minorHAnsi" w:hAnsiTheme="minorHAnsi"/>
          <w:snapToGrid w:val="0"/>
        </w:rPr>
        <w:t xml:space="preserve"> tyrosine kinase inhibitors (TKIs), immune checkpoint inhibitor (ICI) monotherapy, and chemotherapy (henceforth referred to in this document as standard of care [SOC]), although the nominated comparator in the resubmission was chemotherapy. </w:t>
      </w:r>
      <w:r w:rsidRPr="007C0D91">
        <w:rPr>
          <w:rFonts w:asciiTheme="minorHAnsi" w:hAnsiTheme="minorHAnsi"/>
          <w:iCs/>
          <w:snapToGrid w:val="0"/>
        </w:rPr>
        <w:t xml:space="preserve">The PBAC previously </w:t>
      </w:r>
      <w:r w:rsidRPr="007C0D91">
        <w:rPr>
          <w:iCs/>
        </w:rPr>
        <w:t>considered that defining the comparator as SOC, comprising all treatments</w:t>
      </w:r>
      <w:r w:rsidRPr="007C0D91" w:rsidDel="002A688F">
        <w:rPr>
          <w:iCs/>
        </w:rPr>
        <w:t xml:space="preserve"> </w:t>
      </w:r>
      <w:r w:rsidRPr="007C0D91">
        <w:rPr>
          <w:iCs/>
        </w:rPr>
        <w:t xml:space="preserve">(standard </w:t>
      </w:r>
      <w:r w:rsidRPr="00FB0DBF">
        <w:rPr>
          <w:i/>
        </w:rPr>
        <w:t>EGFR</w:t>
      </w:r>
      <w:r w:rsidRPr="007C0D91">
        <w:rPr>
          <w:iCs/>
        </w:rPr>
        <w:t xml:space="preserve"> TKIs, ICIs, and chemotherapy) was not appropriate, and that chemotherapy agents such as taxanes should be defined as the comparator (para 5.5 and 7.4, mobocertinib, public summary document (PSD), November 2022 PBAC meeting).</w:t>
      </w:r>
      <w:r w:rsidRPr="007C0D91">
        <w:t xml:space="preserve"> </w:t>
      </w:r>
    </w:p>
    <w:p w14:paraId="351E0316" w14:textId="2FA7F435"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Key components addressed by the resubmission are </w:t>
      </w:r>
      <w:r w:rsidRPr="007C0D91">
        <w:t xml:space="preserve">presented in </w:t>
      </w:r>
      <w:r w:rsidRPr="007C0D91">
        <w:fldChar w:fldCharType="begin"/>
      </w:r>
      <w:r w:rsidRPr="007C0D91">
        <w:instrText xml:space="preserve"> REF _Ref133742362 \h  \* MERGEFORMAT </w:instrText>
      </w:r>
      <w:r w:rsidRPr="007C0D91">
        <w:fldChar w:fldCharType="separate"/>
      </w:r>
      <w:r w:rsidR="00117491" w:rsidRPr="00117491">
        <w:rPr>
          <w:rFonts w:eastAsiaTheme="majorEastAsia"/>
        </w:rPr>
        <w:t>Table 1</w:t>
      </w:r>
      <w:r w:rsidRPr="007C0D91">
        <w:fldChar w:fldCharType="end"/>
      </w:r>
      <w:r w:rsidRPr="007C0D91">
        <w:t>.</w:t>
      </w:r>
    </w:p>
    <w:p w14:paraId="5B693796" w14:textId="2502E269" w:rsidR="005149D4" w:rsidRPr="007C0D91" w:rsidRDefault="005149D4" w:rsidP="005149D4">
      <w:pPr>
        <w:keepNext/>
        <w:jc w:val="left"/>
        <w:rPr>
          <w:rFonts w:ascii="Arial Narrow" w:eastAsiaTheme="majorEastAsia" w:hAnsi="Arial Narrow" w:cstheme="majorBidi"/>
          <w:b/>
          <w:bCs/>
          <w:sz w:val="20"/>
        </w:rPr>
      </w:pPr>
      <w:bookmarkStart w:id="6" w:name="_Ref133742362"/>
      <w:r w:rsidRPr="007C0D91">
        <w:rPr>
          <w:rFonts w:ascii="Arial Narrow" w:eastAsiaTheme="majorEastAsia" w:hAnsi="Arial Narrow" w:cstheme="majorBidi"/>
          <w:b/>
          <w:bCs/>
          <w:sz w:val="20"/>
        </w:rPr>
        <w:t xml:space="preserve">Table </w:t>
      </w:r>
      <w:r w:rsidRPr="007C0D91">
        <w:rPr>
          <w:rFonts w:ascii="Arial Narrow" w:eastAsiaTheme="majorEastAsia" w:hAnsi="Arial Narrow" w:cstheme="majorBidi"/>
          <w:b/>
          <w:bCs/>
          <w:sz w:val="20"/>
        </w:rPr>
        <w:fldChar w:fldCharType="begin"/>
      </w:r>
      <w:r w:rsidRPr="007C0D91">
        <w:rPr>
          <w:rFonts w:ascii="Arial Narrow" w:eastAsiaTheme="majorEastAsia" w:hAnsi="Arial Narrow" w:cstheme="majorBidi"/>
          <w:b/>
          <w:bCs/>
          <w:sz w:val="20"/>
        </w:rPr>
        <w:instrText xml:space="preserve"> SEQ Table \* ARABIC </w:instrText>
      </w:r>
      <w:r w:rsidRPr="007C0D91">
        <w:rPr>
          <w:rFonts w:ascii="Arial Narrow" w:eastAsiaTheme="majorEastAsia" w:hAnsi="Arial Narrow" w:cstheme="majorBidi"/>
          <w:b/>
          <w:bCs/>
          <w:sz w:val="20"/>
        </w:rPr>
        <w:fldChar w:fldCharType="separate"/>
      </w:r>
      <w:r w:rsidR="00117491">
        <w:rPr>
          <w:rFonts w:ascii="Arial Narrow" w:eastAsiaTheme="majorEastAsia" w:hAnsi="Arial Narrow" w:cstheme="majorBidi"/>
          <w:b/>
          <w:bCs/>
          <w:noProof/>
          <w:sz w:val="20"/>
        </w:rPr>
        <w:t>1</w:t>
      </w:r>
      <w:r w:rsidRPr="007C0D91">
        <w:rPr>
          <w:rFonts w:ascii="Arial Narrow" w:eastAsiaTheme="majorEastAsia" w:hAnsi="Arial Narrow" w:cstheme="majorBidi"/>
          <w:b/>
          <w:bCs/>
          <w:sz w:val="20"/>
        </w:rPr>
        <w:fldChar w:fldCharType="end"/>
      </w:r>
      <w:bookmarkEnd w:id="6"/>
      <w:r w:rsidRPr="007C0D91">
        <w:rPr>
          <w:rFonts w:ascii="Arial Narrow" w:eastAsiaTheme="majorEastAsia" w:hAnsi="Arial Narrow" w:cstheme="majorBidi"/>
          <w:b/>
          <w:bCs/>
          <w:sz w:val="20"/>
        </w:rPr>
        <w:t>: Key components of the clinical issue addressed by the resubmission (as stated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7721"/>
      </w:tblGrid>
      <w:tr w:rsidR="005149D4" w:rsidRPr="007C0D91" w14:paraId="0F72E5A5" w14:textId="77777777" w:rsidTr="00646849">
        <w:tc>
          <w:tcPr>
            <w:tcW w:w="1435" w:type="dxa"/>
            <w:shd w:val="clear" w:color="auto" w:fill="auto"/>
            <w:vAlign w:val="center"/>
          </w:tcPr>
          <w:p w14:paraId="6E86521A" w14:textId="77777777" w:rsidR="005149D4" w:rsidRPr="007C0D91" w:rsidRDefault="005149D4" w:rsidP="008869C7">
            <w:pPr>
              <w:keepNext/>
              <w:jc w:val="left"/>
              <w:rPr>
                <w:rFonts w:ascii="Arial Narrow" w:eastAsiaTheme="majorEastAsia" w:hAnsi="Arial Narrow" w:cs="Times New Roman"/>
                <w:b/>
                <w:sz w:val="20"/>
              </w:rPr>
            </w:pPr>
            <w:r w:rsidRPr="007C0D91">
              <w:rPr>
                <w:rFonts w:ascii="Arial Narrow" w:eastAsiaTheme="majorEastAsia" w:hAnsi="Arial Narrow" w:cs="Times New Roman"/>
                <w:b/>
                <w:sz w:val="20"/>
              </w:rPr>
              <w:t>Component</w:t>
            </w:r>
          </w:p>
        </w:tc>
        <w:tc>
          <w:tcPr>
            <w:tcW w:w="7721" w:type="dxa"/>
            <w:shd w:val="clear" w:color="auto" w:fill="auto"/>
            <w:vAlign w:val="center"/>
          </w:tcPr>
          <w:p w14:paraId="32089CC4" w14:textId="77777777" w:rsidR="005149D4" w:rsidRPr="007C0D91" w:rsidRDefault="005149D4" w:rsidP="008869C7">
            <w:pPr>
              <w:keepNext/>
              <w:jc w:val="left"/>
              <w:rPr>
                <w:rFonts w:ascii="Arial Narrow" w:eastAsiaTheme="majorEastAsia" w:hAnsi="Arial Narrow" w:cs="Times New Roman"/>
                <w:b/>
                <w:sz w:val="20"/>
              </w:rPr>
            </w:pPr>
            <w:r w:rsidRPr="007C0D91">
              <w:rPr>
                <w:rFonts w:ascii="Arial Narrow" w:eastAsiaTheme="majorEastAsia" w:hAnsi="Arial Narrow" w:cs="Times New Roman"/>
                <w:b/>
                <w:sz w:val="20"/>
              </w:rPr>
              <w:t>Description</w:t>
            </w:r>
          </w:p>
        </w:tc>
      </w:tr>
      <w:tr w:rsidR="005149D4" w:rsidRPr="007C0D91" w14:paraId="4CCFCE70" w14:textId="77777777" w:rsidTr="00646849">
        <w:tc>
          <w:tcPr>
            <w:tcW w:w="1435" w:type="dxa"/>
            <w:shd w:val="clear" w:color="auto" w:fill="auto"/>
            <w:vAlign w:val="center"/>
          </w:tcPr>
          <w:p w14:paraId="45E0A7A2"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Population</w:t>
            </w:r>
          </w:p>
        </w:tc>
        <w:tc>
          <w:tcPr>
            <w:tcW w:w="7721" w:type="dxa"/>
            <w:shd w:val="clear" w:color="auto" w:fill="B8CCE4" w:themeFill="accent1" w:themeFillTint="66"/>
          </w:tcPr>
          <w:p w14:paraId="568BD0A3" w14:textId="46BF2D4F"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Epidermal growth factor receptor exon 20 insertion (</w:t>
            </w:r>
            <w:r w:rsidR="00FB0DBF" w:rsidRPr="00FB0DBF">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ex20ins) mutation-positive locally advanced (stage IIIB or </w:t>
            </w:r>
            <w:r w:rsidRPr="007C0D91">
              <w:rPr>
                <w:rFonts w:ascii="Arial Narrow" w:eastAsiaTheme="majorEastAsia" w:hAnsi="Arial Narrow" w:cstheme="majorBidi"/>
                <w:bCs/>
                <w:sz w:val="20"/>
                <w:shd w:val="clear" w:color="auto" w:fill="FFFFFF" w:themeFill="background1"/>
              </w:rPr>
              <w:t>stage IIIC</w:t>
            </w:r>
            <w:r w:rsidRPr="007C0D91">
              <w:rPr>
                <w:rFonts w:ascii="Arial Narrow" w:eastAsiaTheme="majorEastAsia" w:hAnsi="Arial Narrow" w:cstheme="majorBidi"/>
                <w:bCs/>
                <w:sz w:val="20"/>
              </w:rPr>
              <w:t>) or metastatic (stage IV) non-small cell lung cancer (NSCLC) in patients whose disease has progressed on or after platinum-based chemotherapy (PBC).</w:t>
            </w:r>
          </w:p>
        </w:tc>
      </w:tr>
      <w:tr w:rsidR="005149D4" w:rsidRPr="007C0D91" w14:paraId="2381578F" w14:textId="77777777" w:rsidTr="00646849">
        <w:tc>
          <w:tcPr>
            <w:tcW w:w="1435" w:type="dxa"/>
            <w:shd w:val="clear" w:color="auto" w:fill="auto"/>
            <w:vAlign w:val="center"/>
          </w:tcPr>
          <w:p w14:paraId="5B2F74A1"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Intervention</w:t>
            </w:r>
          </w:p>
        </w:tc>
        <w:tc>
          <w:tcPr>
            <w:tcW w:w="7721" w:type="dxa"/>
            <w:shd w:val="clear" w:color="auto" w:fill="B8CCE4" w:themeFill="accent1" w:themeFillTint="66"/>
          </w:tcPr>
          <w:p w14:paraId="469A2B71"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Mobocertinib (EXKIVITY®) 160 mg (4 X 40 mg capsules) once daily.</w:t>
            </w:r>
          </w:p>
        </w:tc>
      </w:tr>
      <w:tr w:rsidR="005149D4" w:rsidRPr="007C0D91" w14:paraId="22CE16DA" w14:textId="77777777" w:rsidTr="00646849">
        <w:tc>
          <w:tcPr>
            <w:tcW w:w="1435" w:type="dxa"/>
            <w:shd w:val="clear" w:color="auto" w:fill="auto"/>
            <w:vAlign w:val="center"/>
          </w:tcPr>
          <w:p w14:paraId="3408C3B2"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Comparator</w:t>
            </w:r>
          </w:p>
        </w:tc>
        <w:tc>
          <w:tcPr>
            <w:tcW w:w="7721" w:type="dxa"/>
            <w:shd w:val="clear" w:color="auto" w:fill="auto"/>
          </w:tcPr>
          <w:p w14:paraId="4F4846B9"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Standard of care</w:t>
            </w:r>
            <w:r w:rsidRPr="007C0D91">
              <w:rPr>
                <w:rFonts w:ascii="Arial Narrow" w:eastAsiaTheme="majorEastAsia" w:hAnsi="Arial Narrow" w:cstheme="majorBidi"/>
                <w:bCs/>
                <w:sz w:val="20"/>
                <w:vertAlign w:val="superscript"/>
              </w:rPr>
              <w:t>a</w:t>
            </w:r>
          </w:p>
        </w:tc>
      </w:tr>
      <w:tr w:rsidR="005149D4" w:rsidRPr="007C0D91" w14:paraId="21A7CBD7" w14:textId="77777777" w:rsidTr="00646849">
        <w:tc>
          <w:tcPr>
            <w:tcW w:w="1435" w:type="dxa"/>
            <w:shd w:val="clear" w:color="auto" w:fill="auto"/>
            <w:vAlign w:val="center"/>
          </w:tcPr>
          <w:p w14:paraId="574F7565"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Outcomes</w:t>
            </w:r>
          </w:p>
        </w:tc>
        <w:tc>
          <w:tcPr>
            <w:tcW w:w="7721" w:type="dxa"/>
            <w:shd w:val="clear" w:color="auto" w:fill="B8CCE4" w:themeFill="accent1" w:themeFillTint="66"/>
          </w:tcPr>
          <w:p w14:paraId="1E57997B"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Progression-free survival (PFS), overall survival (OS), response rate (cORR)</w:t>
            </w:r>
          </w:p>
        </w:tc>
      </w:tr>
      <w:tr w:rsidR="005149D4" w:rsidRPr="007C0D91" w14:paraId="769D4F5D" w14:textId="77777777" w:rsidTr="00646849">
        <w:tc>
          <w:tcPr>
            <w:tcW w:w="1435" w:type="dxa"/>
            <w:shd w:val="clear" w:color="auto" w:fill="auto"/>
            <w:vAlign w:val="center"/>
          </w:tcPr>
          <w:p w14:paraId="3D43CDDF"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Clinical claim</w:t>
            </w:r>
          </w:p>
        </w:tc>
        <w:tc>
          <w:tcPr>
            <w:tcW w:w="7721" w:type="dxa"/>
            <w:shd w:val="clear" w:color="auto" w:fill="auto"/>
          </w:tcPr>
          <w:p w14:paraId="6D3DCAE3" w14:textId="77777777" w:rsidR="005149D4" w:rsidRPr="007C0D91" w:rsidRDefault="005149D4" w:rsidP="008869C7">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Mobocertinib is superior in terms of effectiveness compared with standard of care in patients with locally advanced or metastatic NSCLC and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ex20ins mutations who have progressed on or following prior treatment with PBC. Mobocertinib is expected to have a different safety profile compared to chemotherapy or immunotherapy; its safety profile is acceptable and </w:t>
            </w:r>
            <w:proofErr w:type="gramStart"/>
            <w:r w:rsidRPr="007C0D91">
              <w:rPr>
                <w:rFonts w:ascii="Arial Narrow" w:eastAsiaTheme="majorEastAsia" w:hAnsi="Arial Narrow" w:cstheme="majorBidi"/>
                <w:bCs/>
                <w:sz w:val="20"/>
              </w:rPr>
              <w:t>similar to</w:t>
            </w:r>
            <w:proofErr w:type="gramEnd"/>
            <w:r w:rsidRPr="007C0D91">
              <w:rPr>
                <w:rFonts w:ascii="Arial Narrow" w:eastAsiaTheme="majorEastAsia" w:hAnsi="Arial Narrow" w:cstheme="majorBidi"/>
                <w:bCs/>
                <w:sz w:val="20"/>
              </w:rPr>
              <w:t xml:space="preserve"> that of other TKIs.</w:t>
            </w:r>
          </w:p>
        </w:tc>
      </w:tr>
    </w:tbl>
    <w:p w14:paraId="0BFA8804" w14:textId="77777777" w:rsidR="005149D4" w:rsidRPr="007C0D91" w:rsidRDefault="005149D4" w:rsidP="005149D4">
      <w:pPr>
        <w:keepLines/>
        <w:contextualSpacing/>
        <w:rPr>
          <w:rFonts w:ascii="Arial Narrow" w:hAnsi="Arial Narrow"/>
          <w:snapToGrid w:val="0"/>
          <w:sz w:val="18"/>
          <w:szCs w:val="22"/>
        </w:rPr>
      </w:pPr>
      <w:r w:rsidRPr="007C0D91">
        <w:rPr>
          <w:rFonts w:ascii="Arial Narrow" w:hAnsi="Arial Narrow"/>
          <w:snapToGrid w:val="0"/>
          <w:sz w:val="18"/>
          <w:szCs w:val="22"/>
        </w:rPr>
        <w:t>Source: Table ES.1, p1, Executive Summary of the resubmission.</w:t>
      </w:r>
    </w:p>
    <w:p w14:paraId="2540C437" w14:textId="77777777" w:rsidR="005149D4" w:rsidRPr="007C0D91" w:rsidRDefault="005149D4" w:rsidP="005149D4">
      <w:pPr>
        <w:keepLines/>
        <w:contextualSpacing/>
        <w:rPr>
          <w:rFonts w:ascii="Arial Narrow" w:hAnsi="Arial Narrow"/>
          <w:snapToGrid w:val="0"/>
          <w:sz w:val="18"/>
          <w:szCs w:val="22"/>
        </w:rPr>
      </w:pPr>
      <w:r w:rsidRPr="007C0D91">
        <w:rPr>
          <w:rFonts w:ascii="Arial Narrow" w:hAnsi="Arial Narrow"/>
          <w:snapToGrid w:val="0"/>
          <w:sz w:val="18"/>
          <w:szCs w:val="22"/>
        </w:rPr>
        <w:t>TKIs=tyrosine kinase inhibitors.</w:t>
      </w:r>
    </w:p>
    <w:p w14:paraId="40B445C0" w14:textId="2F3A1BE6" w:rsidR="005149D4" w:rsidRPr="007C0D91" w:rsidRDefault="005149D4" w:rsidP="005149D4">
      <w:pPr>
        <w:keepLines/>
        <w:contextualSpacing/>
        <w:rPr>
          <w:rFonts w:ascii="Arial Narrow" w:hAnsi="Arial Narrow"/>
          <w:snapToGrid w:val="0"/>
          <w:sz w:val="18"/>
          <w:szCs w:val="22"/>
        </w:rPr>
      </w:pPr>
      <w:r w:rsidRPr="007C0D91">
        <w:rPr>
          <w:rFonts w:ascii="Arial Narrow" w:hAnsi="Arial Narrow"/>
          <w:snapToGrid w:val="0"/>
          <w:sz w:val="18"/>
          <w:szCs w:val="22"/>
          <w:vertAlign w:val="superscript"/>
        </w:rPr>
        <w:t>a</w:t>
      </w:r>
      <w:r w:rsidRPr="007C0D91">
        <w:rPr>
          <w:rFonts w:ascii="Arial Narrow" w:hAnsi="Arial Narrow"/>
          <w:snapToGrid w:val="0"/>
          <w:sz w:val="18"/>
          <w:szCs w:val="22"/>
        </w:rPr>
        <w:t xml:space="preserve"> </w:t>
      </w:r>
      <w:proofErr w:type="gramStart"/>
      <w:r w:rsidRPr="007C0D91">
        <w:rPr>
          <w:rFonts w:ascii="Arial Narrow" w:hAnsi="Arial Narrow"/>
          <w:snapToGrid w:val="0"/>
          <w:sz w:val="18"/>
          <w:szCs w:val="22"/>
        </w:rPr>
        <w:t>The</w:t>
      </w:r>
      <w:proofErr w:type="gramEnd"/>
      <w:r w:rsidRPr="007C0D91">
        <w:rPr>
          <w:rFonts w:ascii="Arial Narrow" w:hAnsi="Arial Narrow"/>
          <w:snapToGrid w:val="0"/>
          <w:sz w:val="18"/>
          <w:szCs w:val="22"/>
        </w:rPr>
        <w:t xml:space="preserve"> nominated comparator in Section 1 of the resubmission was chemotherapy.</w:t>
      </w:r>
      <w:r w:rsidR="0012403A" w:rsidRPr="007C0D91">
        <w:rPr>
          <w:rFonts w:ascii="Arial Narrow" w:hAnsi="Arial Narrow"/>
          <w:snapToGrid w:val="0"/>
          <w:sz w:val="18"/>
          <w:szCs w:val="22"/>
        </w:rPr>
        <w:t xml:space="preserve"> </w:t>
      </w:r>
      <w:r w:rsidR="00DA17A4" w:rsidRPr="007C0D91">
        <w:rPr>
          <w:rFonts w:ascii="Arial Narrow" w:hAnsi="Arial Narrow"/>
          <w:snapToGrid w:val="0"/>
          <w:sz w:val="18"/>
          <w:szCs w:val="22"/>
        </w:rPr>
        <w:t xml:space="preserve">The term </w:t>
      </w:r>
      <w:r w:rsidR="00103477" w:rsidRPr="007C0D91">
        <w:rPr>
          <w:rFonts w:ascii="Arial Narrow" w:hAnsi="Arial Narrow"/>
          <w:snapToGrid w:val="0"/>
          <w:sz w:val="18"/>
          <w:szCs w:val="22"/>
        </w:rPr>
        <w:t>“</w:t>
      </w:r>
      <w:r w:rsidR="00DA17A4" w:rsidRPr="007C0D91">
        <w:rPr>
          <w:rFonts w:ascii="Arial Narrow" w:hAnsi="Arial Narrow"/>
          <w:snapToGrid w:val="0"/>
          <w:sz w:val="18"/>
          <w:szCs w:val="22"/>
        </w:rPr>
        <w:t>SOC</w:t>
      </w:r>
      <w:r w:rsidR="00103477" w:rsidRPr="007C0D91">
        <w:rPr>
          <w:rFonts w:ascii="Arial Narrow" w:hAnsi="Arial Narrow"/>
          <w:snapToGrid w:val="0"/>
          <w:sz w:val="18"/>
          <w:szCs w:val="22"/>
        </w:rPr>
        <w:t>”</w:t>
      </w:r>
      <w:r w:rsidR="00DA17A4" w:rsidRPr="007C0D91">
        <w:rPr>
          <w:rFonts w:ascii="Arial Narrow" w:hAnsi="Arial Narrow"/>
          <w:snapToGrid w:val="0"/>
          <w:sz w:val="18"/>
          <w:szCs w:val="22"/>
        </w:rPr>
        <w:t xml:space="preserve"> in the remaining sections of this</w:t>
      </w:r>
      <w:r w:rsidR="00DF73F4" w:rsidRPr="007C0D91">
        <w:rPr>
          <w:rFonts w:ascii="Arial Narrow" w:hAnsi="Arial Narrow"/>
          <w:snapToGrid w:val="0"/>
          <w:sz w:val="18"/>
          <w:szCs w:val="22"/>
        </w:rPr>
        <w:t xml:space="preserve"> ESC Advice r</w:t>
      </w:r>
      <w:r w:rsidR="00DA17A4" w:rsidRPr="007C0D91">
        <w:rPr>
          <w:rFonts w:ascii="Arial Narrow" w:hAnsi="Arial Narrow"/>
          <w:snapToGrid w:val="0"/>
          <w:sz w:val="18"/>
          <w:szCs w:val="22"/>
        </w:rPr>
        <w:t xml:space="preserve">efers to all treatments (standard </w:t>
      </w:r>
      <w:r w:rsidR="00FB0DBF" w:rsidRPr="00FB0DBF">
        <w:rPr>
          <w:rFonts w:ascii="Arial Narrow" w:hAnsi="Arial Narrow"/>
          <w:i/>
          <w:snapToGrid w:val="0"/>
          <w:sz w:val="18"/>
          <w:szCs w:val="22"/>
        </w:rPr>
        <w:t>EGFR</w:t>
      </w:r>
      <w:r w:rsidR="00DA17A4" w:rsidRPr="007C0D91">
        <w:rPr>
          <w:rFonts w:ascii="Arial Narrow" w:hAnsi="Arial Narrow"/>
          <w:snapToGrid w:val="0"/>
          <w:sz w:val="18"/>
          <w:szCs w:val="22"/>
        </w:rPr>
        <w:t xml:space="preserve"> TKIs, ICIs, and chemotherapy). When discussing chemotherapy alone as the </w:t>
      </w:r>
      <w:r w:rsidR="00103477" w:rsidRPr="007C0D91">
        <w:rPr>
          <w:rFonts w:ascii="Arial Narrow" w:hAnsi="Arial Narrow"/>
          <w:snapToGrid w:val="0"/>
          <w:sz w:val="18"/>
          <w:szCs w:val="22"/>
        </w:rPr>
        <w:t xml:space="preserve">nominated </w:t>
      </w:r>
      <w:r w:rsidR="00DA17A4" w:rsidRPr="007C0D91">
        <w:rPr>
          <w:rFonts w:ascii="Arial Narrow" w:hAnsi="Arial Narrow"/>
          <w:snapToGrid w:val="0"/>
          <w:sz w:val="18"/>
          <w:szCs w:val="22"/>
        </w:rPr>
        <w:t>comparator, the term “chemotherapy” is used.</w:t>
      </w:r>
    </w:p>
    <w:p w14:paraId="5EE4B36F" w14:textId="6D258E6B" w:rsidR="005149D4" w:rsidRPr="007C0D91" w:rsidRDefault="004916FD" w:rsidP="005149D4">
      <w:pPr>
        <w:keepLines/>
        <w:contextualSpacing/>
        <w:rPr>
          <w:rFonts w:ascii="Arial Narrow" w:hAnsi="Arial Narrow"/>
          <w:snapToGrid w:val="0"/>
          <w:sz w:val="18"/>
          <w:szCs w:val="22"/>
        </w:rPr>
      </w:pPr>
      <w:bookmarkStart w:id="7" w:name="_Hlk134406301"/>
      <w:r w:rsidRPr="007C0D91">
        <w:rPr>
          <w:rStyle w:val="CommentReference"/>
          <w:b w:val="0"/>
          <w:bCs/>
          <w:sz w:val="18"/>
          <w:szCs w:val="18"/>
          <w:shd w:val="clear" w:color="auto" w:fill="B8CCE4" w:themeFill="accent1" w:themeFillTint="66"/>
        </w:rPr>
        <w:t>Blue shading</w:t>
      </w:r>
      <w:r w:rsidRPr="007C0D91">
        <w:rPr>
          <w:rStyle w:val="CommentReference"/>
          <w:b w:val="0"/>
          <w:bCs/>
          <w:sz w:val="16"/>
        </w:rPr>
        <w:t xml:space="preserve"> </w:t>
      </w:r>
      <w:r w:rsidR="005149D4" w:rsidRPr="007C0D91">
        <w:rPr>
          <w:rFonts w:ascii="Arial Narrow" w:hAnsi="Arial Narrow"/>
          <w:snapToGrid w:val="0"/>
          <w:sz w:val="18"/>
          <w:szCs w:val="22"/>
        </w:rPr>
        <w:t>indicates information previously seen by the PBAC.</w:t>
      </w:r>
    </w:p>
    <w:p w14:paraId="06C49D9E" w14:textId="77777777" w:rsidR="005149D4" w:rsidRPr="007C0D91" w:rsidRDefault="005149D4" w:rsidP="007B48A1">
      <w:pPr>
        <w:pStyle w:val="2-SectionHeading"/>
      </w:pPr>
      <w:bookmarkStart w:id="8" w:name="_Toc107927619"/>
      <w:bookmarkStart w:id="9" w:name="_Toc135210106"/>
      <w:bookmarkEnd w:id="7"/>
      <w:r w:rsidRPr="007C0D91">
        <w:lastRenderedPageBreak/>
        <w:t>Background</w:t>
      </w:r>
      <w:bookmarkEnd w:id="8"/>
      <w:bookmarkEnd w:id="9"/>
    </w:p>
    <w:p w14:paraId="3FDF6647" w14:textId="77777777" w:rsidR="005149D4" w:rsidRPr="007C0D91" w:rsidRDefault="005149D4" w:rsidP="007B48A1">
      <w:pPr>
        <w:pStyle w:val="4-SubsectionHeading"/>
      </w:pPr>
      <w:bookmarkStart w:id="10" w:name="_Toc107927620"/>
      <w:bookmarkStart w:id="11" w:name="_Toc135210107"/>
      <w:r w:rsidRPr="007C0D91">
        <w:t>Registration status</w:t>
      </w:r>
      <w:bookmarkEnd w:id="10"/>
      <w:bookmarkEnd w:id="11"/>
    </w:p>
    <w:p w14:paraId="78638E40" w14:textId="5D4E4535"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Mobocertinib (EXKIVITY) received provisional approval from the TGA on </w:t>
      </w:r>
      <w:r w:rsidR="00F5752D" w:rsidRPr="007C0D91">
        <w:rPr>
          <w:rFonts w:asciiTheme="minorHAnsi" w:hAnsiTheme="minorHAnsi"/>
          <w:snapToGrid w:val="0"/>
        </w:rPr>
        <w:t>19</w:t>
      </w:r>
      <w:r w:rsidR="00F5752D">
        <w:rPr>
          <w:rFonts w:asciiTheme="minorHAnsi" w:hAnsiTheme="minorHAnsi"/>
          <w:snapToGrid w:val="0"/>
          <w:vertAlign w:val="superscript"/>
        </w:rPr>
        <w:t> </w:t>
      </w:r>
      <w:r w:rsidRPr="007C0D91">
        <w:rPr>
          <w:rFonts w:asciiTheme="minorHAnsi" w:hAnsiTheme="minorHAnsi"/>
          <w:snapToGrid w:val="0"/>
        </w:rPr>
        <w:t>July</w:t>
      </w:r>
      <w:r w:rsidR="00F5752D">
        <w:rPr>
          <w:rFonts w:asciiTheme="minorHAnsi" w:hAnsiTheme="minorHAnsi"/>
          <w:snapToGrid w:val="0"/>
        </w:rPr>
        <w:t> </w:t>
      </w:r>
      <w:r w:rsidRPr="007C0D91">
        <w:rPr>
          <w:rFonts w:asciiTheme="minorHAnsi" w:hAnsiTheme="minorHAnsi"/>
          <w:snapToGrid w:val="0"/>
        </w:rPr>
        <w:t>2022 for “the treatment of patients with locally advanced or metastatic non-small cell lung cancer (NSCLC) that has an exon 20 insertion mutation of the epidermal growth factor receptor (</w:t>
      </w:r>
      <w:r w:rsidRPr="007C0D91">
        <w:rPr>
          <w:rFonts w:asciiTheme="minorHAnsi" w:hAnsiTheme="minorHAnsi"/>
          <w:i/>
          <w:snapToGrid w:val="0"/>
        </w:rPr>
        <w:t>EGFR</w:t>
      </w:r>
      <w:r w:rsidRPr="007C0D91">
        <w:rPr>
          <w:rFonts w:asciiTheme="minorHAnsi" w:hAnsiTheme="minorHAnsi"/>
          <w:snapToGrid w:val="0"/>
        </w:rPr>
        <w:t>), who have received prior platinum-based chemotherapy”.</w:t>
      </w:r>
    </w:p>
    <w:p w14:paraId="1E553300" w14:textId="1EC1E05E"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Conditions of provisional approval include the provision of all clinical study reports (CSRs) from Study TAK-788-3001 (interim and final) and other post-marketing safety studies. Study TAK-788-3001 is an ongoing randomised controlled trial (RCT) comparing the effectiveness of mobocertinib (TAK-788) as first-line treatment with PBC (pemetrexed/cisplatin or pemetrexed/carboplatin) in patients with locally advanced or metastatic NSCLC whose tumours have </w:t>
      </w:r>
      <w:r w:rsidRPr="007C0D91">
        <w:rPr>
          <w:rFonts w:asciiTheme="minorHAnsi" w:hAnsiTheme="minorHAnsi"/>
          <w:i/>
          <w:snapToGrid w:val="0"/>
        </w:rPr>
        <w:t>EGFR</w:t>
      </w:r>
      <w:r w:rsidRPr="007C0D91">
        <w:rPr>
          <w:rFonts w:asciiTheme="minorHAnsi" w:hAnsiTheme="minorHAnsi"/>
          <w:snapToGrid w:val="0"/>
        </w:rPr>
        <w:t xml:space="preserve"> ex20ins mutations. The next data analysis is expected to be performed in 2023 (TGA Delegate’s Overview).</w:t>
      </w:r>
      <w:r w:rsidR="00323897" w:rsidRPr="007C0D91">
        <w:rPr>
          <w:rFonts w:asciiTheme="minorHAnsi" w:hAnsiTheme="minorHAnsi"/>
          <w:snapToGrid w:val="0"/>
        </w:rPr>
        <w:t xml:space="preserve"> The ESC noted that estimated study completion date for Study TAK-788-3001 is June 2026.</w:t>
      </w:r>
      <w:r w:rsidR="00323897" w:rsidRPr="007C0D91">
        <w:rPr>
          <w:rStyle w:val="FootnoteReference"/>
          <w:rFonts w:asciiTheme="minorHAnsi" w:hAnsiTheme="minorHAnsi"/>
          <w:snapToGrid w:val="0"/>
        </w:rPr>
        <w:footnoteReference w:id="1"/>
      </w:r>
      <w:r w:rsidR="00323897" w:rsidRPr="007C0D91">
        <w:rPr>
          <w:rFonts w:asciiTheme="minorHAnsi" w:hAnsiTheme="minorHAnsi"/>
          <w:snapToGrid w:val="0"/>
        </w:rPr>
        <w:t xml:space="preserve"> </w:t>
      </w:r>
    </w:p>
    <w:p w14:paraId="45924351" w14:textId="77777777" w:rsidR="005149D4" w:rsidRPr="007C0D91" w:rsidRDefault="005149D4" w:rsidP="007B48A1">
      <w:pPr>
        <w:pStyle w:val="4-SubsectionHeading"/>
      </w:pPr>
      <w:bookmarkStart w:id="12" w:name="_Toc107927621"/>
      <w:bookmarkStart w:id="13" w:name="_Toc135210108"/>
      <w:r w:rsidRPr="007C0D91">
        <w:t>Previous PBAC consideration</w:t>
      </w:r>
      <w:bookmarkEnd w:id="12"/>
      <w:bookmarkEnd w:id="13"/>
    </w:p>
    <w:p w14:paraId="172D5CBC" w14:textId="46033D23"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At the November 2022 PBAC meeting, mobocertinib was considered but not recommended by the PBAC for the treatment of adults with </w:t>
      </w:r>
      <w:r w:rsidRPr="007C0D91">
        <w:rPr>
          <w:rFonts w:asciiTheme="minorHAnsi" w:hAnsiTheme="minorHAnsi"/>
          <w:i/>
          <w:iCs/>
          <w:snapToGrid w:val="0"/>
        </w:rPr>
        <w:t>EGFR</w:t>
      </w:r>
      <w:r w:rsidRPr="007C0D91">
        <w:rPr>
          <w:rFonts w:asciiTheme="minorHAnsi" w:hAnsiTheme="minorHAnsi"/>
          <w:snapToGrid w:val="0"/>
        </w:rPr>
        <w:t xml:space="preserve"> ex20ins positive locally advanced or metastatic NSCLC who have received PBC. The main PBAC concerns and how they were addressed in the resubmission </w:t>
      </w:r>
      <w:r w:rsidRPr="007C0D91">
        <w:t xml:space="preserve">are summarised in </w:t>
      </w:r>
      <w:r w:rsidRPr="007C0D91">
        <w:fldChar w:fldCharType="begin"/>
      </w:r>
      <w:r w:rsidRPr="007C0D91">
        <w:instrText xml:space="preserve"> REF _Ref133748638 \h  \* MERGEFORMAT </w:instrText>
      </w:r>
      <w:r w:rsidRPr="007C0D91">
        <w:fldChar w:fldCharType="separate"/>
      </w:r>
      <w:r w:rsidR="00117491" w:rsidRPr="00117491">
        <w:rPr>
          <w:rFonts w:eastAsiaTheme="majorEastAsia"/>
        </w:rPr>
        <w:t>Table</w:t>
      </w:r>
      <w:r w:rsidR="00117491" w:rsidRPr="007C0D91">
        <w:rPr>
          <w:rFonts w:ascii="Arial Narrow" w:eastAsiaTheme="majorEastAsia" w:hAnsi="Arial Narrow" w:cstheme="majorBidi"/>
          <w:b/>
          <w:bCs/>
          <w:sz w:val="20"/>
        </w:rPr>
        <w:t xml:space="preserve"> </w:t>
      </w:r>
      <w:r w:rsidR="00117491">
        <w:rPr>
          <w:rFonts w:ascii="Arial Narrow" w:eastAsiaTheme="majorEastAsia" w:hAnsi="Arial Narrow" w:cstheme="majorBidi"/>
          <w:b/>
          <w:bCs/>
          <w:noProof/>
          <w:sz w:val="20"/>
        </w:rPr>
        <w:t>2</w:t>
      </w:r>
      <w:r w:rsidRPr="007C0D91">
        <w:fldChar w:fldCharType="end"/>
      </w:r>
      <w:r w:rsidRPr="007C0D91">
        <w:t>.</w:t>
      </w:r>
    </w:p>
    <w:p w14:paraId="424B57C3" w14:textId="25CAB791" w:rsidR="005149D4" w:rsidRPr="007C0D91" w:rsidRDefault="005149D4" w:rsidP="00F5752D">
      <w:pPr>
        <w:keepLines/>
        <w:jc w:val="left"/>
        <w:rPr>
          <w:rFonts w:ascii="Arial Narrow" w:eastAsiaTheme="majorEastAsia" w:hAnsi="Arial Narrow" w:cstheme="majorBidi"/>
          <w:b/>
          <w:bCs/>
          <w:sz w:val="20"/>
          <w:highlight w:val="cyan"/>
        </w:rPr>
      </w:pPr>
      <w:bookmarkStart w:id="14" w:name="_Ref133748638"/>
      <w:r w:rsidRPr="007C0D91">
        <w:rPr>
          <w:rFonts w:ascii="Arial Narrow" w:eastAsiaTheme="majorEastAsia" w:hAnsi="Arial Narrow" w:cstheme="majorBidi"/>
          <w:b/>
          <w:bCs/>
          <w:sz w:val="20"/>
        </w:rPr>
        <w:t xml:space="preserve">Table </w:t>
      </w:r>
      <w:r w:rsidRPr="007C0D91">
        <w:rPr>
          <w:rFonts w:ascii="Arial Narrow" w:eastAsiaTheme="majorEastAsia" w:hAnsi="Arial Narrow" w:cstheme="majorBidi"/>
          <w:b/>
          <w:bCs/>
          <w:sz w:val="20"/>
        </w:rPr>
        <w:fldChar w:fldCharType="begin"/>
      </w:r>
      <w:r w:rsidRPr="007C0D91">
        <w:rPr>
          <w:rFonts w:ascii="Arial Narrow" w:eastAsiaTheme="majorEastAsia" w:hAnsi="Arial Narrow" w:cstheme="majorBidi"/>
          <w:b/>
          <w:bCs/>
          <w:sz w:val="20"/>
        </w:rPr>
        <w:instrText xml:space="preserve"> SEQ Table \* ARABIC </w:instrText>
      </w:r>
      <w:r w:rsidRPr="007C0D91">
        <w:rPr>
          <w:rFonts w:ascii="Arial Narrow" w:eastAsiaTheme="majorEastAsia" w:hAnsi="Arial Narrow" w:cstheme="majorBidi"/>
          <w:b/>
          <w:bCs/>
          <w:sz w:val="20"/>
        </w:rPr>
        <w:fldChar w:fldCharType="separate"/>
      </w:r>
      <w:r w:rsidR="00117491">
        <w:rPr>
          <w:rFonts w:ascii="Arial Narrow" w:eastAsiaTheme="majorEastAsia" w:hAnsi="Arial Narrow" w:cstheme="majorBidi"/>
          <w:b/>
          <w:bCs/>
          <w:noProof/>
          <w:sz w:val="20"/>
        </w:rPr>
        <w:t>2</w:t>
      </w:r>
      <w:r w:rsidRPr="007C0D91">
        <w:rPr>
          <w:rFonts w:ascii="Arial Narrow" w:eastAsiaTheme="majorEastAsia" w:hAnsi="Arial Narrow" w:cstheme="majorBidi"/>
          <w:b/>
          <w:bCs/>
          <w:sz w:val="20"/>
        </w:rPr>
        <w:fldChar w:fldCharType="end"/>
      </w:r>
      <w:bookmarkEnd w:id="14"/>
      <w:r w:rsidRPr="007C0D91">
        <w:rPr>
          <w:rFonts w:ascii="Arial Narrow" w:eastAsiaTheme="majorEastAsia" w:hAnsi="Arial Narrow" w:cstheme="majorBidi"/>
          <w:b/>
          <w:bCs/>
          <w:sz w:val="20"/>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731"/>
        <w:gridCol w:w="3731"/>
      </w:tblGrid>
      <w:tr w:rsidR="005149D4" w:rsidRPr="007C0D91" w14:paraId="1B907063" w14:textId="77777777" w:rsidTr="00E25108">
        <w:trPr>
          <w:tblHeader/>
        </w:trPr>
        <w:tc>
          <w:tcPr>
            <w:tcW w:w="862" w:type="pct"/>
            <w:tcMar>
              <w:left w:w="20" w:type="dxa"/>
              <w:right w:w="20" w:type="dxa"/>
            </w:tcMar>
            <w:vAlign w:val="center"/>
          </w:tcPr>
          <w:p w14:paraId="5F72A7E8" w14:textId="77777777" w:rsidR="005149D4" w:rsidRPr="007C0D91" w:rsidRDefault="005149D4" w:rsidP="00F5752D">
            <w:pPr>
              <w:keepLines/>
              <w:jc w:val="left"/>
              <w:rPr>
                <w:rFonts w:ascii="Arial Narrow" w:hAnsi="Arial Narrow" w:cs="Times New Roman"/>
                <w:b/>
                <w:snapToGrid w:val="0"/>
                <w:sz w:val="20"/>
              </w:rPr>
            </w:pPr>
            <w:r w:rsidRPr="007C0D91">
              <w:rPr>
                <w:rFonts w:ascii="Arial Narrow" w:hAnsi="Arial Narrow" w:cs="Times New Roman"/>
                <w:b/>
                <w:snapToGrid w:val="0"/>
                <w:sz w:val="20"/>
              </w:rPr>
              <w:t>Component</w:t>
            </w:r>
          </w:p>
        </w:tc>
        <w:tc>
          <w:tcPr>
            <w:tcW w:w="2069" w:type="pct"/>
            <w:tcMar>
              <w:left w:w="20" w:type="dxa"/>
              <w:right w:w="20" w:type="dxa"/>
            </w:tcMar>
            <w:vAlign w:val="center"/>
          </w:tcPr>
          <w:p w14:paraId="4CA067D7" w14:textId="77777777" w:rsidR="005149D4" w:rsidRPr="007C0D91" w:rsidRDefault="005149D4" w:rsidP="00F5752D">
            <w:pPr>
              <w:keepLines/>
              <w:jc w:val="left"/>
              <w:rPr>
                <w:rFonts w:ascii="Arial Narrow" w:hAnsi="Arial Narrow" w:cs="Times New Roman"/>
                <w:b/>
                <w:snapToGrid w:val="0"/>
                <w:sz w:val="20"/>
              </w:rPr>
            </w:pPr>
            <w:r w:rsidRPr="007C0D91">
              <w:rPr>
                <w:rFonts w:ascii="Arial Narrow" w:hAnsi="Arial Narrow" w:cs="Times New Roman"/>
                <w:b/>
                <w:snapToGrid w:val="0"/>
                <w:sz w:val="20"/>
              </w:rPr>
              <w:t>Matter of concern</w:t>
            </w:r>
          </w:p>
        </w:tc>
        <w:tc>
          <w:tcPr>
            <w:tcW w:w="2069" w:type="pct"/>
            <w:tcMar>
              <w:left w:w="20" w:type="dxa"/>
              <w:right w:w="20" w:type="dxa"/>
            </w:tcMar>
            <w:vAlign w:val="center"/>
          </w:tcPr>
          <w:p w14:paraId="40BC86E9" w14:textId="77777777" w:rsidR="005149D4" w:rsidRPr="007C0D91" w:rsidRDefault="005149D4" w:rsidP="00F5752D">
            <w:pPr>
              <w:keepLines/>
              <w:jc w:val="left"/>
              <w:rPr>
                <w:rFonts w:ascii="Arial Narrow" w:hAnsi="Arial Narrow" w:cs="Times New Roman"/>
                <w:b/>
                <w:snapToGrid w:val="0"/>
                <w:sz w:val="20"/>
              </w:rPr>
            </w:pPr>
            <w:r w:rsidRPr="007C0D91">
              <w:rPr>
                <w:rFonts w:ascii="Arial Narrow" w:hAnsi="Arial Narrow" w:cs="Times New Roman"/>
                <w:b/>
                <w:snapToGrid w:val="0"/>
                <w:sz w:val="20"/>
              </w:rPr>
              <w:t>How the resubmission addresses it</w:t>
            </w:r>
          </w:p>
        </w:tc>
      </w:tr>
      <w:tr w:rsidR="005149D4" w:rsidRPr="007C0D91" w14:paraId="5741B06C" w14:textId="77777777" w:rsidTr="00E25108">
        <w:tc>
          <w:tcPr>
            <w:tcW w:w="862" w:type="pct"/>
            <w:tcMar>
              <w:left w:w="20" w:type="dxa"/>
              <w:right w:w="20" w:type="dxa"/>
            </w:tcMar>
          </w:tcPr>
          <w:p w14:paraId="0F345458" w14:textId="77777777" w:rsidR="005149D4" w:rsidRPr="007C0D91" w:rsidRDefault="005149D4" w:rsidP="00F5752D">
            <w:pPr>
              <w:keepLines/>
              <w:jc w:val="left"/>
              <w:rPr>
                <w:rFonts w:ascii="Arial Narrow" w:hAnsi="Arial Narrow" w:cs="Times New Roman"/>
                <w:snapToGrid w:val="0"/>
                <w:sz w:val="20"/>
              </w:rPr>
            </w:pPr>
            <w:r w:rsidRPr="007C0D91">
              <w:rPr>
                <w:rFonts w:ascii="Arial Narrow" w:hAnsi="Arial Narrow" w:cs="Times New Roman"/>
                <w:snapToGrid w:val="0"/>
                <w:sz w:val="20"/>
              </w:rPr>
              <w:t>Population</w:t>
            </w:r>
          </w:p>
        </w:tc>
        <w:tc>
          <w:tcPr>
            <w:tcW w:w="2069" w:type="pct"/>
            <w:tcMar>
              <w:left w:w="20" w:type="dxa"/>
              <w:right w:w="20" w:type="dxa"/>
            </w:tcMar>
          </w:tcPr>
          <w:p w14:paraId="6594674B" w14:textId="77777777" w:rsidR="005149D4" w:rsidRPr="007C0D91" w:rsidRDefault="005149D4" w:rsidP="00F5752D">
            <w:pPr>
              <w:keepLines/>
              <w:jc w:val="left"/>
              <w:rPr>
                <w:rFonts w:ascii="Arial Narrow" w:hAnsi="Arial Narrow" w:cs="Times New Roman"/>
                <w:snapToGrid w:val="0"/>
                <w:sz w:val="20"/>
              </w:rPr>
            </w:pPr>
            <w:r w:rsidRPr="007C0D91">
              <w:rPr>
                <w:rFonts w:ascii="Arial Narrow" w:hAnsi="Arial Narrow" w:cs="Times New Roman"/>
                <w:snapToGrid w:val="0"/>
                <w:sz w:val="20"/>
              </w:rPr>
              <w:t xml:space="preserve">The ESC and PBAC considered that it would be appropriate for patients to have WHO performance status of 2 or less, consistent with the current listings for </w:t>
            </w:r>
            <w:r w:rsidRPr="007C0D91">
              <w:rPr>
                <w:rFonts w:ascii="Arial Narrow" w:hAnsi="Arial Narrow" w:cs="Times New Roman"/>
                <w:i/>
                <w:snapToGrid w:val="0"/>
                <w:sz w:val="20"/>
              </w:rPr>
              <w:t>EGFR</w:t>
            </w:r>
            <w:r w:rsidRPr="007C0D91">
              <w:rPr>
                <w:rFonts w:ascii="Arial Narrow" w:hAnsi="Arial Narrow" w:cs="Times New Roman"/>
                <w:snapToGrid w:val="0"/>
                <w:sz w:val="20"/>
              </w:rPr>
              <w:t xml:space="preserve"> TKIs (para 3.10, November 2022 PSD). </w:t>
            </w:r>
          </w:p>
        </w:tc>
        <w:tc>
          <w:tcPr>
            <w:tcW w:w="2069" w:type="pct"/>
            <w:tcMar>
              <w:left w:w="20" w:type="dxa"/>
              <w:right w:w="20" w:type="dxa"/>
            </w:tcMar>
            <w:vAlign w:val="center"/>
          </w:tcPr>
          <w:p w14:paraId="094B9259" w14:textId="77777777" w:rsidR="005149D4" w:rsidRPr="007C0D91" w:rsidRDefault="005149D4" w:rsidP="00F5752D">
            <w:pPr>
              <w:keepLines/>
              <w:jc w:val="left"/>
              <w:rPr>
                <w:rFonts w:ascii="Arial Narrow" w:hAnsi="Arial Narrow" w:cs="Times New Roman"/>
                <w:iCs/>
                <w:snapToGrid w:val="0"/>
                <w:sz w:val="20"/>
              </w:rPr>
            </w:pPr>
            <w:r w:rsidRPr="007C0D91">
              <w:rPr>
                <w:rFonts w:ascii="Arial Narrow" w:hAnsi="Arial Narrow" w:cs="Times New Roman"/>
                <w:iCs/>
                <w:snapToGrid w:val="0"/>
                <w:sz w:val="20"/>
              </w:rPr>
              <w:t xml:space="preserve">Addressed. </w:t>
            </w:r>
          </w:p>
          <w:p w14:paraId="333A1B9A" w14:textId="04F2010E" w:rsidR="005149D4" w:rsidRPr="007C0D91" w:rsidRDefault="005149D4" w:rsidP="00F5752D">
            <w:pPr>
              <w:keepLines/>
              <w:jc w:val="left"/>
              <w:rPr>
                <w:rFonts w:ascii="Arial Narrow" w:hAnsi="Arial Narrow" w:cs="Times New Roman"/>
                <w:iCs/>
                <w:snapToGrid w:val="0"/>
                <w:sz w:val="20"/>
              </w:rPr>
            </w:pPr>
            <w:r w:rsidRPr="007C0D91">
              <w:rPr>
                <w:rFonts w:ascii="Arial Narrow" w:hAnsi="Arial Narrow" w:cs="Times New Roman"/>
                <w:iCs/>
                <w:snapToGrid w:val="0"/>
                <w:sz w:val="20"/>
              </w:rPr>
              <w:t>The restrictions have been changed to allow use of mobocertinib treatment in patients with WHO performance status ≤</w:t>
            </w:r>
            <w:r w:rsidR="007123E5">
              <w:rPr>
                <w:rFonts w:ascii="Arial Narrow" w:hAnsi="Arial Narrow" w:cs="Times New Roman"/>
                <w:iCs/>
                <w:snapToGrid w:val="0"/>
                <w:sz w:val="20"/>
              </w:rPr>
              <w:t> </w:t>
            </w:r>
            <w:r w:rsidRPr="007C0D91">
              <w:rPr>
                <w:rFonts w:ascii="Arial Narrow" w:hAnsi="Arial Narrow" w:cs="Times New Roman"/>
                <w:iCs/>
                <w:snapToGrid w:val="0"/>
                <w:sz w:val="20"/>
              </w:rPr>
              <w:t>2.</w:t>
            </w:r>
          </w:p>
        </w:tc>
      </w:tr>
      <w:tr w:rsidR="005149D4" w:rsidRPr="007C0D91" w14:paraId="1B903787" w14:textId="77777777" w:rsidTr="00E25108">
        <w:tc>
          <w:tcPr>
            <w:tcW w:w="862" w:type="pct"/>
            <w:tcMar>
              <w:left w:w="20" w:type="dxa"/>
              <w:right w:w="20" w:type="dxa"/>
            </w:tcMar>
          </w:tcPr>
          <w:p w14:paraId="0E19F209" w14:textId="77777777" w:rsidR="005149D4" w:rsidRPr="007C0D91" w:rsidRDefault="005149D4" w:rsidP="00F5752D">
            <w:pPr>
              <w:keepLines/>
              <w:jc w:val="left"/>
              <w:rPr>
                <w:rFonts w:ascii="Arial Narrow" w:hAnsi="Arial Narrow" w:cs="Times New Roman"/>
                <w:snapToGrid w:val="0"/>
                <w:sz w:val="20"/>
              </w:rPr>
            </w:pPr>
            <w:r w:rsidRPr="007C0D91">
              <w:rPr>
                <w:rFonts w:ascii="Arial Narrow" w:hAnsi="Arial Narrow" w:cs="Times New Roman"/>
                <w:snapToGrid w:val="0"/>
                <w:sz w:val="20"/>
              </w:rPr>
              <w:t>Comparator</w:t>
            </w:r>
          </w:p>
        </w:tc>
        <w:tc>
          <w:tcPr>
            <w:tcW w:w="2069" w:type="pct"/>
            <w:tcMar>
              <w:left w:w="20" w:type="dxa"/>
              <w:right w:w="20" w:type="dxa"/>
            </w:tcMar>
          </w:tcPr>
          <w:p w14:paraId="1466EBBC" w14:textId="77777777" w:rsidR="005149D4" w:rsidRPr="007C0D91" w:rsidRDefault="005149D4" w:rsidP="00F5752D">
            <w:pPr>
              <w:keepLines/>
              <w:jc w:val="left"/>
              <w:rPr>
                <w:rFonts w:ascii="Arial Narrow" w:hAnsi="Arial Narrow" w:cs="Times New Roman"/>
                <w:snapToGrid w:val="0"/>
                <w:sz w:val="20"/>
                <w:szCs w:val="20"/>
              </w:rPr>
            </w:pPr>
            <w:r w:rsidRPr="007C0D91">
              <w:rPr>
                <w:rFonts w:ascii="Arial Narrow" w:hAnsi="Arial Narrow"/>
                <w:snapToGrid w:val="0"/>
                <w:sz w:val="20"/>
                <w:szCs w:val="20"/>
              </w:rPr>
              <w:t xml:space="preserve">The PBAC considered that the nominated comparator of SOC, comprising </w:t>
            </w:r>
            <w:r w:rsidRPr="007C0D91">
              <w:rPr>
                <w:rFonts w:ascii="Arial Narrow" w:hAnsi="Arial Narrow"/>
                <w:i/>
                <w:snapToGrid w:val="0"/>
                <w:sz w:val="20"/>
                <w:szCs w:val="20"/>
              </w:rPr>
              <w:t>EGFR</w:t>
            </w:r>
            <w:r w:rsidRPr="007C0D91">
              <w:rPr>
                <w:rFonts w:ascii="Arial Narrow" w:hAnsi="Arial Narrow"/>
                <w:snapToGrid w:val="0"/>
                <w:sz w:val="20"/>
                <w:szCs w:val="20"/>
              </w:rPr>
              <w:t xml:space="preserve"> TKIs, ICI monotherapy, and chemotherapy, in the original submission was inappropriate as </w:t>
            </w:r>
            <w:r w:rsidRPr="007C0D91">
              <w:rPr>
                <w:rFonts w:ascii="Arial Narrow" w:hAnsi="Arial Narrow"/>
                <w:i/>
                <w:iCs/>
                <w:snapToGrid w:val="0"/>
                <w:sz w:val="20"/>
                <w:szCs w:val="20"/>
              </w:rPr>
              <w:t>EGFR</w:t>
            </w:r>
            <w:r w:rsidRPr="007C0D91">
              <w:rPr>
                <w:rFonts w:ascii="Arial Narrow" w:hAnsi="Arial Narrow"/>
                <w:snapToGrid w:val="0"/>
                <w:sz w:val="20"/>
                <w:szCs w:val="20"/>
              </w:rPr>
              <w:t xml:space="preserve"> TKIs and </w:t>
            </w:r>
            <w:r w:rsidRPr="007C0D91">
              <w:rPr>
                <w:rFonts w:ascii="Arial Narrow" w:hAnsi="Arial Narrow"/>
                <w:bCs/>
                <w:snapToGrid w:val="0"/>
                <w:sz w:val="20"/>
                <w:szCs w:val="20"/>
              </w:rPr>
              <w:t xml:space="preserve">ICI </w:t>
            </w:r>
            <w:r w:rsidRPr="007C0D91">
              <w:rPr>
                <w:rFonts w:ascii="Arial Narrow" w:hAnsi="Arial Narrow"/>
                <w:snapToGrid w:val="0"/>
                <w:sz w:val="20"/>
                <w:szCs w:val="20"/>
              </w:rPr>
              <w:t>monotherapy are generally not used in the proposed target population.</w:t>
            </w:r>
            <w:r w:rsidRPr="007C0D91">
              <w:rPr>
                <w:rFonts w:ascii="Arial Narrow" w:hAnsi="Arial Narrow"/>
                <w:bCs/>
                <w:snapToGrid w:val="0"/>
                <w:sz w:val="20"/>
                <w:szCs w:val="20"/>
              </w:rPr>
              <w:t xml:space="preserve"> The PBAC nominated chemotherapy agents such as taxanes as the most appropriate comparator and the </w:t>
            </w:r>
            <w:r w:rsidRPr="007C0D91">
              <w:rPr>
                <w:rFonts w:ascii="Arial Narrow" w:hAnsi="Arial Narrow"/>
                <w:snapToGrid w:val="0"/>
                <w:sz w:val="20"/>
                <w:szCs w:val="20"/>
              </w:rPr>
              <w:t xml:space="preserve">most likely </w:t>
            </w:r>
            <w:r w:rsidRPr="007C0D91">
              <w:rPr>
                <w:rFonts w:ascii="Arial Narrow" w:hAnsi="Arial Narrow"/>
                <w:bCs/>
                <w:snapToGrid w:val="0"/>
                <w:sz w:val="20"/>
                <w:szCs w:val="20"/>
              </w:rPr>
              <w:t xml:space="preserve">second line </w:t>
            </w:r>
            <w:r w:rsidRPr="007C0D91">
              <w:rPr>
                <w:rFonts w:ascii="Arial Narrow" w:hAnsi="Arial Narrow"/>
                <w:snapToGrid w:val="0"/>
                <w:sz w:val="20"/>
                <w:szCs w:val="20"/>
              </w:rPr>
              <w:t>treatment used in Australia</w:t>
            </w:r>
            <w:r w:rsidRPr="007C0D91">
              <w:rPr>
                <w:rFonts w:ascii="Arial Narrow" w:hAnsi="Arial Narrow"/>
                <w:bCs/>
                <w:snapToGrid w:val="0"/>
                <w:sz w:val="20"/>
                <w:szCs w:val="20"/>
              </w:rPr>
              <w:t xml:space="preserve"> (para 7.1 and 7.4, November 2022 PSD).</w:t>
            </w:r>
          </w:p>
        </w:tc>
        <w:tc>
          <w:tcPr>
            <w:tcW w:w="2069" w:type="pct"/>
            <w:tcMar>
              <w:left w:w="20" w:type="dxa"/>
              <w:right w:w="20" w:type="dxa"/>
            </w:tcMar>
            <w:vAlign w:val="center"/>
          </w:tcPr>
          <w:p w14:paraId="4B6E4212" w14:textId="77777777" w:rsidR="005149D4" w:rsidRPr="007C0D91" w:rsidRDefault="005149D4" w:rsidP="00F5752D">
            <w:pPr>
              <w:keepLines/>
              <w:jc w:val="left"/>
              <w:rPr>
                <w:rFonts w:ascii="Arial Narrow" w:hAnsi="Arial Narrow" w:cs="Times New Roman"/>
                <w:iCs/>
                <w:snapToGrid w:val="0"/>
                <w:sz w:val="20"/>
              </w:rPr>
            </w:pPr>
            <w:r w:rsidRPr="007C0D91">
              <w:rPr>
                <w:rFonts w:ascii="Arial Narrow" w:hAnsi="Arial Narrow" w:cs="Times New Roman"/>
                <w:iCs/>
                <w:snapToGrid w:val="0"/>
                <w:sz w:val="20"/>
              </w:rPr>
              <w:t>Partially addressed.</w:t>
            </w:r>
          </w:p>
          <w:p w14:paraId="5FE97DE9" w14:textId="77777777" w:rsidR="005149D4" w:rsidRPr="007C0D91" w:rsidRDefault="005149D4" w:rsidP="00F5752D">
            <w:pPr>
              <w:keepLines/>
              <w:jc w:val="left"/>
              <w:rPr>
                <w:rFonts w:ascii="Arial Narrow" w:hAnsi="Arial Narrow" w:cs="Times New Roman"/>
                <w:iCs/>
                <w:snapToGrid w:val="0"/>
                <w:sz w:val="20"/>
              </w:rPr>
            </w:pPr>
            <w:r w:rsidRPr="007C0D91">
              <w:rPr>
                <w:rFonts w:ascii="Arial Narrow" w:hAnsi="Arial Narrow" w:cs="Times New Roman"/>
                <w:iCs/>
                <w:snapToGrid w:val="0"/>
                <w:sz w:val="20"/>
              </w:rPr>
              <w:t xml:space="preserve">The resubmission nominated chemotherapy as the comparator. However, chemotherapy was not limited to taxanes as only a few patients in the comparator studies (5002 and 5008) received taxanes (n=7). The entire chemotherapy cohort (N=23) from the comparator studies was used in the ITCs with mobocertinib. </w:t>
            </w:r>
          </w:p>
        </w:tc>
      </w:tr>
      <w:tr w:rsidR="005149D4" w:rsidRPr="007C0D91" w14:paraId="0F11E602" w14:textId="77777777" w:rsidTr="00E25108">
        <w:tc>
          <w:tcPr>
            <w:tcW w:w="862" w:type="pct"/>
            <w:vMerge w:val="restart"/>
            <w:tcMar>
              <w:left w:w="20" w:type="dxa"/>
              <w:right w:w="20" w:type="dxa"/>
            </w:tcMar>
          </w:tcPr>
          <w:p w14:paraId="06AEEE65" w14:textId="77777777" w:rsidR="005149D4" w:rsidRPr="007C0D91" w:rsidRDefault="005149D4" w:rsidP="00646849">
            <w:pPr>
              <w:keepNext/>
              <w:keepLines/>
              <w:jc w:val="left"/>
              <w:rPr>
                <w:rFonts w:ascii="Arial Narrow" w:hAnsi="Arial Narrow" w:cs="Times New Roman"/>
                <w:snapToGrid w:val="0"/>
                <w:sz w:val="20"/>
              </w:rPr>
            </w:pPr>
            <w:r w:rsidRPr="007C0D91">
              <w:rPr>
                <w:rFonts w:ascii="Arial Narrow" w:hAnsi="Arial Narrow" w:cs="Times New Roman"/>
                <w:snapToGrid w:val="0"/>
                <w:sz w:val="20"/>
              </w:rPr>
              <w:lastRenderedPageBreak/>
              <w:t>Clinical evidence</w:t>
            </w:r>
          </w:p>
        </w:tc>
        <w:tc>
          <w:tcPr>
            <w:tcW w:w="2069" w:type="pct"/>
            <w:tcMar>
              <w:left w:w="20" w:type="dxa"/>
              <w:right w:w="20" w:type="dxa"/>
            </w:tcMar>
          </w:tcPr>
          <w:p w14:paraId="7FFC3C94" w14:textId="77777777" w:rsidR="005149D4" w:rsidRPr="007C0D91" w:rsidRDefault="005149D4" w:rsidP="00646849">
            <w:pPr>
              <w:keepNext/>
              <w:keepLines/>
              <w:jc w:val="left"/>
              <w:rPr>
                <w:rFonts w:ascii="Arial Narrow" w:hAnsi="Arial Narrow"/>
                <w:bCs/>
                <w:snapToGrid w:val="0"/>
                <w:sz w:val="20"/>
                <w:szCs w:val="20"/>
              </w:rPr>
            </w:pPr>
            <w:r w:rsidRPr="007C0D91">
              <w:rPr>
                <w:rFonts w:ascii="Arial Narrow" w:hAnsi="Arial Narrow"/>
                <w:snapToGrid w:val="0"/>
                <w:sz w:val="20"/>
                <w:szCs w:val="20"/>
              </w:rPr>
              <w:t xml:space="preserve">The PBAC considered that the retrospective SOC studies </w:t>
            </w:r>
            <w:r w:rsidRPr="007C0D91">
              <w:rPr>
                <w:rFonts w:ascii="Arial Narrow" w:hAnsi="Arial Narrow"/>
                <w:bCs/>
                <w:snapToGrid w:val="0"/>
                <w:sz w:val="20"/>
                <w:szCs w:val="20"/>
              </w:rPr>
              <w:t xml:space="preserve">(Study 5008 and Study 5002) </w:t>
            </w:r>
            <w:r w:rsidRPr="007C0D91">
              <w:rPr>
                <w:rFonts w:ascii="Arial Narrow" w:hAnsi="Arial Narrow"/>
                <w:snapToGrid w:val="0"/>
                <w:sz w:val="20"/>
                <w:szCs w:val="20"/>
              </w:rPr>
              <w:t>have limited applicability, in terms of treatments administered (</w:t>
            </w:r>
            <w:r w:rsidRPr="007C0D91">
              <w:rPr>
                <w:rFonts w:ascii="Arial Narrow" w:hAnsi="Arial Narrow"/>
                <w:i/>
                <w:iCs/>
                <w:snapToGrid w:val="0"/>
                <w:sz w:val="20"/>
                <w:szCs w:val="20"/>
              </w:rPr>
              <w:t>EGFR</w:t>
            </w:r>
            <w:r w:rsidRPr="007C0D91">
              <w:rPr>
                <w:rFonts w:ascii="Arial Narrow" w:hAnsi="Arial Narrow"/>
                <w:snapToGrid w:val="0"/>
                <w:sz w:val="20"/>
                <w:szCs w:val="20"/>
              </w:rPr>
              <w:t xml:space="preserve"> TKIs, ICI monotherapy, and non-PBC), to current clinical practice in Australia</w:t>
            </w:r>
            <w:r w:rsidRPr="007C0D91">
              <w:rPr>
                <w:rFonts w:ascii="Arial Narrow" w:hAnsi="Arial Narrow"/>
                <w:bCs/>
                <w:snapToGrid w:val="0"/>
                <w:sz w:val="20"/>
                <w:szCs w:val="20"/>
              </w:rPr>
              <w:t xml:space="preserve"> (</w:t>
            </w:r>
            <w:r w:rsidRPr="007C0D91">
              <w:rPr>
                <w:rFonts w:ascii="Arial Narrow" w:hAnsi="Arial Narrow"/>
                <w:snapToGrid w:val="0"/>
                <w:sz w:val="20"/>
                <w:szCs w:val="20"/>
              </w:rPr>
              <w:t>para 7.</w:t>
            </w:r>
            <w:r w:rsidRPr="007C0D91">
              <w:rPr>
                <w:rFonts w:ascii="Arial Narrow" w:hAnsi="Arial Narrow"/>
                <w:bCs/>
                <w:snapToGrid w:val="0"/>
                <w:sz w:val="20"/>
                <w:szCs w:val="20"/>
              </w:rPr>
              <w:t>5</w:t>
            </w:r>
            <w:r w:rsidRPr="007C0D91">
              <w:rPr>
                <w:rFonts w:ascii="Arial Narrow" w:hAnsi="Arial Narrow"/>
                <w:snapToGrid w:val="0"/>
                <w:sz w:val="20"/>
                <w:szCs w:val="20"/>
              </w:rPr>
              <w:t>, November 2022 PSD</w:t>
            </w:r>
            <w:r w:rsidRPr="007C0D91">
              <w:rPr>
                <w:rFonts w:ascii="Arial Narrow" w:hAnsi="Arial Narrow"/>
                <w:bCs/>
                <w:snapToGrid w:val="0"/>
                <w:sz w:val="20"/>
                <w:szCs w:val="20"/>
              </w:rPr>
              <w:t>).</w:t>
            </w:r>
          </w:p>
        </w:tc>
        <w:tc>
          <w:tcPr>
            <w:tcW w:w="2069" w:type="pct"/>
            <w:tcMar>
              <w:left w:w="20" w:type="dxa"/>
              <w:right w:w="20" w:type="dxa"/>
            </w:tcMar>
            <w:vAlign w:val="center"/>
          </w:tcPr>
          <w:p w14:paraId="0AACFA32" w14:textId="77777777" w:rsidR="005149D4" w:rsidRPr="007C0D91" w:rsidRDefault="005149D4" w:rsidP="00646849">
            <w:pPr>
              <w:keepNext/>
              <w:keepLines/>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29071087" w14:textId="77777777" w:rsidR="005149D4" w:rsidRPr="007C0D91" w:rsidRDefault="005149D4" w:rsidP="00646849">
            <w:pPr>
              <w:keepNext/>
              <w:keepLines/>
              <w:jc w:val="left"/>
              <w:rPr>
                <w:rFonts w:ascii="Arial Narrow" w:hAnsi="Arial Narrow" w:cs="Times New Roman"/>
                <w:iCs/>
                <w:snapToGrid w:val="0"/>
                <w:sz w:val="20"/>
              </w:rPr>
            </w:pPr>
            <w:r w:rsidRPr="007C0D91">
              <w:rPr>
                <w:rFonts w:ascii="Arial Narrow" w:hAnsi="Arial Narrow" w:cs="Times New Roman"/>
                <w:iCs/>
                <w:snapToGrid w:val="0"/>
                <w:sz w:val="20"/>
              </w:rPr>
              <w:t>The resubmission presented an ITC of the mobocertinib cohort from Study 101 versus the pooled chemotherapy cohort from Studies 5002 and 5008.</w:t>
            </w:r>
          </w:p>
        </w:tc>
      </w:tr>
      <w:tr w:rsidR="005149D4" w:rsidRPr="007C0D91" w14:paraId="269CBDD4" w14:textId="77777777" w:rsidTr="00E25108">
        <w:tc>
          <w:tcPr>
            <w:tcW w:w="862" w:type="pct"/>
            <w:vMerge/>
            <w:tcMar>
              <w:left w:w="20" w:type="dxa"/>
              <w:right w:w="20" w:type="dxa"/>
            </w:tcMar>
          </w:tcPr>
          <w:p w14:paraId="3CB1A1D6" w14:textId="77777777" w:rsidR="005149D4" w:rsidRPr="007C0D91" w:rsidRDefault="005149D4" w:rsidP="00646849">
            <w:pPr>
              <w:keepNext/>
              <w:keepLines/>
              <w:jc w:val="left"/>
              <w:rPr>
                <w:rFonts w:ascii="Arial Narrow" w:hAnsi="Arial Narrow" w:cs="Times New Roman"/>
                <w:snapToGrid w:val="0"/>
                <w:sz w:val="20"/>
              </w:rPr>
            </w:pPr>
          </w:p>
        </w:tc>
        <w:tc>
          <w:tcPr>
            <w:tcW w:w="2069" w:type="pct"/>
            <w:tcMar>
              <w:left w:w="20" w:type="dxa"/>
              <w:right w:w="20" w:type="dxa"/>
            </w:tcMar>
          </w:tcPr>
          <w:p w14:paraId="059A50AF" w14:textId="77777777" w:rsidR="005149D4" w:rsidRPr="007C0D91" w:rsidRDefault="005149D4" w:rsidP="00646849">
            <w:pPr>
              <w:keepNext/>
              <w:keepLines/>
              <w:jc w:val="left"/>
              <w:rPr>
                <w:rFonts w:ascii="Arial Narrow" w:hAnsi="Arial Narrow"/>
                <w:snapToGrid w:val="0"/>
                <w:sz w:val="20"/>
                <w:szCs w:val="20"/>
              </w:rPr>
            </w:pPr>
            <w:r w:rsidRPr="007C0D91">
              <w:rPr>
                <w:rFonts w:ascii="Arial Narrow" w:hAnsi="Arial Narrow"/>
                <w:iCs/>
                <w:snapToGrid w:val="0"/>
                <w:sz w:val="20"/>
                <w:szCs w:val="20"/>
              </w:rPr>
              <w:t>The ESC had substantial reservations about the applicability of both the comparator studies, given that neither study provided a pure effect of chemotherapy-based treatments for a group of patients with a similar treatment history to Study 101. It considered that a comparison of mobocertinib with pooled results from Studies 5008 and 5002 may be more reasonable than a comparison with either study alone (para 6.22, November 2022 PSD)</w:t>
            </w:r>
          </w:p>
        </w:tc>
        <w:tc>
          <w:tcPr>
            <w:tcW w:w="2069" w:type="pct"/>
            <w:tcMar>
              <w:left w:w="20" w:type="dxa"/>
              <w:right w:w="20" w:type="dxa"/>
            </w:tcMar>
            <w:vAlign w:val="center"/>
          </w:tcPr>
          <w:p w14:paraId="0C15F70F" w14:textId="77777777" w:rsidR="005149D4" w:rsidRPr="007C0D91" w:rsidRDefault="005149D4" w:rsidP="00646849">
            <w:pPr>
              <w:keepNext/>
              <w:keepLines/>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41B3B7BE" w14:textId="77777777" w:rsidR="005149D4" w:rsidRPr="007C0D91" w:rsidRDefault="005149D4" w:rsidP="00646849">
            <w:pPr>
              <w:keepNext/>
              <w:keepLines/>
              <w:jc w:val="left"/>
              <w:rPr>
                <w:rFonts w:ascii="Arial Narrow" w:hAnsi="Arial Narrow" w:cs="Times New Roman"/>
                <w:iCs/>
                <w:snapToGrid w:val="0"/>
                <w:sz w:val="20"/>
              </w:rPr>
            </w:pPr>
            <w:r w:rsidRPr="007C0D91">
              <w:rPr>
                <w:rFonts w:ascii="Arial Narrow" w:hAnsi="Arial Narrow" w:cs="Times New Roman"/>
                <w:iCs/>
                <w:snapToGrid w:val="0"/>
                <w:sz w:val="20"/>
              </w:rPr>
              <w:t>In the resubmission, the ITC of mobocertinib versus chemotherapy used the pooled data from Studies 5002 and 5008.</w:t>
            </w:r>
          </w:p>
        </w:tc>
      </w:tr>
      <w:tr w:rsidR="005149D4" w:rsidRPr="007C0D91" w14:paraId="476EE8A0" w14:textId="77777777" w:rsidTr="00E25108">
        <w:tc>
          <w:tcPr>
            <w:tcW w:w="862" w:type="pct"/>
            <w:vMerge/>
            <w:tcMar>
              <w:left w:w="20" w:type="dxa"/>
              <w:right w:w="20" w:type="dxa"/>
            </w:tcMar>
          </w:tcPr>
          <w:p w14:paraId="662B44A1" w14:textId="77777777" w:rsidR="005149D4" w:rsidRPr="007C0D91" w:rsidRDefault="005149D4" w:rsidP="00646849">
            <w:pPr>
              <w:keepNext/>
              <w:keepLines/>
              <w:jc w:val="left"/>
              <w:rPr>
                <w:rFonts w:ascii="Arial Narrow" w:hAnsi="Arial Narrow" w:cs="Times New Roman"/>
                <w:snapToGrid w:val="0"/>
                <w:sz w:val="20"/>
              </w:rPr>
            </w:pPr>
          </w:p>
        </w:tc>
        <w:tc>
          <w:tcPr>
            <w:tcW w:w="2069" w:type="pct"/>
            <w:tcMar>
              <w:left w:w="20" w:type="dxa"/>
              <w:right w:w="20" w:type="dxa"/>
            </w:tcMar>
          </w:tcPr>
          <w:p w14:paraId="24F4D3CB" w14:textId="77777777" w:rsidR="005149D4" w:rsidRPr="007C0D91" w:rsidRDefault="005149D4" w:rsidP="00646849">
            <w:pPr>
              <w:keepNext/>
              <w:keepLines/>
              <w:jc w:val="left"/>
              <w:rPr>
                <w:rFonts w:ascii="Arial Narrow" w:hAnsi="Arial Narrow"/>
                <w:snapToGrid w:val="0"/>
                <w:sz w:val="20"/>
                <w:szCs w:val="20"/>
              </w:rPr>
            </w:pPr>
            <w:r w:rsidRPr="007C0D91">
              <w:rPr>
                <w:rFonts w:ascii="Arial Narrow" w:hAnsi="Arial Narrow"/>
                <w:snapToGrid w:val="0"/>
                <w:sz w:val="20"/>
                <w:szCs w:val="20"/>
              </w:rPr>
              <w:t xml:space="preserve">The PBAC considered that the evidence presented is associated with a very high degree of uncertainty that did not permit either a comparison of mobocertinib with the appropriate comparator (chemotherapy), or a comparison of safety </w:t>
            </w:r>
            <w:r w:rsidRPr="007C0D91">
              <w:rPr>
                <w:rFonts w:ascii="Arial Narrow" w:hAnsi="Arial Narrow"/>
                <w:bCs/>
                <w:snapToGrid w:val="0"/>
                <w:sz w:val="20"/>
                <w:szCs w:val="20"/>
              </w:rPr>
              <w:t>(</w:t>
            </w:r>
            <w:r w:rsidRPr="007C0D91">
              <w:rPr>
                <w:rFonts w:ascii="Arial Narrow" w:hAnsi="Arial Narrow"/>
                <w:snapToGrid w:val="0"/>
                <w:sz w:val="20"/>
                <w:szCs w:val="20"/>
              </w:rPr>
              <w:t>para 7.1, November 2022 PSD)</w:t>
            </w:r>
          </w:p>
        </w:tc>
        <w:tc>
          <w:tcPr>
            <w:tcW w:w="2069" w:type="pct"/>
            <w:tcMar>
              <w:left w:w="20" w:type="dxa"/>
              <w:right w:w="20" w:type="dxa"/>
            </w:tcMar>
            <w:vAlign w:val="center"/>
          </w:tcPr>
          <w:p w14:paraId="5F6DDD86" w14:textId="77777777" w:rsidR="005149D4" w:rsidRPr="007C0D91" w:rsidRDefault="005149D4" w:rsidP="00646849">
            <w:pPr>
              <w:keepNext/>
              <w:keepLines/>
              <w:jc w:val="left"/>
              <w:rPr>
                <w:rFonts w:ascii="Arial Narrow" w:hAnsi="Arial Narrow" w:cs="Times New Roman"/>
                <w:iCs/>
                <w:snapToGrid w:val="0"/>
                <w:sz w:val="20"/>
              </w:rPr>
            </w:pPr>
            <w:r w:rsidRPr="007C0D91">
              <w:rPr>
                <w:rFonts w:ascii="Arial Narrow" w:hAnsi="Arial Narrow" w:cs="Times New Roman"/>
                <w:iCs/>
                <w:snapToGrid w:val="0"/>
                <w:sz w:val="20"/>
              </w:rPr>
              <w:t>Partially addressed.</w:t>
            </w:r>
          </w:p>
          <w:p w14:paraId="14D84229" w14:textId="77777777" w:rsidR="005149D4" w:rsidRPr="007C0D91" w:rsidRDefault="005149D4" w:rsidP="00646849">
            <w:pPr>
              <w:keepNext/>
              <w:keepLines/>
              <w:jc w:val="left"/>
              <w:rPr>
                <w:rFonts w:ascii="Arial Narrow" w:hAnsi="Arial Narrow" w:cs="Times New Roman"/>
                <w:iCs/>
                <w:snapToGrid w:val="0"/>
                <w:sz w:val="20"/>
              </w:rPr>
            </w:pPr>
            <w:r w:rsidRPr="007C0D91">
              <w:rPr>
                <w:rFonts w:ascii="Arial Narrow" w:hAnsi="Arial Narrow" w:cs="Times New Roman"/>
                <w:iCs/>
                <w:snapToGrid w:val="0"/>
                <w:sz w:val="20"/>
              </w:rPr>
              <w:t>An ITC of the mobocertinib cohort from Study 101 with a pooled chemotherapy cohort from Studies 5002 and 5008 was presented in the resubmission. However, given the major transitivity issues across treatment cohorts indirectly compared and the small sample size of the chemotherapy cohort (N=23), the incremental benefit of mobocertinib over chemotherapy remains uncertain. There is no comparative evidence of safety for mobocertinib versus chemotherapy, as safety data was not collected in the comparator studies.</w:t>
            </w:r>
          </w:p>
        </w:tc>
      </w:tr>
      <w:tr w:rsidR="005149D4" w:rsidRPr="007C0D91" w14:paraId="7BAAFA1C" w14:textId="77777777" w:rsidTr="00E25108">
        <w:tc>
          <w:tcPr>
            <w:tcW w:w="862" w:type="pct"/>
            <w:vMerge w:val="restart"/>
            <w:tcMar>
              <w:left w:w="20" w:type="dxa"/>
              <w:right w:w="20" w:type="dxa"/>
            </w:tcMar>
          </w:tcPr>
          <w:p w14:paraId="04DF11C7" w14:textId="77777777" w:rsidR="005149D4" w:rsidRPr="007C0D91" w:rsidRDefault="005149D4" w:rsidP="008869C7">
            <w:pPr>
              <w:jc w:val="left"/>
              <w:rPr>
                <w:rFonts w:ascii="Arial Narrow" w:hAnsi="Arial Narrow" w:cs="Times New Roman"/>
                <w:snapToGrid w:val="0"/>
                <w:sz w:val="20"/>
              </w:rPr>
            </w:pPr>
            <w:r w:rsidRPr="007C0D91">
              <w:rPr>
                <w:rFonts w:ascii="Arial Narrow" w:hAnsi="Arial Narrow" w:cs="Times New Roman"/>
                <w:snapToGrid w:val="0"/>
                <w:sz w:val="20"/>
              </w:rPr>
              <w:t>Clinical effectiveness</w:t>
            </w:r>
          </w:p>
        </w:tc>
        <w:tc>
          <w:tcPr>
            <w:tcW w:w="2069" w:type="pct"/>
            <w:tcMar>
              <w:left w:w="20" w:type="dxa"/>
              <w:right w:w="20" w:type="dxa"/>
            </w:tcMar>
          </w:tcPr>
          <w:p w14:paraId="7CB9B5FD" w14:textId="77777777" w:rsidR="005149D4" w:rsidRPr="007C0D91" w:rsidRDefault="005149D4" w:rsidP="008869C7">
            <w:pPr>
              <w:jc w:val="left"/>
              <w:rPr>
                <w:rFonts w:ascii="Arial Narrow" w:hAnsi="Arial Narrow"/>
                <w:bCs/>
                <w:snapToGrid w:val="0"/>
                <w:color w:val="0066FF"/>
                <w:sz w:val="20"/>
                <w:szCs w:val="20"/>
              </w:rPr>
            </w:pPr>
            <w:r w:rsidRPr="007C0D91">
              <w:rPr>
                <w:rFonts w:ascii="Arial Narrow" w:hAnsi="Arial Narrow"/>
                <w:bCs/>
                <w:snapToGrid w:val="0"/>
                <w:sz w:val="20"/>
                <w:szCs w:val="20"/>
              </w:rPr>
              <w:t>The PBAC considered that the submission’s claim of superior effectiveness was very uncertain, due to a high risk of bias and small sample sizes, and that inflating the populations (using the adjusted IPTW methodology) had the risk of exacerbating the potential biases (para 7.6, November 2022 PSD).</w:t>
            </w:r>
          </w:p>
        </w:tc>
        <w:tc>
          <w:tcPr>
            <w:tcW w:w="2069" w:type="pct"/>
            <w:tcMar>
              <w:left w:w="20" w:type="dxa"/>
              <w:right w:w="20" w:type="dxa"/>
            </w:tcMar>
          </w:tcPr>
          <w:p w14:paraId="7B879BAD" w14:textId="77777777" w:rsidR="005149D4" w:rsidRPr="007C0D91" w:rsidRDefault="005149D4" w:rsidP="008869C7">
            <w:pPr>
              <w:jc w:val="left"/>
              <w:rPr>
                <w:rFonts w:ascii="Arial Narrow" w:hAnsi="Arial Narrow"/>
                <w:bCs/>
                <w:iCs/>
                <w:snapToGrid w:val="0"/>
                <w:sz w:val="20"/>
                <w:szCs w:val="20"/>
              </w:rPr>
            </w:pPr>
            <w:r w:rsidRPr="007C0D91">
              <w:rPr>
                <w:rFonts w:ascii="Arial Narrow" w:hAnsi="Arial Narrow"/>
                <w:bCs/>
                <w:iCs/>
                <w:snapToGrid w:val="0"/>
                <w:sz w:val="20"/>
                <w:szCs w:val="20"/>
              </w:rPr>
              <w:t>Not addressed.</w:t>
            </w:r>
          </w:p>
          <w:p w14:paraId="1C6C23ED" w14:textId="77777777" w:rsidR="005149D4" w:rsidRPr="007C0D91" w:rsidRDefault="005149D4" w:rsidP="008869C7">
            <w:pPr>
              <w:jc w:val="left"/>
              <w:rPr>
                <w:rFonts w:ascii="Arial Narrow" w:hAnsi="Arial Narrow"/>
                <w:bCs/>
                <w:iCs/>
                <w:snapToGrid w:val="0"/>
                <w:sz w:val="20"/>
                <w:szCs w:val="20"/>
              </w:rPr>
            </w:pPr>
            <w:r w:rsidRPr="007C0D91">
              <w:rPr>
                <w:rFonts w:ascii="Arial Narrow" w:hAnsi="Arial Narrow"/>
                <w:bCs/>
                <w:iCs/>
                <w:snapToGrid w:val="0"/>
                <w:sz w:val="20"/>
                <w:szCs w:val="20"/>
              </w:rPr>
              <w:t>These concerns have not been resolved because there were numerous limitations associated with the IPTW-based ITCs of mobocertinib versus chemotherapy and versus SOC.</w:t>
            </w:r>
          </w:p>
        </w:tc>
      </w:tr>
      <w:tr w:rsidR="005149D4" w:rsidRPr="007C0D91" w14:paraId="6A3D06AF" w14:textId="77777777" w:rsidTr="00E25108">
        <w:tc>
          <w:tcPr>
            <w:tcW w:w="862" w:type="pct"/>
            <w:vMerge/>
            <w:tcMar>
              <w:left w:w="20" w:type="dxa"/>
              <w:right w:w="20" w:type="dxa"/>
            </w:tcMar>
            <w:vAlign w:val="center"/>
          </w:tcPr>
          <w:p w14:paraId="6949FB28" w14:textId="77777777" w:rsidR="005149D4" w:rsidRPr="007C0D91" w:rsidRDefault="005149D4" w:rsidP="008869C7">
            <w:pPr>
              <w:jc w:val="left"/>
              <w:rPr>
                <w:rFonts w:ascii="Arial Narrow" w:hAnsi="Arial Narrow" w:cs="Times New Roman"/>
                <w:snapToGrid w:val="0"/>
                <w:sz w:val="20"/>
              </w:rPr>
            </w:pPr>
          </w:p>
        </w:tc>
        <w:tc>
          <w:tcPr>
            <w:tcW w:w="2069" w:type="pct"/>
            <w:tcMar>
              <w:left w:w="20" w:type="dxa"/>
              <w:right w:w="20" w:type="dxa"/>
            </w:tcMar>
          </w:tcPr>
          <w:p w14:paraId="56351874" w14:textId="77777777" w:rsidR="005149D4" w:rsidRPr="007C0D91" w:rsidRDefault="005149D4" w:rsidP="008869C7">
            <w:pPr>
              <w:jc w:val="left"/>
              <w:rPr>
                <w:rFonts w:ascii="Arial Narrow" w:hAnsi="Arial Narrow"/>
                <w:bCs/>
                <w:snapToGrid w:val="0"/>
                <w:sz w:val="20"/>
                <w:szCs w:val="20"/>
              </w:rPr>
            </w:pPr>
            <w:r w:rsidRPr="007C0D91">
              <w:rPr>
                <w:rFonts w:ascii="Arial Narrow" w:hAnsi="Arial Narrow"/>
                <w:bCs/>
                <w:snapToGrid w:val="0"/>
                <w:sz w:val="20"/>
                <w:szCs w:val="20"/>
              </w:rPr>
              <w:t xml:space="preserve">The PBAC considered that the magnitude of a potential incremental benefit of mobocertinib compared with SOC was uncertain and may be overestimated by the inclusion of </w:t>
            </w:r>
            <w:r w:rsidRPr="007C0D91">
              <w:rPr>
                <w:rFonts w:ascii="Arial Narrow" w:hAnsi="Arial Narrow"/>
                <w:bCs/>
                <w:i/>
                <w:iCs/>
                <w:snapToGrid w:val="0"/>
                <w:sz w:val="20"/>
                <w:szCs w:val="20"/>
              </w:rPr>
              <w:t>EGFR</w:t>
            </w:r>
            <w:r w:rsidRPr="007C0D91">
              <w:rPr>
                <w:rFonts w:ascii="Arial Narrow" w:hAnsi="Arial Narrow"/>
                <w:bCs/>
                <w:snapToGrid w:val="0"/>
                <w:sz w:val="20"/>
                <w:szCs w:val="20"/>
              </w:rPr>
              <w:t xml:space="preserve"> TKIs and ICI monotherapy that are not effective in the second line setting for the proposed indication and are not used in Australian clinical practice (para 7.6, November 2022 PSD).</w:t>
            </w:r>
          </w:p>
        </w:tc>
        <w:tc>
          <w:tcPr>
            <w:tcW w:w="2069" w:type="pct"/>
            <w:tcMar>
              <w:left w:w="20" w:type="dxa"/>
              <w:right w:w="20" w:type="dxa"/>
            </w:tcMar>
          </w:tcPr>
          <w:p w14:paraId="4DF7FBB2" w14:textId="77777777" w:rsidR="005149D4" w:rsidRPr="007C0D91" w:rsidRDefault="005149D4" w:rsidP="008869C7">
            <w:pPr>
              <w:jc w:val="left"/>
              <w:rPr>
                <w:rFonts w:ascii="Arial Narrow" w:hAnsi="Arial Narrow" w:cs="Times New Roman"/>
                <w:iCs/>
                <w:snapToGrid w:val="0"/>
                <w:sz w:val="20"/>
              </w:rPr>
            </w:pPr>
            <w:r w:rsidRPr="007C0D91">
              <w:rPr>
                <w:rFonts w:ascii="Arial Narrow" w:hAnsi="Arial Narrow" w:cs="Times New Roman"/>
                <w:iCs/>
                <w:snapToGrid w:val="0"/>
                <w:sz w:val="20"/>
              </w:rPr>
              <w:t>Partially addressed.</w:t>
            </w:r>
          </w:p>
          <w:p w14:paraId="3D7FC889" w14:textId="77777777" w:rsidR="005149D4" w:rsidRPr="007C0D91" w:rsidRDefault="005149D4" w:rsidP="008869C7">
            <w:pPr>
              <w:jc w:val="left"/>
              <w:rPr>
                <w:rFonts w:ascii="Arial Narrow" w:hAnsi="Arial Narrow" w:cs="Times New Roman"/>
                <w:iCs/>
                <w:snapToGrid w:val="0"/>
                <w:sz w:val="20"/>
              </w:rPr>
            </w:pPr>
            <w:r w:rsidRPr="007C0D91">
              <w:rPr>
                <w:rFonts w:ascii="Arial Narrow" w:hAnsi="Arial Narrow" w:cs="Times New Roman"/>
                <w:iCs/>
                <w:snapToGrid w:val="0"/>
                <w:sz w:val="20"/>
              </w:rPr>
              <w:t>The resubmission presented the ITC of mobocertinib with chemotherapy. However, given the limitations associated with this ITC, the indirect estimates of the treatment benefit of mobocertinib in comparison with chemotherapy remain uncertain.</w:t>
            </w:r>
          </w:p>
        </w:tc>
      </w:tr>
      <w:tr w:rsidR="005149D4" w:rsidRPr="007C0D91" w14:paraId="27603914" w14:textId="77777777" w:rsidTr="00E25108">
        <w:tc>
          <w:tcPr>
            <w:tcW w:w="862" w:type="pct"/>
            <w:vMerge/>
            <w:tcMar>
              <w:left w:w="20" w:type="dxa"/>
              <w:right w:w="20" w:type="dxa"/>
            </w:tcMar>
            <w:vAlign w:val="center"/>
          </w:tcPr>
          <w:p w14:paraId="42365C63" w14:textId="77777777" w:rsidR="005149D4" w:rsidRPr="007C0D91" w:rsidRDefault="005149D4" w:rsidP="008869C7">
            <w:pPr>
              <w:jc w:val="left"/>
              <w:rPr>
                <w:rFonts w:ascii="Arial Narrow" w:hAnsi="Arial Narrow" w:cs="Times New Roman"/>
                <w:snapToGrid w:val="0"/>
                <w:sz w:val="20"/>
              </w:rPr>
            </w:pPr>
          </w:p>
        </w:tc>
        <w:tc>
          <w:tcPr>
            <w:tcW w:w="2069" w:type="pct"/>
            <w:tcMar>
              <w:left w:w="20" w:type="dxa"/>
              <w:right w:w="20" w:type="dxa"/>
            </w:tcMar>
          </w:tcPr>
          <w:p w14:paraId="3A83229F" w14:textId="77777777" w:rsidR="005149D4" w:rsidRPr="007C0D91" w:rsidRDefault="005149D4" w:rsidP="008869C7">
            <w:pPr>
              <w:jc w:val="left"/>
              <w:rPr>
                <w:rFonts w:ascii="Arial Narrow" w:hAnsi="Arial Narrow"/>
                <w:bCs/>
                <w:snapToGrid w:val="0"/>
                <w:sz w:val="20"/>
                <w:szCs w:val="20"/>
              </w:rPr>
            </w:pPr>
            <w:bookmarkStart w:id="15" w:name="_Hlk134018398"/>
            <w:r w:rsidRPr="007C0D91">
              <w:rPr>
                <w:rFonts w:ascii="Arial Narrow" w:hAnsi="Arial Narrow"/>
                <w:bCs/>
                <w:snapToGrid w:val="0"/>
                <w:sz w:val="20"/>
                <w:szCs w:val="20"/>
              </w:rPr>
              <w:t>The PBAC considered that the median OS for mobocertinib of 20.17 months in Study 101, compared to 9.76 months for SOC Study 5008 (adjusted IPTW HR = 0.42, p = 0.0025) was implausible, given the relatively low cORR of 28% for mobocertinib (para 7.6, November 2022 PSD).</w:t>
            </w:r>
            <w:bookmarkEnd w:id="15"/>
          </w:p>
        </w:tc>
        <w:tc>
          <w:tcPr>
            <w:tcW w:w="2069" w:type="pct"/>
            <w:tcMar>
              <w:left w:w="20" w:type="dxa"/>
              <w:right w:w="20" w:type="dxa"/>
            </w:tcMar>
          </w:tcPr>
          <w:p w14:paraId="53D413BD" w14:textId="77777777" w:rsidR="005149D4" w:rsidRPr="007C0D91" w:rsidRDefault="005149D4" w:rsidP="008869C7">
            <w:pPr>
              <w:jc w:val="left"/>
              <w:rPr>
                <w:rFonts w:ascii="Arial Narrow" w:hAnsi="Arial Narrow"/>
                <w:bCs/>
                <w:iCs/>
                <w:snapToGrid w:val="0"/>
                <w:sz w:val="20"/>
                <w:szCs w:val="20"/>
              </w:rPr>
            </w:pPr>
            <w:bookmarkStart w:id="16" w:name="_Hlk134018355"/>
            <w:r w:rsidRPr="007C0D91">
              <w:rPr>
                <w:rFonts w:ascii="Arial Narrow" w:hAnsi="Arial Narrow"/>
                <w:bCs/>
                <w:iCs/>
                <w:snapToGrid w:val="0"/>
                <w:sz w:val="20"/>
                <w:szCs w:val="20"/>
              </w:rPr>
              <w:t>Addressed</w:t>
            </w:r>
          </w:p>
          <w:p w14:paraId="0A061BAC" w14:textId="77777777" w:rsidR="005149D4" w:rsidRPr="007C0D91" w:rsidRDefault="005149D4" w:rsidP="008869C7">
            <w:pPr>
              <w:jc w:val="left"/>
              <w:rPr>
                <w:rFonts w:ascii="Arial Narrow" w:hAnsi="Arial Narrow"/>
                <w:bCs/>
                <w:iCs/>
                <w:snapToGrid w:val="0"/>
                <w:color w:val="0066FF"/>
                <w:sz w:val="20"/>
                <w:szCs w:val="20"/>
                <w:highlight w:val="yellow"/>
              </w:rPr>
            </w:pPr>
            <w:r w:rsidRPr="007C0D91">
              <w:rPr>
                <w:rFonts w:ascii="Arial Narrow" w:hAnsi="Arial Narrow"/>
                <w:bCs/>
                <w:iCs/>
                <w:snapToGrid w:val="0"/>
                <w:sz w:val="20"/>
                <w:szCs w:val="20"/>
              </w:rPr>
              <w:t xml:space="preserve">The resubmission indicated that 78% of patients receiving mobocertinib in Study 101 achieved a CR, PR or </w:t>
            </w:r>
            <w:proofErr w:type="gramStart"/>
            <w:r w:rsidRPr="007C0D91">
              <w:rPr>
                <w:rFonts w:ascii="Arial Narrow" w:hAnsi="Arial Narrow"/>
                <w:bCs/>
                <w:iCs/>
                <w:snapToGrid w:val="0"/>
                <w:sz w:val="20"/>
                <w:szCs w:val="20"/>
              </w:rPr>
              <w:t>SD</w:t>
            </w:r>
            <w:r w:rsidRPr="007C0D91">
              <w:rPr>
                <w:rFonts w:ascii="Arial Narrow" w:hAnsi="Arial Narrow"/>
                <w:bCs/>
                <w:iCs/>
                <w:snapToGrid w:val="0"/>
                <w:sz w:val="20"/>
                <w:szCs w:val="20"/>
                <w:vertAlign w:val="superscript"/>
              </w:rPr>
              <w:t>a</w:t>
            </w:r>
            <w:r w:rsidRPr="007C0D91">
              <w:rPr>
                <w:rFonts w:ascii="Arial Narrow" w:hAnsi="Arial Narrow"/>
                <w:bCs/>
                <w:iCs/>
                <w:snapToGrid w:val="0"/>
                <w:sz w:val="20"/>
                <w:szCs w:val="20"/>
              </w:rPr>
              <w:t xml:space="preserve"> .</w:t>
            </w:r>
            <w:proofErr w:type="gramEnd"/>
            <w:r w:rsidRPr="007C0D91">
              <w:rPr>
                <w:rFonts w:ascii="Arial Narrow" w:hAnsi="Arial Narrow"/>
                <w:bCs/>
                <w:iCs/>
                <w:snapToGrid w:val="0"/>
                <w:sz w:val="20"/>
                <w:szCs w:val="20"/>
              </w:rPr>
              <w:t xml:space="preserve"> The median OS was 32 months in the responders (CR and PR, 28%) and 20 months in patients with SD (50%)</w:t>
            </w:r>
            <w:bookmarkEnd w:id="16"/>
            <w:r w:rsidRPr="007C0D91">
              <w:rPr>
                <w:rFonts w:ascii="Arial Narrow" w:hAnsi="Arial Narrow"/>
                <w:bCs/>
                <w:iCs/>
                <w:snapToGrid w:val="0"/>
                <w:sz w:val="20"/>
                <w:szCs w:val="20"/>
              </w:rPr>
              <w:t>.</w:t>
            </w:r>
          </w:p>
        </w:tc>
      </w:tr>
      <w:tr w:rsidR="005149D4" w:rsidRPr="007C0D91" w14:paraId="1F98C095" w14:textId="77777777" w:rsidTr="007123E5">
        <w:trPr>
          <w:cantSplit/>
        </w:trPr>
        <w:tc>
          <w:tcPr>
            <w:tcW w:w="862" w:type="pct"/>
            <w:tcMar>
              <w:left w:w="20" w:type="dxa"/>
              <w:right w:w="20" w:type="dxa"/>
            </w:tcMar>
          </w:tcPr>
          <w:p w14:paraId="317A7275" w14:textId="77777777" w:rsidR="005149D4" w:rsidRPr="007C0D91" w:rsidRDefault="005149D4" w:rsidP="008869C7">
            <w:pPr>
              <w:jc w:val="left"/>
              <w:rPr>
                <w:rFonts w:ascii="Arial Narrow" w:hAnsi="Arial Narrow" w:cs="Times New Roman"/>
                <w:snapToGrid w:val="0"/>
                <w:sz w:val="20"/>
              </w:rPr>
            </w:pPr>
            <w:r w:rsidRPr="007C0D91">
              <w:rPr>
                <w:rFonts w:ascii="Arial Narrow" w:hAnsi="Arial Narrow" w:cs="Times New Roman"/>
                <w:snapToGrid w:val="0"/>
                <w:sz w:val="20"/>
              </w:rPr>
              <w:lastRenderedPageBreak/>
              <w:t>Clinical harms</w:t>
            </w:r>
          </w:p>
        </w:tc>
        <w:tc>
          <w:tcPr>
            <w:tcW w:w="2069" w:type="pct"/>
            <w:tcMar>
              <w:left w:w="20" w:type="dxa"/>
              <w:right w:w="20" w:type="dxa"/>
            </w:tcMar>
          </w:tcPr>
          <w:p w14:paraId="4185C334" w14:textId="77777777" w:rsidR="005149D4" w:rsidRPr="007C0D91" w:rsidRDefault="005149D4" w:rsidP="008869C7">
            <w:pPr>
              <w:jc w:val="left"/>
              <w:rPr>
                <w:rFonts w:ascii="Arial Narrow" w:hAnsi="Arial Narrow"/>
                <w:bCs/>
                <w:snapToGrid w:val="0"/>
                <w:sz w:val="20"/>
                <w:szCs w:val="20"/>
              </w:rPr>
            </w:pPr>
            <w:r w:rsidRPr="007C0D91">
              <w:rPr>
                <w:rFonts w:ascii="Arial Narrow" w:hAnsi="Arial Narrow"/>
                <w:bCs/>
                <w:snapToGrid w:val="0"/>
                <w:sz w:val="20"/>
                <w:szCs w:val="20"/>
              </w:rPr>
              <w:t xml:space="preserve">The original submission did not present a safety comparison of mobocertinib against </w:t>
            </w:r>
            <w:proofErr w:type="gramStart"/>
            <w:r w:rsidRPr="007C0D91">
              <w:rPr>
                <w:rFonts w:ascii="Arial Narrow" w:hAnsi="Arial Narrow"/>
                <w:bCs/>
                <w:snapToGrid w:val="0"/>
                <w:sz w:val="20"/>
                <w:szCs w:val="20"/>
              </w:rPr>
              <w:t>SOC, and</w:t>
            </w:r>
            <w:proofErr w:type="gramEnd"/>
            <w:r w:rsidRPr="007C0D91">
              <w:rPr>
                <w:rFonts w:ascii="Arial Narrow" w:hAnsi="Arial Narrow"/>
                <w:bCs/>
                <w:snapToGrid w:val="0"/>
                <w:sz w:val="20"/>
                <w:szCs w:val="20"/>
              </w:rPr>
              <w:t xml:space="preserve"> considered that mobocertinib may have a “different” safety profile that is not non-inferior to SOC (para 7.7, November 2022 PSD).</w:t>
            </w:r>
          </w:p>
        </w:tc>
        <w:tc>
          <w:tcPr>
            <w:tcW w:w="2069" w:type="pct"/>
            <w:tcMar>
              <w:left w:w="20" w:type="dxa"/>
              <w:right w:w="20" w:type="dxa"/>
            </w:tcMar>
          </w:tcPr>
          <w:p w14:paraId="439E6D6B" w14:textId="77777777" w:rsidR="005149D4" w:rsidRPr="007C0D91" w:rsidRDefault="005149D4" w:rsidP="008869C7">
            <w:pPr>
              <w:jc w:val="left"/>
              <w:rPr>
                <w:rFonts w:ascii="Arial Narrow" w:hAnsi="Arial Narrow" w:cs="Times New Roman"/>
                <w:iCs/>
                <w:snapToGrid w:val="0"/>
                <w:sz w:val="20"/>
              </w:rPr>
            </w:pPr>
            <w:r w:rsidRPr="007C0D91">
              <w:rPr>
                <w:rFonts w:ascii="Arial Narrow" w:hAnsi="Arial Narrow" w:cs="Times New Roman"/>
                <w:iCs/>
                <w:snapToGrid w:val="0"/>
                <w:sz w:val="20"/>
              </w:rPr>
              <w:t>Not addressed.</w:t>
            </w:r>
          </w:p>
          <w:p w14:paraId="2FD87F4F" w14:textId="77777777" w:rsidR="005149D4" w:rsidRPr="007C0D91" w:rsidRDefault="005149D4" w:rsidP="008869C7">
            <w:pPr>
              <w:jc w:val="left"/>
              <w:rPr>
                <w:rFonts w:ascii="Arial Narrow" w:hAnsi="Arial Narrow" w:cs="Times New Roman"/>
                <w:iCs/>
                <w:snapToGrid w:val="0"/>
                <w:sz w:val="20"/>
              </w:rPr>
            </w:pPr>
            <w:r w:rsidRPr="007C0D91">
              <w:rPr>
                <w:rFonts w:ascii="Arial Narrow" w:hAnsi="Arial Narrow" w:cs="Times New Roman"/>
                <w:iCs/>
                <w:snapToGrid w:val="0"/>
                <w:sz w:val="20"/>
              </w:rPr>
              <w:t>There is no comparative evidence of safety for mobocertinib. Safety data were not collected during the comparator studies.</w:t>
            </w:r>
          </w:p>
        </w:tc>
      </w:tr>
      <w:tr w:rsidR="00DD116A" w:rsidRPr="007C0D91" w14:paraId="59167AA9" w14:textId="77777777" w:rsidTr="00E25108">
        <w:tc>
          <w:tcPr>
            <w:tcW w:w="862" w:type="pct"/>
            <w:vMerge w:val="restart"/>
            <w:tcMar>
              <w:left w:w="20" w:type="dxa"/>
              <w:right w:w="20" w:type="dxa"/>
            </w:tcMar>
          </w:tcPr>
          <w:p w14:paraId="716F7E2A" w14:textId="29D66AF7" w:rsidR="00DD116A" w:rsidRPr="007C0D91" w:rsidRDefault="00DD116A" w:rsidP="00DD116A">
            <w:pPr>
              <w:jc w:val="left"/>
              <w:rPr>
                <w:rFonts w:ascii="Arial Narrow" w:hAnsi="Arial Narrow" w:cs="Times New Roman"/>
                <w:snapToGrid w:val="0"/>
                <w:sz w:val="20"/>
              </w:rPr>
            </w:pPr>
            <w:r w:rsidRPr="007C0D91">
              <w:rPr>
                <w:rFonts w:ascii="Arial Narrow" w:hAnsi="Arial Narrow" w:cs="Times New Roman"/>
                <w:snapToGrid w:val="0"/>
                <w:sz w:val="20"/>
              </w:rPr>
              <w:t>Economic evaluation</w:t>
            </w:r>
          </w:p>
        </w:tc>
        <w:tc>
          <w:tcPr>
            <w:tcW w:w="2069" w:type="pct"/>
            <w:tcMar>
              <w:left w:w="20" w:type="dxa"/>
              <w:right w:w="20" w:type="dxa"/>
            </w:tcMar>
          </w:tcPr>
          <w:p w14:paraId="5D47F73C" w14:textId="254D78F1" w:rsidR="00DD116A" w:rsidRPr="007C0D91" w:rsidRDefault="00DD116A" w:rsidP="00DD116A">
            <w:pPr>
              <w:jc w:val="left"/>
              <w:rPr>
                <w:rFonts w:ascii="Arial Narrow" w:hAnsi="Arial Narrow"/>
                <w:bCs/>
                <w:snapToGrid w:val="0"/>
                <w:sz w:val="20"/>
                <w:szCs w:val="20"/>
              </w:rPr>
            </w:pPr>
            <w:r w:rsidRPr="007C0D91">
              <w:rPr>
                <w:rFonts w:ascii="Arial Narrow" w:hAnsi="Arial Narrow"/>
                <w:bCs/>
                <w:snapToGrid w:val="0"/>
                <w:sz w:val="20"/>
                <w:szCs w:val="20"/>
              </w:rPr>
              <w:t>PBAC considered that a comparison of mobocertinib with pooled results from studies 5008 and 5002 may be more reasonable than a comparison with either study alone (para 6.22, November 2022 PSD).</w:t>
            </w:r>
          </w:p>
        </w:tc>
        <w:tc>
          <w:tcPr>
            <w:tcW w:w="2069" w:type="pct"/>
            <w:tcMar>
              <w:left w:w="20" w:type="dxa"/>
              <w:right w:w="20" w:type="dxa"/>
            </w:tcMar>
          </w:tcPr>
          <w:p w14:paraId="2825729E"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2CE49AE1" w14:textId="3FAAF2A9"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The resubmission used pooled data from study 5002 and 5008 used in the analysis</w:t>
            </w:r>
          </w:p>
        </w:tc>
      </w:tr>
      <w:tr w:rsidR="00DD116A" w:rsidRPr="007C0D91" w14:paraId="351D2292" w14:textId="77777777" w:rsidTr="00E25108">
        <w:tc>
          <w:tcPr>
            <w:tcW w:w="862" w:type="pct"/>
            <w:vMerge/>
            <w:tcMar>
              <w:left w:w="20" w:type="dxa"/>
              <w:right w:w="20" w:type="dxa"/>
            </w:tcMar>
          </w:tcPr>
          <w:p w14:paraId="7262299D" w14:textId="77777777" w:rsidR="00DD116A" w:rsidRPr="007C0D91" w:rsidRDefault="00DD116A" w:rsidP="00DD116A">
            <w:pPr>
              <w:jc w:val="left"/>
              <w:rPr>
                <w:rFonts w:ascii="Arial Narrow" w:hAnsi="Arial Narrow" w:cs="Times New Roman"/>
                <w:snapToGrid w:val="0"/>
                <w:sz w:val="20"/>
              </w:rPr>
            </w:pPr>
          </w:p>
        </w:tc>
        <w:tc>
          <w:tcPr>
            <w:tcW w:w="2069" w:type="pct"/>
            <w:tcMar>
              <w:left w:w="20" w:type="dxa"/>
              <w:right w:w="20" w:type="dxa"/>
            </w:tcMar>
          </w:tcPr>
          <w:p w14:paraId="3AE35B28" w14:textId="1C2C2061" w:rsidR="00DD116A" w:rsidRPr="007C0D91" w:rsidRDefault="00DD116A" w:rsidP="00DD116A">
            <w:pPr>
              <w:jc w:val="left"/>
              <w:rPr>
                <w:rFonts w:ascii="Arial Narrow" w:hAnsi="Arial Narrow"/>
                <w:bCs/>
                <w:snapToGrid w:val="0"/>
                <w:sz w:val="20"/>
                <w:szCs w:val="20"/>
              </w:rPr>
            </w:pPr>
            <w:r w:rsidRPr="007C0D91">
              <w:rPr>
                <w:rFonts w:ascii="Arial Narrow" w:hAnsi="Arial Narrow"/>
                <w:bCs/>
                <w:snapToGrid w:val="0"/>
                <w:sz w:val="20"/>
                <w:szCs w:val="20"/>
              </w:rPr>
              <w:t>Agents currently used in Australian clinical practice in the second-line treatment setting for advanced NSCLC include docetaxel, gemcitabine, pemetrexed, carboplatin and paclitaxel. Defining chemotherapy as comparator/s was appropriate and would likely be taxane-based in the Australian context (para 5.2, November 2022 PSD).</w:t>
            </w:r>
          </w:p>
        </w:tc>
        <w:tc>
          <w:tcPr>
            <w:tcW w:w="2069" w:type="pct"/>
            <w:tcMar>
              <w:left w:w="20" w:type="dxa"/>
              <w:right w:w="20" w:type="dxa"/>
            </w:tcMar>
          </w:tcPr>
          <w:p w14:paraId="63E2DAB0"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 xml:space="preserve">Partially </w:t>
            </w:r>
            <w:proofErr w:type="gramStart"/>
            <w:r w:rsidRPr="007C0D91">
              <w:rPr>
                <w:rFonts w:ascii="Arial Narrow" w:hAnsi="Arial Narrow" w:cs="Times New Roman"/>
                <w:iCs/>
                <w:snapToGrid w:val="0"/>
                <w:sz w:val="20"/>
              </w:rPr>
              <w:t>addressed</w:t>
            </w:r>
            <w:proofErr w:type="gramEnd"/>
          </w:p>
          <w:p w14:paraId="3F2CCF65" w14:textId="10EC8DA6"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 xml:space="preserve">KM data used in the resubmission remains unchanged and includes treatments not used in Australian clinical practice (immunotherapies and TKIs). KM data for chemotherapies alone are used in a sensitivity analysis. </w:t>
            </w:r>
          </w:p>
        </w:tc>
      </w:tr>
      <w:tr w:rsidR="00DD116A" w:rsidRPr="007C0D91" w14:paraId="65F503A5" w14:textId="77777777" w:rsidTr="00E25108">
        <w:tc>
          <w:tcPr>
            <w:tcW w:w="862" w:type="pct"/>
            <w:vMerge/>
            <w:tcMar>
              <w:left w:w="20" w:type="dxa"/>
              <w:right w:w="20" w:type="dxa"/>
            </w:tcMar>
          </w:tcPr>
          <w:p w14:paraId="359649E5" w14:textId="77777777" w:rsidR="00DD116A" w:rsidRPr="007C0D91" w:rsidRDefault="00DD116A" w:rsidP="00DD116A">
            <w:pPr>
              <w:jc w:val="left"/>
              <w:rPr>
                <w:rFonts w:ascii="Arial Narrow" w:hAnsi="Arial Narrow" w:cs="Times New Roman"/>
                <w:snapToGrid w:val="0"/>
                <w:sz w:val="20"/>
              </w:rPr>
            </w:pPr>
          </w:p>
        </w:tc>
        <w:tc>
          <w:tcPr>
            <w:tcW w:w="2069" w:type="pct"/>
            <w:tcMar>
              <w:left w:w="20" w:type="dxa"/>
              <w:right w:w="20" w:type="dxa"/>
            </w:tcMar>
          </w:tcPr>
          <w:p w14:paraId="619D9F3F" w14:textId="5E02C882" w:rsidR="00DD116A" w:rsidRPr="007C0D91" w:rsidRDefault="00DD116A" w:rsidP="00DD116A">
            <w:pPr>
              <w:jc w:val="left"/>
              <w:rPr>
                <w:rFonts w:ascii="Arial Narrow" w:hAnsi="Arial Narrow"/>
                <w:bCs/>
                <w:snapToGrid w:val="0"/>
                <w:sz w:val="20"/>
                <w:szCs w:val="20"/>
              </w:rPr>
            </w:pPr>
            <w:r w:rsidRPr="007C0D91">
              <w:rPr>
                <w:rFonts w:ascii="Arial Narrow" w:hAnsi="Arial Narrow"/>
                <w:bCs/>
                <w:snapToGrid w:val="0"/>
                <w:sz w:val="20"/>
                <w:szCs w:val="20"/>
              </w:rPr>
              <w:t>The half cycle correction (HCC) was applied to all costs and outcomes. As all patients initiate the treatment at the start of the cycle, HCC may not be required for the costs (para 6.51, November 2022 PSD).</w:t>
            </w:r>
          </w:p>
        </w:tc>
        <w:tc>
          <w:tcPr>
            <w:tcW w:w="2069" w:type="pct"/>
            <w:tcMar>
              <w:left w:w="20" w:type="dxa"/>
              <w:right w:w="20" w:type="dxa"/>
            </w:tcMar>
          </w:tcPr>
          <w:p w14:paraId="2BD30DB4"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76F3118B" w14:textId="5AC16A23"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The half cycle correction to drug costs was removed from the model.</w:t>
            </w:r>
          </w:p>
        </w:tc>
      </w:tr>
      <w:tr w:rsidR="00DD116A" w:rsidRPr="007C0D91" w14:paraId="71BEBE1D" w14:textId="77777777" w:rsidTr="00E25108">
        <w:tc>
          <w:tcPr>
            <w:tcW w:w="862" w:type="pct"/>
            <w:vMerge/>
            <w:tcMar>
              <w:left w:w="20" w:type="dxa"/>
              <w:right w:w="20" w:type="dxa"/>
            </w:tcMar>
          </w:tcPr>
          <w:p w14:paraId="788BE6A1" w14:textId="77777777" w:rsidR="00DD116A" w:rsidRPr="007C0D91" w:rsidRDefault="00DD116A" w:rsidP="00DD116A">
            <w:pPr>
              <w:jc w:val="left"/>
              <w:rPr>
                <w:rFonts w:ascii="Arial Narrow" w:hAnsi="Arial Narrow" w:cs="Times New Roman"/>
                <w:snapToGrid w:val="0"/>
                <w:sz w:val="20"/>
              </w:rPr>
            </w:pPr>
          </w:p>
        </w:tc>
        <w:tc>
          <w:tcPr>
            <w:tcW w:w="2069" w:type="pct"/>
            <w:tcMar>
              <w:left w:w="20" w:type="dxa"/>
              <w:right w:w="20" w:type="dxa"/>
            </w:tcMar>
          </w:tcPr>
          <w:p w14:paraId="2A1B9EA8" w14:textId="68E45586" w:rsidR="00DD116A" w:rsidRPr="007C0D91" w:rsidRDefault="00DD116A" w:rsidP="00DD116A">
            <w:pPr>
              <w:jc w:val="left"/>
              <w:rPr>
                <w:rFonts w:ascii="Arial Narrow" w:hAnsi="Arial Narrow"/>
                <w:bCs/>
                <w:snapToGrid w:val="0"/>
                <w:sz w:val="20"/>
                <w:szCs w:val="20"/>
              </w:rPr>
            </w:pPr>
            <w:r w:rsidRPr="007C0D91">
              <w:rPr>
                <w:rFonts w:ascii="Arial Narrow" w:hAnsi="Arial Narrow"/>
                <w:bCs/>
                <w:snapToGrid w:val="0"/>
                <w:sz w:val="20"/>
                <w:szCs w:val="20"/>
              </w:rPr>
              <w:t>PBAC considered that limiting the cost of SOC to chemotherapy regimens, which is more likely to be the treatment used in the absence of mobocertinib, may be a reasonable approach.</w:t>
            </w:r>
          </w:p>
        </w:tc>
        <w:tc>
          <w:tcPr>
            <w:tcW w:w="2069" w:type="pct"/>
            <w:tcMar>
              <w:left w:w="20" w:type="dxa"/>
              <w:right w:w="20" w:type="dxa"/>
            </w:tcMar>
          </w:tcPr>
          <w:p w14:paraId="594788CC"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00A269BA" w14:textId="2857D2AD"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Costs in the resubmission were limited to chemotherapy regimens only.</w:t>
            </w:r>
          </w:p>
        </w:tc>
      </w:tr>
      <w:tr w:rsidR="00DD116A" w:rsidRPr="007C0D91" w14:paraId="114133AA" w14:textId="77777777" w:rsidTr="00E25108">
        <w:tc>
          <w:tcPr>
            <w:tcW w:w="862" w:type="pct"/>
            <w:vMerge/>
            <w:tcMar>
              <w:left w:w="20" w:type="dxa"/>
              <w:right w:w="20" w:type="dxa"/>
            </w:tcMar>
          </w:tcPr>
          <w:p w14:paraId="3E1BA670" w14:textId="77777777" w:rsidR="00DD116A" w:rsidRPr="007C0D91" w:rsidRDefault="00DD116A" w:rsidP="00DD116A">
            <w:pPr>
              <w:jc w:val="left"/>
              <w:rPr>
                <w:rFonts w:ascii="Arial Narrow" w:hAnsi="Arial Narrow" w:cs="Times New Roman"/>
                <w:snapToGrid w:val="0"/>
                <w:sz w:val="20"/>
              </w:rPr>
            </w:pPr>
          </w:p>
        </w:tc>
        <w:tc>
          <w:tcPr>
            <w:tcW w:w="2069" w:type="pct"/>
            <w:tcMar>
              <w:left w:w="20" w:type="dxa"/>
              <w:right w:w="20" w:type="dxa"/>
            </w:tcMar>
          </w:tcPr>
          <w:p w14:paraId="1EF01FEB" w14:textId="77777777" w:rsidR="00DD116A" w:rsidRPr="007C0D91" w:rsidRDefault="00DD116A" w:rsidP="00DD116A">
            <w:pPr>
              <w:jc w:val="left"/>
              <w:rPr>
                <w:rFonts w:ascii="Arial Narrow" w:hAnsi="Arial Narrow"/>
                <w:bCs/>
                <w:snapToGrid w:val="0"/>
                <w:sz w:val="20"/>
                <w:szCs w:val="20"/>
              </w:rPr>
            </w:pPr>
            <w:r w:rsidRPr="007C0D91">
              <w:rPr>
                <w:rFonts w:ascii="Arial Narrow" w:hAnsi="Arial Narrow"/>
                <w:bCs/>
                <w:snapToGrid w:val="0"/>
                <w:sz w:val="20"/>
                <w:szCs w:val="20"/>
              </w:rPr>
              <w:t>The PBAC noted it had previously recommended other targeted therapies for the second line treatment of NSCLC with ICERs of $45,000 to $75,000 per QALY gained.</w:t>
            </w:r>
          </w:p>
          <w:p w14:paraId="7D0530EA" w14:textId="77777777" w:rsidR="00DD116A" w:rsidRPr="007C0D91" w:rsidRDefault="00DD116A" w:rsidP="00DD116A">
            <w:pPr>
              <w:jc w:val="left"/>
              <w:rPr>
                <w:rFonts w:ascii="Arial Narrow" w:hAnsi="Arial Narrow"/>
                <w:bCs/>
                <w:snapToGrid w:val="0"/>
                <w:sz w:val="20"/>
                <w:szCs w:val="20"/>
              </w:rPr>
            </w:pPr>
          </w:p>
          <w:p w14:paraId="45CCE2F7" w14:textId="23780AD9" w:rsidR="00DD116A" w:rsidRPr="007C0D91" w:rsidRDefault="00DD116A" w:rsidP="00DD116A">
            <w:pPr>
              <w:jc w:val="left"/>
              <w:rPr>
                <w:rFonts w:ascii="Arial Narrow" w:hAnsi="Arial Narrow"/>
                <w:bCs/>
                <w:snapToGrid w:val="0"/>
                <w:sz w:val="20"/>
                <w:szCs w:val="20"/>
              </w:rPr>
            </w:pPr>
            <w:r w:rsidRPr="007C0D91">
              <w:rPr>
                <w:rFonts w:ascii="Arial Narrow" w:hAnsi="Arial Narrow"/>
                <w:bCs/>
                <w:snapToGrid w:val="0"/>
                <w:sz w:val="20"/>
                <w:szCs w:val="20"/>
              </w:rPr>
              <w:t xml:space="preserve">The PBAC considered that the resulting ICER of $75,000 to &lt; $95,000 did not align with the </w:t>
            </w:r>
            <w:r w:rsidR="00CC0496" w:rsidRPr="007C0D91">
              <w:rPr>
                <w:rFonts w:ascii="Arial Narrow" w:hAnsi="Arial Narrow"/>
                <w:bCs/>
                <w:snapToGrid w:val="0"/>
                <w:sz w:val="20"/>
                <w:szCs w:val="20"/>
              </w:rPr>
              <w:t>prespecified</w:t>
            </w:r>
            <w:r w:rsidRPr="007C0D91">
              <w:rPr>
                <w:rFonts w:ascii="Arial Narrow" w:hAnsi="Arial Narrow"/>
                <w:bCs/>
                <w:snapToGrid w:val="0"/>
                <w:sz w:val="20"/>
                <w:szCs w:val="20"/>
              </w:rPr>
              <w:t xml:space="preserve"> base case proposed by the evaluation and remained unacceptably high (para 6.74, November 2022 PSD).</w:t>
            </w:r>
          </w:p>
        </w:tc>
        <w:tc>
          <w:tcPr>
            <w:tcW w:w="2069" w:type="pct"/>
            <w:tcMar>
              <w:left w:w="20" w:type="dxa"/>
              <w:right w:w="20" w:type="dxa"/>
            </w:tcMar>
          </w:tcPr>
          <w:p w14:paraId="6CECB6D8"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602BF41F" w14:textId="023BB91B"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 xml:space="preserve">A </w:t>
            </w:r>
            <w:r w:rsidR="00092A28" w:rsidRPr="00092A28">
              <w:rPr>
                <w:rFonts w:ascii="Arial Narrow" w:hAnsi="Arial Narrow" w:cs="Times New Roman"/>
                <w:iCs/>
                <w:snapToGrid w:val="0"/>
                <w:color w:val="000000"/>
                <w:spacing w:val="48"/>
                <w:sz w:val="20"/>
                <w:shd w:val="solid" w:color="000000" w:fill="000000"/>
                <w:fitText w:val="315" w:id="-1167912448"/>
                <w14:textFill>
                  <w14:solidFill>
                    <w14:srgbClr w14:val="000000">
                      <w14:alpha w14:val="100000"/>
                    </w14:srgbClr>
                  </w14:solidFill>
                </w14:textFill>
              </w:rPr>
              <w:t>|||</w:t>
            </w:r>
            <w:r w:rsidR="00092A28" w:rsidRPr="00092A28">
              <w:rPr>
                <w:rFonts w:ascii="Arial Narrow" w:hAnsi="Arial Narrow" w:cs="Times New Roman"/>
                <w:iCs/>
                <w:snapToGrid w:val="0"/>
                <w:color w:val="000000"/>
                <w:spacing w:val="1"/>
                <w:sz w:val="20"/>
                <w:shd w:val="solid" w:color="000000" w:fill="000000"/>
                <w:fitText w:val="315" w:id="-1167912448"/>
                <w14:textFill>
                  <w14:solidFill>
                    <w14:srgbClr w14:val="000000">
                      <w14:alpha w14:val="100000"/>
                    </w14:srgbClr>
                  </w14:solidFill>
                </w14:textFill>
              </w:rPr>
              <w:t>|</w:t>
            </w:r>
            <w:r w:rsidRPr="007C0D91">
              <w:rPr>
                <w:rFonts w:ascii="Arial Narrow" w:hAnsi="Arial Narrow" w:cs="Times New Roman"/>
                <w:iCs/>
                <w:snapToGrid w:val="0"/>
                <w:sz w:val="20"/>
              </w:rPr>
              <w:t>% reduction to the price is proposed resulting in an incremental cost per QALY within the range requested by PBAC.</w:t>
            </w:r>
          </w:p>
        </w:tc>
      </w:tr>
      <w:tr w:rsidR="00DD116A" w:rsidRPr="007C0D91" w14:paraId="61A55C8B" w14:textId="77777777" w:rsidTr="00E25108">
        <w:tc>
          <w:tcPr>
            <w:tcW w:w="862" w:type="pct"/>
            <w:vMerge w:val="restart"/>
            <w:tcMar>
              <w:left w:w="20" w:type="dxa"/>
              <w:right w:w="20" w:type="dxa"/>
            </w:tcMar>
          </w:tcPr>
          <w:p w14:paraId="04BB597A" w14:textId="3591DB5E" w:rsidR="00DD116A" w:rsidRPr="007C0D91" w:rsidRDefault="00DD116A" w:rsidP="00DD116A">
            <w:pPr>
              <w:jc w:val="left"/>
              <w:rPr>
                <w:rFonts w:ascii="Arial Narrow" w:hAnsi="Arial Narrow" w:cs="Times New Roman"/>
                <w:snapToGrid w:val="0"/>
                <w:sz w:val="20"/>
              </w:rPr>
            </w:pPr>
            <w:r w:rsidRPr="007C0D91">
              <w:rPr>
                <w:rFonts w:ascii="Arial Narrow" w:hAnsi="Arial Narrow" w:cs="Times New Roman"/>
                <w:snapToGrid w:val="0"/>
                <w:sz w:val="20"/>
              </w:rPr>
              <w:t>Financial estimates</w:t>
            </w:r>
          </w:p>
        </w:tc>
        <w:tc>
          <w:tcPr>
            <w:tcW w:w="2069" w:type="pct"/>
            <w:tcMar>
              <w:left w:w="20" w:type="dxa"/>
              <w:right w:w="20" w:type="dxa"/>
            </w:tcMar>
          </w:tcPr>
          <w:p w14:paraId="44A9F407" w14:textId="77777777" w:rsidR="00DD116A" w:rsidRPr="007C0D91" w:rsidRDefault="00DD116A" w:rsidP="00DD116A">
            <w:pPr>
              <w:pStyle w:val="TableText0"/>
              <w:keepNext w:val="0"/>
              <w:rPr>
                <w:rFonts w:eastAsia="Times New Roman" w:cs="Arial"/>
                <w:bCs w:val="0"/>
                <w:snapToGrid w:val="0"/>
                <w:szCs w:val="20"/>
              </w:rPr>
            </w:pPr>
            <w:r w:rsidRPr="007C0D91">
              <w:rPr>
                <w:rFonts w:eastAsia="Times New Roman" w:cs="Arial"/>
                <w:bCs w:val="0"/>
                <w:snapToGrid w:val="0"/>
                <w:szCs w:val="20"/>
              </w:rPr>
              <w:t xml:space="preserve">The PBAC considered the financial estimates presented in the submission should present revised financial estimates consistent with the DUSC advice for: </w:t>
            </w:r>
          </w:p>
          <w:p w14:paraId="47038A02" w14:textId="77777777" w:rsidR="00DD116A" w:rsidRPr="007C0D91" w:rsidRDefault="00DD116A" w:rsidP="007123E5">
            <w:pPr>
              <w:pStyle w:val="tablenumber"/>
            </w:pPr>
            <w:r w:rsidRPr="007C0D91">
              <w:t>The proportion of patients with Stage IIIB/IV NSCLC</w:t>
            </w:r>
          </w:p>
          <w:p w14:paraId="22644E67" w14:textId="6DD243EB" w:rsidR="00DD116A" w:rsidRPr="007C0D91" w:rsidRDefault="00DD116A" w:rsidP="00DD116A">
            <w:pPr>
              <w:jc w:val="left"/>
              <w:rPr>
                <w:rFonts w:ascii="Arial Narrow" w:hAnsi="Arial Narrow"/>
                <w:bCs/>
                <w:snapToGrid w:val="0"/>
                <w:sz w:val="20"/>
                <w:szCs w:val="20"/>
              </w:rPr>
            </w:pPr>
            <w:r w:rsidRPr="007C0D91">
              <w:rPr>
                <w:rFonts w:ascii="Arial Narrow" w:hAnsi="Arial Narrow"/>
                <w:snapToGrid w:val="0"/>
                <w:sz w:val="20"/>
                <w:szCs w:val="20"/>
              </w:rPr>
              <w:t xml:space="preserve">The DUSC noted that the financial analysis only included incident patients with Stage IIIB/IV disease at initial diagnosis; however, there will be some patients who are diagnosed with </w:t>
            </w:r>
            <w:proofErr w:type="gramStart"/>
            <w:r w:rsidRPr="007C0D91">
              <w:rPr>
                <w:rFonts w:ascii="Arial Narrow" w:hAnsi="Arial Narrow"/>
                <w:snapToGrid w:val="0"/>
                <w:sz w:val="20"/>
                <w:szCs w:val="20"/>
              </w:rPr>
              <w:t>early stage</w:t>
            </w:r>
            <w:proofErr w:type="gramEnd"/>
            <w:r w:rsidRPr="007C0D91">
              <w:rPr>
                <w:rFonts w:ascii="Arial Narrow" w:hAnsi="Arial Narrow"/>
                <w:snapToGrid w:val="0"/>
                <w:sz w:val="20"/>
                <w:szCs w:val="20"/>
              </w:rPr>
              <w:t xml:space="preserve"> NSCLC but subsequently progress to Stage IIIB/IV. These patients are also eligible for mobocertinib but not considered in the financial estimates.</w:t>
            </w:r>
          </w:p>
        </w:tc>
        <w:tc>
          <w:tcPr>
            <w:tcW w:w="2069" w:type="pct"/>
            <w:tcMar>
              <w:left w:w="20" w:type="dxa"/>
              <w:right w:w="20" w:type="dxa"/>
            </w:tcMar>
          </w:tcPr>
          <w:p w14:paraId="36847C5E"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7D2077EB" w14:textId="13A3EE81"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The resubmission also considered patients diagnosed at an earlier stage (Stage IIIA) who progress to Stage IIIB/IV. The resubmission identified 11.8% of NSCSLC patients to be at Stage IIIA. It was assumed that 60% of Stage IIIA patients will progress to Stage IIIB/IV.</w:t>
            </w:r>
          </w:p>
        </w:tc>
      </w:tr>
      <w:tr w:rsidR="00DD116A" w:rsidRPr="007C0D91" w14:paraId="62FEED02" w14:textId="77777777" w:rsidTr="00E25108">
        <w:tc>
          <w:tcPr>
            <w:tcW w:w="862" w:type="pct"/>
            <w:vMerge/>
            <w:tcMar>
              <w:left w:w="20" w:type="dxa"/>
              <w:right w:w="20" w:type="dxa"/>
            </w:tcMar>
          </w:tcPr>
          <w:p w14:paraId="33F4F76E" w14:textId="77777777" w:rsidR="00DD116A" w:rsidRPr="007C0D91" w:rsidRDefault="00DD116A" w:rsidP="00DD116A">
            <w:pPr>
              <w:jc w:val="left"/>
              <w:rPr>
                <w:rFonts w:ascii="Arial Narrow" w:hAnsi="Arial Narrow" w:cs="Times New Roman"/>
                <w:snapToGrid w:val="0"/>
                <w:sz w:val="20"/>
              </w:rPr>
            </w:pPr>
          </w:p>
        </w:tc>
        <w:tc>
          <w:tcPr>
            <w:tcW w:w="2069" w:type="pct"/>
            <w:tcMar>
              <w:left w:w="20" w:type="dxa"/>
              <w:right w:w="20" w:type="dxa"/>
            </w:tcMar>
          </w:tcPr>
          <w:p w14:paraId="363756B3" w14:textId="77777777" w:rsidR="00DD116A" w:rsidRPr="007C0D91" w:rsidRDefault="00DD116A" w:rsidP="007123E5">
            <w:pPr>
              <w:pStyle w:val="tablenumber"/>
            </w:pPr>
            <w:r w:rsidRPr="007C0D91">
              <w:t xml:space="preserve">The prevalence of </w:t>
            </w:r>
            <w:r w:rsidRPr="007C0D91">
              <w:rPr>
                <w:i/>
              </w:rPr>
              <w:t>EGFR</w:t>
            </w:r>
            <w:r w:rsidRPr="007C0D91">
              <w:t xml:space="preserve"> exon20ins</w:t>
            </w:r>
          </w:p>
          <w:p w14:paraId="57C4FC1E" w14:textId="796BB0E8" w:rsidR="00DD116A" w:rsidRPr="007C0D91" w:rsidRDefault="00DD116A" w:rsidP="00D8061B">
            <w:pPr>
              <w:pStyle w:val="TableText0"/>
              <w:keepNext w:val="0"/>
              <w:rPr>
                <w:bCs w:val="0"/>
                <w:snapToGrid w:val="0"/>
                <w:szCs w:val="20"/>
              </w:rPr>
            </w:pPr>
            <w:r w:rsidRPr="007C0D91">
              <w:rPr>
                <w:rFonts w:cstheme="minorHAnsi"/>
              </w:rPr>
              <w:lastRenderedPageBreak/>
              <w:t xml:space="preserve">The DUSC commented that financial estimates are sensitive to the estimate of the proportion of patients with ex20in </w:t>
            </w:r>
            <w:r w:rsidRPr="007C0D91">
              <w:rPr>
                <w:rFonts w:cstheme="minorHAnsi"/>
                <w:i/>
                <w:iCs/>
              </w:rPr>
              <w:t xml:space="preserve">EGFR </w:t>
            </w:r>
            <w:r w:rsidRPr="007C0D91">
              <w:rPr>
                <w:rFonts w:cstheme="minorHAnsi"/>
              </w:rPr>
              <w:t>disease and the assumption of 8% is at the higher end of values reported in the literature.</w:t>
            </w:r>
          </w:p>
        </w:tc>
        <w:tc>
          <w:tcPr>
            <w:tcW w:w="2069" w:type="pct"/>
            <w:tcMar>
              <w:left w:w="20" w:type="dxa"/>
              <w:right w:w="20" w:type="dxa"/>
            </w:tcMar>
          </w:tcPr>
          <w:p w14:paraId="7094A963"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lastRenderedPageBreak/>
              <w:t>Addressed.</w:t>
            </w:r>
          </w:p>
          <w:p w14:paraId="3B08FDD7" w14:textId="3FCAA188"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lastRenderedPageBreak/>
              <w:t xml:space="preserve">The resubmission identified the study by Moore 2018, which estimated the proportion of </w:t>
            </w:r>
            <w:r w:rsidR="00FB0DBF" w:rsidRPr="00FB0DBF">
              <w:rPr>
                <w:rFonts w:ascii="Arial Narrow" w:hAnsi="Arial Narrow" w:cs="Times New Roman"/>
                <w:i/>
                <w:iCs/>
                <w:snapToGrid w:val="0"/>
                <w:sz w:val="20"/>
              </w:rPr>
              <w:t>EGFR</w:t>
            </w:r>
            <w:r w:rsidRPr="007C0D91">
              <w:rPr>
                <w:rFonts w:ascii="Arial Narrow" w:hAnsi="Arial Narrow" w:cs="Times New Roman"/>
                <w:iCs/>
                <w:snapToGrid w:val="0"/>
                <w:sz w:val="20"/>
              </w:rPr>
              <w:t xml:space="preserve"> positive NSCLC patients with Exon 20 insertions (8.96%) based on next-generation sequencing technique.</w:t>
            </w:r>
          </w:p>
        </w:tc>
      </w:tr>
      <w:tr w:rsidR="00DD116A" w:rsidRPr="007C0D91" w14:paraId="59E7CD8F" w14:textId="77777777" w:rsidTr="00E25108">
        <w:tc>
          <w:tcPr>
            <w:tcW w:w="862" w:type="pct"/>
            <w:vMerge/>
            <w:tcMar>
              <w:left w:w="20" w:type="dxa"/>
              <w:right w:w="20" w:type="dxa"/>
            </w:tcMar>
          </w:tcPr>
          <w:p w14:paraId="3FDA11A3" w14:textId="77777777" w:rsidR="00DD116A" w:rsidRPr="007C0D91" w:rsidRDefault="00DD116A" w:rsidP="00DD116A">
            <w:pPr>
              <w:jc w:val="left"/>
              <w:rPr>
                <w:rFonts w:ascii="Arial Narrow" w:hAnsi="Arial Narrow" w:cs="Times New Roman"/>
                <w:snapToGrid w:val="0"/>
                <w:sz w:val="20"/>
              </w:rPr>
            </w:pPr>
          </w:p>
        </w:tc>
        <w:tc>
          <w:tcPr>
            <w:tcW w:w="2069" w:type="pct"/>
            <w:tcMar>
              <w:left w:w="20" w:type="dxa"/>
              <w:right w:w="20" w:type="dxa"/>
            </w:tcMar>
          </w:tcPr>
          <w:p w14:paraId="5368E73F" w14:textId="77777777" w:rsidR="00DD116A" w:rsidRPr="007C0D91" w:rsidRDefault="00DD116A" w:rsidP="007123E5">
            <w:pPr>
              <w:pStyle w:val="tablenumber"/>
            </w:pPr>
            <w:r w:rsidRPr="007C0D91">
              <w:t>The number of prevalent patients</w:t>
            </w:r>
          </w:p>
          <w:p w14:paraId="2BE36273" w14:textId="7A7C331A" w:rsidR="00DD116A" w:rsidRPr="007C0D91" w:rsidRDefault="00DD116A" w:rsidP="00DD116A">
            <w:pPr>
              <w:pStyle w:val="TableText0"/>
              <w:keepNext w:val="0"/>
              <w:rPr>
                <w:bCs w:val="0"/>
                <w:snapToGrid w:val="0"/>
                <w:szCs w:val="20"/>
              </w:rPr>
            </w:pPr>
            <w:r w:rsidRPr="007C0D91">
              <w:rPr>
                <w:rFonts w:cstheme="minorHAnsi"/>
              </w:rPr>
              <w:t>The inclusion of prevalent NSCLC patients in the financial analysis is appropriate. However, the use of the incident cases in the first year of listing (not in the years before listing) and the survival after second-line SOC (not after first-line PBC) to determine the number of prevalent patients eligible for mobocertinib was not justified in the submission.</w:t>
            </w:r>
          </w:p>
        </w:tc>
        <w:tc>
          <w:tcPr>
            <w:tcW w:w="2069" w:type="pct"/>
            <w:tcMar>
              <w:left w:w="20" w:type="dxa"/>
              <w:right w:w="20" w:type="dxa"/>
            </w:tcMar>
          </w:tcPr>
          <w:p w14:paraId="09C156C6"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4D448D26" w14:textId="57A509E3"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The resubmission revised the number of prevalent patients to include incident cases in the years before listing and the time from diagnosis of advanced disease to initiation of 2L therapy. Based on Study 101, the resubmission assumed time from diagnosis of advanced disease to initiation of 2L therapy to be 1.31 years (15.7</w:t>
            </w:r>
            <w:r w:rsidR="007123E5">
              <w:rPr>
                <w:rFonts w:ascii="Arial Narrow" w:hAnsi="Arial Narrow" w:cs="Times New Roman"/>
                <w:iCs/>
                <w:snapToGrid w:val="0"/>
                <w:sz w:val="20"/>
              </w:rPr>
              <w:t> </w:t>
            </w:r>
            <w:r w:rsidRPr="007C0D91">
              <w:rPr>
                <w:rFonts w:ascii="Arial Narrow" w:hAnsi="Arial Narrow" w:cs="Times New Roman"/>
                <w:iCs/>
                <w:snapToGrid w:val="0"/>
                <w:sz w:val="20"/>
              </w:rPr>
              <w:t xml:space="preserve">months). Therefore, 100% of incident patients in 2023 and 31% of incident patients in 2022 are expected to </w:t>
            </w:r>
            <w:r w:rsidR="0085202A" w:rsidRPr="007C0D91">
              <w:rPr>
                <w:rFonts w:ascii="Arial Narrow" w:hAnsi="Arial Narrow" w:cs="Times New Roman"/>
                <w:i/>
                <w:snapToGrid w:val="0"/>
                <w:sz w:val="20"/>
              </w:rPr>
              <w:t xml:space="preserve">be </w:t>
            </w:r>
            <w:r w:rsidR="006E32E0" w:rsidRPr="007C0D91">
              <w:rPr>
                <w:rFonts w:ascii="Arial Narrow" w:hAnsi="Arial Narrow" w:cs="Times New Roman"/>
                <w:i/>
                <w:snapToGrid w:val="0"/>
                <w:sz w:val="20"/>
              </w:rPr>
              <w:t>considered</w:t>
            </w:r>
            <w:r w:rsidR="0085202A" w:rsidRPr="007C0D91">
              <w:rPr>
                <w:rFonts w:ascii="Arial Narrow" w:hAnsi="Arial Narrow" w:cs="Times New Roman"/>
                <w:i/>
                <w:snapToGrid w:val="0"/>
                <w:sz w:val="20"/>
              </w:rPr>
              <w:t xml:space="preserve"> for</w:t>
            </w:r>
            <w:r w:rsidRPr="007C0D91">
              <w:rPr>
                <w:rFonts w:ascii="Arial Narrow" w:hAnsi="Arial Narrow" w:cs="Times New Roman"/>
                <w:iCs/>
                <w:snapToGrid w:val="0"/>
                <w:sz w:val="20"/>
              </w:rPr>
              <w:t xml:space="preserve"> 2L treatment with mobocertinib in year 2024.</w:t>
            </w:r>
          </w:p>
        </w:tc>
      </w:tr>
      <w:tr w:rsidR="00DD116A" w:rsidRPr="007C0D91" w14:paraId="66DE1416" w14:textId="77777777" w:rsidTr="00E25108">
        <w:tc>
          <w:tcPr>
            <w:tcW w:w="862" w:type="pct"/>
            <w:tcMar>
              <w:left w:w="20" w:type="dxa"/>
              <w:right w:w="20" w:type="dxa"/>
            </w:tcMar>
          </w:tcPr>
          <w:p w14:paraId="3A8E5951" w14:textId="77777777" w:rsidR="00DD116A" w:rsidRPr="007C0D91" w:rsidRDefault="00DD116A" w:rsidP="00DD116A">
            <w:pPr>
              <w:jc w:val="left"/>
              <w:rPr>
                <w:rFonts w:ascii="Arial Narrow" w:hAnsi="Arial Narrow" w:cs="Times New Roman"/>
                <w:snapToGrid w:val="0"/>
                <w:sz w:val="20"/>
              </w:rPr>
            </w:pPr>
          </w:p>
        </w:tc>
        <w:tc>
          <w:tcPr>
            <w:tcW w:w="2069" w:type="pct"/>
            <w:tcMar>
              <w:left w:w="20" w:type="dxa"/>
              <w:right w:w="20" w:type="dxa"/>
            </w:tcMar>
          </w:tcPr>
          <w:p w14:paraId="51758102" w14:textId="77777777" w:rsidR="00DD116A" w:rsidRPr="007C0D91" w:rsidRDefault="00DD116A" w:rsidP="007123E5">
            <w:pPr>
              <w:pStyle w:val="tablenumber"/>
            </w:pPr>
            <w:r w:rsidRPr="007C0D91">
              <w:t xml:space="preserve">Estimated cost offsets to PBS/RPBS are likely to have been </w:t>
            </w:r>
            <w:proofErr w:type="gramStart"/>
            <w:r w:rsidRPr="007C0D91">
              <w:t>overestimated</w:t>
            </w:r>
            <w:proofErr w:type="gramEnd"/>
          </w:p>
          <w:p w14:paraId="020547A2" w14:textId="5BA3B5B2" w:rsidR="00DD116A" w:rsidRPr="007C0D91" w:rsidRDefault="00DD116A" w:rsidP="00DD116A">
            <w:pPr>
              <w:pStyle w:val="TableText0"/>
              <w:keepNext w:val="0"/>
              <w:rPr>
                <w:bCs w:val="0"/>
                <w:snapToGrid w:val="0"/>
                <w:szCs w:val="20"/>
              </w:rPr>
            </w:pPr>
            <w:r w:rsidRPr="007C0D91">
              <w:rPr>
                <w:rFonts w:cstheme="minorHAnsi"/>
              </w:rPr>
              <w:t xml:space="preserve">DUSC considered that the limited use of immunotherapies and </w:t>
            </w:r>
            <w:r w:rsidR="00FB0DBF" w:rsidRPr="00FB0DBF">
              <w:rPr>
                <w:rFonts w:cstheme="minorHAnsi"/>
                <w:i/>
              </w:rPr>
              <w:t>EGFR</w:t>
            </w:r>
            <w:r w:rsidRPr="007C0D91">
              <w:rPr>
                <w:rFonts w:cstheme="minorHAnsi"/>
              </w:rPr>
              <w:t xml:space="preserve"> TKIs in the current refractory setting for the proposed population likely over-estimated the cost offsets in the model.</w:t>
            </w:r>
          </w:p>
        </w:tc>
        <w:tc>
          <w:tcPr>
            <w:tcW w:w="2069" w:type="pct"/>
            <w:tcMar>
              <w:left w:w="20" w:type="dxa"/>
              <w:right w:w="20" w:type="dxa"/>
            </w:tcMar>
          </w:tcPr>
          <w:p w14:paraId="558B74AD" w14:textId="77777777" w:rsidR="00DD116A" w:rsidRPr="007C0D91" w:rsidRDefault="00DD116A" w:rsidP="00DD116A">
            <w:pPr>
              <w:jc w:val="left"/>
              <w:rPr>
                <w:rFonts w:ascii="Arial Narrow" w:hAnsi="Arial Narrow" w:cs="Times New Roman"/>
                <w:iCs/>
                <w:snapToGrid w:val="0"/>
                <w:sz w:val="20"/>
              </w:rPr>
            </w:pPr>
            <w:r w:rsidRPr="007C0D91">
              <w:rPr>
                <w:rFonts w:ascii="Arial Narrow" w:hAnsi="Arial Narrow" w:cs="Times New Roman"/>
                <w:iCs/>
                <w:snapToGrid w:val="0"/>
                <w:sz w:val="20"/>
              </w:rPr>
              <w:t>Addressed.</w:t>
            </w:r>
          </w:p>
          <w:p w14:paraId="1F99B5BF" w14:textId="6207F95F" w:rsidR="00DD116A" w:rsidRPr="007C0D91" w:rsidRDefault="00DD116A" w:rsidP="00DD116A">
            <w:pPr>
              <w:jc w:val="left"/>
              <w:rPr>
                <w:rFonts w:ascii="Arial Narrow" w:hAnsi="Arial Narrow" w:cs="Times New Roman"/>
                <w:i/>
                <w:snapToGrid w:val="0"/>
                <w:sz w:val="20"/>
              </w:rPr>
            </w:pPr>
            <w:r w:rsidRPr="007C0D91">
              <w:rPr>
                <w:rFonts w:ascii="Arial Narrow" w:hAnsi="Arial Narrow" w:cs="Times New Roman"/>
                <w:iCs/>
                <w:snapToGrid w:val="0"/>
                <w:sz w:val="20"/>
              </w:rPr>
              <w:t>The resubmission limited the comparator therapies to chemotherapies alone. Therefore, the revised cost offsets in resubmission included regimens for mono chemotherapy docetaxel and pemetrexed or combination therapies of carboplatin with either gemcitabine, pemetrexed, or paclitaxel described in study 5002 and 5008.</w:t>
            </w:r>
          </w:p>
        </w:tc>
      </w:tr>
    </w:tbl>
    <w:p w14:paraId="4220E786" w14:textId="77777777"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Source: Mobocertinib November 2022 PSD; Mobocertinib resubmission.</w:t>
      </w:r>
    </w:p>
    <w:p w14:paraId="035EDFE4" w14:textId="327E5EF5"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 xml:space="preserve">cORR=confirmed objective response rate; CR=complete response; </w:t>
      </w:r>
      <w:r w:rsidRPr="007C0D91">
        <w:rPr>
          <w:rFonts w:ascii="Arial Narrow" w:hAnsi="Arial Narrow"/>
          <w:bCs/>
          <w:i/>
          <w:iCs/>
          <w:snapToGrid w:val="0"/>
          <w:sz w:val="18"/>
          <w:szCs w:val="22"/>
        </w:rPr>
        <w:t>EGFR</w:t>
      </w:r>
      <w:r w:rsidRPr="007C0D91">
        <w:rPr>
          <w:rFonts w:ascii="Arial Narrow" w:hAnsi="Arial Narrow"/>
          <w:snapToGrid w:val="0"/>
          <w:sz w:val="18"/>
          <w:szCs w:val="22"/>
        </w:rPr>
        <w:t xml:space="preserve">=epidermal growth factor receptor; ESC=Economics Sub Committee; HR=hazard ratio; ICI=immune checkpoint inhibitor; ITC=indirect treatment comparison; IPTW=inverse probability treatment weighting; OS=overall survival; PBAC=Pharmaceutical Benefits Advisory Committee; PR=partial response; PSD=public summary document; SD=stable disease; SOC=standard of care comprising all treatments (standard </w:t>
      </w:r>
      <w:r w:rsidR="00FB0DBF" w:rsidRPr="00FB0DBF">
        <w:rPr>
          <w:rFonts w:ascii="Arial Narrow" w:hAnsi="Arial Narrow"/>
          <w:i/>
          <w:snapToGrid w:val="0"/>
          <w:sz w:val="18"/>
          <w:szCs w:val="22"/>
        </w:rPr>
        <w:t>EGFR</w:t>
      </w:r>
      <w:r w:rsidRPr="007C0D91">
        <w:rPr>
          <w:rFonts w:ascii="Arial Narrow" w:hAnsi="Arial Narrow"/>
          <w:snapToGrid w:val="0"/>
          <w:sz w:val="18"/>
          <w:szCs w:val="22"/>
        </w:rPr>
        <w:t xml:space="preserve"> TKIs, ICIs and chemotherapy</w:t>
      </w:r>
      <w:proofErr w:type="gramStart"/>
      <w:r w:rsidRPr="007C0D91">
        <w:rPr>
          <w:rFonts w:ascii="Arial Narrow" w:hAnsi="Arial Narrow"/>
          <w:snapToGrid w:val="0"/>
          <w:sz w:val="18"/>
          <w:szCs w:val="22"/>
        </w:rPr>
        <w:t>);</w:t>
      </w:r>
      <w:proofErr w:type="gramEnd"/>
    </w:p>
    <w:p w14:paraId="69BFE9FE" w14:textId="77777777"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TKI=tyrosine kinase inhibitor; WHO=World Health Organization.</w:t>
      </w:r>
    </w:p>
    <w:p w14:paraId="6C9DDE11" w14:textId="681B65EF" w:rsidR="001733ED" w:rsidRPr="007C0D91" w:rsidRDefault="005149D4" w:rsidP="007123E5">
      <w:pPr>
        <w:spacing w:after="120"/>
        <w:rPr>
          <w:rFonts w:ascii="Arial Narrow" w:hAnsi="Arial Narrow"/>
          <w:snapToGrid w:val="0"/>
          <w:sz w:val="18"/>
          <w:szCs w:val="22"/>
        </w:rPr>
      </w:pPr>
      <w:r w:rsidRPr="007C0D91">
        <w:rPr>
          <w:rFonts w:ascii="Arial Narrow" w:hAnsi="Arial Narrow"/>
          <w:snapToGrid w:val="0"/>
          <w:sz w:val="18"/>
          <w:szCs w:val="22"/>
          <w:vertAlign w:val="superscript"/>
        </w:rPr>
        <w:t>a</w:t>
      </w:r>
      <w:r w:rsidRPr="007C0D91">
        <w:rPr>
          <w:rFonts w:ascii="Arial Narrow" w:hAnsi="Arial Narrow"/>
          <w:snapToGrid w:val="0"/>
          <w:sz w:val="18"/>
          <w:szCs w:val="22"/>
        </w:rPr>
        <w:t xml:space="preserve"> Stable disease was defined as tumour reduction &lt;30%.</w:t>
      </w:r>
    </w:p>
    <w:p w14:paraId="1DED046F" w14:textId="547F5A20" w:rsidR="005149D4" w:rsidRPr="007C0D91" w:rsidRDefault="001733ED" w:rsidP="00767449">
      <w:pPr>
        <w:spacing w:after="120"/>
        <w:ind w:firstLine="709"/>
        <w:rPr>
          <w:rFonts w:asciiTheme="minorHAnsi" w:hAnsiTheme="minorHAnsi" w:cs="Times New Roman"/>
          <w:i/>
          <w:lang w:eastAsia="en-US"/>
        </w:rPr>
      </w:pPr>
      <w:bookmarkStart w:id="17" w:name="_Hlk76375324"/>
      <w:r w:rsidRPr="007C0D91">
        <w:rPr>
          <w:rFonts w:asciiTheme="minorHAnsi" w:hAnsiTheme="minorHAnsi" w:cs="Times New Roman"/>
          <w:i/>
          <w:lang w:eastAsia="en-US"/>
        </w:rPr>
        <w:t>For more detail on PBAC’s view, see section 7 PBAC outcome.</w:t>
      </w:r>
      <w:bookmarkEnd w:id="17"/>
    </w:p>
    <w:p w14:paraId="28CFE9A6" w14:textId="77777777" w:rsidR="005149D4" w:rsidRPr="007C0D91" w:rsidRDefault="005149D4" w:rsidP="007B48A1">
      <w:pPr>
        <w:pStyle w:val="2-SectionHeading"/>
      </w:pPr>
      <w:bookmarkStart w:id="18" w:name="_Toc107927622"/>
      <w:bookmarkStart w:id="19" w:name="_Toc135210109"/>
      <w:r w:rsidRPr="007C0D91">
        <w:t xml:space="preserve">Requested </w:t>
      </w:r>
      <w:proofErr w:type="gramStart"/>
      <w:r w:rsidRPr="007C0D91">
        <w:t>listing</w:t>
      </w:r>
      <w:bookmarkEnd w:id="18"/>
      <w:bookmarkEnd w:id="19"/>
      <w:proofErr w:type="gramEnd"/>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312"/>
        <w:gridCol w:w="832"/>
        <w:gridCol w:w="831"/>
        <w:gridCol w:w="832"/>
        <w:gridCol w:w="1712"/>
      </w:tblGrid>
      <w:tr w:rsidR="005149D4" w:rsidRPr="007C0D91" w14:paraId="65429FC1" w14:textId="77777777" w:rsidTr="007123E5">
        <w:trPr>
          <w:cantSplit/>
          <w:trHeight w:val="20"/>
        </w:trPr>
        <w:tc>
          <w:tcPr>
            <w:tcW w:w="2552" w:type="dxa"/>
            <w:vAlign w:val="center"/>
          </w:tcPr>
          <w:p w14:paraId="4B434F2F" w14:textId="77777777" w:rsidR="005149D4" w:rsidRPr="007C0D91" w:rsidRDefault="005149D4" w:rsidP="008869C7">
            <w:pPr>
              <w:rPr>
                <w:rFonts w:ascii="Arial Narrow" w:hAnsi="Arial Narrow"/>
                <w:b/>
                <w:bCs/>
                <w:sz w:val="20"/>
                <w:szCs w:val="20"/>
              </w:rPr>
            </w:pPr>
            <w:r w:rsidRPr="007C0D91">
              <w:rPr>
                <w:rFonts w:ascii="Arial Narrow" w:hAnsi="Arial Narrow"/>
                <w:b/>
                <w:bCs/>
                <w:sz w:val="20"/>
                <w:szCs w:val="20"/>
              </w:rPr>
              <w:t>MEDICINAL PRODUCT</w:t>
            </w:r>
          </w:p>
          <w:p w14:paraId="70419BA8" w14:textId="77777777" w:rsidR="005149D4" w:rsidRPr="007C0D91" w:rsidRDefault="005149D4" w:rsidP="008869C7">
            <w:pPr>
              <w:rPr>
                <w:rFonts w:ascii="Arial Narrow" w:hAnsi="Arial Narrow"/>
                <w:b/>
                <w:sz w:val="20"/>
                <w:szCs w:val="20"/>
              </w:rPr>
            </w:pPr>
            <w:r w:rsidRPr="007C0D91">
              <w:rPr>
                <w:rFonts w:ascii="Arial Narrow" w:hAnsi="Arial Narrow"/>
                <w:b/>
                <w:bCs/>
                <w:sz w:val="20"/>
                <w:szCs w:val="20"/>
              </w:rPr>
              <w:t>medicinal product pack</w:t>
            </w:r>
          </w:p>
        </w:tc>
        <w:tc>
          <w:tcPr>
            <w:tcW w:w="2312" w:type="dxa"/>
            <w:vAlign w:val="center"/>
          </w:tcPr>
          <w:p w14:paraId="1FFD7737" w14:textId="5428C1F9" w:rsidR="005149D4" w:rsidRPr="007C0D91" w:rsidRDefault="005149D4" w:rsidP="008869C7">
            <w:pPr>
              <w:rPr>
                <w:rFonts w:ascii="Arial Narrow" w:eastAsiaTheme="majorEastAsia" w:hAnsi="Arial Narrow" w:cstheme="majorBidi"/>
                <w:b/>
                <w:sz w:val="20"/>
                <w:szCs w:val="20"/>
              </w:rPr>
            </w:pPr>
            <w:r w:rsidRPr="007C0D91">
              <w:rPr>
                <w:rFonts w:ascii="Arial Narrow" w:eastAsiaTheme="majorEastAsia" w:hAnsi="Arial Narrow" w:cstheme="majorBidi"/>
                <w:b/>
                <w:snapToGrid w:val="0"/>
                <w:sz w:val="20"/>
              </w:rPr>
              <w:t xml:space="preserve">Dispensed Price for Max. Qty </w:t>
            </w:r>
            <w:r w:rsidR="007123E5">
              <w:rPr>
                <w:rFonts w:ascii="Arial Narrow" w:eastAsiaTheme="majorEastAsia" w:hAnsi="Arial Narrow" w:cstheme="majorBidi"/>
                <w:b/>
                <w:snapToGrid w:val="0"/>
                <w:sz w:val="20"/>
              </w:rPr>
              <w:t>(DPMQ)</w:t>
            </w:r>
          </w:p>
        </w:tc>
        <w:tc>
          <w:tcPr>
            <w:tcW w:w="832" w:type="dxa"/>
            <w:vAlign w:val="center"/>
          </w:tcPr>
          <w:p w14:paraId="59D34422" w14:textId="77777777" w:rsidR="005149D4" w:rsidRPr="007C0D91" w:rsidRDefault="005149D4" w:rsidP="008869C7">
            <w:pPr>
              <w:jc w:val="center"/>
              <w:rPr>
                <w:rFonts w:ascii="Arial Narrow" w:hAnsi="Arial Narrow"/>
                <w:b/>
                <w:sz w:val="20"/>
                <w:szCs w:val="20"/>
              </w:rPr>
            </w:pPr>
            <w:r w:rsidRPr="007C0D91">
              <w:rPr>
                <w:rFonts w:ascii="Arial Narrow" w:hAnsi="Arial Narrow"/>
                <w:b/>
                <w:sz w:val="20"/>
                <w:szCs w:val="20"/>
              </w:rPr>
              <w:t>Max. qty packs</w:t>
            </w:r>
          </w:p>
        </w:tc>
        <w:tc>
          <w:tcPr>
            <w:tcW w:w="831" w:type="dxa"/>
            <w:vAlign w:val="center"/>
          </w:tcPr>
          <w:p w14:paraId="18E9AD50" w14:textId="77777777" w:rsidR="005149D4" w:rsidRPr="007C0D91" w:rsidRDefault="005149D4" w:rsidP="008869C7">
            <w:pPr>
              <w:jc w:val="center"/>
              <w:rPr>
                <w:rFonts w:ascii="Arial Narrow" w:hAnsi="Arial Narrow"/>
                <w:b/>
                <w:sz w:val="20"/>
                <w:szCs w:val="20"/>
              </w:rPr>
            </w:pPr>
            <w:r w:rsidRPr="007C0D91">
              <w:rPr>
                <w:rFonts w:ascii="Arial Narrow" w:hAnsi="Arial Narrow"/>
                <w:b/>
                <w:sz w:val="20"/>
                <w:szCs w:val="20"/>
              </w:rPr>
              <w:t>Max. qty units</w:t>
            </w:r>
          </w:p>
        </w:tc>
        <w:tc>
          <w:tcPr>
            <w:tcW w:w="832" w:type="dxa"/>
            <w:vAlign w:val="center"/>
          </w:tcPr>
          <w:p w14:paraId="57AA8B2F" w14:textId="77777777" w:rsidR="005149D4" w:rsidRPr="007C0D91" w:rsidRDefault="005149D4" w:rsidP="008869C7">
            <w:pPr>
              <w:jc w:val="center"/>
              <w:rPr>
                <w:rFonts w:ascii="Arial Narrow" w:hAnsi="Arial Narrow"/>
                <w:b/>
                <w:sz w:val="20"/>
                <w:szCs w:val="20"/>
              </w:rPr>
            </w:pPr>
            <w:proofErr w:type="gramStart"/>
            <w:r w:rsidRPr="007C0D91">
              <w:rPr>
                <w:rFonts w:ascii="Arial Narrow" w:hAnsi="Arial Narrow"/>
                <w:b/>
                <w:sz w:val="20"/>
                <w:szCs w:val="20"/>
              </w:rPr>
              <w:t>№.of</w:t>
            </w:r>
            <w:proofErr w:type="gramEnd"/>
          </w:p>
          <w:p w14:paraId="44AA81F6" w14:textId="77777777" w:rsidR="005149D4" w:rsidRPr="007C0D91" w:rsidRDefault="005149D4" w:rsidP="008869C7">
            <w:pPr>
              <w:jc w:val="center"/>
              <w:rPr>
                <w:rFonts w:ascii="Arial Narrow" w:hAnsi="Arial Narrow"/>
                <w:b/>
                <w:sz w:val="20"/>
                <w:szCs w:val="20"/>
              </w:rPr>
            </w:pPr>
            <w:r w:rsidRPr="007C0D91">
              <w:rPr>
                <w:rFonts w:ascii="Arial Narrow" w:hAnsi="Arial Narrow"/>
                <w:b/>
                <w:sz w:val="20"/>
                <w:szCs w:val="20"/>
              </w:rPr>
              <w:t>Rpts</w:t>
            </w:r>
          </w:p>
        </w:tc>
        <w:tc>
          <w:tcPr>
            <w:tcW w:w="1712" w:type="dxa"/>
            <w:vAlign w:val="center"/>
          </w:tcPr>
          <w:p w14:paraId="5C4885D2" w14:textId="77777777" w:rsidR="005149D4" w:rsidRPr="007C0D91" w:rsidRDefault="005149D4" w:rsidP="008869C7">
            <w:pPr>
              <w:rPr>
                <w:rFonts w:ascii="Arial Narrow" w:hAnsi="Arial Narrow"/>
                <w:b/>
                <w:sz w:val="20"/>
                <w:szCs w:val="20"/>
              </w:rPr>
            </w:pPr>
            <w:r w:rsidRPr="007C0D91">
              <w:rPr>
                <w:rFonts w:ascii="Arial Narrow" w:hAnsi="Arial Narrow"/>
                <w:b/>
                <w:sz w:val="20"/>
                <w:szCs w:val="20"/>
              </w:rPr>
              <w:t>Available brands</w:t>
            </w:r>
          </w:p>
        </w:tc>
      </w:tr>
      <w:tr w:rsidR="005149D4" w:rsidRPr="007C0D91" w14:paraId="01D461B5" w14:textId="77777777" w:rsidTr="00FD1FCB">
        <w:trPr>
          <w:cantSplit/>
          <w:trHeight w:val="20"/>
        </w:trPr>
        <w:tc>
          <w:tcPr>
            <w:tcW w:w="9071" w:type="dxa"/>
            <w:gridSpan w:val="6"/>
            <w:shd w:val="clear" w:color="auto" w:fill="B8CCE4" w:themeFill="accent1" w:themeFillTint="66"/>
            <w:vAlign w:val="center"/>
          </w:tcPr>
          <w:p w14:paraId="47F7A07B" w14:textId="77777777" w:rsidR="005149D4" w:rsidRPr="007C0D91" w:rsidRDefault="005149D4" w:rsidP="008869C7">
            <w:pPr>
              <w:rPr>
                <w:rFonts w:ascii="Arial Narrow" w:eastAsiaTheme="majorEastAsia" w:hAnsi="Arial Narrow"/>
                <w:bCs/>
                <w:sz w:val="20"/>
                <w:szCs w:val="20"/>
              </w:rPr>
            </w:pPr>
            <w:r w:rsidRPr="007C0D91">
              <w:rPr>
                <w:rFonts w:ascii="Arial Narrow" w:eastAsiaTheme="majorEastAsia" w:hAnsi="Arial Narrow" w:cstheme="majorBidi"/>
                <w:bCs/>
                <w:sz w:val="20"/>
              </w:rPr>
              <w:t>MOBOCERTINIB</w:t>
            </w:r>
            <w:r w:rsidRPr="007C0D91">
              <w:rPr>
                <w:rFonts w:ascii="Arial Narrow" w:eastAsiaTheme="majorEastAsia" w:hAnsi="Arial Narrow"/>
                <w:bCs/>
                <w:color w:val="0066FF"/>
                <w:sz w:val="20"/>
                <w:szCs w:val="20"/>
              </w:rPr>
              <w:t xml:space="preserve"> </w:t>
            </w:r>
          </w:p>
        </w:tc>
      </w:tr>
      <w:tr w:rsidR="005149D4" w:rsidRPr="007C0D91" w14:paraId="43E7AE43" w14:textId="77777777" w:rsidTr="007123E5">
        <w:trPr>
          <w:cantSplit/>
          <w:trHeight w:val="20"/>
        </w:trPr>
        <w:tc>
          <w:tcPr>
            <w:tcW w:w="2552" w:type="dxa"/>
            <w:shd w:val="clear" w:color="auto" w:fill="B8CCE4" w:themeFill="accent1" w:themeFillTint="66"/>
            <w:vAlign w:val="center"/>
          </w:tcPr>
          <w:p w14:paraId="4BB51A1F" w14:textId="77777777" w:rsidR="005149D4" w:rsidRPr="007C0D91" w:rsidRDefault="005149D4" w:rsidP="008869C7">
            <w:pPr>
              <w:rPr>
                <w:rFonts w:ascii="Arial Narrow" w:eastAsiaTheme="majorEastAsia" w:hAnsi="Arial Narrow" w:cstheme="majorBidi"/>
                <w:bCs/>
                <w:color w:val="0066FF"/>
                <w:sz w:val="20"/>
                <w:szCs w:val="20"/>
              </w:rPr>
            </w:pPr>
            <w:r w:rsidRPr="007C0D91">
              <w:rPr>
                <w:rFonts w:ascii="Arial Narrow" w:eastAsiaTheme="majorEastAsia" w:hAnsi="Arial Narrow" w:cstheme="majorBidi"/>
                <w:bCs/>
                <w:sz w:val="20"/>
              </w:rPr>
              <w:t>Mobocertinib, 40mg capsules</w:t>
            </w:r>
          </w:p>
          <w:p w14:paraId="7DB7E809" w14:textId="77777777" w:rsidR="005149D4" w:rsidRPr="007C0D91" w:rsidRDefault="005149D4" w:rsidP="008869C7">
            <w:pPr>
              <w:rPr>
                <w:rFonts w:ascii="Arial Narrow" w:hAnsi="Arial Narrow"/>
                <w:color w:val="0066FF"/>
                <w:sz w:val="20"/>
                <w:szCs w:val="20"/>
              </w:rPr>
            </w:pPr>
            <w:r w:rsidRPr="007C0D91">
              <w:rPr>
                <w:rFonts w:ascii="Arial Narrow" w:hAnsi="Arial Narrow"/>
                <w:color w:val="0066FF"/>
                <w:sz w:val="20"/>
                <w:szCs w:val="20"/>
              </w:rPr>
              <w:t xml:space="preserve"> </w:t>
            </w:r>
          </w:p>
        </w:tc>
        <w:tc>
          <w:tcPr>
            <w:tcW w:w="2312" w:type="dxa"/>
          </w:tcPr>
          <w:p w14:paraId="134D8AC6" w14:textId="77777777" w:rsidR="005149D4" w:rsidRPr="007C0D91" w:rsidRDefault="005149D4" w:rsidP="008869C7">
            <w:pPr>
              <w:jc w:val="cente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Published price: </w:t>
            </w:r>
            <w:proofErr w:type="gramStart"/>
            <w:r w:rsidRPr="007C0D91">
              <w:rPr>
                <w:rFonts w:ascii="Arial Narrow" w:eastAsiaTheme="majorEastAsia" w:hAnsi="Arial Narrow" w:cstheme="majorBidi"/>
                <w:bCs/>
                <w:sz w:val="20"/>
              </w:rPr>
              <w:t>$11,515.76</w:t>
            </w:r>
            <w:proofErr w:type="gramEnd"/>
            <w:r w:rsidRPr="007C0D91">
              <w:rPr>
                <w:rFonts w:ascii="Arial Narrow" w:eastAsiaTheme="majorEastAsia" w:hAnsi="Arial Narrow" w:cstheme="majorBidi"/>
                <w:bCs/>
                <w:sz w:val="20"/>
              </w:rPr>
              <w:t xml:space="preserve"> </w:t>
            </w:r>
          </w:p>
          <w:p w14:paraId="20D177D1" w14:textId="34D21BE6" w:rsidR="005149D4" w:rsidRPr="007C0D91" w:rsidRDefault="005149D4" w:rsidP="008869C7">
            <w:pPr>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rPr>
              <w:t>Effective price: $</w:t>
            </w:r>
            <w:r w:rsidR="00092A28" w:rsidRPr="00092A28">
              <w:rPr>
                <w:rFonts w:ascii="Arial Narrow" w:eastAsiaTheme="majorEastAsia" w:hAnsi="Arial Narrow" w:cstheme="majorBidi" w:hint="eastAsia"/>
                <w:bCs/>
                <w:color w:val="000000"/>
                <w:w w:val="23"/>
                <w:sz w:val="20"/>
                <w:shd w:val="solid" w:color="000000" w:fill="000000"/>
                <w:fitText w:val="105" w:id="-1167912447"/>
                <w14:textFill>
                  <w14:solidFill>
                    <w14:srgbClr w14:val="000000">
                      <w14:alpha w14:val="100000"/>
                    </w14:srgbClr>
                  </w14:solidFill>
                </w14:textFill>
              </w:rPr>
              <w:t xml:space="preserve">　</w:t>
            </w:r>
            <w:r w:rsidR="00092A28" w:rsidRPr="00092A28">
              <w:rPr>
                <w:rFonts w:ascii="Arial Narrow" w:eastAsiaTheme="majorEastAsia" w:hAnsi="Arial Narrow" w:cstheme="majorBidi"/>
                <w:bCs/>
                <w:color w:val="000000"/>
                <w:w w:val="23"/>
                <w:sz w:val="20"/>
                <w:shd w:val="solid" w:color="000000" w:fill="000000"/>
                <w:fitText w:val="105" w:id="-1167912447"/>
                <w14:textFill>
                  <w14:solidFill>
                    <w14:srgbClr w14:val="000000">
                      <w14:alpha w14:val="100000"/>
                    </w14:srgbClr>
                  </w14:solidFill>
                </w14:textFill>
              </w:rPr>
              <w:t>|</w:t>
            </w:r>
            <w:r w:rsidR="00092A28" w:rsidRPr="00092A28">
              <w:rPr>
                <w:rFonts w:ascii="Arial Narrow" w:eastAsiaTheme="majorEastAsia" w:hAnsi="Arial Narrow" w:cstheme="majorBidi" w:hint="eastAsia"/>
                <w:bCs/>
                <w:color w:val="000000"/>
                <w:spacing w:val="4"/>
                <w:w w:val="23"/>
                <w:sz w:val="20"/>
                <w:shd w:val="solid" w:color="000000" w:fill="000000"/>
                <w:fitText w:val="105" w:id="-1167912447"/>
                <w14:textFill>
                  <w14:solidFill>
                    <w14:srgbClr w14:val="000000">
                      <w14:alpha w14:val="100000"/>
                    </w14:srgbClr>
                  </w14:solidFill>
                </w14:textFill>
              </w:rPr>
              <w:t xml:space="preserve">　</w:t>
            </w:r>
            <w:r w:rsidRPr="007C0D91">
              <w:rPr>
                <w:rFonts w:ascii="Arial Narrow" w:eastAsiaTheme="majorEastAsia" w:hAnsi="Arial Narrow" w:cstheme="majorBidi"/>
                <w:bCs/>
                <w:sz w:val="20"/>
              </w:rPr>
              <w:t xml:space="preserve"> </w:t>
            </w:r>
          </w:p>
        </w:tc>
        <w:tc>
          <w:tcPr>
            <w:tcW w:w="832" w:type="dxa"/>
            <w:shd w:val="clear" w:color="auto" w:fill="B8CCE4" w:themeFill="accent1" w:themeFillTint="66"/>
            <w:vAlign w:val="center"/>
          </w:tcPr>
          <w:p w14:paraId="1EEE5502" w14:textId="77777777" w:rsidR="005149D4" w:rsidRPr="007C0D91" w:rsidRDefault="005149D4" w:rsidP="008869C7">
            <w:pPr>
              <w:jc w:val="center"/>
              <w:rPr>
                <w:rFonts w:ascii="Arial Narrow" w:hAnsi="Arial Narrow"/>
                <w:sz w:val="20"/>
                <w:szCs w:val="20"/>
              </w:rPr>
            </w:pPr>
            <w:r w:rsidRPr="007C0D91">
              <w:rPr>
                <w:rFonts w:ascii="Arial Narrow" w:hAnsi="Arial Narrow"/>
                <w:sz w:val="20"/>
              </w:rPr>
              <w:t>1</w:t>
            </w:r>
          </w:p>
        </w:tc>
        <w:tc>
          <w:tcPr>
            <w:tcW w:w="831" w:type="dxa"/>
            <w:shd w:val="clear" w:color="auto" w:fill="B8CCE4" w:themeFill="accent1" w:themeFillTint="66"/>
            <w:vAlign w:val="center"/>
          </w:tcPr>
          <w:p w14:paraId="383FFD87" w14:textId="77777777" w:rsidR="005149D4" w:rsidRPr="007C0D91" w:rsidRDefault="005149D4" w:rsidP="008869C7">
            <w:pPr>
              <w:jc w:val="center"/>
              <w:rPr>
                <w:rFonts w:ascii="Arial Narrow" w:hAnsi="Arial Narrow"/>
                <w:sz w:val="20"/>
                <w:szCs w:val="20"/>
              </w:rPr>
            </w:pPr>
            <w:r w:rsidRPr="007C0D91">
              <w:rPr>
                <w:rFonts w:ascii="Arial Narrow" w:hAnsi="Arial Narrow"/>
                <w:sz w:val="20"/>
              </w:rPr>
              <w:t>112</w:t>
            </w:r>
          </w:p>
        </w:tc>
        <w:tc>
          <w:tcPr>
            <w:tcW w:w="832" w:type="dxa"/>
            <w:shd w:val="clear" w:color="auto" w:fill="B8CCE4" w:themeFill="accent1" w:themeFillTint="66"/>
            <w:vAlign w:val="center"/>
          </w:tcPr>
          <w:p w14:paraId="09EDE8AE" w14:textId="77777777" w:rsidR="005149D4" w:rsidRPr="007C0D91" w:rsidRDefault="005149D4" w:rsidP="008869C7">
            <w:pPr>
              <w:jc w:val="center"/>
              <w:rPr>
                <w:rFonts w:ascii="Arial Narrow" w:hAnsi="Arial Narrow"/>
                <w:sz w:val="20"/>
                <w:szCs w:val="20"/>
              </w:rPr>
            </w:pPr>
            <w:r w:rsidRPr="007C0D91">
              <w:rPr>
                <w:rFonts w:ascii="Arial Narrow" w:hAnsi="Arial Narrow"/>
                <w:sz w:val="20"/>
              </w:rPr>
              <w:t>5</w:t>
            </w:r>
          </w:p>
        </w:tc>
        <w:tc>
          <w:tcPr>
            <w:tcW w:w="1712" w:type="dxa"/>
            <w:shd w:val="clear" w:color="auto" w:fill="B8CCE4" w:themeFill="accent1" w:themeFillTint="66"/>
            <w:vAlign w:val="center"/>
          </w:tcPr>
          <w:p w14:paraId="07041D60" w14:textId="77777777" w:rsidR="005149D4" w:rsidRPr="007C0D91" w:rsidRDefault="005149D4" w:rsidP="008869C7">
            <w:pPr>
              <w:rPr>
                <w:rFonts w:ascii="Arial Narrow" w:eastAsiaTheme="majorEastAsia" w:hAnsi="Arial Narrow" w:cstheme="majorBidi"/>
                <w:bCs/>
                <w:sz w:val="20"/>
              </w:rPr>
            </w:pPr>
            <w:r w:rsidRPr="007C0D91">
              <w:rPr>
                <w:rFonts w:ascii="Arial Narrow" w:eastAsiaTheme="majorEastAsia" w:hAnsi="Arial Narrow" w:cstheme="majorBidi"/>
                <w:bCs/>
                <w:sz w:val="20"/>
              </w:rPr>
              <w:t>EXKIVITY</w:t>
            </w:r>
          </w:p>
        </w:tc>
      </w:tr>
    </w:tbl>
    <w:p w14:paraId="2BC74964" w14:textId="77777777" w:rsidR="000B05DF" w:rsidRPr="007C0D91" w:rsidRDefault="000B05DF" w:rsidP="005149D4">
      <w:pPr>
        <w:keepNext/>
        <w:jc w:val="left"/>
        <w:rPr>
          <w:rFonts w:ascii="Arial Narrow" w:eastAsiaTheme="majorEastAsia" w:hAnsi="Arial Narrow" w:cstheme="majorBidi"/>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5149D4" w:rsidRPr="007C0D91" w14:paraId="3DB200B5" w14:textId="77777777" w:rsidTr="008869C7">
        <w:tc>
          <w:tcPr>
            <w:tcW w:w="5000" w:type="pct"/>
            <w:tcBorders>
              <w:top w:val="single" w:sz="4" w:space="0" w:color="auto"/>
              <w:left w:val="single" w:sz="4" w:space="0" w:color="auto"/>
              <w:bottom w:val="single" w:sz="4" w:space="0" w:color="auto"/>
              <w:right w:val="single" w:sz="4" w:space="0" w:color="auto"/>
            </w:tcBorders>
          </w:tcPr>
          <w:p w14:paraId="06386CC9" w14:textId="77777777" w:rsidR="005149D4" w:rsidRPr="007C0D91" w:rsidRDefault="005149D4" w:rsidP="008869C7">
            <w:pPr>
              <w:jc w:val="left"/>
              <w:rPr>
                <w:rFonts w:ascii="Arial Narrow" w:eastAsiaTheme="minorHAnsi" w:hAnsi="Arial Narrow" w:cs="Times New Roman"/>
                <w:snapToGrid w:val="0"/>
                <w:sz w:val="20"/>
                <w:lang w:eastAsia="en-US"/>
              </w:rPr>
            </w:pPr>
            <w:r w:rsidRPr="007C0D91">
              <w:rPr>
                <w:rFonts w:ascii="Arial Narrow" w:eastAsiaTheme="minorHAnsi" w:hAnsi="Arial Narrow" w:cs="Times New Roman"/>
                <w:b/>
                <w:snapToGrid w:val="0"/>
                <w:sz w:val="20"/>
                <w:lang w:eastAsia="en-US"/>
              </w:rPr>
              <w:t xml:space="preserve">Category / Program:   </w:t>
            </w:r>
            <w:r w:rsidRPr="007C0D91">
              <w:rPr>
                <w:rFonts w:ascii="Arial Narrow" w:eastAsiaTheme="minorHAnsi" w:hAnsi="Arial Narrow" w:cs="Times New Roman"/>
                <w:snapToGrid w:val="0"/>
                <w:sz w:val="20"/>
                <w:lang w:eastAsia="en-US"/>
              </w:rPr>
              <w:t>GENERAL – General Schedule (Code GE)</w:t>
            </w:r>
          </w:p>
        </w:tc>
      </w:tr>
      <w:tr w:rsidR="005149D4" w:rsidRPr="007C0D91" w14:paraId="447A95B5" w14:textId="77777777" w:rsidTr="00FD1FCB">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2079A" w14:textId="77777777" w:rsidR="005149D4" w:rsidRPr="007C0D91" w:rsidRDefault="005149D4" w:rsidP="008869C7">
            <w:pPr>
              <w:jc w:val="left"/>
              <w:rPr>
                <w:rFonts w:ascii="Arial Narrow" w:eastAsiaTheme="minorHAnsi" w:hAnsi="Arial Narrow" w:cs="Times New Roman"/>
                <w:b/>
                <w:snapToGrid w:val="0"/>
                <w:sz w:val="20"/>
                <w:lang w:eastAsia="en-US"/>
              </w:rPr>
            </w:pPr>
            <w:r w:rsidRPr="007C0D91">
              <w:rPr>
                <w:rFonts w:ascii="Arial Narrow" w:eastAsiaTheme="minorHAnsi" w:hAnsi="Arial Narrow" w:cs="Times New Roman"/>
                <w:b/>
                <w:snapToGrid w:val="0"/>
                <w:sz w:val="20"/>
                <w:lang w:eastAsia="en-US"/>
              </w:rPr>
              <w:t xml:space="preserve">Prescriber type:   </w:t>
            </w:r>
            <w:r w:rsidRPr="007C0D91">
              <w:rPr>
                <w:rFonts w:ascii="Arial Narrow" w:eastAsiaTheme="minorHAnsi" w:hAnsi="Arial Narrow" w:cs="Times New Roman"/>
                <w:snapToGrid w:val="0"/>
                <w:sz w:val="20"/>
                <w:lang w:eastAsia="en-US"/>
              </w:rPr>
              <w:fldChar w:fldCharType="begin">
                <w:ffData>
                  <w:name w:val=""/>
                  <w:enabled/>
                  <w:calcOnExit w:val="0"/>
                  <w:checkBox>
                    <w:sizeAuto/>
                    <w:default w:val="1"/>
                  </w:checkBox>
                </w:ffData>
              </w:fldChar>
            </w:r>
            <w:r w:rsidRPr="007C0D91">
              <w:rPr>
                <w:rFonts w:ascii="Arial Narrow" w:eastAsiaTheme="minorHAnsi" w:hAnsi="Arial Narrow" w:cs="Times New Roman"/>
                <w:snapToGrid w:val="0"/>
                <w:sz w:val="20"/>
                <w:lang w:eastAsia="en-US"/>
              </w:rPr>
              <w:instrText xml:space="preserve"> FORMCHECKBOX </w:instrText>
            </w:r>
            <w:r w:rsidR="00F36295">
              <w:rPr>
                <w:rFonts w:ascii="Arial Narrow" w:eastAsiaTheme="minorHAnsi" w:hAnsi="Arial Narrow" w:cs="Times New Roman"/>
                <w:snapToGrid w:val="0"/>
                <w:sz w:val="20"/>
                <w:lang w:eastAsia="en-US"/>
              </w:rPr>
            </w:r>
            <w:r w:rsidR="00F36295">
              <w:rPr>
                <w:rFonts w:ascii="Arial Narrow" w:eastAsiaTheme="minorHAnsi" w:hAnsi="Arial Narrow" w:cs="Times New Roman"/>
                <w:snapToGrid w:val="0"/>
                <w:sz w:val="20"/>
                <w:lang w:eastAsia="en-US"/>
              </w:rPr>
              <w:fldChar w:fldCharType="separate"/>
            </w:r>
            <w:r w:rsidRPr="007C0D91">
              <w:rPr>
                <w:rFonts w:ascii="Arial Narrow" w:eastAsiaTheme="minorHAnsi" w:hAnsi="Arial Narrow" w:cs="Times New Roman"/>
                <w:snapToGrid w:val="0"/>
                <w:sz w:val="20"/>
                <w:lang w:eastAsia="en-US"/>
              </w:rPr>
              <w:fldChar w:fldCharType="end"/>
            </w:r>
            <w:r w:rsidRPr="007C0D91">
              <w:rPr>
                <w:rFonts w:ascii="Arial Narrow" w:eastAsiaTheme="minorHAnsi" w:hAnsi="Arial Narrow" w:cs="Times New Roman"/>
                <w:snapToGrid w:val="0"/>
                <w:sz w:val="20"/>
                <w:lang w:eastAsia="en-US"/>
              </w:rPr>
              <w:t xml:space="preserve">Medical Practitioners    </w:t>
            </w:r>
          </w:p>
        </w:tc>
      </w:tr>
      <w:tr w:rsidR="005149D4" w:rsidRPr="007C0D91" w14:paraId="3BF0F7AF" w14:textId="77777777" w:rsidTr="00FD1FCB">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CE16D9" w14:textId="77777777" w:rsidR="005149D4" w:rsidRPr="007C0D91" w:rsidRDefault="005149D4" w:rsidP="008869C7">
            <w:pPr>
              <w:jc w:val="left"/>
              <w:rPr>
                <w:rFonts w:ascii="Arial Narrow" w:eastAsiaTheme="minorHAnsi" w:hAnsi="Arial Narrow" w:cs="Times New Roman"/>
                <w:b/>
                <w:snapToGrid w:val="0"/>
                <w:sz w:val="20"/>
                <w:lang w:eastAsia="en-US"/>
              </w:rPr>
            </w:pPr>
            <w:r w:rsidRPr="007C0D91">
              <w:rPr>
                <w:rFonts w:ascii="Arial Narrow" w:eastAsiaTheme="minorHAnsi" w:hAnsi="Arial Narrow" w:cs="Times New Roman"/>
                <w:b/>
                <w:snapToGrid w:val="0"/>
                <w:sz w:val="20"/>
                <w:lang w:eastAsia="en-US"/>
              </w:rPr>
              <w:t>Restriction type:</w:t>
            </w:r>
          </w:p>
          <w:p w14:paraId="564F515B" w14:textId="77777777" w:rsidR="005149D4" w:rsidRPr="007C0D91" w:rsidRDefault="005149D4" w:rsidP="008869C7">
            <w:pPr>
              <w:jc w:val="left"/>
              <w:rPr>
                <w:rFonts w:ascii="Arial Narrow" w:eastAsia="Calibri" w:hAnsi="Arial Narrow" w:cs="Times New Roman"/>
                <w:snapToGrid w:val="0"/>
                <w:sz w:val="20"/>
                <w:lang w:eastAsia="en-US"/>
              </w:rPr>
            </w:pPr>
            <w:r w:rsidRPr="007C0D91">
              <w:rPr>
                <w:rFonts w:ascii="Arial Narrow" w:eastAsia="Calibri" w:hAnsi="Arial Narrow" w:cs="Times New Roman"/>
                <w:snapToGrid w:val="0"/>
                <w:sz w:val="20"/>
                <w:lang w:eastAsia="en-US"/>
              </w:rPr>
              <w:fldChar w:fldCharType="begin">
                <w:ffData>
                  <w:name w:val="Check3"/>
                  <w:enabled/>
                  <w:calcOnExit w:val="0"/>
                  <w:checkBox>
                    <w:sizeAuto/>
                    <w:default w:val="1"/>
                  </w:checkBox>
                </w:ffData>
              </w:fldChar>
            </w:r>
            <w:r w:rsidRPr="007C0D91">
              <w:rPr>
                <w:rFonts w:ascii="Arial Narrow" w:eastAsia="Calibri" w:hAnsi="Arial Narrow" w:cs="Times New Roman"/>
                <w:snapToGrid w:val="0"/>
                <w:sz w:val="20"/>
                <w:lang w:eastAsia="en-US"/>
              </w:rPr>
              <w:instrText xml:space="preserve"> FORMCHECKBOX </w:instrText>
            </w:r>
            <w:r w:rsidR="00F36295">
              <w:rPr>
                <w:rFonts w:ascii="Arial Narrow" w:eastAsia="Calibri" w:hAnsi="Arial Narrow" w:cs="Times New Roman"/>
                <w:snapToGrid w:val="0"/>
                <w:sz w:val="20"/>
                <w:lang w:eastAsia="en-US"/>
              </w:rPr>
            </w:r>
            <w:r w:rsidR="00F36295">
              <w:rPr>
                <w:rFonts w:ascii="Arial Narrow" w:eastAsia="Calibri" w:hAnsi="Arial Narrow" w:cs="Times New Roman"/>
                <w:snapToGrid w:val="0"/>
                <w:sz w:val="20"/>
                <w:lang w:eastAsia="en-US"/>
              </w:rPr>
              <w:fldChar w:fldCharType="separate"/>
            </w:r>
            <w:r w:rsidRPr="007C0D91">
              <w:rPr>
                <w:rFonts w:ascii="Arial Narrow" w:eastAsia="Calibri" w:hAnsi="Arial Narrow" w:cs="Times New Roman"/>
                <w:snapToGrid w:val="0"/>
                <w:sz w:val="20"/>
                <w:lang w:eastAsia="en-US"/>
              </w:rPr>
              <w:fldChar w:fldCharType="end"/>
            </w:r>
            <w:r w:rsidRPr="007C0D91">
              <w:rPr>
                <w:rFonts w:ascii="Arial Narrow" w:eastAsia="Calibri" w:hAnsi="Arial Narrow" w:cs="Times New Roman"/>
                <w:snapToGrid w:val="0"/>
                <w:sz w:val="20"/>
                <w:lang w:eastAsia="en-US"/>
              </w:rPr>
              <w:t>Authority Required (telephone/online application avenues)</w:t>
            </w:r>
          </w:p>
        </w:tc>
      </w:tr>
      <w:tr w:rsidR="005149D4" w:rsidRPr="007C0D91" w14:paraId="05E11C58" w14:textId="77777777" w:rsidTr="00FD1FCB">
        <w:tc>
          <w:tcPr>
            <w:tcW w:w="5000" w:type="pct"/>
            <w:shd w:val="clear" w:color="auto" w:fill="B8CCE4" w:themeFill="accent1" w:themeFillTint="66"/>
            <w:vAlign w:val="center"/>
          </w:tcPr>
          <w:p w14:paraId="265AD66F"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 xml:space="preserve">Administrative Advice: </w:t>
            </w:r>
            <w:r w:rsidRPr="007C0D91">
              <w:rPr>
                <w:rFonts w:ascii="Arial Narrow" w:eastAsiaTheme="minorHAnsi" w:hAnsi="Arial Narrow" w:cstheme="minorBidi"/>
                <w:snapToGrid w:val="0"/>
                <w:color w:val="333333"/>
                <w:sz w:val="20"/>
                <w:lang w:eastAsia="en-US"/>
              </w:rPr>
              <w:t xml:space="preserve">No increase in the maximum quantity or number of units may be authorised. </w:t>
            </w:r>
          </w:p>
        </w:tc>
      </w:tr>
      <w:tr w:rsidR="005149D4" w:rsidRPr="007C0D91" w14:paraId="0179995F" w14:textId="77777777" w:rsidTr="00FD1FCB">
        <w:tc>
          <w:tcPr>
            <w:tcW w:w="5000" w:type="pct"/>
            <w:shd w:val="clear" w:color="auto" w:fill="B8CCE4" w:themeFill="accent1" w:themeFillTint="66"/>
            <w:vAlign w:val="center"/>
          </w:tcPr>
          <w:p w14:paraId="28092267" w14:textId="77777777" w:rsidR="005149D4" w:rsidRPr="007C0D91" w:rsidRDefault="005149D4" w:rsidP="008869C7">
            <w:pPr>
              <w:jc w:val="left"/>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snapToGrid w:val="0"/>
                <w:color w:val="333333"/>
                <w:sz w:val="20"/>
                <w:lang w:eastAsia="en-US"/>
              </w:rPr>
              <w:t xml:space="preserve">Administrative Advice: </w:t>
            </w:r>
            <w:r w:rsidRPr="007C0D91">
              <w:rPr>
                <w:rFonts w:ascii="Arial Narrow" w:eastAsiaTheme="minorHAnsi" w:hAnsi="Arial Narrow" w:cstheme="minorBidi"/>
                <w:snapToGrid w:val="0"/>
                <w:color w:val="333333"/>
                <w:sz w:val="20"/>
                <w:lang w:eastAsia="en-US"/>
              </w:rPr>
              <w:t>No increase in the maximum number of repeats may be authorised.</w:t>
            </w:r>
          </w:p>
        </w:tc>
      </w:tr>
      <w:tr w:rsidR="005149D4" w:rsidRPr="007C0D91" w14:paraId="07CCDC22" w14:textId="77777777" w:rsidTr="008869C7">
        <w:tc>
          <w:tcPr>
            <w:tcW w:w="5000" w:type="pct"/>
            <w:vAlign w:val="center"/>
            <w:hideMark/>
          </w:tcPr>
          <w:p w14:paraId="30FD7DB8"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Indication:</w:t>
            </w:r>
            <w:r w:rsidRPr="007C0D91">
              <w:rPr>
                <w:rFonts w:ascii="Arial Narrow" w:eastAsiaTheme="minorHAnsi" w:hAnsi="Arial Narrow" w:cstheme="minorBidi"/>
                <w:bCs/>
                <w:snapToGrid w:val="0"/>
                <w:color w:val="333333"/>
                <w:sz w:val="20"/>
                <w:lang w:eastAsia="en-US"/>
              </w:rPr>
              <w:t xml:space="preserve"> Stage IIIB or IIIC (locally advanced) or IV (metastatic) non-small cell lung cancer (NSCLC).</w:t>
            </w:r>
          </w:p>
        </w:tc>
      </w:tr>
      <w:tr w:rsidR="005149D4" w:rsidRPr="007C0D91" w14:paraId="155C5506" w14:textId="77777777" w:rsidTr="00FD1FCB">
        <w:tc>
          <w:tcPr>
            <w:tcW w:w="5000" w:type="pct"/>
            <w:shd w:val="clear" w:color="auto" w:fill="B8CCE4" w:themeFill="accent1" w:themeFillTint="66"/>
            <w:vAlign w:val="center"/>
            <w:hideMark/>
          </w:tcPr>
          <w:p w14:paraId="5925ACA0"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Treatment Phase:</w:t>
            </w:r>
            <w:r w:rsidRPr="007C0D91">
              <w:rPr>
                <w:rFonts w:ascii="Arial Narrow" w:eastAsiaTheme="minorHAnsi" w:hAnsi="Arial Narrow" w:cstheme="minorBidi"/>
                <w:snapToGrid w:val="0"/>
                <w:color w:val="333333"/>
                <w:sz w:val="20"/>
                <w:lang w:eastAsia="en-US"/>
              </w:rPr>
              <w:t xml:space="preserve"> Initial PBS-subsidised treatment</w:t>
            </w:r>
          </w:p>
        </w:tc>
      </w:tr>
      <w:tr w:rsidR="005149D4" w:rsidRPr="007C0D91" w14:paraId="52340C5D" w14:textId="77777777" w:rsidTr="00FD1FCB">
        <w:tc>
          <w:tcPr>
            <w:tcW w:w="5000" w:type="pct"/>
            <w:shd w:val="clear" w:color="auto" w:fill="B8CCE4" w:themeFill="accent1" w:themeFillTint="66"/>
            <w:vAlign w:val="center"/>
            <w:hideMark/>
          </w:tcPr>
          <w:p w14:paraId="12368FB7"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Clinical criteria</w:t>
            </w:r>
          </w:p>
        </w:tc>
      </w:tr>
      <w:tr w:rsidR="005149D4" w:rsidRPr="007C0D91" w14:paraId="584CE9DC" w14:textId="77777777" w:rsidTr="00FD1FCB">
        <w:tc>
          <w:tcPr>
            <w:tcW w:w="5000" w:type="pct"/>
            <w:shd w:val="clear" w:color="auto" w:fill="B8CCE4" w:themeFill="accent1" w:themeFillTint="66"/>
            <w:vAlign w:val="center"/>
          </w:tcPr>
          <w:p w14:paraId="31CB1E0F"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lastRenderedPageBreak/>
              <w:t>The treatment must be the sole PBS-subsidised therapy for this condition</w:t>
            </w:r>
          </w:p>
        </w:tc>
      </w:tr>
      <w:tr w:rsidR="005149D4" w:rsidRPr="007C0D91" w14:paraId="3A4E533F" w14:textId="77777777" w:rsidTr="008869C7">
        <w:tc>
          <w:tcPr>
            <w:tcW w:w="5000" w:type="pct"/>
            <w:vAlign w:val="center"/>
            <w:hideMark/>
          </w:tcPr>
          <w:p w14:paraId="19B4708B"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AND</w:t>
            </w:r>
          </w:p>
        </w:tc>
      </w:tr>
      <w:tr w:rsidR="005149D4" w:rsidRPr="007C0D91" w14:paraId="4876E494" w14:textId="77777777" w:rsidTr="008869C7">
        <w:tc>
          <w:tcPr>
            <w:tcW w:w="5000" w:type="pct"/>
            <w:vAlign w:val="center"/>
          </w:tcPr>
          <w:p w14:paraId="69DC6E0D" w14:textId="77777777" w:rsidR="005149D4" w:rsidRPr="007C0D91" w:rsidRDefault="005149D4" w:rsidP="008869C7">
            <w:pPr>
              <w:jc w:val="left"/>
              <w:rPr>
                <w:rFonts w:ascii="Arial Narrow" w:eastAsiaTheme="minorHAnsi" w:hAnsi="Arial Narrow" w:cstheme="minorBidi"/>
                <w:b/>
                <w:bCs/>
                <w:i/>
                <w:iCs/>
                <w:snapToGrid w:val="0"/>
                <w:color w:val="333333"/>
                <w:sz w:val="20"/>
                <w:lang w:eastAsia="en-US"/>
              </w:rPr>
            </w:pPr>
            <w:r w:rsidRPr="007C0D91">
              <w:rPr>
                <w:rFonts w:ascii="Arial Narrow" w:eastAsiaTheme="minorHAnsi" w:hAnsi="Arial Narrow" w:cstheme="minorBidi"/>
                <w:b/>
                <w:bCs/>
                <w:i/>
                <w:iCs/>
                <w:snapToGrid w:val="0"/>
                <w:color w:val="333333"/>
                <w:sz w:val="20"/>
                <w:lang w:eastAsia="en-US"/>
              </w:rPr>
              <w:t>Clinical criteria</w:t>
            </w:r>
          </w:p>
        </w:tc>
      </w:tr>
      <w:tr w:rsidR="005149D4" w:rsidRPr="007C0D91" w14:paraId="73076A4B" w14:textId="77777777" w:rsidTr="008869C7">
        <w:tc>
          <w:tcPr>
            <w:tcW w:w="5000" w:type="pct"/>
            <w:vAlign w:val="center"/>
            <w:hideMark/>
          </w:tcPr>
          <w:p w14:paraId="142BE546" w14:textId="77777777" w:rsidR="005149D4" w:rsidRPr="007C0D91" w:rsidRDefault="005149D4" w:rsidP="008869C7">
            <w:pPr>
              <w:jc w:val="left"/>
              <w:rPr>
                <w:rFonts w:ascii="Arial Narrow" w:eastAsiaTheme="minorHAnsi" w:hAnsi="Arial Narrow" w:cstheme="minorBidi"/>
                <w:strike/>
                <w:snapToGrid w:val="0"/>
                <w:color w:val="333333"/>
                <w:sz w:val="20"/>
                <w:lang w:eastAsia="en-US"/>
              </w:rPr>
            </w:pPr>
            <w:r w:rsidRPr="007C0D91">
              <w:rPr>
                <w:rFonts w:ascii="Arial Narrow" w:eastAsiaTheme="minorHAnsi" w:hAnsi="Arial Narrow" w:cstheme="minorBidi"/>
                <w:snapToGrid w:val="0"/>
                <w:color w:val="333333"/>
                <w:sz w:val="20"/>
                <w:lang w:eastAsia="en-US"/>
              </w:rPr>
              <w:t>Patient must have/have had a WHO performance status of 2 or less prior to initiation of treatment with this drug for this condition.</w:t>
            </w:r>
          </w:p>
        </w:tc>
      </w:tr>
      <w:tr w:rsidR="005149D4" w:rsidRPr="007C0D91" w14:paraId="6CCF07EF" w14:textId="77777777" w:rsidTr="00FD1FCB">
        <w:tc>
          <w:tcPr>
            <w:tcW w:w="5000" w:type="pct"/>
            <w:shd w:val="clear" w:color="auto" w:fill="B8CCE4" w:themeFill="accent1" w:themeFillTint="66"/>
            <w:vAlign w:val="center"/>
            <w:hideMark/>
          </w:tcPr>
          <w:p w14:paraId="7E85C477"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AND</w:t>
            </w:r>
          </w:p>
        </w:tc>
      </w:tr>
      <w:tr w:rsidR="005149D4" w:rsidRPr="007C0D91" w14:paraId="35AD8229" w14:textId="77777777" w:rsidTr="00FD1FCB">
        <w:tc>
          <w:tcPr>
            <w:tcW w:w="5000" w:type="pct"/>
            <w:shd w:val="clear" w:color="auto" w:fill="B8CCE4" w:themeFill="accent1" w:themeFillTint="66"/>
            <w:vAlign w:val="center"/>
          </w:tcPr>
          <w:p w14:paraId="5D703BA8" w14:textId="77777777" w:rsidR="005149D4" w:rsidRPr="007C0D91" w:rsidRDefault="005149D4" w:rsidP="008869C7">
            <w:pPr>
              <w:jc w:val="left"/>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i/>
                <w:iCs/>
                <w:snapToGrid w:val="0"/>
                <w:color w:val="333333"/>
                <w:sz w:val="20"/>
                <w:lang w:eastAsia="en-US"/>
              </w:rPr>
              <w:t>Clinical criteria</w:t>
            </w:r>
          </w:p>
        </w:tc>
      </w:tr>
      <w:tr w:rsidR="005149D4" w:rsidRPr="007C0D91" w14:paraId="7C889207" w14:textId="77777777" w:rsidTr="00FD1FCB">
        <w:tc>
          <w:tcPr>
            <w:tcW w:w="5000" w:type="pct"/>
            <w:shd w:val="clear" w:color="auto" w:fill="B8CCE4" w:themeFill="accent1" w:themeFillTint="66"/>
            <w:vAlign w:val="center"/>
            <w:hideMark/>
          </w:tcPr>
          <w:p w14:paraId="5C672879"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t>Patient must not have previously received this drug for this condition; OR</w:t>
            </w:r>
          </w:p>
        </w:tc>
      </w:tr>
      <w:tr w:rsidR="005149D4" w:rsidRPr="007C0D91" w14:paraId="0FC83B46" w14:textId="77777777" w:rsidTr="008869C7">
        <w:tc>
          <w:tcPr>
            <w:tcW w:w="5000" w:type="pct"/>
            <w:vAlign w:val="center"/>
          </w:tcPr>
          <w:p w14:paraId="1E572236"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t xml:space="preserve">Patient must be each of: (i) currently receiving non-PBS subsidised supply for this drug for this PBS indication, (ii) untreated with this drug at the time that non-PBS subsidised supply was commenced, (iii) free of disease progression since commencing non-PBS subsidised supply </w:t>
            </w:r>
          </w:p>
        </w:tc>
      </w:tr>
      <w:tr w:rsidR="005149D4" w:rsidRPr="007C0D91" w14:paraId="23AED45B" w14:textId="77777777" w:rsidTr="00FD1FCB">
        <w:tc>
          <w:tcPr>
            <w:tcW w:w="5000" w:type="pct"/>
            <w:shd w:val="clear" w:color="auto" w:fill="B8CCE4" w:themeFill="accent1" w:themeFillTint="66"/>
            <w:vAlign w:val="center"/>
            <w:hideMark/>
          </w:tcPr>
          <w:p w14:paraId="0F96B51D"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AND</w:t>
            </w:r>
          </w:p>
        </w:tc>
      </w:tr>
      <w:tr w:rsidR="005149D4" w:rsidRPr="007C0D91" w14:paraId="22A04484" w14:textId="77777777" w:rsidTr="00FD1FCB">
        <w:tc>
          <w:tcPr>
            <w:tcW w:w="5000" w:type="pct"/>
            <w:shd w:val="clear" w:color="auto" w:fill="B8CCE4" w:themeFill="accent1" w:themeFillTint="66"/>
            <w:vAlign w:val="center"/>
          </w:tcPr>
          <w:p w14:paraId="05157117" w14:textId="77777777" w:rsidR="005149D4" w:rsidRPr="007C0D91" w:rsidRDefault="005149D4" w:rsidP="008869C7">
            <w:pPr>
              <w:jc w:val="left"/>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i/>
                <w:iCs/>
                <w:snapToGrid w:val="0"/>
                <w:color w:val="333333"/>
                <w:sz w:val="20"/>
                <w:lang w:eastAsia="en-US"/>
              </w:rPr>
              <w:t>Clinical criteria</w:t>
            </w:r>
          </w:p>
        </w:tc>
      </w:tr>
      <w:tr w:rsidR="005149D4" w:rsidRPr="007C0D91" w14:paraId="09F85550" w14:textId="77777777" w:rsidTr="00FD1FCB">
        <w:tc>
          <w:tcPr>
            <w:tcW w:w="5000" w:type="pct"/>
            <w:shd w:val="clear" w:color="auto" w:fill="B8CCE4" w:themeFill="accent1" w:themeFillTint="66"/>
            <w:vAlign w:val="center"/>
            <w:hideMark/>
          </w:tcPr>
          <w:p w14:paraId="79714887"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t>The condition must be non-squamous type non-small cell lung cancer (NSCLC) or not otherwise specified type NSCLC</w:t>
            </w:r>
          </w:p>
        </w:tc>
      </w:tr>
      <w:tr w:rsidR="005149D4" w:rsidRPr="007C0D91" w14:paraId="32FAEC8C" w14:textId="77777777" w:rsidTr="00FD1FCB">
        <w:tc>
          <w:tcPr>
            <w:tcW w:w="5000" w:type="pct"/>
            <w:shd w:val="clear" w:color="auto" w:fill="B8CCE4" w:themeFill="accent1" w:themeFillTint="66"/>
            <w:vAlign w:val="center"/>
            <w:hideMark/>
          </w:tcPr>
          <w:p w14:paraId="16ED91B1"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AND</w:t>
            </w:r>
          </w:p>
        </w:tc>
      </w:tr>
      <w:tr w:rsidR="005149D4" w:rsidRPr="007C0D91" w14:paraId="55DB83B3" w14:textId="77777777" w:rsidTr="00FD1FCB">
        <w:tc>
          <w:tcPr>
            <w:tcW w:w="5000" w:type="pct"/>
            <w:shd w:val="clear" w:color="auto" w:fill="B8CCE4" w:themeFill="accent1" w:themeFillTint="66"/>
            <w:vAlign w:val="center"/>
          </w:tcPr>
          <w:p w14:paraId="5F518801" w14:textId="77777777" w:rsidR="005149D4" w:rsidRPr="007C0D91" w:rsidRDefault="005149D4" w:rsidP="008869C7">
            <w:pPr>
              <w:jc w:val="left"/>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i/>
                <w:iCs/>
                <w:snapToGrid w:val="0"/>
                <w:color w:val="333333"/>
                <w:sz w:val="20"/>
                <w:lang w:eastAsia="en-US"/>
              </w:rPr>
              <w:t>Clinical criteria</w:t>
            </w:r>
          </w:p>
        </w:tc>
      </w:tr>
      <w:tr w:rsidR="005149D4" w:rsidRPr="007C0D91" w14:paraId="14C58F94" w14:textId="77777777" w:rsidTr="00FD1FCB">
        <w:tc>
          <w:tcPr>
            <w:tcW w:w="5000" w:type="pct"/>
            <w:shd w:val="clear" w:color="auto" w:fill="B8CCE4" w:themeFill="accent1" w:themeFillTint="66"/>
            <w:vAlign w:val="center"/>
            <w:hideMark/>
          </w:tcPr>
          <w:p w14:paraId="61585519"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t>Patient must have had progressive disease following platinum-based chemotherapy</w:t>
            </w:r>
          </w:p>
        </w:tc>
      </w:tr>
      <w:tr w:rsidR="005149D4" w:rsidRPr="007C0D91" w14:paraId="00760D94" w14:textId="77777777" w:rsidTr="00FD1FCB">
        <w:tc>
          <w:tcPr>
            <w:tcW w:w="5000" w:type="pct"/>
            <w:shd w:val="clear" w:color="auto" w:fill="B8CCE4" w:themeFill="accent1" w:themeFillTint="66"/>
            <w:vAlign w:val="center"/>
            <w:hideMark/>
          </w:tcPr>
          <w:p w14:paraId="7A21DF07"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AND</w:t>
            </w:r>
          </w:p>
        </w:tc>
      </w:tr>
      <w:tr w:rsidR="005149D4" w:rsidRPr="007C0D91" w14:paraId="58B3ADC0" w14:textId="77777777" w:rsidTr="00FD1FCB">
        <w:tc>
          <w:tcPr>
            <w:tcW w:w="5000" w:type="pct"/>
            <w:shd w:val="clear" w:color="auto" w:fill="B8CCE4" w:themeFill="accent1" w:themeFillTint="66"/>
            <w:vAlign w:val="center"/>
          </w:tcPr>
          <w:p w14:paraId="4BF387F5" w14:textId="77777777" w:rsidR="005149D4" w:rsidRPr="007C0D91" w:rsidRDefault="005149D4" w:rsidP="008869C7">
            <w:pPr>
              <w:jc w:val="left"/>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i/>
                <w:iCs/>
                <w:snapToGrid w:val="0"/>
                <w:color w:val="333333"/>
                <w:sz w:val="20"/>
                <w:lang w:eastAsia="en-US"/>
              </w:rPr>
              <w:t>Clinical criteria</w:t>
            </w:r>
          </w:p>
        </w:tc>
      </w:tr>
      <w:tr w:rsidR="005149D4" w:rsidRPr="007C0D91" w14:paraId="0885098E" w14:textId="77777777" w:rsidTr="00FD1FCB">
        <w:tc>
          <w:tcPr>
            <w:tcW w:w="5000" w:type="pct"/>
            <w:shd w:val="clear" w:color="auto" w:fill="B8CCE4" w:themeFill="accent1" w:themeFillTint="66"/>
            <w:vAlign w:val="center"/>
            <w:hideMark/>
          </w:tcPr>
          <w:p w14:paraId="001D8BB3" w14:textId="717920AE" w:rsidR="005149D4" w:rsidRPr="007C0D91" w:rsidRDefault="005149D4" w:rsidP="008869C7">
            <w:pPr>
              <w:jc w:val="left"/>
              <w:rPr>
                <w:rFonts w:ascii="Arial Narrow" w:eastAsiaTheme="minorHAnsi" w:hAnsi="Arial Narrow" w:cstheme="minorBidi"/>
                <w:snapToGrid w:val="0"/>
                <w:color w:val="333333"/>
                <w:sz w:val="20"/>
                <w:lang w:eastAsia="en-US"/>
              </w:rPr>
            </w:pPr>
            <w:bookmarkStart w:id="20" w:name="_Hlk140575738"/>
            <w:r w:rsidRPr="007C0D91">
              <w:rPr>
                <w:rFonts w:ascii="Arial Narrow" w:eastAsiaTheme="minorHAnsi" w:hAnsi="Arial Narrow" w:cstheme="minorBidi"/>
                <w:snapToGrid w:val="0"/>
                <w:color w:val="333333"/>
                <w:sz w:val="20"/>
                <w:lang w:eastAsia="en-US"/>
              </w:rPr>
              <w:t>Patient must have evidence in tumour material of an activating epidermal growth factor receptor (</w:t>
            </w:r>
            <w:r w:rsidR="00FB0DBF" w:rsidRPr="00FB0DBF">
              <w:rPr>
                <w:rFonts w:ascii="Arial Narrow" w:eastAsiaTheme="minorHAnsi" w:hAnsi="Arial Narrow" w:cstheme="minorBidi"/>
                <w:i/>
                <w:snapToGrid w:val="0"/>
                <w:color w:val="333333"/>
                <w:sz w:val="20"/>
                <w:lang w:eastAsia="en-US"/>
              </w:rPr>
              <w:t>EGFR</w:t>
            </w:r>
            <w:r w:rsidRPr="007C0D91">
              <w:rPr>
                <w:rFonts w:ascii="Arial Narrow" w:eastAsiaTheme="minorHAnsi" w:hAnsi="Arial Narrow" w:cstheme="minorBidi"/>
                <w:snapToGrid w:val="0"/>
                <w:color w:val="333333"/>
                <w:sz w:val="20"/>
                <w:lang w:eastAsia="en-US"/>
              </w:rPr>
              <w:t>) exon 20 insertion mutation</w:t>
            </w:r>
            <w:bookmarkEnd w:id="20"/>
          </w:p>
        </w:tc>
      </w:tr>
      <w:tr w:rsidR="005149D4" w:rsidRPr="007C0D91" w14:paraId="36A6954D" w14:textId="77777777" w:rsidTr="00FD1FCB">
        <w:tc>
          <w:tcPr>
            <w:tcW w:w="5000" w:type="pct"/>
            <w:shd w:val="clear" w:color="auto" w:fill="B8CCE4" w:themeFill="accent1" w:themeFillTint="66"/>
            <w:vAlign w:val="center"/>
            <w:hideMark/>
          </w:tcPr>
          <w:p w14:paraId="72CC308D"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 xml:space="preserve">Administrative Advice: </w:t>
            </w:r>
            <w:r w:rsidRPr="007C0D91">
              <w:rPr>
                <w:rFonts w:ascii="Arial Narrow" w:eastAsiaTheme="minorHAnsi" w:hAnsi="Arial Narrow" w:cstheme="minorBidi"/>
                <w:snapToGrid w:val="0"/>
                <w:color w:val="333333"/>
                <w:sz w:val="20"/>
                <w:lang w:eastAsia="en-US"/>
              </w:rPr>
              <w:t>A patient may only qualify for PBS-subsidised treatment under this restriction once.</w:t>
            </w:r>
          </w:p>
          <w:p w14:paraId="1E6F80A2" w14:textId="77777777" w:rsidR="005149D4" w:rsidRPr="007C0D91" w:rsidRDefault="005149D4" w:rsidP="008869C7">
            <w:pPr>
              <w:jc w:val="left"/>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t>Following completion of the initial PBS-subsidised course, further applications for treatment will be assessed under the continuing treatment restriction.</w:t>
            </w:r>
          </w:p>
        </w:tc>
      </w:tr>
      <w:tr w:rsidR="005149D4" w:rsidRPr="007C0D91" w14:paraId="228B8578" w14:textId="77777777" w:rsidTr="00FD1FCB">
        <w:tc>
          <w:tcPr>
            <w:tcW w:w="5000" w:type="pct"/>
            <w:shd w:val="clear" w:color="auto" w:fill="B8CCE4" w:themeFill="accent1" w:themeFillTint="66"/>
            <w:vAlign w:val="center"/>
          </w:tcPr>
          <w:p w14:paraId="2FBA8BA2" w14:textId="77777777" w:rsidR="005149D4" w:rsidRPr="007C0D91" w:rsidRDefault="005149D4" w:rsidP="008869C7">
            <w:pPr>
              <w:jc w:val="left"/>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snapToGrid w:val="0"/>
                <w:color w:val="333333"/>
                <w:sz w:val="20"/>
                <w:lang w:eastAsia="en-US"/>
              </w:rPr>
              <w:t xml:space="preserve">Administrative Advice: </w:t>
            </w:r>
            <w:r w:rsidRPr="007C0D91">
              <w:rPr>
                <w:rFonts w:ascii="Arial Narrow" w:eastAsiaTheme="minorHAnsi" w:hAnsi="Arial Narrow" w:cstheme="minorBidi"/>
                <w:snapToGrid w:val="0"/>
                <w:color w:val="333333"/>
                <w:sz w:val="20"/>
                <w:lang w:eastAsia="en-US"/>
              </w:rPr>
              <w:t>Special Pricing Arrangements apply.</w:t>
            </w:r>
          </w:p>
        </w:tc>
      </w:tr>
      <w:tr w:rsidR="005149D4" w:rsidRPr="007C0D91" w14:paraId="6024D61D" w14:textId="77777777" w:rsidTr="00FD1FCB">
        <w:tc>
          <w:tcPr>
            <w:tcW w:w="5000" w:type="pct"/>
            <w:shd w:val="clear" w:color="auto" w:fill="B8CCE4" w:themeFill="accent1" w:themeFillTint="66"/>
            <w:vAlign w:val="center"/>
          </w:tcPr>
          <w:p w14:paraId="5D8C083C" w14:textId="77777777" w:rsidR="005149D4" w:rsidRPr="007C0D91" w:rsidRDefault="005149D4" w:rsidP="008869C7">
            <w:pPr>
              <w:jc w:val="left"/>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snapToGrid w:val="0"/>
                <w:sz w:val="20"/>
                <w:lang w:eastAsia="en-US"/>
              </w:rPr>
              <w:t xml:space="preserve">Administrative Advice: </w:t>
            </w:r>
            <w:r w:rsidRPr="007C0D91">
              <w:rPr>
                <w:rFonts w:ascii="Arial Narrow" w:eastAsiaTheme="minorHAnsi" w:hAnsi="Arial Narrow" w:cstheme="minorBidi"/>
                <w:bCs/>
                <w:snapToGrid w:val="0"/>
                <w:sz w:val="20"/>
                <w:lang w:eastAsia="en-US"/>
              </w:rPr>
              <w:t>Applications for authorisation under this restriction may be made in real time using the Online PBS Authorities system (see www.servicesaustralia.gov.au/HPOS) or by telephone by contacting Services Australia on 1800 888 333.</w:t>
            </w:r>
          </w:p>
        </w:tc>
      </w:tr>
    </w:tbl>
    <w:p w14:paraId="0036FB18" w14:textId="77777777" w:rsidR="005149D4" w:rsidRPr="007C0D91" w:rsidRDefault="005149D4" w:rsidP="005149D4">
      <w:pPr>
        <w:keepNext/>
        <w:jc w:val="left"/>
        <w:rPr>
          <w:rFonts w:ascii="Arial Narrow" w:eastAsiaTheme="majorEastAsia" w:hAnsi="Arial Narrow" w:cstheme="majorBidi"/>
          <w:bCs/>
          <w:sz w:val="20"/>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5149D4" w:rsidRPr="007C0D91" w14:paraId="61634E9D" w14:textId="77777777" w:rsidTr="00A63EBE">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4B720D" w14:textId="77777777" w:rsidR="005149D4" w:rsidRPr="007C0D91" w:rsidRDefault="005149D4" w:rsidP="008869C7">
            <w:pPr>
              <w:rPr>
                <w:rFonts w:ascii="Arial Narrow" w:eastAsiaTheme="minorHAnsi" w:hAnsi="Arial Narrow" w:cs="Times New Roman"/>
                <w:snapToGrid w:val="0"/>
                <w:sz w:val="20"/>
                <w:lang w:eastAsia="en-US"/>
              </w:rPr>
            </w:pPr>
            <w:r w:rsidRPr="007C0D91">
              <w:rPr>
                <w:rFonts w:ascii="Arial Narrow" w:eastAsiaTheme="minorHAnsi" w:hAnsi="Arial Narrow" w:cs="Times New Roman"/>
                <w:b/>
                <w:snapToGrid w:val="0"/>
                <w:sz w:val="20"/>
                <w:lang w:eastAsia="en-US"/>
              </w:rPr>
              <w:t xml:space="preserve">Category / Program:   </w:t>
            </w:r>
            <w:r w:rsidRPr="007C0D91">
              <w:rPr>
                <w:rFonts w:ascii="Arial Narrow" w:eastAsiaTheme="minorHAnsi" w:hAnsi="Arial Narrow" w:cs="Times New Roman"/>
                <w:snapToGrid w:val="0"/>
                <w:sz w:val="20"/>
                <w:lang w:eastAsia="en-US"/>
              </w:rPr>
              <w:t>GENERAL – General Schedule (Code GE)</w:t>
            </w:r>
          </w:p>
        </w:tc>
      </w:tr>
      <w:tr w:rsidR="005149D4" w:rsidRPr="007C0D91" w14:paraId="59E56202" w14:textId="77777777" w:rsidTr="00A63EBE">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CBC8DC" w14:textId="77777777" w:rsidR="005149D4" w:rsidRPr="007C0D91" w:rsidRDefault="005149D4" w:rsidP="008869C7">
            <w:pPr>
              <w:rPr>
                <w:rFonts w:ascii="Arial Narrow" w:eastAsiaTheme="minorHAnsi" w:hAnsi="Arial Narrow" w:cs="Times New Roman"/>
                <w:b/>
                <w:snapToGrid w:val="0"/>
                <w:sz w:val="20"/>
                <w:lang w:eastAsia="en-US"/>
              </w:rPr>
            </w:pPr>
            <w:r w:rsidRPr="007C0D91">
              <w:rPr>
                <w:rFonts w:ascii="Arial Narrow" w:eastAsiaTheme="minorHAnsi" w:hAnsi="Arial Narrow" w:cs="Times New Roman"/>
                <w:b/>
                <w:snapToGrid w:val="0"/>
                <w:sz w:val="20"/>
                <w:lang w:eastAsia="en-US"/>
              </w:rPr>
              <w:t xml:space="preserve">Prescriber type:   </w:t>
            </w:r>
            <w:r w:rsidRPr="007C0D91">
              <w:rPr>
                <w:rFonts w:ascii="Arial Narrow" w:eastAsiaTheme="minorHAnsi" w:hAnsi="Arial Narrow" w:cs="Times New Roman"/>
                <w:snapToGrid w:val="0"/>
                <w:sz w:val="20"/>
                <w:lang w:eastAsia="en-US"/>
              </w:rPr>
              <w:fldChar w:fldCharType="begin">
                <w:ffData>
                  <w:name w:val=""/>
                  <w:enabled/>
                  <w:calcOnExit w:val="0"/>
                  <w:checkBox>
                    <w:sizeAuto/>
                    <w:default w:val="1"/>
                  </w:checkBox>
                </w:ffData>
              </w:fldChar>
            </w:r>
            <w:r w:rsidRPr="007C0D91">
              <w:rPr>
                <w:rFonts w:ascii="Arial Narrow" w:eastAsiaTheme="minorHAnsi" w:hAnsi="Arial Narrow" w:cs="Times New Roman"/>
                <w:snapToGrid w:val="0"/>
                <w:sz w:val="20"/>
                <w:lang w:eastAsia="en-US"/>
              </w:rPr>
              <w:instrText xml:space="preserve"> FORMCHECKBOX </w:instrText>
            </w:r>
            <w:r w:rsidR="00F36295">
              <w:rPr>
                <w:rFonts w:ascii="Arial Narrow" w:eastAsiaTheme="minorHAnsi" w:hAnsi="Arial Narrow" w:cs="Times New Roman"/>
                <w:snapToGrid w:val="0"/>
                <w:sz w:val="20"/>
                <w:lang w:eastAsia="en-US"/>
              </w:rPr>
            </w:r>
            <w:r w:rsidR="00F36295">
              <w:rPr>
                <w:rFonts w:ascii="Arial Narrow" w:eastAsiaTheme="minorHAnsi" w:hAnsi="Arial Narrow" w:cs="Times New Roman"/>
                <w:snapToGrid w:val="0"/>
                <w:sz w:val="20"/>
                <w:lang w:eastAsia="en-US"/>
              </w:rPr>
              <w:fldChar w:fldCharType="separate"/>
            </w:r>
            <w:r w:rsidRPr="007C0D91">
              <w:rPr>
                <w:rFonts w:ascii="Arial Narrow" w:eastAsiaTheme="minorHAnsi" w:hAnsi="Arial Narrow" w:cs="Times New Roman"/>
                <w:snapToGrid w:val="0"/>
                <w:sz w:val="20"/>
                <w:lang w:eastAsia="en-US"/>
              </w:rPr>
              <w:fldChar w:fldCharType="end"/>
            </w:r>
            <w:r w:rsidRPr="007C0D91">
              <w:rPr>
                <w:rFonts w:ascii="Arial Narrow" w:eastAsiaTheme="minorHAnsi" w:hAnsi="Arial Narrow" w:cs="Times New Roman"/>
                <w:snapToGrid w:val="0"/>
                <w:sz w:val="20"/>
                <w:lang w:eastAsia="en-US"/>
              </w:rPr>
              <w:t xml:space="preserve">Medical Practitioners    </w:t>
            </w:r>
          </w:p>
        </w:tc>
      </w:tr>
      <w:tr w:rsidR="005149D4" w:rsidRPr="007C0D91" w14:paraId="4902A422" w14:textId="77777777" w:rsidTr="00A63EBE">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EDC882" w14:textId="77777777" w:rsidR="005149D4" w:rsidRPr="007C0D91" w:rsidRDefault="005149D4" w:rsidP="008869C7">
            <w:pPr>
              <w:rPr>
                <w:rFonts w:ascii="Arial Narrow" w:eastAsiaTheme="minorHAnsi" w:hAnsi="Arial Narrow" w:cs="Times New Roman"/>
                <w:b/>
                <w:snapToGrid w:val="0"/>
                <w:sz w:val="20"/>
                <w:lang w:eastAsia="en-US"/>
              </w:rPr>
            </w:pPr>
            <w:r w:rsidRPr="007C0D91">
              <w:rPr>
                <w:rFonts w:ascii="Arial Narrow" w:eastAsiaTheme="minorHAnsi" w:hAnsi="Arial Narrow" w:cs="Times New Roman"/>
                <w:b/>
                <w:snapToGrid w:val="0"/>
                <w:sz w:val="20"/>
                <w:lang w:eastAsia="en-US"/>
              </w:rPr>
              <w:t>Restriction type:</w:t>
            </w:r>
          </w:p>
          <w:p w14:paraId="7031FEA3" w14:textId="77777777" w:rsidR="005149D4" w:rsidRPr="007C0D91" w:rsidRDefault="005149D4" w:rsidP="008869C7">
            <w:pPr>
              <w:rPr>
                <w:rFonts w:ascii="Arial Narrow" w:eastAsia="Calibri" w:hAnsi="Arial Narrow" w:cs="Times New Roman"/>
                <w:snapToGrid w:val="0"/>
                <w:sz w:val="20"/>
                <w:lang w:eastAsia="en-US"/>
              </w:rPr>
            </w:pPr>
            <w:r w:rsidRPr="007C0D91">
              <w:rPr>
                <w:rFonts w:ascii="Arial Narrow" w:eastAsia="Calibri" w:hAnsi="Arial Narrow" w:cs="Times New Roman"/>
                <w:snapToGrid w:val="0"/>
                <w:sz w:val="20"/>
                <w:lang w:eastAsia="en-US"/>
              </w:rPr>
              <w:fldChar w:fldCharType="begin">
                <w:ffData>
                  <w:name w:val="Check3"/>
                  <w:enabled/>
                  <w:calcOnExit w:val="0"/>
                  <w:checkBox>
                    <w:sizeAuto/>
                    <w:default w:val="1"/>
                  </w:checkBox>
                </w:ffData>
              </w:fldChar>
            </w:r>
            <w:r w:rsidRPr="007C0D91">
              <w:rPr>
                <w:rFonts w:ascii="Arial Narrow" w:eastAsia="Calibri" w:hAnsi="Arial Narrow" w:cs="Times New Roman"/>
                <w:snapToGrid w:val="0"/>
                <w:sz w:val="20"/>
                <w:lang w:eastAsia="en-US"/>
              </w:rPr>
              <w:instrText xml:space="preserve"> FORMCHECKBOX </w:instrText>
            </w:r>
            <w:r w:rsidR="00F36295">
              <w:rPr>
                <w:rFonts w:ascii="Arial Narrow" w:eastAsia="Calibri" w:hAnsi="Arial Narrow" w:cs="Times New Roman"/>
                <w:snapToGrid w:val="0"/>
                <w:sz w:val="20"/>
                <w:lang w:eastAsia="en-US"/>
              </w:rPr>
            </w:r>
            <w:r w:rsidR="00F36295">
              <w:rPr>
                <w:rFonts w:ascii="Arial Narrow" w:eastAsia="Calibri" w:hAnsi="Arial Narrow" w:cs="Times New Roman"/>
                <w:snapToGrid w:val="0"/>
                <w:sz w:val="20"/>
                <w:lang w:eastAsia="en-US"/>
              </w:rPr>
              <w:fldChar w:fldCharType="separate"/>
            </w:r>
            <w:r w:rsidRPr="007C0D91">
              <w:rPr>
                <w:rFonts w:ascii="Arial Narrow" w:eastAsia="Calibri" w:hAnsi="Arial Narrow" w:cs="Times New Roman"/>
                <w:snapToGrid w:val="0"/>
                <w:sz w:val="20"/>
                <w:lang w:eastAsia="en-US"/>
              </w:rPr>
              <w:fldChar w:fldCharType="end"/>
            </w:r>
            <w:r w:rsidRPr="007C0D91">
              <w:rPr>
                <w:rFonts w:ascii="Arial Narrow" w:eastAsia="Calibri" w:hAnsi="Arial Narrow" w:cs="Times New Roman"/>
                <w:snapToGrid w:val="0"/>
                <w:sz w:val="20"/>
                <w:lang w:eastAsia="en-US"/>
              </w:rPr>
              <w:t>Authority Required (telephone/online application avenues)</w:t>
            </w:r>
          </w:p>
        </w:tc>
      </w:tr>
      <w:tr w:rsidR="005149D4" w:rsidRPr="007C0D91" w14:paraId="3B24E910" w14:textId="77777777" w:rsidTr="00A63EBE">
        <w:tc>
          <w:tcPr>
            <w:tcW w:w="5000" w:type="pct"/>
            <w:shd w:val="clear" w:color="auto" w:fill="B8CCE4" w:themeFill="accent1" w:themeFillTint="66"/>
            <w:vAlign w:val="center"/>
          </w:tcPr>
          <w:p w14:paraId="055F7C01"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 xml:space="preserve">Administrative Advice: </w:t>
            </w:r>
            <w:r w:rsidRPr="007C0D91">
              <w:rPr>
                <w:rFonts w:ascii="Arial Narrow" w:eastAsiaTheme="minorHAnsi" w:hAnsi="Arial Narrow" w:cstheme="minorBidi"/>
                <w:snapToGrid w:val="0"/>
                <w:color w:val="333333"/>
                <w:sz w:val="20"/>
                <w:lang w:eastAsia="en-US"/>
              </w:rPr>
              <w:t xml:space="preserve">No increase in the maximum quantity or number of units may be authorised. </w:t>
            </w:r>
          </w:p>
        </w:tc>
      </w:tr>
      <w:tr w:rsidR="005149D4" w:rsidRPr="007C0D91" w14:paraId="37B986FB" w14:textId="77777777" w:rsidTr="00A63EBE">
        <w:tc>
          <w:tcPr>
            <w:tcW w:w="5000" w:type="pct"/>
            <w:shd w:val="clear" w:color="auto" w:fill="B8CCE4" w:themeFill="accent1" w:themeFillTint="66"/>
            <w:vAlign w:val="center"/>
          </w:tcPr>
          <w:p w14:paraId="120DD538" w14:textId="77777777" w:rsidR="005149D4" w:rsidRPr="007C0D91" w:rsidRDefault="005149D4" w:rsidP="008869C7">
            <w:pPr>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snapToGrid w:val="0"/>
                <w:color w:val="333333"/>
                <w:sz w:val="20"/>
                <w:lang w:eastAsia="en-US"/>
              </w:rPr>
              <w:t xml:space="preserve">Administrative Advice: </w:t>
            </w:r>
            <w:r w:rsidRPr="007C0D91">
              <w:rPr>
                <w:rFonts w:ascii="Arial Narrow" w:eastAsiaTheme="minorHAnsi" w:hAnsi="Arial Narrow" w:cstheme="minorBidi"/>
                <w:snapToGrid w:val="0"/>
                <w:color w:val="333333"/>
                <w:sz w:val="20"/>
                <w:lang w:eastAsia="en-US"/>
              </w:rPr>
              <w:t>No increase in the maximum number of repeats may be authorised.</w:t>
            </w:r>
          </w:p>
        </w:tc>
      </w:tr>
      <w:tr w:rsidR="005149D4" w:rsidRPr="007C0D91" w14:paraId="2D51A118" w14:textId="77777777" w:rsidTr="00A63EBE">
        <w:tc>
          <w:tcPr>
            <w:tcW w:w="5000" w:type="pct"/>
            <w:vAlign w:val="center"/>
            <w:hideMark/>
          </w:tcPr>
          <w:p w14:paraId="637C2984"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Indication:</w:t>
            </w:r>
            <w:r w:rsidRPr="007C0D91">
              <w:rPr>
                <w:rFonts w:ascii="Arial Narrow" w:eastAsiaTheme="minorHAnsi" w:hAnsi="Arial Narrow" w:cstheme="minorBidi"/>
                <w:bCs/>
                <w:snapToGrid w:val="0"/>
                <w:color w:val="333333"/>
                <w:sz w:val="20"/>
                <w:lang w:eastAsia="en-US"/>
              </w:rPr>
              <w:t xml:space="preserve"> Stage IIIB or IIIC (locally advanced) or IV (metastatic) non-small cell lung cancer (NSCLC)</w:t>
            </w:r>
          </w:p>
        </w:tc>
      </w:tr>
      <w:tr w:rsidR="005149D4" w:rsidRPr="007C0D91" w14:paraId="565B70E2" w14:textId="77777777" w:rsidTr="00A63EBE">
        <w:tc>
          <w:tcPr>
            <w:tcW w:w="5000" w:type="pct"/>
            <w:shd w:val="clear" w:color="auto" w:fill="B8CCE4" w:themeFill="accent1" w:themeFillTint="66"/>
            <w:vAlign w:val="center"/>
            <w:hideMark/>
          </w:tcPr>
          <w:p w14:paraId="2F9DDE07"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Treatment Phase:</w:t>
            </w:r>
            <w:r w:rsidRPr="007C0D91">
              <w:rPr>
                <w:rFonts w:ascii="Arial Narrow" w:eastAsiaTheme="minorHAnsi" w:hAnsi="Arial Narrow" w:cstheme="minorBidi"/>
                <w:snapToGrid w:val="0"/>
                <w:color w:val="333333"/>
                <w:sz w:val="20"/>
                <w:lang w:eastAsia="en-US"/>
              </w:rPr>
              <w:t xml:space="preserve"> Continuing</w:t>
            </w:r>
          </w:p>
        </w:tc>
      </w:tr>
      <w:tr w:rsidR="005149D4" w:rsidRPr="007C0D91" w14:paraId="4A8651F2" w14:textId="77777777" w:rsidTr="00A63EBE">
        <w:tc>
          <w:tcPr>
            <w:tcW w:w="5000" w:type="pct"/>
            <w:shd w:val="clear" w:color="auto" w:fill="B8CCE4" w:themeFill="accent1" w:themeFillTint="66"/>
            <w:vAlign w:val="center"/>
            <w:hideMark/>
          </w:tcPr>
          <w:p w14:paraId="0D066CBD"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Clinical criteria</w:t>
            </w:r>
          </w:p>
        </w:tc>
      </w:tr>
      <w:tr w:rsidR="005149D4" w:rsidRPr="007C0D91" w14:paraId="63389848" w14:textId="77777777" w:rsidTr="00A63EBE">
        <w:tc>
          <w:tcPr>
            <w:tcW w:w="5000" w:type="pct"/>
            <w:shd w:val="clear" w:color="auto" w:fill="B8CCE4" w:themeFill="accent1" w:themeFillTint="66"/>
            <w:vAlign w:val="center"/>
          </w:tcPr>
          <w:p w14:paraId="1E028F1A"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t>The treatment must be the sole PBS-subsidised therapy for this condition</w:t>
            </w:r>
          </w:p>
        </w:tc>
      </w:tr>
      <w:tr w:rsidR="005149D4" w:rsidRPr="007C0D91" w14:paraId="10FDE522" w14:textId="77777777" w:rsidTr="00A63EBE">
        <w:tc>
          <w:tcPr>
            <w:tcW w:w="5000" w:type="pct"/>
            <w:shd w:val="clear" w:color="auto" w:fill="B8CCE4" w:themeFill="accent1" w:themeFillTint="66"/>
            <w:vAlign w:val="center"/>
            <w:hideMark/>
          </w:tcPr>
          <w:p w14:paraId="0D36F912"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AND</w:t>
            </w:r>
          </w:p>
        </w:tc>
      </w:tr>
      <w:tr w:rsidR="005149D4" w:rsidRPr="007C0D91" w14:paraId="3AF54E41" w14:textId="77777777" w:rsidTr="00A63EBE">
        <w:tc>
          <w:tcPr>
            <w:tcW w:w="5000" w:type="pct"/>
            <w:shd w:val="clear" w:color="auto" w:fill="B8CCE4" w:themeFill="accent1" w:themeFillTint="66"/>
            <w:vAlign w:val="center"/>
          </w:tcPr>
          <w:p w14:paraId="774C08AA" w14:textId="77777777" w:rsidR="005149D4" w:rsidRPr="007C0D91" w:rsidRDefault="005149D4" w:rsidP="008869C7">
            <w:pPr>
              <w:rPr>
                <w:rFonts w:ascii="Arial Narrow" w:eastAsiaTheme="minorHAnsi" w:hAnsi="Arial Narrow" w:cstheme="minorBidi"/>
                <w:b/>
                <w:bCs/>
                <w:i/>
                <w:iCs/>
                <w:snapToGrid w:val="0"/>
                <w:color w:val="333333"/>
                <w:sz w:val="20"/>
                <w:lang w:eastAsia="en-US"/>
              </w:rPr>
            </w:pPr>
            <w:r w:rsidRPr="007C0D91">
              <w:rPr>
                <w:rFonts w:ascii="Arial Narrow" w:eastAsiaTheme="minorHAnsi" w:hAnsi="Arial Narrow" w:cstheme="minorBidi"/>
                <w:b/>
                <w:bCs/>
                <w:i/>
                <w:iCs/>
                <w:snapToGrid w:val="0"/>
                <w:color w:val="333333"/>
                <w:sz w:val="20"/>
                <w:lang w:eastAsia="en-US"/>
              </w:rPr>
              <w:t>Clinical criteria</w:t>
            </w:r>
          </w:p>
        </w:tc>
      </w:tr>
      <w:tr w:rsidR="005149D4" w:rsidRPr="007C0D91" w14:paraId="64044BC7" w14:textId="77777777" w:rsidTr="00A63EBE">
        <w:tc>
          <w:tcPr>
            <w:tcW w:w="5000" w:type="pct"/>
            <w:shd w:val="clear" w:color="auto" w:fill="B8CCE4" w:themeFill="accent1" w:themeFillTint="66"/>
            <w:vAlign w:val="center"/>
            <w:hideMark/>
          </w:tcPr>
          <w:p w14:paraId="6FC7EE0D"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t>Patient must have previously received PBS-subsidised treatment this drug for this condition</w:t>
            </w:r>
          </w:p>
        </w:tc>
      </w:tr>
      <w:tr w:rsidR="005149D4" w:rsidRPr="007C0D91" w14:paraId="779BC03A" w14:textId="77777777" w:rsidTr="00A63EBE">
        <w:tc>
          <w:tcPr>
            <w:tcW w:w="5000" w:type="pct"/>
            <w:shd w:val="clear" w:color="auto" w:fill="B8CCE4" w:themeFill="accent1" w:themeFillTint="66"/>
            <w:vAlign w:val="center"/>
            <w:hideMark/>
          </w:tcPr>
          <w:p w14:paraId="13DBF03B"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AND</w:t>
            </w:r>
          </w:p>
        </w:tc>
      </w:tr>
      <w:tr w:rsidR="005149D4" w:rsidRPr="007C0D91" w14:paraId="4E76B120" w14:textId="77777777" w:rsidTr="00A63EBE">
        <w:tc>
          <w:tcPr>
            <w:tcW w:w="5000" w:type="pct"/>
            <w:shd w:val="clear" w:color="auto" w:fill="B8CCE4" w:themeFill="accent1" w:themeFillTint="66"/>
            <w:vAlign w:val="center"/>
          </w:tcPr>
          <w:p w14:paraId="2D2A6523" w14:textId="77777777" w:rsidR="005149D4" w:rsidRPr="007C0D91" w:rsidRDefault="005149D4" w:rsidP="008869C7">
            <w:pPr>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i/>
                <w:iCs/>
                <w:snapToGrid w:val="0"/>
                <w:color w:val="333333"/>
                <w:sz w:val="20"/>
                <w:lang w:eastAsia="en-US"/>
              </w:rPr>
              <w:t>Clinical criteria</w:t>
            </w:r>
          </w:p>
        </w:tc>
      </w:tr>
      <w:tr w:rsidR="005149D4" w:rsidRPr="007C0D91" w14:paraId="5D2DCB02" w14:textId="77777777" w:rsidTr="00A63EBE">
        <w:tc>
          <w:tcPr>
            <w:tcW w:w="5000" w:type="pct"/>
            <w:shd w:val="clear" w:color="auto" w:fill="B8CCE4" w:themeFill="accent1" w:themeFillTint="66"/>
            <w:vAlign w:val="center"/>
            <w:hideMark/>
          </w:tcPr>
          <w:p w14:paraId="3A76086B"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snapToGrid w:val="0"/>
                <w:color w:val="333333"/>
                <w:sz w:val="20"/>
                <w:lang w:eastAsia="en-US"/>
              </w:rPr>
              <w:t>Patient must not have developed disease progression while receiving treatment with this drug for this condition</w:t>
            </w:r>
          </w:p>
        </w:tc>
      </w:tr>
      <w:tr w:rsidR="005149D4" w:rsidRPr="007C0D91" w14:paraId="5254BB56" w14:textId="77777777" w:rsidTr="00A63EBE">
        <w:tc>
          <w:tcPr>
            <w:tcW w:w="5000" w:type="pct"/>
            <w:shd w:val="clear" w:color="auto" w:fill="B8CCE4" w:themeFill="accent1" w:themeFillTint="66"/>
            <w:vAlign w:val="center"/>
            <w:hideMark/>
          </w:tcPr>
          <w:p w14:paraId="40D1F946" w14:textId="77777777" w:rsidR="005149D4" w:rsidRPr="007C0D91" w:rsidRDefault="005149D4" w:rsidP="008869C7">
            <w:pPr>
              <w:rPr>
                <w:rFonts w:ascii="Arial Narrow" w:eastAsiaTheme="minorHAnsi" w:hAnsi="Arial Narrow" w:cstheme="minorBidi"/>
                <w:snapToGrid w:val="0"/>
                <w:color w:val="333333"/>
                <w:sz w:val="20"/>
                <w:lang w:eastAsia="en-US"/>
              </w:rPr>
            </w:pPr>
            <w:r w:rsidRPr="007C0D91">
              <w:rPr>
                <w:rFonts w:ascii="Arial Narrow" w:eastAsiaTheme="minorHAnsi" w:hAnsi="Arial Narrow" w:cstheme="minorBidi"/>
                <w:b/>
                <w:bCs/>
                <w:snapToGrid w:val="0"/>
                <w:color w:val="333333"/>
                <w:sz w:val="20"/>
                <w:lang w:eastAsia="en-US"/>
              </w:rPr>
              <w:t xml:space="preserve">Administrative Advice: </w:t>
            </w:r>
            <w:r w:rsidRPr="007C0D91">
              <w:rPr>
                <w:rFonts w:ascii="Arial Narrow" w:eastAsiaTheme="minorHAnsi" w:hAnsi="Arial Narrow" w:cstheme="minorBidi"/>
                <w:snapToGrid w:val="0"/>
                <w:color w:val="333333"/>
                <w:sz w:val="20"/>
                <w:lang w:eastAsia="en-US"/>
              </w:rPr>
              <w:t>Special Pricing Arrangements apply.</w:t>
            </w:r>
          </w:p>
        </w:tc>
      </w:tr>
      <w:tr w:rsidR="005149D4" w:rsidRPr="007C0D91" w14:paraId="7B8964C2" w14:textId="77777777" w:rsidTr="00A63EBE">
        <w:tc>
          <w:tcPr>
            <w:tcW w:w="5000" w:type="pct"/>
            <w:shd w:val="clear" w:color="auto" w:fill="B8CCE4" w:themeFill="accent1" w:themeFillTint="66"/>
            <w:vAlign w:val="center"/>
          </w:tcPr>
          <w:p w14:paraId="17A3A1F8" w14:textId="77777777" w:rsidR="005149D4" w:rsidRPr="007C0D91" w:rsidRDefault="005149D4" w:rsidP="008869C7">
            <w:pPr>
              <w:rPr>
                <w:rFonts w:ascii="Arial Narrow" w:eastAsiaTheme="minorHAnsi" w:hAnsi="Arial Narrow" w:cstheme="minorBidi"/>
                <w:b/>
                <w:bCs/>
                <w:snapToGrid w:val="0"/>
                <w:color w:val="333333"/>
                <w:sz w:val="20"/>
                <w:lang w:eastAsia="en-US"/>
              </w:rPr>
            </w:pPr>
            <w:r w:rsidRPr="007C0D91">
              <w:rPr>
                <w:rFonts w:ascii="Arial Narrow" w:eastAsiaTheme="minorHAnsi" w:hAnsi="Arial Narrow" w:cstheme="minorBidi"/>
                <w:b/>
                <w:bCs/>
                <w:snapToGrid w:val="0"/>
                <w:sz w:val="20"/>
                <w:lang w:eastAsia="en-US"/>
              </w:rPr>
              <w:t xml:space="preserve">Administrative Advice: </w:t>
            </w:r>
            <w:r w:rsidRPr="007C0D91">
              <w:rPr>
                <w:rFonts w:ascii="Arial Narrow" w:eastAsiaTheme="minorHAnsi" w:hAnsi="Arial Narrow" w:cstheme="minorBidi"/>
                <w:bCs/>
                <w:snapToGrid w:val="0"/>
                <w:sz w:val="20"/>
                <w:lang w:eastAsia="en-US"/>
              </w:rPr>
              <w:t>Applications for authorisation under this restriction may be made in real time using the Online PBS Authorities system (see www.servicesaustralia.gov.au/HPOS) or by telephone by contacting Services Australia on 1800 888 333.</w:t>
            </w:r>
          </w:p>
        </w:tc>
      </w:tr>
    </w:tbl>
    <w:p w14:paraId="42D64330" w14:textId="6F65E925" w:rsidR="000B05DF" w:rsidRPr="007C0D91" w:rsidRDefault="000B05DF" w:rsidP="000B05DF">
      <w:pPr>
        <w:pStyle w:val="TableFooter"/>
        <w:keepLines/>
      </w:pPr>
      <w:r w:rsidRPr="007C0D91">
        <w:lastRenderedPageBreak/>
        <w:t>Source: Table 1-1 p2 and Figure 1-1 pp3-5 of the resubmission.</w:t>
      </w:r>
    </w:p>
    <w:p w14:paraId="29A2E72C" w14:textId="3B1AEC29" w:rsidR="000B05DF" w:rsidRPr="007C0D91" w:rsidRDefault="000B05DF" w:rsidP="000B05DF">
      <w:pPr>
        <w:pStyle w:val="TableFooter"/>
        <w:keepLines/>
      </w:pPr>
      <w:r w:rsidRPr="007C0D91">
        <w:t xml:space="preserve">Max=maximum; </w:t>
      </w:r>
      <w:r w:rsidR="00C708FC" w:rsidRPr="007C0D91">
        <w:t xml:space="preserve">PBS=Pharmaceutical Benefits Schedule; </w:t>
      </w:r>
      <w:r w:rsidRPr="007C0D91">
        <w:t>Qty=quantity; Rpts=repeats</w:t>
      </w:r>
      <w:r w:rsidR="001016A3" w:rsidRPr="007C0D91">
        <w:t>; WHO=World Health Organisation.</w:t>
      </w:r>
    </w:p>
    <w:p w14:paraId="60EB531F" w14:textId="148AD38D" w:rsidR="005149D4" w:rsidRPr="007C0D91" w:rsidRDefault="00FD1FCB" w:rsidP="007123E5">
      <w:pPr>
        <w:keepLines/>
        <w:spacing w:after="120"/>
        <w:rPr>
          <w:rFonts w:ascii="Arial Narrow" w:hAnsi="Arial Narrow"/>
          <w:snapToGrid w:val="0"/>
          <w:sz w:val="20"/>
          <w:szCs w:val="22"/>
        </w:rPr>
      </w:pPr>
      <w:r w:rsidRPr="007C0D91">
        <w:rPr>
          <w:rStyle w:val="CommentReference"/>
          <w:b w:val="0"/>
          <w:bCs/>
          <w:sz w:val="16"/>
          <w:shd w:val="clear" w:color="auto" w:fill="B8CCE4" w:themeFill="accent1" w:themeFillTint="66"/>
        </w:rPr>
        <w:t>Blue shading</w:t>
      </w:r>
      <w:r w:rsidRPr="007C0D91">
        <w:rPr>
          <w:rStyle w:val="CommentReference"/>
          <w:b w:val="0"/>
          <w:bCs/>
          <w:i/>
          <w:iCs/>
          <w:sz w:val="16"/>
        </w:rPr>
        <w:t xml:space="preserve"> </w:t>
      </w:r>
      <w:r w:rsidR="005149D4" w:rsidRPr="007C0D91">
        <w:rPr>
          <w:rFonts w:ascii="Arial Narrow" w:hAnsi="Arial Narrow"/>
          <w:snapToGrid w:val="0"/>
          <w:sz w:val="18"/>
          <w:szCs w:val="22"/>
        </w:rPr>
        <w:t>indicates information previously seen by the PBAC.</w:t>
      </w:r>
    </w:p>
    <w:p w14:paraId="6C273BDB" w14:textId="3BBAB80B" w:rsidR="005149D4" w:rsidRPr="007C0D91" w:rsidRDefault="005149D4" w:rsidP="005149D4">
      <w:pPr>
        <w:numPr>
          <w:ilvl w:val="1"/>
          <w:numId w:val="1"/>
        </w:numPr>
        <w:spacing w:after="120"/>
      </w:pPr>
      <w:bookmarkStart w:id="21" w:name="_Ref140526667"/>
      <w:bookmarkStart w:id="22" w:name="_Hlk133751288"/>
      <w:r w:rsidRPr="007C0D91">
        <w:rPr>
          <w:rFonts w:asciiTheme="minorHAnsi" w:hAnsiTheme="minorHAnsi"/>
          <w:snapToGrid w:val="0"/>
        </w:rPr>
        <w:t xml:space="preserve">As in the original submission, the resubmission proposed a Special Pricing Arrangement. The effective ex-manufacturer price requested in the resubmission was </w:t>
      </w:r>
      <w:proofErr w:type="gramStart"/>
      <w:r w:rsidR="00092A28" w:rsidRPr="00F36295">
        <w:rPr>
          <w:rFonts w:asciiTheme="minorHAnsi" w:hAnsiTheme="minorHAnsi"/>
          <w:snapToGrid w:val="0"/>
          <w:color w:val="000000"/>
          <w:w w:val="15"/>
          <w:shd w:val="solid" w:color="000000" w:fill="000000"/>
          <w:fitText w:val="-20" w:id="-1167912446"/>
          <w14:textFill>
            <w14:solidFill>
              <w14:srgbClr w14:val="000000">
                <w14:alpha w14:val="100000"/>
              </w14:srgbClr>
            </w14:solidFill>
          </w14:textFill>
        </w:rPr>
        <w:t xml:space="preserve">|  </w:t>
      </w:r>
      <w:r w:rsidR="00092A28" w:rsidRPr="00F36295">
        <w:rPr>
          <w:rFonts w:asciiTheme="minorHAnsi" w:hAnsiTheme="minorHAnsi"/>
          <w:snapToGrid w:val="0"/>
          <w:color w:val="000000"/>
          <w:spacing w:val="-69"/>
          <w:w w:val="15"/>
          <w:shd w:val="solid" w:color="000000" w:fill="000000"/>
          <w:fitText w:val="-20" w:id="-1167912446"/>
          <w14:textFill>
            <w14:solidFill>
              <w14:srgbClr w14:val="000000">
                <w14:alpha w14:val="100000"/>
              </w14:srgbClr>
            </w14:solidFill>
          </w14:textFill>
        </w:rPr>
        <w:t>|</w:t>
      </w:r>
      <w:proofErr w:type="gramEnd"/>
      <w:r w:rsidRPr="007C0D91">
        <w:rPr>
          <w:rFonts w:asciiTheme="minorHAnsi" w:hAnsiTheme="minorHAnsi"/>
          <w:snapToGrid w:val="0"/>
        </w:rPr>
        <w:t>% lower than that proposed in the previous submission ($</w:t>
      </w:r>
      <w:r w:rsidR="00092A28" w:rsidRPr="00F36295">
        <w:rPr>
          <w:rFonts w:asciiTheme="minorHAnsi" w:hAnsiTheme="minorHAnsi"/>
          <w:snapToGrid w:val="0"/>
          <w:color w:val="000000"/>
          <w:w w:val="15"/>
          <w:shd w:val="solid" w:color="000000" w:fill="000000"/>
          <w:fitText w:val="-20" w:id="-1167912445"/>
          <w14:textFill>
            <w14:solidFill>
              <w14:srgbClr w14:val="000000">
                <w14:alpha w14:val="100000"/>
              </w14:srgbClr>
            </w14:solidFill>
          </w14:textFill>
        </w:rPr>
        <w:t xml:space="preserve">|  </w:t>
      </w:r>
      <w:r w:rsidR="00092A28" w:rsidRPr="00F36295">
        <w:rPr>
          <w:rFonts w:asciiTheme="minorHAnsi" w:hAnsiTheme="minorHAnsi"/>
          <w:snapToGrid w:val="0"/>
          <w:color w:val="000000"/>
          <w:spacing w:val="-69"/>
          <w:w w:val="15"/>
          <w:shd w:val="solid" w:color="000000" w:fill="000000"/>
          <w:fitText w:val="-20" w:id="-1167912445"/>
          <w14:textFill>
            <w14:solidFill>
              <w14:srgbClr w14:val="000000">
                <w14:alpha w14:val="100000"/>
              </w14:srgbClr>
            </w14:solidFill>
          </w14:textFill>
        </w:rPr>
        <w:t>|</w:t>
      </w:r>
      <w:r w:rsidRPr="007C0D91">
        <w:rPr>
          <w:rFonts w:asciiTheme="minorHAnsi" w:hAnsiTheme="minorHAnsi"/>
          <w:snapToGrid w:val="0"/>
        </w:rPr>
        <w:t xml:space="preserve"> </w:t>
      </w:r>
      <w:r w:rsidRPr="007123E5">
        <w:rPr>
          <w:rFonts w:asciiTheme="minorHAnsi" w:hAnsiTheme="minorHAnsi"/>
          <w:iCs/>
          <w:snapToGrid w:val="0"/>
        </w:rPr>
        <w:t>vs</w:t>
      </w:r>
      <w:r w:rsidRPr="007C0D91">
        <w:rPr>
          <w:rFonts w:asciiTheme="minorHAnsi" w:hAnsiTheme="minorHAnsi"/>
          <w:snapToGrid w:val="0"/>
        </w:rPr>
        <w:t>.</w:t>
      </w:r>
      <w:r w:rsidRPr="007C0D91">
        <w:t xml:space="preserve"> $</w:t>
      </w:r>
      <w:r w:rsidR="00092A28" w:rsidRPr="00F36295">
        <w:rPr>
          <w:color w:val="000000"/>
          <w:w w:val="15"/>
          <w:shd w:val="solid" w:color="000000" w:fill="000000"/>
          <w:fitText w:val="-20" w:id="-1167912444"/>
          <w14:textFill>
            <w14:solidFill>
              <w14:srgbClr w14:val="000000">
                <w14:alpha w14:val="100000"/>
              </w14:srgbClr>
            </w14:solidFill>
          </w14:textFill>
        </w:rPr>
        <w:t xml:space="preserve">|  </w:t>
      </w:r>
      <w:r w:rsidR="00092A28" w:rsidRPr="00F36295">
        <w:rPr>
          <w:color w:val="000000"/>
          <w:spacing w:val="-69"/>
          <w:w w:val="15"/>
          <w:shd w:val="solid" w:color="000000" w:fill="000000"/>
          <w:fitText w:val="-20" w:id="-1167912444"/>
          <w14:textFill>
            <w14:solidFill>
              <w14:srgbClr w14:val="000000">
                <w14:alpha w14:val="100000"/>
              </w14:srgbClr>
            </w14:solidFill>
          </w14:textFill>
        </w:rPr>
        <w:t>|</w:t>
      </w:r>
      <w:r w:rsidRPr="007C0D91" w:rsidDel="00F43C94">
        <w:t xml:space="preserve"> </w:t>
      </w:r>
      <w:r w:rsidRPr="007C0D91">
        <w:rPr>
          <w:rFonts w:asciiTheme="minorHAnsi" w:hAnsiTheme="minorHAnsi"/>
          <w:snapToGrid w:val="0"/>
        </w:rPr>
        <w:t xml:space="preserve">per </w:t>
      </w:r>
      <w:r w:rsidR="007F59F1" w:rsidRPr="007C0D91">
        <w:rPr>
          <w:rFonts w:asciiTheme="minorHAnsi" w:hAnsiTheme="minorHAnsi"/>
          <w:snapToGrid w:val="0"/>
        </w:rPr>
        <w:t>pack [</w:t>
      </w:r>
      <w:r w:rsidRPr="007C0D91">
        <w:rPr>
          <w:rFonts w:asciiTheme="minorHAnsi" w:hAnsiTheme="minorHAnsi"/>
          <w:snapToGrid w:val="0"/>
        </w:rPr>
        <w:t>112 capsules</w:t>
      </w:r>
      <w:r w:rsidR="007F59F1" w:rsidRPr="007C0D91">
        <w:rPr>
          <w:rFonts w:asciiTheme="minorHAnsi" w:hAnsiTheme="minorHAnsi"/>
          <w:snapToGrid w:val="0"/>
        </w:rPr>
        <w:t>]</w:t>
      </w:r>
      <w:r w:rsidRPr="007C0D91">
        <w:rPr>
          <w:rFonts w:asciiTheme="minorHAnsi" w:hAnsiTheme="minorHAnsi"/>
          <w:snapToGrid w:val="0"/>
        </w:rPr>
        <w:t>).</w:t>
      </w:r>
      <w:bookmarkEnd w:id="21"/>
      <w:r w:rsidRPr="007C0D91">
        <w:rPr>
          <w:rFonts w:asciiTheme="minorHAnsi" w:hAnsiTheme="minorHAnsi"/>
          <w:snapToGrid w:val="0"/>
        </w:rPr>
        <w:t xml:space="preserve"> </w:t>
      </w:r>
    </w:p>
    <w:p w14:paraId="383031DA" w14:textId="77777777" w:rsidR="005149D4" w:rsidRPr="007C0D91" w:rsidRDefault="005149D4" w:rsidP="005149D4">
      <w:pPr>
        <w:numPr>
          <w:ilvl w:val="1"/>
          <w:numId w:val="1"/>
        </w:numPr>
        <w:spacing w:after="120"/>
        <w:rPr>
          <w:rFonts w:asciiTheme="minorHAnsi" w:hAnsiTheme="minorHAnsi"/>
          <w:iCs/>
          <w:snapToGrid w:val="0"/>
        </w:rPr>
      </w:pPr>
      <w:bookmarkStart w:id="23" w:name="_Ref140499408"/>
      <w:bookmarkEnd w:id="22"/>
      <w:r w:rsidRPr="007C0D91">
        <w:rPr>
          <w:rFonts w:asciiTheme="minorHAnsi" w:hAnsiTheme="minorHAnsi"/>
          <w:iCs/>
          <w:snapToGrid w:val="0"/>
        </w:rPr>
        <w:t>The proposed restrictions in the resubmission incorporated all changes suggested by the PBAC/Secretariat at its November 2022 meeting, including:</w:t>
      </w:r>
      <w:bookmarkEnd w:id="23"/>
    </w:p>
    <w:p w14:paraId="2BF54440" w14:textId="234D2D4B" w:rsidR="005149D4" w:rsidRPr="007C0D91" w:rsidRDefault="005149D4" w:rsidP="007516BE">
      <w:pPr>
        <w:pStyle w:val="ListParagraph"/>
        <w:numPr>
          <w:ilvl w:val="0"/>
          <w:numId w:val="6"/>
        </w:numPr>
      </w:pPr>
      <w:r w:rsidRPr="007C0D91">
        <w:t xml:space="preserve">Use of the nomenclature “mutation” rather than “variant” (consistent with current PBS listings of other </w:t>
      </w:r>
      <w:r w:rsidR="00FB0DBF" w:rsidRPr="00FB0DBF">
        <w:rPr>
          <w:i/>
        </w:rPr>
        <w:t>EGFR</w:t>
      </w:r>
      <w:r w:rsidRPr="007C0D91">
        <w:t xml:space="preserve"> TKIs</w:t>
      </w:r>
      <w:proofErr w:type="gramStart"/>
      <w:r w:rsidRPr="007C0D91">
        <w:t>);</w:t>
      </w:r>
      <w:proofErr w:type="gramEnd"/>
    </w:p>
    <w:p w14:paraId="7B480CBC" w14:textId="77777777" w:rsidR="005149D4" w:rsidRPr="007C0D91" w:rsidRDefault="005149D4" w:rsidP="007516BE">
      <w:pPr>
        <w:pStyle w:val="ListParagraph"/>
        <w:numPr>
          <w:ilvl w:val="0"/>
          <w:numId w:val="6"/>
        </w:numPr>
      </w:pPr>
      <w:r w:rsidRPr="007C0D91">
        <w:t>Defining locally advanced NSCLC as Stage IIIB and Stage IIIC (in line with the updated American Joint Committee on Cancer [AJCC] Cancer Staging 8</w:t>
      </w:r>
      <w:r w:rsidRPr="007C0D91">
        <w:rPr>
          <w:vertAlign w:val="superscript"/>
        </w:rPr>
        <w:t>th</w:t>
      </w:r>
      <w:r w:rsidRPr="007C0D91">
        <w:t xml:space="preserve"> edition</w:t>
      </w:r>
      <w:proofErr w:type="gramStart"/>
      <w:r w:rsidRPr="007C0D91">
        <w:t>);</w:t>
      </w:r>
      <w:proofErr w:type="gramEnd"/>
    </w:p>
    <w:p w14:paraId="161D7F10" w14:textId="2F3B15EB" w:rsidR="005149D4" w:rsidRPr="007C0D91" w:rsidRDefault="005149D4" w:rsidP="007516BE">
      <w:pPr>
        <w:pStyle w:val="ListParagraph"/>
        <w:numPr>
          <w:ilvl w:val="0"/>
          <w:numId w:val="6"/>
        </w:numPr>
      </w:pPr>
      <w:r w:rsidRPr="007C0D91">
        <w:t>A World Health Organization (WHO)/Eastern Cooperative Oncology Group (ECOG) performance status (PS) of ≤</w:t>
      </w:r>
      <w:r w:rsidR="007123E5">
        <w:t> </w:t>
      </w:r>
      <w:r w:rsidRPr="007C0D91">
        <w:t xml:space="preserve">2 prior to initiation of mobocertinib (consistent with the current listings for </w:t>
      </w:r>
      <w:r w:rsidR="00FB0DBF" w:rsidRPr="00FB0DBF">
        <w:rPr>
          <w:i/>
        </w:rPr>
        <w:t>EGFR</w:t>
      </w:r>
      <w:r w:rsidRPr="007C0D91">
        <w:t xml:space="preserve"> TKIs); and </w:t>
      </w:r>
    </w:p>
    <w:p w14:paraId="04A0388C" w14:textId="4BEEE51F" w:rsidR="005149D4" w:rsidRPr="007C0D91" w:rsidRDefault="005149D4" w:rsidP="007516BE">
      <w:pPr>
        <w:pStyle w:val="ListParagraph"/>
        <w:numPr>
          <w:ilvl w:val="0"/>
          <w:numId w:val="6"/>
        </w:numPr>
      </w:pPr>
      <w:r w:rsidRPr="007C0D91">
        <w:t>Removing the grandfather restriction as the Secretariat’s suggested changes accommodated transitioning grandfathered patients to PBS funded treatment in the initial treatment phase restriction (para 3.4, 3.5 and 3.10, mobocertinib PSD, November 2022 PBAC meeting).</w:t>
      </w:r>
    </w:p>
    <w:p w14:paraId="72F9F32C" w14:textId="26D8AC82" w:rsidR="00204147" w:rsidRPr="007C0D91" w:rsidRDefault="009F1497" w:rsidP="007516BE">
      <w:pPr>
        <w:pStyle w:val="3-BodyText"/>
        <w:rPr>
          <w:sz w:val="20"/>
          <w:szCs w:val="20"/>
        </w:rPr>
      </w:pPr>
      <w:bookmarkStart w:id="24" w:name="_Ref140499801"/>
      <w:bookmarkStart w:id="25" w:name="_Hlk121476155"/>
      <w:r w:rsidRPr="007C0D91">
        <w:t xml:space="preserve">The November 2022 mobocertinib submission requested access be limited to non-squamous or not otherwise specified NSCLC subtypes. At that time, the PBAC agreed with the ESC that it may be appropriate to remove the reference to histology in the criteria to allow patients with squamous cell NSCLC to access treatment, due to the very small number of these patients in the community and their inclusion within the trial used as evidence in the submission. However, in November 2022 the PBAC noted that MBS item 73337 refers specifically to testing for </w:t>
      </w:r>
      <w:r w:rsidR="00FB0DBF" w:rsidRPr="00FB0DBF">
        <w:rPr>
          <w:i/>
        </w:rPr>
        <w:t>EGFR</w:t>
      </w:r>
      <w:r w:rsidRPr="007C0D91">
        <w:t xml:space="preserve"> status in non-squamous or ‘not otherwise specified’ histology and patients with squamous histology do not currently have access to testing (para 3.9, mobocertinib, PSD, November 2022 PBAC meeting). </w:t>
      </w:r>
      <w:r w:rsidRPr="007C0D91">
        <w:rPr>
          <w:lang w:eastAsia="en-US"/>
        </w:rPr>
        <w:t xml:space="preserve">The ESC noted that MBS item 73337 may be superseded by the November 2022 Medical Services Advisory Committee (MSAC) recommendation for the creation of new MBS items for small next generation sequencing panels for biomarker testing of patients with NSCLC. </w:t>
      </w:r>
      <w:r w:rsidR="005F4B0C" w:rsidRPr="007C0D91">
        <w:rPr>
          <w:lang w:eastAsia="en-US"/>
        </w:rPr>
        <w:t>As such, the ESC considered it may</w:t>
      </w:r>
      <w:r w:rsidR="00471C6D" w:rsidRPr="007C0D91">
        <w:rPr>
          <w:lang w:eastAsia="en-US"/>
        </w:rPr>
        <w:t xml:space="preserve"> again</w:t>
      </w:r>
      <w:r w:rsidR="005F4B0C" w:rsidRPr="007C0D91">
        <w:rPr>
          <w:lang w:eastAsia="en-US"/>
        </w:rPr>
        <w:t xml:space="preserve"> be appropriate to remove </w:t>
      </w:r>
      <w:r w:rsidR="005F4B0C" w:rsidRPr="007C0D91">
        <w:t>the reference to histology in the criteria.</w:t>
      </w:r>
      <w:bookmarkEnd w:id="24"/>
      <w:r w:rsidR="005F4B0C" w:rsidRPr="007C0D91">
        <w:t xml:space="preserve"> </w:t>
      </w:r>
      <w:bookmarkEnd w:id="25"/>
    </w:p>
    <w:p w14:paraId="30BAFD9F" w14:textId="5758781F" w:rsidR="001733ED" w:rsidRPr="007C0D91" w:rsidRDefault="001733ED" w:rsidP="001733ED">
      <w:pPr>
        <w:spacing w:after="120"/>
        <w:ind w:firstLine="709"/>
        <w:rPr>
          <w:rFonts w:asciiTheme="minorHAnsi" w:hAnsiTheme="minorHAnsi" w:cs="Times New Roman"/>
          <w:i/>
          <w:lang w:eastAsia="en-US"/>
        </w:rPr>
      </w:pPr>
      <w:r w:rsidRPr="007C0D91">
        <w:rPr>
          <w:rFonts w:asciiTheme="minorHAnsi" w:hAnsiTheme="minorHAnsi" w:cs="Times New Roman"/>
          <w:i/>
          <w:lang w:eastAsia="en-US"/>
        </w:rPr>
        <w:t>For more detail on PBAC’s view, see section 7 PBAC outcome.</w:t>
      </w:r>
    </w:p>
    <w:p w14:paraId="11A5FB06" w14:textId="77777777" w:rsidR="005149D4" w:rsidRPr="007C0D91" w:rsidDel="00195452" w:rsidRDefault="005149D4" w:rsidP="007B48A1">
      <w:pPr>
        <w:pStyle w:val="2-SectionHeading"/>
      </w:pPr>
      <w:bookmarkStart w:id="26" w:name="_Toc107927623"/>
      <w:bookmarkStart w:id="27" w:name="_Toc135210110"/>
      <w:r w:rsidRPr="007C0D91" w:rsidDel="00195452">
        <w:lastRenderedPageBreak/>
        <w:t>Population and disease</w:t>
      </w:r>
      <w:bookmarkEnd w:id="26"/>
      <w:bookmarkEnd w:id="27"/>
    </w:p>
    <w:p w14:paraId="279BD672" w14:textId="0C1E393C" w:rsidR="005149D4" w:rsidRPr="007C0D91" w:rsidDel="00195452"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Lung cancer is the fourth most often diagnosed cancer for both men and women in Australia, representing approximately 9% of all new cancer diagnoses</w:t>
      </w:r>
      <w:r w:rsidRPr="007C0D91">
        <w:rPr>
          <w:rStyle w:val="FootnoteReference"/>
          <w:rFonts w:asciiTheme="minorHAnsi" w:hAnsiTheme="minorHAnsi"/>
          <w:snapToGrid w:val="0"/>
        </w:rPr>
        <w:footnoteReference w:id="2"/>
      </w:r>
      <w:r w:rsidRPr="007C0D91">
        <w:rPr>
          <w:rFonts w:asciiTheme="minorHAnsi" w:hAnsiTheme="minorHAnsi"/>
          <w:snapToGrid w:val="0"/>
        </w:rPr>
        <w:t xml:space="preserve">. Advanced NSCLC is a life-threatening condition. Activating mutations of the </w:t>
      </w:r>
      <w:r w:rsidR="00FB0DBF" w:rsidRPr="00FB0DBF">
        <w:rPr>
          <w:rFonts w:asciiTheme="minorHAnsi" w:hAnsiTheme="minorHAnsi"/>
          <w:i/>
          <w:snapToGrid w:val="0"/>
        </w:rPr>
        <w:t>EGFR</w:t>
      </w:r>
      <w:r w:rsidRPr="007C0D91">
        <w:rPr>
          <w:rFonts w:asciiTheme="minorHAnsi" w:hAnsiTheme="minorHAnsi"/>
          <w:snapToGrid w:val="0"/>
        </w:rPr>
        <w:t xml:space="preserve"> oncogene occur in a subset of NSCLC and are associated with female sex, non-smoker status and adenocarcinoma histology</w:t>
      </w:r>
      <w:r w:rsidRPr="007C0D91">
        <w:rPr>
          <w:rStyle w:val="FootnoteReference"/>
          <w:rFonts w:asciiTheme="minorHAnsi" w:hAnsiTheme="minorHAnsi"/>
          <w:snapToGrid w:val="0"/>
        </w:rPr>
        <w:footnoteReference w:id="3"/>
      </w:r>
      <w:r w:rsidRPr="007C0D91">
        <w:rPr>
          <w:rFonts w:asciiTheme="minorHAnsi" w:hAnsiTheme="minorHAnsi"/>
          <w:snapToGrid w:val="0"/>
        </w:rPr>
        <w:t xml:space="preserve">. </w:t>
      </w:r>
      <w:r w:rsidRPr="007C0D91">
        <w:rPr>
          <w:rFonts w:asciiTheme="minorHAnsi" w:hAnsiTheme="minorHAnsi"/>
          <w:i/>
          <w:snapToGrid w:val="0"/>
        </w:rPr>
        <w:t>EGFR</w:t>
      </w:r>
      <w:r w:rsidRPr="007C0D91">
        <w:rPr>
          <w:rFonts w:asciiTheme="minorHAnsi" w:hAnsiTheme="minorHAnsi"/>
          <w:snapToGrid w:val="0"/>
        </w:rPr>
        <w:t xml:space="preserve"> ex20ins are a rare subset of </w:t>
      </w:r>
      <w:r w:rsidRPr="007C0D91">
        <w:rPr>
          <w:rFonts w:asciiTheme="minorHAnsi" w:hAnsiTheme="minorHAnsi"/>
          <w:i/>
          <w:snapToGrid w:val="0"/>
        </w:rPr>
        <w:t>EGFR</w:t>
      </w:r>
      <w:r w:rsidRPr="007C0D91">
        <w:rPr>
          <w:rFonts w:asciiTheme="minorHAnsi" w:hAnsiTheme="minorHAnsi"/>
          <w:snapToGrid w:val="0"/>
        </w:rPr>
        <w:t xml:space="preserve"> mutations for which there are no targeted therapies currently funded in Australia.</w:t>
      </w:r>
    </w:p>
    <w:p w14:paraId="207E8EE9" w14:textId="77777777"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The proposed population for mobocertinib is </w:t>
      </w:r>
      <w:r w:rsidRPr="007C0D91">
        <w:rPr>
          <w:rFonts w:asciiTheme="minorHAnsi" w:hAnsiTheme="minorHAnsi"/>
          <w:i/>
          <w:snapToGrid w:val="0"/>
        </w:rPr>
        <w:t>EGFR</w:t>
      </w:r>
      <w:r w:rsidRPr="007C0D91">
        <w:rPr>
          <w:rFonts w:asciiTheme="minorHAnsi" w:hAnsiTheme="minorHAnsi"/>
          <w:snapToGrid w:val="0"/>
        </w:rPr>
        <w:t xml:space="preserve"> ex20ins mutation-positive locally advanced (Stage IIIB or Stage IIIC) or metastatic (Stage IV) NSCLC in patients whose disease has progressed on or after PBC. </w:t>
      </w:r>
    </w:p>
    <w:p w14:paraId="323D3CAA" w14:textId="77777777" w:rsidR="005149D4" w:rsidRPr="007C0D91" w:rsidRDefault="005149D4" w:rsidP="005149D4">
      <w:pPr>
        <w:numPr>
          <w:ilvl w:val="1"/>
          <w:numId w:val="1"/>
        </w:numPr>
        <w:spacing w:after="120"/>
        <w:rPr>
          <w:rFonts w:asciiTheme="minorHAnsi" w:hAnsiTheme="minorHAnsi"/>
          <w:snapToGrid w:val="0"/>
        </w:rPr>
      </w:pPr>
      <w:bookmarkStart w:id="28" w:name="_Ref140568335"/>
      <w:r w:rsidRPr="007C0D91">
        <w:rPr>
          <w:rFonts w:asciiTheme="minorHAnsi" w:hAnsiTheme="minorHAnsi"/>
          <w:snapToGrid w:val="0"/>
        </w:rPr>
        <w:t xml:space="preserve">Mobocertinib is an oral, selective irreversible TKI with binding affinity to </w:t>
      </w:r>
      <w:r w:rsidRPr="007C0D91">
        <w:rPr>
          <w:rFonts w:asciiTheme="minorHAnsi" w:hAnsiTheme="minorHAnsi"/>
          <w:i/>
          <w:snapToGrid w:val="0"/>
        </w:rPr>
        <w:t>EGFR</w:t>
      </w:r>
      <w:r w:rsidRPr="007C0D91">
        <w:rPr>
          <w:rFonts w:asciiTheme="minorHAnsi" w:hAnsiTheme="minorHAnsi"/>
          <w:snapToGrid w:val="0"/>
        </w:rPr>
        <w:t xml:space="preserve"> ex20ins variants</w:t>
      </w:r>
      <w:r w:rsidRPr="007C0D91">
        <w:t xml:space="preserve"> at lower concentrations compared to wild-type </w:t>
      </w:r>
      <w:r w:rsidRPr="007C0D91">
        <w:rPr>
          <w:i/>
        </w:rPr>
        <w:t>EGFR</w:t>
      </w:r>
      <w:r w:rsidRPr="007C0D91">
        <w:t xml:space="preserve">. This differentiates it from available classical first-generation (gefitinib and erlotinib) and second-generation (afatinib) </w:t>
      </w:r>
      <w:r w:rsidRPr="007C0D91">
        <w:rPr>
          <w:i/>
        </w:rPr>
        <w:t xml:space="preserve">EGFR </w:t>
      </w:r>
      <w:r w:rsidRPr="007C0D91">
        <w:t>TKIs to which ex20ins variants are typically insensitive</w:t>
      </w:r>
      <w:r w:rsidRPr="007C0D91">
        <w:rPr>
          <w:rFonts w:asciiTheme="minorHAnsi" w:hAnsiTheme="minorHAnsi"/>
          <w:snapToGrid w:val="0"/>
        </w:rPr>
        <w:t xml:space="preserve">. For eligible patients with locally advanced or metastatic </w:t>
      </w:r>
      <w:r w:rsidRPr="007C0D91">
        <w:rPr>
          <w:rFonts w:asciiTheme="minorHAnsi" w:hAnsiTheme="minorHAnsi"/>
          <w:i/>
          <w:snapToGrid w:val="0"/>
        </w:rPr>
        <w:t>EGFR</w:t>
      </w:r>
      <w:r w:rsidRPr="007C0D91">
        <w:rPr>
          <w:rFonts w:asciiTheme="minorHAnsi" w:hAnsiTheme="minorHAnsi"/>
          <w:snapToGrid w:val="0"/>
        </w:rPr>
        <w:t xml:space="preserve"> ex20ins positive NSCLC, mobocertinib would replace current therapies in the second-line NSCLC treatment setting, mainly chemotherapy.</w:t>
      </w:r>
      <w:bookmarkEnd w:id="28"/>
    </w:p>
    <w:p w14:paraId="724D0C30" w14:textId="780524F6"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Amivantamab (RYBREVANT®) has provisional TGA approval for the same indication as mobocertinib but has a different mode of action (</w:t>
      </w:r>
      <w:r w:rsidRPr="007C0D91">
        <w:rPr>
          <w:rFonts w:asciiTheme="minorHAnsi" w:hAnsiTheme="minorHAnsi"/>
          <w:i/>
          <w:snapToGrid w:val="0"/>
        </w:rPr>
        <w:t>EGFR</w:t>
      </w:r>
      <w:r w:rsidRPr="007C0D91">
        <w:rPr>
          <w:rFonts w:asciiTheme="minorHAnsi" w:hAnsiTheme="minorHAnsi"/>
          <w:snapToGrid w:val="0"/>
        </w:rPr>
        <w:t>-directed and mesenchymal-epidermal transition (MET) receptor-directed TKI).</w:t>
      </w:r>
      <w:r w:rsidRPr="007C0D91">
        <w:rPr>
          <w:rFonts w:asciiTheme="minorHAnsi" w:hAnsiTheme="minorHAnsi"/>
          <w:i/>
          <w:snapToGrid w:val="0"/>
        </w:rPr>
        <w:t xml:space="preserve"> </w:t>
      </w:r>
      <w:r w:rsidRPr="007C0D91">
        <w:rPr>
          <w:rFonts w:asciiTheme="minorHAnsi" w:hAnsiTheme="minorHAnsi"/>
          <w:snapToGrid w:val="0"/>
        </w:rPr>
        <w:t>The National Comprehensive Cancer Network (NCCN) guidelines</w:t>
      </w:r>
      <w:r w:rsidRPr="007C0D91">
        <w:rPr>
          <w:rStyle w:val="FootnoteReference"/>
          <w:rFonts w:asciiTheme="minorHAnsi" w:hAnsiTheme="minorHAnsi"/>
          <w:snapToGrid w:val="0"/>
        </w:rPr>
        <w:footnoteReference w:id="4"/>
      </w:r>
      <w:r w:rsidRPr="007C0D91">
        <w:rPr>
          <w:rFonts w:asciiTheme="minorHAnsi" w:hAnsiTheme="minorHAnsi"/>
          <w:snapToGrid w:val="0"/>
        </w:rPr>
        <w:t xml:space="preserve"> for NSCLC recommend that amivantamab can be used if patients have previously received mobocertinib and </w:t>
      </w:r>
      <w:r w:rsidRPr="007C0D91">
        <w:rPr>
          <w:rFonts w:asciiTheme="minorHAnsi" w:hAnsiTheme="minorHAnsi"/>
          <w:i/>
          <w:snapToGrid w:val="0"/>
        </w:rPr>
        <w:t>vice versa</w:t>
      </w:r>
      <w:r w:rsidRPr="007C0D91">
        <w:rPr>
          <w:rFonts w:asciiTheme="minorHAnsi" w:hAnsiTheme="minorHAnsi"/>
          <w:snapToGrid w:val="0"/>
        </w:rPr>
        <w:t xml:space="preserve">. </w:t>
      </w:r>
      <w:r w:rsidR="001F1A0C" w:rsidRPr="007C0D91">
        <w:rPr>
          <w:rFonts w:asciiTheme="minorHAnsi" w:hAnsiTheme="minorHAnsi"/>
          <w:snapToGrid w:val="0"/>
        </w:rPr>
        <w:t>M</w:t>
      </w:r>
      <w:r w:rsidRPr="007C0D91">
        <w:rPr>
          <w:rFonts w:asciiTheme="minorHAnsi" w:hAnsiTheme="minorHAnsi"/>
          <w:snapToGrid w:val="0"/>
        </w:rPr>
        <w:t xml:space="preserve">obocertinib </w:t>
      </w:r>
      <w:r w:rsidR="001F1A0C" w:rsidRPr="007C0D91">
        <w:rPr>
          <w:rFonts w:asciiTheme="minorHAnsi" w:hAnsiTheme="minorHAnsi"/>
          <w:snapToGrid w:val="0"/>
        </w:rPr>
        <w:t>and</w:t>
      </w:r>
      <w:r w:rsidRPr="007C0D91">
        <w:rPr>
          <w:rFonts w:asciiTheme="minorHAnsi" w:hAnsiTheme="minorHAnsi"/>
          <w:snapToGrid w:val="0"/>
        </w:rPr>
        <w:t xml:space="preserve"> amivantamab </w:t>
      </w:r>
      <w:r w:rsidR="001F1A0C" w:rsidRPr="007C0D91">
        <w:rPr>
          <w:rFonts w:asciiTheme="minorHAnsi" w:hAnsiTheme="minorHAnsi"/>
          <w:snapToGrid w:val="0"/>
        </w:rPr>
        <w:t>are</w:t>
      </w:r>
      <w:r w:rsidRPr="007C0D91">
        <w:rPr>
          <w:rFonts w:asciiTheme="minorHAnsi" w:hAnsiTheme="minorHAnsi"/>
          <w:snapToGrid w:val="0"/>
        </w:rPr>
        <w:t xml:space="preserve"> </w:t>
      </w:r>
      <w:r w:rsidR="001F1A0C" w:rsidRPr="007C0D91">
        <w:rPr>
          <w:rFonts w:asciiTheme="minorHAnsi" w:hAnsiTheme="minorHAnsi"/>
          <w:snapToGrid w:val="0"/>
        </w:rPr>
        <w:t xml:space="preserve">not </w:t>
      </w:r>
      <w:r w:rsidRPr="007C0D91">
        <w:rPr>
          <w:rFonts w:asciiTheme="minorHAnsi" w:hAnsiTheme="minorHAnsi"/>
          <w:snapToGrid w:val="0"/>
        </w:rPr>
        <w:t>currently PBS listed.</w:t>
      </w:r>
    </w:p>
    <w:p w14:paraId="7867DA30" w14:textId="75718900" w:rsidR="001733ED" w:rsidRPr="007C0D91" w:rsidDel="00195452" w:rsidRDefault="001733ED" w:rsidP="001733ED">
      <w:pPr>
        <w:spacing w:after="120"/>
        <w:ind w:firstLine="709"/>
        <w:rPr>
          <w:rFonts w:asciiTheme="minorHAnsi" w:hAnsiTheme="minorHAnsi" w:cs="Times New Roman"/>
          <w:i/>
          <w:lang w:eastAsia="en-US"/>
        </w:rPr>
      </w:pPr>
      <w:r w:rsidRPr="007C0D91">
        <w:rPr>
          <w:rFonts w:asciiTheme="minorHAnsi" w:hAnsiTheme="minorHAnsi" w:cs="Times New Roman"/>
          <w:i/>
          <w:lang w:eastAsia="en-US"/>
        </w:rPr>
        <w:t>For more detail on PBAC’s view, see section 7 PBAC outcome.</w:t>
      </w:r>
    </w:p>
    <w:p w14:paraId="10D983C1" w14:textId="77777777" w:rsidR="005149D4" w:rsidRPr="007C0D91" w:rsidRDefault="005149D4" w:rsidP="007B48A1">
      <w:pPr>
        <w:pStyle w:val="2-SectionHeading"/>
      </w:pPr>
      <w:bookmarkStart w:id="29" w:name="_Toc107927624"/>
      <w:bookmarkStart w:id="30" w:name="_Toc135210111"/>
      <w:r w:rsidRPr="007C0D91">
        <w:t>Comparator</w:t>
      </w:r>
      <w:bookmarkEnd w:id="29"/>
      <w:bookmarkEnd w:id="30"/>
    </w:p>
    <w:p w14:paraId="03A02F66" w14:textId="77777777" w:rsidR="005149D4" w:rsidRPr="007C0D91" w:rsidRDefault="005149D4" w:rsidP="005149D4">
      <w:pPr>
        <w:numPr>
          <w:ilvl w:val="1"/>
          <w:numId w:val="1"/>
        </w:numPr>
        <w:spacing w:after="120"/>
        <w:rPr>
          <w:rFonts w:asciiTheme="minorHAnsi" w:hAnsiTheme="minorHAnsi"/>
        </w:rPr>
      </w:pPr>
      <w:r w:rsidRPr="007C0D91">
        <w:rPr>
          <w:rFonts w:asciiTheme="minorHAnsi" w:hAnsiTheme="minorHAnsi"/>
        </w:rPr>
        <w:t xml:space="preserve">The resubmission nominated chemotherapy as the comparator. </w:t>
      </w:r>
    </w:p>
    <w:p w14:paraId="33471CF2" w14:textId="5EC267FF" w:rsidR="005149D4" w:rsidRPr="007C0D91" w:rsidRDefault="005149D4" w:rsidP="005149D4">
      <w:pPr>
        <w:numPr>
          <w:ilvl w:val="1"/>
          <w:numId w:val="1"/>
        </w:numPr>
        <w:spacing w:after="120"/>
        <w:rPr>
          <w:rFonts w:asciiTheme="minorHAnsi" w:hAnsiTheme="minorHAnsi"/>
          <w:iCs/>
        </w:rPr>
      </w:pPr>
      <w:bookmarkStart w:id="31" w:name="_Ref140503544"/>
      <w:r w:rsidRPr="007C0D91">
        <w:rPr>
          <w:rFonts w:asciiTheme="minorHAnsi" w:hAnsiTheme="minorHAnsi"/>
        </w:rPr>
        <w:t xml:space="preserve">The nominated comparator in the original submission was SOC comprising standard </w:t>
      </w:r>
      <w:r w:rsidRPr="007C0D91">
        <w:rPr>
          <w:rFonts w:asciiTheme="minorHAnsi" w:hAnsiTheme="minorHAnsi"/>
          <w:i/>
        </w:rPr>
        <w:t>EGFR</w:t>
      </w:r>
      <w:r w:rsidRPr="007C0D91">
        <w:rPr>
          <w:rFonts w:asciiTheme="minorHAnsi" w:hAnsiTheme="minorHAnsi"/>
        </w:rPr>
        <w:t xml:space="preserve"> TKIs, ICIs, and chemotherapy. </w:t>
      </w:r>
      <w:r w:rsidRPr="007C0D91">
        <w:rPr>
          <w:rFonts w:asciiTheme="minorHAnsi" w:hAnsiTheme="minorHAnsi"/>
          <w:iCs/>
        </w:rPr>
        <w:t xml:space="preserve">The PBAC </w:t>
      </w:r>
      <w:r w:rsidR="00CA4033" w:rsidRPr="007C0D91">
        <w:rPr>
          <w:rFonts w:asciiTheme="minorHAnsi" w:hAnsiTheme="minorHAnsi"/>
          <w:iCs/>
        </w:rPr>
        <w:t xml:space="preserve">previously </w:t>
      </w:r>
      <w:r w:rsidRPr="007C0D91">
        <w:rPr>
          <w:rFonts w:asciiTheme="minorHAnsi" w:hAnsiTheme="minorHAnsi"/>
          <w:iCs/>
        </w:rPr>
        <w:t xml:space="preserve">noted that evidence in the literature and treatment guidelines does not support </w:t>
      </w:r>
      <w:r w:rsidR="00FB0DBF" w:rsidRPr="00FB0DBF">
        <w:rPr>
          <w:rFonts w:asciiTheme="minorHAnsi" w:hAnsiTheme="minorHAnsi"/>
          <w:i/>
          <w:iCs/>
        </w:rPr>
        <w:t>EGFR</w:t>
      </w:r>
      <w:r w:rsidRPr="007C0D91">
        <w:rPr>
          <w:rFonts w:asciiTheme="minorHAnsi" w:hAnsiTheme="minorHAnsi"/>
          <w:iCs/>
        </w:rPr>
        <w:t xml:space="preserve"> TKI therapy in the proposed patient population, and the PBAC agreed with the evaluation and the ESC that it is highly unlikely that TKIs are used routinely in this context in Australia. </w:t>
      </w:r>
      <w:r w:rsidRPr="007C0D91">
        <w:rPr>
          <w:rFonts w:asciiTheme="minorHAnsi" w:hAnsiTheme="minorHAnsi"/>
          <w:iCs/>
        </w:rPr>
        <w:lastRenderedPageBreak/>
        <w:t>Similarly, the PBAC</w:t>
      </w:r>
      <w:r w:rsidR="00CA4033" w:rsidRPr="007C0D91">
        <w:rPr>
          <w:rFonts w:asciiTheme="minorHAnsi" w:hAnsiTheme="minorHAnsi"/>
          <w:iCs/>
        </w:rPr>
        <w:t xml:space="preserve"> previously</w:t>
      </w:r>
      <w:r w:rsidRPr="007C0D91">
        <w:rPr>
          <w:rFonts w:asciiTheme="minorHAnsi" w:hAnsiTheme="minorHAnsi"/>
          <w:iCs/>
        </w:rPr>
        <w:t xml:space="preserve"> noted there is limited evidence of the benefit of ICI monotherapy in refractory </w:t>
      </w:r>
      <w:r w:rsidR="00FB0DBF" w:rsidRPr="00FB0DBF">
        <w:rPr>
          <w:rFonts w:asciiTheme="minorHAnsi" w:hAnsiTheme="minorHAnsi"/>
          <w:i/>
          <w:iCs/>
        </w:rPr>
        <w:t>EGFR</w:t>
      </w:r>
      <w:r w:rsidRPr="007C0D91">
        <w:rPr>
          <w:rFonts w:asciiTheme="minorHAnsi" w:hAnsiTheme="minorHAnsi"/>
          <w:iCs/>
        </w:rPr>
        <w:t xml:space="preserve"> ex20ins positive NSCLC, and most patients would be treated with ICIs in the first line setting and not receive them second line. The PBAC noted that chemotherapy agents</w:t>
      </w:r>
      <w:r w:rsidR="006218EE" w:rsidRPr="007C0D91">
        <w:rPr>
          <w:rFonts w:asciiTheme="minorHAnsi" w:hAnsiTheme="minorHAnsi"/>
          <w:iCs/>
        </w:rPr>
        <w:t>,</w:t>
      </w:r>
      <w:r w:rsidRPr="007C0D91">
        <w:rPr>
          <w:rFonts w:asciiTheme="minorHAnsi" w:hAnsiTheme="minorHAnsi"/>
          <w:iCs/>
        </w:rPr>
        <w:t xml:space="preserve"> such as taxanes</w:t>
      </w:r>
      <w:r w:rsidR="006218EE" w:rsidRPr="007C0D91">
        <w:rPr>
          <w:rFonts w:asciiTheme="minorHAnsi" w:hAnsiTheme="minorHAnsi"/>
          <w:iCs/>
        </w:rPr>
        <w:t>,</w:t>
      </w:r>
      <w:r w:rsidRPr="007C0D91">
        <w:rPr>
          <w:rFonts w:asciiTheme="minorHAnsi" w:hAnsiTheme="minorHAnsi"/>
          <w:iCs/>
        </w:rPr>
        <w:t xml:space="preserve"> are the most likely treatments used in Australia second line and that these agents are therefore the appropriate comparator for refractory </w:t>
      </w:r>
      <w:r w:rsidR="00FB0DBF" w:rsidRPr="00FB0DBF">
        <w:rPr>
          <w:rFonts w:asciiTheme="minorHAnsi" w:hAnsiTheme="minorHAnsi"/>
          <w:i/>
          <w:iCs/>
        </w:rPr>
        <w:t>EGFR</w:t>
      </w:r>
      <w:r w:rsidRPr="007C0D91">
        <w:rPr>
          <w:rFonts w:asciiTheme="minorHAnsi" w:hAnsiTheme="minorHAnsi"/>
          <w:iCs/>
        </w:rPr>
        <w:t xml:space="preserve"> ex20ins positive NSCLC (para 7.4, mobocertinib, PSD, November 2022 PBAC meeting).</w:t>
      </w:r>
      <w:r w:rsidR="00017650" w:rsidRPr="007C0D91">
        <w:rPr>
          <w:rFonts w:asciiTheme="minorHAnsi" w:hAnsiTheme="minorHAnsi"/>
          <w:iCs/>
        </w:rPr>
        <w:t xml:space="preserve"> The </w:t>
      </w:r>
      <w:r w:rsidR="007123E5">
        <w:rPr>
          <w:rFonts w:asciiTheme="minorHAnsi" w:hAnsiTheme="minorHAnsi"/>
          <w:iCs/>
        </w:rPr>
        <w:t>Pre-Sub-Committee Response (</w:t>
      </w:r>
      <w:r w:rsidR="00017650" w:rsidRPr="007C0D91">
        <w:rPr>
          <w:rFonts w:asciiTheme="minorHAnsi" w:hAnsiTheme="minorHAnsi"/>
          <w:iCs/>
        </w:rPr>
        <w:t>PSCR</w:t>
      </w:r>
      <w:r w:rsidR="007123E5">
        <w:rPr>
          <w:rFonts w:asciiTheme="minorHAnsi" w:hAnsiTheme="minorHAnsi"/>
          <w:iCs/>
        </w:rPr>
        <w:t>)</w:t>
      </w:r>
      <w:r w:rsidR="00017650" w:rsidRPr="007C0D91">
        <w:rPr>
          <w:rFonts w:asciiTheme="minorHAnsi" w:hAnsiTheme="minorHAnsi"/>
          <w:iCs/>
        </w:rPr>
        <w:t xml:space="preserve"> detailed the therapy received by patients </w:t>
      </w:r>
      <w:r w:rsidR="00CE07B4" w:rsidRPr="007C0D91">
        <w:rPr>
          <w:rFonts w:asciiTheme="minorHAnsi" w:hAnsiTheme="minorHAnsi"/>
          <w:iCs/>
        </w:rPr>
        <w:t xml:space="preserve">(n=13) </w:t>
      </w:r>
      <w:r w:rsidR="00017650" w:rsidRPr="007C0D91">
        <w:rPr>
          <w:rFonts w:asciiTheme="minorHAnsi" w:hAnsiTheme="minorHAnsi"/>
          <w:iCs/>
        </w:rPr>
        <w:t xml:space="preserve">with a diagnosis of stage IIIB-IV </w:t>
      </w:r>
      <w:r w:rsidR="00FB0DBF" w:rsidRPr="00FB0DBF">
        <w:rPr>
          <w:rFonts w:asciiTheme="minorHAnsi" w:hAnsiTheme="minorHAnsi"/>
          <w:i/>
          <w:iCs/>
        </w:rPr>
        <w:t>EGFR</w:t>
      </w:r>
      <w:r w:rsidR="00017650" w:rsidRPr="007C0D91">
        <w:rPr>
          <w:rFonts w:asciiTheme="minorHAnsi" w:hAnsiTheme="minorHAnsi"/>
          <w:iCs/>
        </w:rPr>
        <w:t xml:space="preserve"> ex20ins NSCLC initiated on PBC collected from the Victorian Lung Cancer Registry (VLCR).</w:t>
      </w:r>
      <w:r w:rsidR="00BC118E" w:rsidRPr="007C0D91">
        <w:rPr>
          <w:rFonts w:asciiTheme="minorHAnsi" w:hAnsiTheme="minorHAnsi"/>
          <w:iCs/>
        </w:rPr>
        <w:t xml:space="preserve"> The PSCR noted that for the first PBC </w:t>
      </w:r>
      <w:proofErr w:type="gramStart"/>
      <w:r w:rsidR="00BC118E" w:rsidRPr="007C0D91">
        <w:rPr>
          <w:rFonts w:asciiTheme="minorHAnsi" w:hAnsiTheme="minorHAnsi"/>
          <w:iCs/>
        </w:rPr>
        <w:t>the majority of</w:t>
      </w:r>
      <w:proofErr w:type="gramEnd"/>
      <w:r w:rsidR="00BC118E" w:rsidRPr="007C0D91">
        <w:rPr>
          <w:rFonts w:asciiTheme="minorHAnsi" w:hAnsiTheme="minorHAnsi"/>
          <w:iCs/>
        </w:rPr>
        <w:t xml:space="preserve"> patients (10/13, 77%) did not receive an adjunctive ICI. Of the 15 therapies received after the first PBC, only 2 involved single agent chemotherapy, whereas 8 included an ICI, most commonly as monotherapy but also in combination with PBC and bevacizumab. The PSCR argued that the results indicate ICIs are used in both first and subsequent lines of therapy and therefore excluding them from consideration is a conservative view for this patient population. </w:t>
      </w:r>
      <w:r w:rsidR="00BC118E" w:rsidRPr="007C0D91">
        <w:rPr>
          <w:iCs/>
        </w:rPr>
        <w:t>The ESC noted the retrospective cohort study from the VLCR was based on data on 13</w:t>
      </w:r>
      <w:r w:rsidR="007123E5">
        <w:rPr>
          <w:iCs/>
        </w:rPr>
        <w:t> </w:t>
      </w:r>
      <w:r w:rsidR="00BC118E" w:rsidRPr="007C0D91">
        <w:rPr>
          <w:iCs/>
        </w:rPr>
        <w:t>patients treated in a single Australian state and as such considered it may have limited applicability. Furthermore, the ESC noted that no detail was provided in the PSCR on the methods used in the retrospective analysis such as the number of patients excluded and specific reasons for their exclusion, information on biomarker analysis (such as PD-L1 expression or tumour mutational burden) or other factors that may have determined treatment modality in the refractory setting.</w:t>
      </w:r>
      <w:r w:rsidR="00F013A4" w:rsidRPr="007C0D91">
        <w:rPr>
          <w:iCs/>
        </w:rPr>
        <w:t xml:space="preserve"> </w:t>
      </w:r>
      <w:r w:rsidR="00A57CA9" w:rsidRPr="007C0D91">
        <w:rPr>
          <w:iCs/>
        </w:rPr>
        <w:t xml:space="preserve">The pre-PBAC response </w:t>
      </w:r>
      <w:r w:rsidR="005D79E1" w:rsidRPr="007C0D91">
        <w:rPr>
          <w:iCs/>
        </w:rPr>
        <w:t xml:space="preserve">noted the lack of national registry data and </w:t>
      </w:r>
      <w:r w:rsidR="00A57CA9" w:rsidRPr="007C0D91">
        <w:rPr>
          <w:iCs/>
        </w:rPr>
        <w:t xml:space="preserve">stated that </w:t>
      </w:r>
      <w:r w:rsidR="005D79E1" w:rsidRPr="007C0D91">
        <w:rPr>
          <w:iCs/>
        </w:rPr>
        <w:t xml:space="preserve">VLCR data </w:t>
      </w:r>
      <w:r w:rsidR="00A57CA9" w:rsidRPr="007C0D91">
        <w:rPr>
          <w:iCs/>
        </w:rPr>
        <w:t>represent</w:t>
      </w:r>
      <w:r w:rsidR="005D79E1" w:rsidRPr="007C0D91">
        <w:rPr>
          <w:iCs/>
        </w:rPr>
        <w:t>ed</w:t>
      </w:r>
      <w:r w:rsidR="00A57CA9" w:rsidRPr="007C0D91">
        <w:rPr>
          <w:iCs/>
        </w:rPr>
        <w:t xml:space="preserve"> actual practices in this rare population. </w:t>
      </w:r>
      <w:r w:rsidR="00F013A4" w:rsidRPr="007C0D91">
        <w:rPr>
          <w:iCs/>
        </w:rPr>
        <w:t xml:space="preserve">The pre-PBAC response </w:t>
      </w:r>
      <w:r w:rsidR="005D79E1" w:rsidRPr="007C0D91">
        <w:rPr>
          <w:iCs/>
        </w:rPr>
        <w:t>argued</w:t>
      </w:r>
      <w:r w:rsidR="00F013A4" w:rsidRPr="007C0D91">
        <w:rPr>
          <w:iCs/>
        </w:rPr>
        <w:t xml:space="preserve"> that there was substantial use of ICI therapy in this patient population, driven predominately from intolerance to 2</w:t>
      </w:r>
      <w:r w:rsidR="00F013A4" w:rsidRPr="007C0D91">
        <w:rPr>
          <w:iCs/>
          <w:vertAlign w:val="superscript"/>
        </w:rPr>
        <w:t>nd</w:t>
      </w:r>
      <w:r w:rsidR="00F013A4" w:rsidRPr="007C0D91">
        <w:rPr>
          <w:iCs/>
        </w:rPr>
        <w:t xml:space="preserve"> line chemotherapy regimens and the absence of targeted therapies.</w:t>
      </w:r>
      <w:bookmarkEnd w:id="31"/>
      <w:r w:rsidR="00F013A4" w:rsidRPr="007C0D91">
        <w:rPr>
          <w:iCs/>
        </w:rPr>
        <w:t xml:space="preserve"> </w:t>
      </w:r>
    </w:p>
    <w:p w14:paraId="4A2E2EEE" w14:textId="5279CEAA" w:rsidR="005149D4" w:rsidRPr="007C0D91" w:rsidRDefault="005149D4" w:rsidP="005149D4">
      <w:pPr>
        <w:numPr>
          <w:ilvl w:val="1"/>
          <w:numId w:val="1"/>
        </w:numPr>
        <w:spacing w:after="120"/>
        <w:rPr>
          <w:rFonts w:asciiTheme="minorHAnsi" w:hAnsiTheme="minorHAnsi"/>
        </w:rPr>
      </w:pPr>
      <w:bookmarkStart w:id="32" w:name="_Ref140501597"/>
      <w:r w:rsidRPr="007C0D91">
        <w:rPr>
          <w:rFonts w:asciiTheme="minorHAnsi" w:hAnsiTheme="minorHAnsi"/>
        </w:rPr>
        <w:t xml:space="preserve">The resubmission did not limit the chemotherapy comparator to taxanes. This was because only seven patients </w:t>
      </w:r>
      <w:r w:rsidR="003F3944" w:rsidRPr="007C0D91">
        <w:rPr>
          <w:rFonts w:asciiTheme="minorHAnsi" w:hAnsiTheme="minorHAnsi"/>
        </w:rPr>
        <w:t xml:space="preserve">in the pooled chemotherapy cohort from Study 5002 and Study 5008 </w:t>
      </w:r>
      <w:r w:rsidRPr="007C0D91">
        <w:rPr>
          <w:rFonts w:asciiTheme="minorHAnsi" w:hAnsiTheme="minorHAnsi"/>
        </w:rPr>
        <w:t>received taxanes (docetaxel n=5, paclitaxel n=2). To increase the sample size and therefore confidence in the comparison with mobocertinib, the entire chemotherapy cohort was used</w:t>
      </w:r>
      <w:r w:rsidR="00BB431D" w:rsidRPr="007C0D91">
        <w:rPr>
          <w:rFonts w:asciiTheme="minorHAnsi" w:hAnsiTheme="minorHAnsi"/>
        </w:rPr>
        <w:t>.</w:t>
      </w:r>
      <w:r w:rsidRPr="007C0D91">
        <w:rPr>
          <w:rFonts w:asciiTheme="minorHAnsi" w:hAnsiTheme="minorHAnsi"/>
        </w:rPr>
        <w:t xml:space="preserve"> </w:t>
      </w:r>
      <w:r w:rsidR="00BB431D" w:rsidRPr="007C0D91">
        <w:rPr>
          <w:rFonts w:asciiTheme="minorHAnsi" w:hAnsiTheme="minorHAnsi"/>
        </w:rPr>
        <w:t xml:space="preserve">In this cohort (N=23), </w:t>
      </w:r>
      <w:r w:rsidRPr="007C0D91">
        <w:rPr>
          <w:rFonts w:asciiTheme="minorHAnsi" w:hAnsiTheme="minorHAnsi"/>
        </w:rPr>
        <w:t xml:space="preserve">eight patients received </w:t>
      </w:r>
      <w:r w:rsidR="00BB431D" w:rsidRPr="007C0D91">
        <w:rPr>
          <w:rFonts w:asciiTheme="minorHAnsi" w:hAnsiTheme="minorHAnsi"/>
        </w:rPr>
        <w:t xml:space="preserve">doublet </w:t>
      </w:r>
      <w:proofErr w:type="gramStart"/>
      <w:r w:rsidRPr="007C0D91">
        <w:rPr>
          <w:rFonts w:asciiTheme="minorHAnsi" w:hAnsiTheme="minorHAnsi"/>
        </w:rPr>
        <w:t>PBC</w:t>
      </w:r>
      <w:proofErr w:type="gramEnd"/>
      <w:r w:rsidRPr="007C0D91">
        <w:rPr>
          <w:rFonts w:asciiTheme="minorHAnsi" w:hAnsiTheme="minorHAnsi"/>
        </w:rPr>
        <w:t xml:space="preserve"> and 15 patients received single-agent chemotherapy including pemetrexed (n=7), docetaxel (n=5), paclitaxel (n=2) or gemcitabine (n=1).</w:t>
      </w:r>
      <w:r w:rsidR="00204147" w:rsidRPr="007C0D91">
        <w:rPr>
          <w:rFonts w:asciiTheme="minorHAnsi" w:hAnsiTheme="minorHAnsi"/>
        </w:rPr>
        <w:t xml:space="preserve"> </w:t>
      </w:r>
      <w:r w:rsidR="00A93A15" w:rsidRPr="007C0D91">
        <w:t>The ESC considered that the use of multiple forms of chemotherapy in this context was reasonable</w:t>
      </w:r>
      <w:r w:rsidR="00204147" w:rsidRPr="007C0D91">
        <w:rPr>
          <w:rFonts w:asciiTheme="minorHAnsi" w:hAnsiTheme="minorHAnsi"/>
        </w:rPr>
        <w:t>.</w:t>
      </w:r>
      <w:bookmarkEnd w:id="32"/>
      <w:r w:rsidR="00204147" w:rsidRPr="007C0D91">
        <w:rPr>
          <w:rFonts w:asciiTheme="minorHAnsi" w:hAnsiTheme="minorHAnsi"/>
          <w:i/>
          <w:iCs/>
        </w:rPr>
        <w:t xml:space="preserve"> </w:t>
      </w:r>
    </w:p>
    <w:p w14:paraId="25FA3D28" w14:textId="31A646B1" w:rsidR="001733ED" w:rsidRPr="007C0D91" w:rsidRDefault="001733ED" w:rsidP="001733ED">
      <w:pPr>
        <w:spacing w:after="120"/>
        <w:ind w:firstLine="709"/>
        <w:rPr>
          <w:rFonts w:asciiTheme="minorHAnsi" w:hAnsiTheme="minorHAnsi" w:cs="Times New Roman"/>
          <w:i/>
          <w:lang w:eastAsia="en-US"/>
        </w:rPr>
      </w:pPr>
      <w:r w:rsidRPr="007C0D91">
        <w:rPr>
          <w:rFonts w:asciiTheme="minorHAnsi" w:hAnsiTheme="minorHAnsi" w:cs="Times New Roman"/>
          <w:i/>
          <w:lang w:eastAsia="en-US"/>
        </w:rPr>
        <w:t>For more detail on PBAC’s view, see section 7 PBAC outcome.</w:t>
      </w:r>
    </w:p>
    <w:p w14:paraId="68CB3115" w14:textId="77777777" w:rsidR="005149D4" w:rsidRPr="007C0D91" w:rsidRDefault="005149D4" w:rsidP="007B48A1">
      <w:pPr>
        <w:pStyle w:val="2-SectionHeading"/>
      </w:pPr>
      <w:bookmarkStart w:id="33" w:name="_Toc107927625"/>
      <w:bookmarkStart w:id="34" w:name="_Toc135210112"/>
      <w:r w:rsidRPr="007C0D91">
        <w:t>Consideration of the evidence</w:t>
      </w:r>
      <w:bookmarkEnd w:id="33"/>
      <w:bookmarkEnd w:id="34"/>
    </w:p>
    <w:p w14:paraId="7FFD7498" w14:textId="77777777" w:rsidR="001733ED" w:rsidRPr="007C0D91" w:rsidRDefault="001733ED" w:rsidP="006C2C31">
      <w:pPr>
        <w:pStyle w:val="4-SubsectionHeading"/>
      </w:pPr>
      <w:bookmarkStart w:id="35" w:name="_Hlk76375935"/>
      <w:bookmarkStart w:id="36" w:name="_Toc107927626"/>
      <w:bookmarkStart w:id="37" w:name="_Toc135210113"/>
      <w:r w:rsidRPr="007C0D91">
        <w:t>Sponsor hearing</w:t>
      </w:r>
    </w:p>
    <w:p w14:paraId="6F3C00B3" w14:textId="33563D04" w:rsidR="001733ED" w:rsidRPr="007C0D91" w:rsidRDefault="001733ED" w:rsidP="001733ED">
      <w:pPr>
        <w:widowControl w:val="0"/>
        <w:numPr>
          <w:ilvl w:val="1"/>
          <w:numId w:val="1"/>
        </w:numPr>
        <w:spacing w:after="120"/>
        <w:jc w:val="left"/>
        <w:rPr>
          <w:rFonts w:cs="Calibri"/>
          <w:bCs/>
          <w:snapToGrid w:val="0"/>
          <w:lang w:eastAsia="en-US"/>
        </w:rPr>
      </w:pPr>
      <w:r w:rsidRPr="007C0D91">
        <w:rPr>
          <w:rFonts w:cs="Calibri"/>
          <w:bCs/>
          <w:snapToGrid w:val="0"/>
          <w:lang w:eastAsia="en-US"/>
        </w:rPr>
        <w:t>There was no hearing for this item.</w:t>
      </w:r>
    </w:p>
    <w:p w14:paraId="035777A2" w14:textId="77777777" w:rsidR="001733ED" w:rsidRPr="007C0D91" w:rsidRDefault="001733ED" w:rsidP="006C2C31">
      <w:pPr>
        <w:pStyle w:val="4-SubsectionHeading"/>
      </w:pPr>
      <w:r w:rsidRPr="007C0D91">
        <w:lastRenderedPageBreak/>
        <w:t>Consumer comments</w:t>
      </w:r>
    </w:p>
    <w:p w14:paraId="18B18258" w14:textId="7DFBD5B3" w:rsidR="007B5738" w:rsidRPr="007C0D91" w:rsidRDefault="001733ED" w:rsidP="00605171">
      <w:pPr>
        <w:widowControl w:val="0"/>
        <w:numPr>
          <w:ilvl w:val="1"/>
          <w:numId w:val="1"/>
        </w:numPr>
        <w:spacing w:after="120"/>
        <w:rPr>
          <w:rFonts w:asciiTheme="minorHAnsi" w:hAnsiTheme="minorHAnsi"/>
          <w:bCs/>
          <w:snapToGrid w:val="0"/>
          <w:lang w:eastAsia="en-US"/>
        </w:rPr>
      </w:pPr>
      <w:bookmarkStart w:id="38" w:name="_Hlk76382618"/>
      <w:r w:rsidRPr="007C0D91">
        <w:rPr>
          <w:rFonts w:asciiTheme="minorHAnsi" w:hAnsiTheme="minorHAnsi"/>
          <w:bCs/>
          <w:snapToGrid w:val="0"/>
          <w:lang w:eastAsia="en-US"/>
        </w:rPr>
        <w:t>The PBAC noted and welcomed the input from individuals (</w:t>
      </w:r>
      <w:r w:rsidR="00605171" w:rsidRPr="007C0D91">
        <w:rPr>
          <w:rFonts w:asciiTheme="minorHAnsi" w:hAnsiTheme="minorHAnsi"/>
          <w:bCs/>
          <w:snapToGrid w:val="0"/>
          <w:lang w:eastAsia="en-US"/>
        </w:rPr>
        <w:t>2</w:t>
      </w:r>
      <w:r w:rsidRPr="007C0D91">
        <w:rPr>
          <w:rFonts w:asciiTheme="minorHAnsi" w:hAnsiTheme="minorHAnsi"/>
          <w:bCs/>
          <w:snapToGrid w:val="0"/>
          <w:lang w:eastAsia="en-US"/>
        </w:rPr>
        <w:t>), health care professionals (</w:t>
      </w:r>
      <w:r w:rsidR="00605171" w:rsidRPr="007C0D91">
        <w:rPr>
          <w:rFonts w:asciiTheme="minorHAnsi" w:hAnsiTheme="minorHAnsi"/>
          <w:bCs/>
          <w:snapToGrid w:val="0"/>
          <w:lang w:eastAsia="en-US"/>
        </w:rPr>
        <w:t>2</w:t>
      </w:r>
      <w:r w:rsidRPr="007C0D91">
        <w:rPr>
          <w:rFonts w:asciiTheme="minorHAnsi" w:hAnsiTheme="minorHAnsi"/>
          <w:bCs/>
          <w:snapToGrid w:val="0"/>
          <w:lang w:eastAsia="en-US"/>
        </w:rPr>
        <w:t>) and organisations (</w:t>
      </w:r>
      <w:r w:rsidR="00605171" w:rsidRPr="007C0D91">
        <w:rPr>
          <w:rFonts w:asciiTheme="minorHAnsi" w:hAnsiTheme="minorHAnsi"/>
          <w:bCs/>
          <w:snapToGrid w:val="0"/>
          <w:lang w:eastAsia="en-US"/>
        </w:rPr>
        <w:t>3</w:t>
      </w:r>
      <w:r w:rsidRPr="007C0D91">
        <w:rPr>
          <w:rFonts w:asciiTheme="minorHAnsi" w:hAnsiTheme="minorHAnsi"/>
          <w:bCs/>
          <w:snapToGrid w:val="0"/>
          <w:lang w:eastAsia="en-US"/>
        </w:rPr>
        <w:t>) via the Consumer Comments facility on the PBS website.</w:t>
      </w:r>
      <w:r w:rsidR="007B5738" w:rsidRPr="007C0D91">
        <w:rPr>
          <w:rFonts w:asciiTheme="minorHAnsi" w:hAnsiTheme="minorHAnsi"/>
          <w:bCs/>
          <w:snapToGrid w:val="0"/>
          <w:lang w:eastAsia="en-US"/>
        </w:rPr>
        <w:t xml:space="preserve"> </w:t>
      </w:r>
      <w:r w:rsidR="007B5738" w:rsidRPr="007C0D91">
        <w:rPr>
          <w:rFonts w:asciiTheme="minorHAnsi" w:hAnsiTheme="minorHAnsi"/>
          <w:bCs/>
          <w:snapToGrid w:val="0"/>
        </w:rPr>
        <w:t>The organisations comprised Rare Cancers Australia, Lung Foundation Australia, and the Medical Oncology Group of Australia (MOGA). The PBAC noted that this advice was supportive of the evidence provided in the submission.</w:t>
      </w:r>
    </w:p>
    <w:p w14:paraId="24D781CD" w14:textId="77777777" w:rsidR="007B5738" w:rsidRPr="007C0D91" w:rsidRDefault="001733ED" w:rsidP="00605171">
      <w:pPr>
        <w:widowControl w:val="0"/>
        <w:numPr>
          <w:ilvl w:val="1"/>
          <w:numId w:val="1"/>
        </w:numPr>
        <w:spacing w:after="120"/>
        <w:rPr>
          <w:rFonts w:asciiTheme="minorHAnsi" w:hAnsiTheme="minorHAnsi"/>
          <w:bCs/>
          <w:snapToGrid w:val="0"/>
          <w:lang w:eastAsia="en-US"/>
        </w:rPr>
      </w:pPr>
      <w:r w:rsidRPr="007C0D91">
        <w:rPr>
          <w:rFonts w:asciiTheme="minorHAnsi" w:hAnsiTheme="minorHAnsi"/>
          <w:bCs/>
          <w:snapToGrid w:val="0"/>
          <w:lang w:eastAsia="en-US"/>
        </w:rPr>
        <w:t xml:space="preserve">The comments </w:t>
      </w:r>
      <w:r w:rsidR="00605171" w:rsidRPr="007C0D91">
        <w:rPr>
          <w:rFonts w:asciiTheme="minorHAnsi" w:hAnsiTheme="minorHAnsi"/>
          <w:bCs/>
          <w:snapToGrid w:val="0"/>
          <w:lang w:eastAsia="en-US"/>
        </w:rPr>
        <w:t xml:space="preserve">from individuals who have used this medicine for their own health condition </w:t>
      </w:r>
      <w:r w:rsidRPr="007C0D91">
        <w:rPr>
          <w:rFonts w:asciiTheme="minorHAnsi" w:hAnsiTheme="minorHAnsi"/>
          <w:bCs/>
          <w:snapToGrid w:val="0"/>
          <w:lang w:eastAsia="en-US"/>
        </w:rPr>
        <w:t xml:space="preserve">described a range of benefits of treatment with </w:t>
      </w:r>
      <w:r w:rsidR="00605171" w:rsidRPr="007C0D91">
        <w:rPr>
          <w:rFonts w:asciiTheme="minorHAnsi" w:hAnsiTheme="minorHAnsi"/>
          <w:bCs/>
          <w:snapToGrid w:val="0"/>
          <w:lang w:eastAsia="en-US"/>
        </w:rPr>
        <w:t>mobocertinib</w:t>
      </w:r>
      <w:r w:rsidRPr="007C0D91">
        <w:rPr>
          <w:rFonts w:asciiTheme="minorHAnsi" w:hAnsiTheme="minorHAnsi"/>
          <w:bCs/>
          <w:snapToGrid w:val="0"/>
          <w:lang w:eastAsia="en-US"/>
        </w:rPr>
        <w:t xml:space="preserve"> including </w:t>
      </w:r>
      <w:r w:rsidR="007B5738" w:rsidRPr="007C0D91">
        <w:rPr>
          <w:rFonts w:asciiTheme="minorHAnsi" w:hAnsiTheme="minorHAnsi"/>
          <w:bCs/>
          <w:snapToGrid w:val="0"/>
          <w:lang w:eastAsia="en-US"/>
        </w:rPr>
        <w:t xml:space="preserve">efficacy for their condition, </w:t>
      </w:r>
      <w:r w:rsidRPr="007C0D91">
        <w:rPr>
          <w:rFonts w:asciiTheme="minorHAnsi" w:hAnsiTheme="minorHAnsi"/>
          <w:bCs/>
          <w:snapToGrid w:val="0"/>
          <w:lang w:eastAsia="en-US"/>
        </w:rPr>
        <w:t>the ability to return to work</w:t>
      </w:r>
      <w:r w:rsidR="007535E4" w:rsidRPr="007C0D91">
        <w:rPr>
          <w:rFonts w:asciiTheme="minorHAnsi" w:hAnsiTheme="minorHAnsi"/>
          <w:bCs/>
          <w:snapToGrid w:val="0"/>
          <w:lang w:eastAsia="en-US"/>
        </w:rPr>
        <w:t xml:space="preserve"> and largely manageable </w:t>
      </w:r>
      <w:r w:rsidRPr="007C0D91">
        <w:rPr>
          <w:rFonts w:asciiTheme="minorHAnsi" w:hAnsiTheme="minorHAnsi"/>
          <w:bCs/>
          <w:snapToGrid w:val="0"/>
          <w:lang w:eastAsia="en-US"/>
        </w:rPr>
        <w:t>side effects</w:t>
      </w:r>
      <w:r w:rsidR="007535E4" w:rsidRPr="007C0D91">
        <w:rPr>
          <w:rFonts w:asciiTheme="minorHAnsi" w:hAnsiTheme="minorHAnsi"/>
          <w:bCs/>
          <w:snapToGrid w:val="0"/>
          <w:lang w:eastAsia="en-US"/>
        </w:rPr>
        <w:t>. The comments from health care professionals indicated that mobocertinib was better tolerated than chemotherapy and that patients often responded better.</w:t>
      </w:r>
    </w:p>
    <w:p w14:paraId="7EC143D6" w14:textId="1C891575" w:rsidR="007B5738" w:rsidRPr="007C0D91" w:rsidRDefault="007B5738" w:rsidP="00830B10">
      <w:pPr>
        <w:widowControl w:val="0"/>
        <w:numPr>
          <w:ilvl w:val="1"/>
          <w:numId w:val="1"/>
        </w:numPr>
        <w:autoSpaceDE w:val="0"/>
        <w:autoSpaceDN w:val="0"/>
        <w:adjustRightInd w:val="0"/>
        <w:spacing w:after="120"/>
        <w:rPr>
          <w:rFonts w:ascii="OpenSans-Regular" w:hAnsi="OpenSans-Regular" w:cs="OpenSans-Regular"/>
          <w:sz w:val="15"/>
          <w:szCs w:val="15"/>
        </w:rPr>
      </w:pPr>
      <w:r w:rsidRPr="007C0D91">
        <w:rPr>
          <w:rFonts w:asciiTheme="minorHAnsi" w:hAnsiTheme="minorHAnsi"/>
          <w:bCs/>
          <w:snapToGrid w:val="0"/>
        </w:rPr>
        <w:t xml:space="preserve">Rare Cancers Australia stated that patients with NSCLC </w:t>
      </w:r>
      <w:r w:rsidRPr="007C0D91">
        <w:rPr>
          <w:rFonts w:asciiTheme="minorHAnsi" w:hAnsiTheme="minorHAnsi" w:cstheme="minorHAnsi"/>
          <w:i/>
          <w:iCs/>
        </w:rPr>
        <w:t>EGFR</w:t>
      </w:r>
      <w:r w:rsidRPr="007C0D91">
        <w:rPr>
          <w:rFonts w:asciiTheme="minorHAnsi" w:hAnsiTheme="minorHAnsi" w:cstheme="minorHAnsi"/>
        </w:rPr>
        <w:t xml:space="preserve"> ex20ins</w:t>
      </w:r>
      <w:r w:rsidRPr="007C0D91">
        <w:rPr>
          <w:rFonts w:asciiTheme="minorHAnsi" w:hAnsiTheme="minorHAnsi"/>
          <w:bCs/>
          <w:snapToGrid w:val="0"/>
        </w:rPr>
        <w:t xml:space="preserve"> mutations </w:t>
      </w:r>
      <w:r w:rsidRPr="007C0D91">
        <w:rPr>
          <w:rFonts w:asciiTheme="minorHAnsi" w:hAnsiTheme="minorHAnsi" w:cstheme="minorHAnsi"/>
        </w:rPr>
        <w:t xml:space="preserve">are faced with an extremely poor prognosis, and commented better treatment options that provide significant improvements in survival were required. The organisation stated that the fear of progression, which this advanced stage population lives with, has severe mental-health and functioning impacts. The organisation described the rare and particularly aggressive nature of the </w:t>
      </w:r>
      <w:proofErr w:type="gramStart"/>
      <w:r w:rsidRPr="007C0D91">
        <w:rPr>
          <w:rFonts w:asciiTheme="minorHAnsi" w:hAnsiTheme="minorHAnsi" w:cstheme="minorHAnsi"/>
        </w:rPr>
        <w:t>disease, and</w:t>
      </w:r>
      <w:proofErr w:type="gramEnd"/>
      <w:r w:rsidRPr="007C0D91">
        <w:rPr>
          <w:rFonts w:asciiTheme="minorHAnsi" w:hAnsiTheme="minorHAnsi" w:cstheme="minorHAnsi"/>
        </w:rPr>
        <w:t xml:space="preserve"> highlighted that available evidence for mobocertinib suggests that treatment can significantly extend progression-free survival (PFS). </w:t>
      </w:r>
    </w:p>
    <w:p w14:paraId="57546054" w14:textId="782CA58E" w:rsidR="007B5738" w:rsidRPr="007C0D91" w:rsidRDefault="007B5738" w:rsidP="00830B10">
      <w:pPr>
        <w:widowControl w:val="0"/>
        <w:numPr>
          <w:ilvl w:val="1"/>
          <w:numId w:val="1"/>
        </w:numPr>
        <w:spacing w:after="120"/>
        <w:rPr>
          <w:rFonts w:asciiTheme="minorHAnsi" w:hAnsiTheme="minorHAnsi" w:cstheme="minorHAnsi"/>
          <w:bCs/>
          <w:snapToGrid w:val="0"/>
        </w:rPr>
      </w:pPr>
      <w:r w:rsidRPr="007C0D91">
        <w:rPr>
          <w:rFonts w:asciiTheme="minorHAnsi" w:hAnsiTheme="minorHAnsi" w:cstheme="minorHAnsi"/>
          <w:bCs/>
          <w:snapToGrid w:val="0"/>
        </w:rPr>
        <w:t>Lung Foundation Australia noted that mobocertinib</w:t>
      </w:r>
      <w:r w:rsidRPr="007C0D91">
        <w:rPr>
          <w:rFonts w:asciiTheme="minorHAnsi" w:hAnsiTheme="minorHAnsi" w:cstheme="minorHAnsi"/>
        </w:rPr>
        <w:t xml:space="preserve"> is the first and only oral therapy specifically designed to target </w:t>
      </w:r>
      <w:r w:rsidRPr="007C0D91">
        <w:rPr>
          <w:rFonts w:asciiTheme="minorHAnsi" w:hAnsiTheme="minorHAnsi" w:cstheme="minorHAnsi"/>
          <w:i/>
          <w:iCs/>
        </w:rPr>
        <w:t>EGFR</w:t>
      </w:r>
      <w:r w:rsidRPr="007C0D91">
        <w:rPr>
          <w:rFonts w:asciiTheme="minorHAnsi" w:hAnsiTheme="minorHAnsi" w:cstheme="minorHAnsi"/>
        </w:rPr>
        <w:t xml:space="preserve"> ex20ins mutations, providing a new and effective treatment for cancer patients with this specific mutation. The organisation noted that </w:t>
      </w:r>
      <w:r w:rsidRPr="007C0D91">
        <w:rPr>
          <w:rFonts w:asciiTheme="minorHAnsi" w:hAnsiTheme="minorHAnsi" w:cstheme="minorHAnsi"/>
          <w:i/>
          <w:iCs/>
        </w:rPr>
        <w:t>EGFR</w:t>
      </w:r>
      <w:r w:rsidRPr="007C0D91">
        <w:rPr>
          <w:rFonts w:asciiTheme="minorHAnsi" w:hAnsiTheme="minorHAnsi" w:cstheme="minorHAnsi"/>
        </w:rPr>
        <w:t xml:space="preserve"> ex20ins mutation is uncommon and often underdiagnosed with a worse prognosis and survival outcomes compared to other </w:t>
      </w:r>
      <w:r w:rsidRPr="007C0D91">
        <w:rPr>
          <w:rFonts w:asciiTheme="minorHAnsi" w:hAnsiTheme="minorHAnsi" w:cstheme="minorHAnsi"/>
          <w:i/>
          <w:iCs/>
        </w:rPr>
        <w:t>EGFR</w:t>
      </w:r>
      <w:r w:rsidRPr="007C0D91">
        <w:rPr>
          <w:rFonts w:asciiTheme="minorHAnsi" w:hAnsiTheme="minorHAnsi" w:cstheme="minorHAnsi"/>
        </w:rPr>
        <w:t xml:space="preserve"> mutations, which may be due to a lack of targeted therapies. </w:t>
      </w:r>
      <w:r w:rsidRPr="007C0D91">
        <w:rPr>
          <w:rFonts w:asciiTheme="minorHAnsi" w:hAnsiTheme="minorHAnsi" w:cstheme="minorHAnsi"/>
          <w:bCs/>
        </w:rPr>
        <w:t>The organisation stated that mobocertinib offers the opportunity to improve outcomes for [</w:t>
      </w:r>
      <w:r w:rsidRPr="007C0D91">
        <w:rPr>
          <w:rFonts w:asciiTheme="minorHAnsi" w:hAnsiTheme="minorHAnsi" w:cstheme="minorHAnsi"/>
          <w:bCs/>
          <w:i/>
          <w:iCs/>
        </w:rPr>
        <w:t>EGFR</w:t>
      </w:r>
      <w:r w:rsidRPr="007C0D91">
        <w:rPr>
          <w:rFonts w:asciiTheme="minorHAnsi" w:hAnsiTheme="minorHAnsi" w:cstheme="minorHAnsi"/>
          <w:bCs/>
        </w:rPr>
        <w:t xml:space="preserve"> ex20ins mutation] lung cancer </w:t>
      </w:r>
      <w:proofErr w:type="gramStart"/>
      <w:r w:rsidRPr="007C0D91">
        <w:rPr>
          <w:rFonts w:asciiTheme="minorHAnsi" w:hAnsiTheme="minorHAnsi" w:cstheme="minorHAnsi"/>
          <w:bCs/>
        </w:rPr>
        <w:t>patients  who</w:t>
      </w:r>
      <w:proofErr w:type="gramEnd"/>
      <w:r w:rsidRPr="007C0D91">
        <w:rPr>
          <w:rFonts w:asciiTheme="minorHAnsi" w:hAnsiTheme="minorHAnsi" w:cstheme="minorHAnsi"/>
          <w:bCs/>
        </w:rPr>
        <w:t xml:space="preserve"> have no other treatment options available.</w:t>
      </w:r>
    </w:p>
    <w:p w14:paraId="2D713D29" w14:textId="2E219FFA" w:rsidR="00830B10" w:rsidRPr="007C0D91" w:rsidRDefault="00830B10" w:rsidP="00830B10">
      <w:pPr>
        <w:widowControl w:val="0"/>
        <w:numPr>
          <w:ilvl w:val="1"/>
          <w:numId w:val="1"/>
        </w:numPr>
        <w:spacing w:after="120"/>
        <w:rPr>
          <w:rFonts w:asciiTheme="minorHAnsi" w:hAnsiTheme="minorHAnsi"/>
          <w:bCs/>
          <w:snapToGrid w:val="0"/>
        </w:rPr>
      </w:pPr>
      <w:r w:rsidRPr="007C0D91">
        <w:rPr>
          <w:rFonts w:asciiTheme="minorHAnsi" w:hAnsiTheme="minorHAnsi"/>
          <w:bCs/>
          <w:snapToGrid w:val="0"/>
        </w:rPr>
        <w:t>The Medical Oncology Group of Australia (MOGA) also expressed its support for the mobocertinib submission. The PBAC noted that the MOGA presented a European Society for Medical Oncology Magnitude of Clinical Benefit Scale (ESMO-MCBS) for mobocertinib, which was limited to 2 (out of a maximum of 5, where 5 and 4 represent the grades with substantial improvement),</w:t>
      </w:r>
      <w:r w:rsidRPr="007C0D91">
        <w:rPr>
          <w:rStyle w:val="FootnoteReference"/>
          <w:rFonts w:asciiTheme="minorHAnsi" w:hAnsiTheme="minorHAnsi"/>
          <w:bCs/>
          <w:snapToGrid w:val="0"/>
        </w:rPr>
        <w:footnoteReference w:id="5"/>
      </w:r>
      <w:r w:rsidRPr="007C0D91">
        <w:rPr>
          <w:rFonts w:asciiTheme="minorHAnsi" w:hAnsiTheme="minorHAnsi"/>
          <w:bCs/>
          <w:snapToGrid w:val="0"/>
        </w:rPr>
        <w:t xml:space="preserve"> based on a comparison with SOC.</w:t>
      </w:r>
    </w:p>
    <w:bookmarkEnd w:id="35"/>
    <w:bookmarkEnd w:id="38"/>
    <w:p w14:paraId="5626DD8D" w14:textId="308BE35D" w:rsidR="005149D4" w:rsidRPr="007C0D91" w:rsidRDefault="005149D4" w:rsidP="007B48A1">
      <w:pPr>
        <w:pStyle w:val="4-SubsectionHeading"/>
      </w:pPr>
      <w:r w:rsidRPr="007C0D91">
        <w:t xml:space="preserve">Clinical </w:t>
      </w:r>
      <w:bookmarkEnd w:id="36"/>
      <w:r w:rsidRPr="007C0D91">
        <w:t>studies</w:t>
      </w:r>
      <w:bookmarkEnd w:id="37"/>
    </w:p>
    <w:p w14:paraId="2C0E4BC8" w14:textId="18373667" w:rsidR="005149D4" w:rsidRPr="007C0D91" w:rsidRDefault="005149D4" w:rsidP="005149D4">
      <w:pPr>
        <w:numPr>
          <w:ilvl w:val="1"/>
          <w:numId w:val="1"/>
        </w:numPr>
        <w:spacing w:after="120"/>
        <w:rPr>
          <w:rFonts w:asciiTheme="minorHAnsi" w:hAnsiTheme="minorHAnsi"/>
        </w:rPr>
      </w:pPr>
      <w:r w:rsidRPr="007C0D91">
        <w:rPr>
          <w:rFonts w:asciiTheme="minorHAnsi" w:hAnsiTheme="minorHAnsi"/>
        </w:rPr>
        <w:t>The resubmission presented the same studies (Studies 101, 500</w:t>
      </w:r>
      <w:r w:rsidR="00262F8E" w:rsidRPr="007C0D91">
        <w:rPr>
          <w:rFonts w:asciiTheme="minorHAnsi" w:hAnsiTheme="minorHAnsi"/>
        </w:rPr>
        <w:t>2</w:t>
      </w:r>
      <w:r w:rsidRPr="007C0D91">
        <w:rPr>
          <w:rFonts w:asciiTheme="minorHAnsi" w:hAnsiTheme="minorHAnsi"/>
        </w:rPr>
        <w:t xml:space="preserve"> and 500</w:t>
      </w:r>
      <w:r w:rsidR="00262F8E" w:rsidRPr="007C0D91">
        <w:rPr>
          <w:rFonts w:asciiTheme="minorHAnsi" w:hAnsiTheme="minorHAnsi"/>
        </w:rPr>
        <w:t>8</w:t>
      </w:r>
      <w:r w:rsidRPr="007C0D91">
        <w:rPr>
          <w:rFonts w:asciiTheme="minorHAnsi" w:hAnsiTheme="minorHAnsi"/>
        </w:rPr>
        <w:t xml:space="preserve">) as the original submission. </w:t>
      </w:r>
      <w:r w:rsidRPr="007C0D91">
        <w:rPr>
          <w:rFonts w:asciiTheme="minorHAnsi" w:hAnsiTheme="minorHAnsi"/>
          <w:snapToGrid w:val="0"/>
        </w:rPr>
        <w:t xml:space="preserve">Details of the studies included in the original submission and in the resubmission are provided in </w:t>
      </w:r>
      <w:r w:rsidRPr="007C0D91">
        <w:fldChar w:fldCharType="begin"/>
      </w:r>
      <w:r w:rsidRPr="007C0D91">
        <w:instrText xml:space="preserve"> REF _Ref133767932 \h  \* MERGEFORMAT </w:instrText>
      </w:r>
      <w:r w:rsidRPr="007C0D91">
        <w:fldChar w:fldCharType="separate"/>
      </w:r>
      <w:r w:rsidR="00117491" w:rsidRPr="00117491">
        <w:t>Table 3</w:t>
      </w:r>
      <w:r w:rsidRPr="007C0D91">
        <w:fldChar w:fldCharType="end"/>
      </w:r>
      <w:r w:rsidRPr="007C0D91">
        <w:t>.</w:t>
      </w:r>
    </w:p>
    <w:p w14:paraId="3B7DFE2A" w14:textId="324AD54B" w:rsidR="005149D4" w:rsidRPr="007C0D91" w:rsidRDefault="005149D4" w:rsidP="005149D4">
      <w:pPr>
        <w:keepNext/>
        <w:rPr>
          <w:rFonts w:ascii="Arial Narrow" w:hAnsi="Arial Narrow"/>
          <w:b/>
          <w:bCs/>
          <w:sz w:val="20"/>
          <w:szCs w:val="18"/>
        </w:rPr>
      </w:pPr>
      <w:bookmarkStart w:id="39" w:name="_Ref133767932"/>
      <w:r w:rsidRPr="007C0D91">
        <w:rPr>
          <w:rFonts w:ascii="Arial Narrow" w:hAnsi="Arial Narrow"/>
          <w:b/>
          <w:bCs/>
          <w:sz w:val="20"/>
          <w:szCs w:val="18"/>
        </w:rPr>
        <w:lastRenderedPageBreak/>
        <w:t xml:space="preserve">Table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Table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3</w:t>
      </w:r>
      <w:r w:rsidRPr="007C0D91">
        <w:rPr>
          <w:rFonts w:ascii="Arial Narrow" w:hAnsi="Arial Narrow"/>
          <w:b/>
          <w:bCs/>
          <w:sz w:val="20"/>
          <w:szCs w:val="18"/>
        </w:rPr>
        <w:fldChar w:fldCharType="end"/>
      </w:r>
      <w:bookmarkEnd w:id="39"/>
      <w:r w:rsidRPr="007C0D91">
        <w:rPr>
          <w:rFonts w:ascii="Arial Narrow" w:hAnsi="Arial Narrow"/>
          <w:b/>
          <w:bCs/>
          <w:sz w:val="20"/>
          <w:szCs w:val="18"/>
        </w:rPr>
        <w:t xml:space="preserve">: Trials and associated reports presented in the </w:t>
      </w:r>
      <w:proofErr w:type="gramStart"/>
      <w:r w:rsidRPr="007C0D91">
        <w:rPr>
          <w:rFonts w:ascii="Arial Narrow" w:hAnsi="Arial Narrow"/>
          <w:b/>
          <w:bCs/>
          <w:sz w:val="20"/>
          <w:szCs w:val="18"/>
        </w:rPr>
        <w:t>submissions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5149D4" w:rsidRPr="007C0D91" w14:paraId="1494830E" w14:textId="77777777" w:rsidTr="008869C7">
        <w:trPr>
          <w:tblHeader/>
        </w:trPr>
        <w:tc>
          <w:tcPr>
            <w:tcW w:w="796" w:type="pct"/>
            <w:tcBorders>
              <w:top w:val="single" w:sz="4" w:space="0" w:color="auto"/>
              <w:left w:val="single" w:sz="4" w:space="0" w:color="auto"/>
              <w:bottom w:val="single" w:sz="4" w:space="0" w:color="auto"/>
              <w:right w:val="single" w:sz="4" w:space="0" w:color="auto"/>
            </w:tcBorders>
            <w:vAlign w:val="center"/>
          </w:tcPr>
          <w:p w14:paraId="6B8C682C" w14:textId="77777777" w:rsidR="005149D4" w:rsidRPr="007C0D91" w:rsidRDefault="005149D4" w:rsidP="00767449">
            <w:pPr>
              <w:jc w:val="left"/>
              <w:rPr>
                <w:rFonts w:ascii="Arial Narrow" w:hAnsi="Arial Narrow" w:cs="Times New Roman"/>
                <w:b/>
                <w:snapToGrid w:val="0"/>
                <w:sz w:val="20"/>
              </w:rPr>
            </w:pPr>
            <w:r w:rsidRPr="007C0D91">
              <w:rPr>
                <w:rFonts w:ascii="Arial Narrow" w:hAnsi="Arial Narrow" w:cs="Times New Roman"/>
                <w:b/>
                <w:snapToGrid w:val="0"/>
                <w:sz w:val="20"/>
              </w:rPr>
              <w:t>Trial ID</w:t>
            </w:r>
          </w:p>
        </w:tc>
        <w:tc>
          <w:tcPr>
            <w:tcW w:w="3027" w:type="pct"/>
            <w:tcBorders>
              <w:top w:val="single" w:sz="4" w:space="0" w:color="auto"/>
              <w:left w:val="single" w:sz="4" w:space="0" w:color="auto"/>
              <w:bottom w:val="single" w:sz="4" w:space="0" w:color="auto"/>
              <w:right w:val="single" w:sz="4" w:space="0" w:color="auto"/>
            </w:tcBorders>
            <w:vAlign w:val="center"/>
          </w:tcPr>
          <w:p w14:paraId="048554CD" w14:textId="77777777" w:rsidR="005149D4" w:rsidRPr="007C0D91" w:rsidRDefault="005149D4" w:rsidP="00767449">
            <w:pPr>
              <w:rPr>
                <w:rFonts w:ascii="Arial Narrow" w:hAnsi="Arial Narrow" w:cs="Times New Roman"/>
                <w:b/>
                <w:snapToGrid w:val="0"/>
                <w:sz w:val="20"/>
              </w:rPr>
            </w:pPr>
            <w:r w:rsidRPr="007C0D91">
              <w:rPr>
                <w:rFonts w:ascii="Arial Narrow" w:hAnsi="Arial Narrow" w:cs="Times New Roman"/>
                <w:b/>
                <w:snapToGrid w:val="0"/>
                <w:sz w:val="20"/>
              </w:rPr>
              <w:t>Protocol title/ Publication title</w:t>
            </w:r>
          </w:p>
        </w:tc>
        <w:tc>
          <w:tcPr>
            <w:tcW w:w="1177" w:type="pct"/>
            <w:tcBorders>
              <w:top w:val="single" w:sz="4" w:space="0" w:color="auto"/>
              <w:left w:val="single" w:sz="4" w:space="0" w:color="auto"/>
              <w:bottom w:val="single" w:sz="4" w:space="0" w:color="auto"/>
              <w:right w:val="single" w:sz="4" w:space="0" w:color="auto"/>
            </w:tcBorders>
            <w:vAlign w:val="center"/>
          </w:tcPr>
          <w:p w14:paraId="0A12F6D8" w14:textId="77777777" w:rsidR="005149D4" w:rsidRPr="007C0D91" w:rsidRDefault="005149D4" w:rsidP="00767449">
            <w:pPr>
              <w:jc w:val="left"/>
              <w:rPr>
                <w:rFonts w:ascii="Arial Narrow" w:hAnsi="Arial Narrow" w:cs="Times New Roman"/>
                <w:b/>
                <w:snapToGrid w:val="0"/>
                <w:sz w:val="20"/>
              </w:rPr>
            </w:pPr>
            <w:r w:rsidRPr="007C0D91">
              <w:rPr>
                <w:rFonts w:ascii="Arial Narrow" w:hAnsi="Arial Narrow" w:cs="Times New Roman"/>
                <w:b/>
                <w:snapToGrid w:val="0"/>
                <w:sz w:val="20"/>
              </w:rPr>
              <w:t>Publication citation</w:t>
            </w:r>
          </w:p>
        </w:tc>
      </w:tr>
      <w:tr w:rsidR="005149D4" w:rsidRPr="007C0D91" w14:paraId="2CB79601" w14:textId="77777777" w:rsidTr="008869C7">
        <w:trPr>
          <w:tblHeader/>
        </w:trPr>
        <w:tc>
          <w:tcPr>
            <w:tcW w:w="5000" w:type="pct"/>
            <w:gridSpan w:val="3"/>
            <w:tcBorders>
              <w:bottom w:val="single" w:sz="4" w:space="0" w:color="auto"/>
            </w:tcBorders>
            <w:vAlign w:val="center"/>
          </w:tcPr>
          <w:p w14:paraId="2074679C" w14:textId="77777777" w:rsidR="005149D4" w:rsidRPr="007C0D91" w:rsidRDefault="005149D4" w:rsidP="00767449">
            <w:pPr>
              <w:jc w:val="left"/>
              <w:rPr>
                <w:rFonts w:ascii="Arial Narrow" w:eastAsiaTheme="majorEastAsia" w:hAnsi="Arial Narrow" w:cs="Times New Roman"/>
                <w:b/>
                <w:sz w:val="20"/>
              </w:rPr>
            </w:pPr>
            <w:r w:rsidRPr="007C0D91">
              <w:rPr>
                <w:rFonts w:ascii="Arial Narrow" w:eastAsiaTheme="majorEastAsia" w:hAnsi="Arial Narrow" w:cs="Times New Roman"/>
                <w:b/>
                <w:sz w:val="20"/>
              </w:rPr>
              <w:t>Proposed medicine: mobocertinib</w:t>
            </w:r>
          </w:p>
        </w:tc>
      </w:tr>
      <w:tr w:rsidR="005149D4" w:rsidRPr="007C0D91" w14:paraId="63ABFE43" w14:textId="77777777" w:rsidTr="00D5331F">
        <w:tc>
          <w:tcPr>
            <w:tcW w:w="796" w:type="pct"/>
            <w:vMerge w:val="restart"/>
            <w:vAlign w:val="center"/>
          </w:tcPr>
          <w:p w14:paraId="1A025F09"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Study 101 (NCT02716116)</w:t>
            </w:r>
          </w:p>
        </w:tc>
        <w:tc>
          <w:tcPr>
            <w:tcW w:w="3027" w:type="pct"/>
            <w:shd w:val="clear" w:color="auto" w:fill="B8CCE4" w:themeFill="accent1" w:themeFillTint="66"/>
          </w:tcPr>
          <w:p w14:paraId="6804985C"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Clinical Study Report. AP32788-15-101. A Phase 1/2 Study of the Safety, Pharmacokinetics, and Anti-Tumor Activity of the Oral </w:t>
            </w:r>
            <w:r w:rsidRPr="007C0D91">
              <w:rPr>
                <w:rFonts w:ascii="Arial Narrow" w:eastAsiaTheme="majorEastAsia" w:hAnsi="Arial Narrow" w:cstheme="majorBidi"/>
                <w:bCs/>
                <w:i/>
                <w:sz w:val="20"/>
              </w:rPr>
              <w:t>EGFR/HER2</w:t>
            </w:r>
            <w:r w:rsidRPr="007C0D91">
              <w:rPr>
                <w:rFonts w:ascii="Arial Narrow" w:eastAsiaTheme="majorEastAsia" w:hAnsi="Arial Narrow" w:cstheme="majorBidi"/>
                <w:bCs/>
                <w:sz w:val="20"/>
              </w:rPr>
              <w:t xml:space="preserve"> Inhibitor TAK-788 (AP32788) in Non-Small Cell Lung Cancer.</w:t>
            </w:r>
          </w:p>
        </w:tc>
        <w:tc>
          <w:tcPr>
            <w:tcW w:w="1177" w:type="pct"/>
            <w:shd w:val="clear" w:color="auto" w:fill="B8CCE4" w:themeFill="accent1" w:themeFillTint="66"/>
            <w:vAlign w:val="center"/>
          </w:tcPr>
          <w:p w14:paraId="1355F530"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15 January 2021</w:t>
            </w:r>
          </w:p>
        </w:tc>
      </w:tr>
      <w:tr w:rsidR="005149D4" w:rsidRPr="007C0D91" w14:paraId="359D93A9" w14:textId="77777777" w:rsidTr="00D5331F">
        <w:tc>
          <w:tcPr>
            <w:tcW w:w="796" w:type="pct"/>
            <w:vMerge/>
            <w:tcBorders>
              <w:top w:val="single" w:sz="4" w:space="0" w:color="auto"/>
            </w:tcBorders>
            <w:vAlign w:val="center"/>
          </w:tcPr>
          <w:p w14:paraId="584649A6"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shd w:val="clear" w:color="auto" w:fill="B8CCE4" w:themeFill="accent1" w:themeFillTint="66"/>
          </w:tcPr>
          <w:p w14:paraId="1B844212" w14:textId="77777777" w:rsidR="005149D4" w:rsidRPr="007C0D91" w:rsidRDefault="005149D4" w:rsidP="00767449">
            <w:pPr>
              <w:rPr>
                <w:rFonts w:ascii="Arial Narrow" w:eastAsiaTheme="majorEastAsia" w:hAnsi="Arial Narrow" w:cstheme="majorBidi"/>
                <w:bCs/>
                <w:sz w:val="20"/>
                <w:szCs w:val="18"/>
              </w:rPr>
            </w:pPr>
            <w:r w:rsidRPr="007C0D91">
              <w:rPr>
                <w:rFonts w:ascii="Arial Narrow" w:eastAsiaTheme="majorEastAsia" w:hAnsi="Arial Narrow" w:cstheme="majorBidi"/>
                <w:bCs/>
                <w:sz w:val="20"/>
              </w:rPr>
              <w:t xml:space="preserve">Clinical Study Report Addendum 1. AP32788-15-101. A Phase 1/2 Study of the Safety, Pharmacokinetics, and Anti-Tumor Activity of the Oral </w:t>
            </w:r>
            <w:r w:rsidRPr="007C0D91">
              <w:rPr>
                <w:rFonts w:ascii="Arial Narrow" w:eastAsiaTheme="majorEastAsia" w:hAnsi="Arial Narrow" w:cstheme="majorBidi"/>
                <w:bCs/>
                <w:i/>
                <w:sz w:val="20"/>
              </w:rPr>
              <w:t>EGFR/HER2</w:t>
            </w:r>
            <w:r w:rsidRPr="007C0D91">
              <w:rPr>
                <w:rFonts w:ascii="Arial Narrow" w:eastAsiaTheme="majorEastAsia" w:hAnsi="Arial Narrow" w:cstheme="majorBidi"/>
                <w:bCs/>
                <w:sz w:val="20"/>
              </w:rPr>
              <w:t xml:space="preserve"> Inhibitor TAK-788 (AP32788) in Non-Small Cell Lung Cancer.</w:t>
            </w:r>
          </w:p>
        </w:tc>
        <w:tc>
          <w:tcPr>
            <w:tcW w:w="1177" w:type="pct"/>
            <w:tcBorders>
              <w:top w:val="single" w:sz="4" w:space="0" w:color="auto"/>
              <w:bottom w:val="single" w:sz="4" w:space="0" w:color="auto"/>
            </w:tcBorders>
            <w:shd w:val="clear" w:color="auto" w:fill="B8CCE4" w:themeFill="accent1" w:themeFillTint="66"/>
            <w:vAlign w:val="center"/>
          </w:tcPr>
          <w:p w14:paraId="3BE75B12" w14:textId="77777777" w:rsidR="005149D4" w:rsidRPr="007C0D91" w:rsidRDefault="005149D4" w:rsidP="00767449">
            <w:pPr>
              <w:jc w:val="left"/>
              <w:rPr>
                <w:rFonts w:ascii="Arial Narrow" w:eastAsiaTheme="majorEastAsia" w:hAnsi="Arial Narrow" w:cstheme="majorBidi"/>
                <w:bCs/>
                <w:i/>
                <w:sz w:val="20"/>
                <w:szCs w:val="18"/>
              </w:rPr>
            </w:pPr>
            <w:r w:rsidRPr="007C0D91">
              <w:rPr>
                <w:rFonts w:ascii="Arial Narrow" w:eastAsiaTheme="majorEastAsia" w:hAnsi="Arial Narrow" w:cstheme="majorBidi"/>
                <w:bCs/>
                <w:sz w:val="20"/>
              </w:rPr>
              <w:t>03 May 2021</w:t>
            </w:r>
          </w:p>
        </w:tc>
      </w:tr>
      <w:tr w:rsidR="005149D4" w:rsidRPr="007C0D91" w14:paraId="5973489F" w14:textId="77777777" w:rsidTr="00D5331F">
        <w:tc>
          <w:tcPr>
            <w:tcW w:w="796" w:type="pct"/>
            <w:vMerge/>
            <w:vAlign w:val="center"/>
          </w:tcPr>
          <w:p w14:paraId="7936973A"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tcBorders>
            <w:shd w:val="clear" w:color="auto" w:fill="B8CCE4" w:themeFill="accent1" w:themeFillTint="66"/>
          </w:tcPr>
          <w:p w14:paraId="3E548E4C"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Clinical Study Report Addendum 2. AP32788-15-101. A Phase 1/2 Study of the Safety, Pharmacokinetics, and Anti-Tumor Activity of the Oral </w:t>
            </w:r>
            <w:r w:rsidRPr="007C0D91">
              <w:rPr>
                <w:rFonts w:ascii="Arial Narrow" w:eastAsiaTheme="majorEastAsia" w:hAnsi="Arial Narrow" w:cstheme="majorBidi"/>
                <w:bCs/>
                <w:i/>
                <w:sz w:val="20"/>
              </w:rPr>
              <w:t>EGFR/HER2</w:t>
            </w:r>
            <w:r w:rsidRPr="007C0D91">
              <w:rPr>
                <w:rFonts w:ascii="Arial Narrow" w:eastAsiaTheme="majorEastAsia" w:hAnsi="Arial Narrow" w:cstheme="majorBidi"/>
                <w:bCs/>
                <w:sz w:val="20"/>
              </w:rPr>
              <w:t xml:space="preserve"> Inhibitor TAK-788 (AP32788) in Non-Small Cell Lung Cancer.</w:t>
            </w:r>
          </w:p>
        </w:tc>
        <w:tc>
          <w:tcPr>
            <w:tcW w:w="1177" w:type="pct"/>
            <w:tcBorders>
              <w:top w:val="single" w:sz="4" w:space="0" w:color="auto"/>
            </w:tcBorders>
            <w:shd w:val="clear" w:color="auto" w:fill="B8CCE4" w:themeFill="accent1" w:themeFillTint="66"/>
            <w:vAlign w:val="center"/>
          </w:tcPr>
          <w:p w14:paraId="4CE3C7C2" w14:textId="77777777" w:rsidR="005149D4" w:rsidRPr="007C0D91" w:rsidRDefault="005149D4" w:rsidP="00767449">
            <w:pPr>
              <w:jc w:val="left"/>
              <w:rPr>
                <w:rFonts w:ascii="Arial Narrow" w:eastAsiaTheme="majorEastAsia" w:hAnsi="Arial Narrow" w:cstheme="majorBidi"/>
                <w:bCs/>
                <w:i/>
                <w:sz w:val="20"/>
              </w:rPr>
            </w:pPr>
            <w:r w:rsidRPr="007C0D91">
              <w:rPr>
                <w:rFonts w:ascii="Arial Narrow" w:eastAsiaTheme="majorEastAsia" w:hAnsi="Arial Narrow" w:cstheme="majorBidi"/>
                <w:bCs/>
                <w:sz w:val="20"/>
                <w:szCs w:val="18"/>
              </w:rPr>
              <w:t>19 April 2022</w:t>
            </w:r>
          </w:p>
        </w:tc>
      </w:tr>
      <w:tr w:rsidR="005149D4" w:rsidRPr="007C0D91" w14:paraId="28686524" w14:textId="77777777" w:rsidTr="00D5331F">
        <w:tc>
          <w:tcPr>
            <w:tcW w:w="796" w:type="pct"/>
            <w:vMerge/>
            <w:vAlign w:val="center"/>
          </w:tcPr>
          <w:p w14:paraId="36B5F239"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tcBorders>
            <w:shd w:val="clear" w:color="auto" w:fill="B8CCE4" w:themeFill="accent1" w:themeFillTint="66"/>
          </w:tcPr>
          <w:p w14:paraId="7D1A5536"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Zhou C, Ramalingam S, et al. Treatment Outcomes and Safety of Mobocertinib in Platinum-Pretreated Patients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Exon 20 Insertion-Positive Metastatic Non-Small Cell Lung Cancer: A Phase 1/2 Open-label Non-randomized Clinical Trial. </w:t>
            </w:r>
          </w:p>
        </w:tc>
        <w:tc>
          <w:tcPr>
            <w:tcW w:w="1177" w:type="pct"/>
            <w:tcBorders>
              <w:top w:val="single" w:sz="4" w:space="0" w:color="auto"/>
            </w:tcBorders>
            <w:shd w:val="clear" w:color="auto" w:fill="B8CCE4" w:themeFill="accent1" w:themeFillTint="66"/>
            <w:vAlign w:val="center"/>
          </w:tcPr>
          <w:p w14:paraId="7643F705"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i/>
                <w:sz w:val="20"/>
              </w:rPr>
              <w:t>JAMA Oncology</w:t>
            </w:r>
            <w:r w:rsidRPr="007C0D91">
              <w:rPr>
                <w:rFonts w:ascii="Arial Narrow" w:eastAsiaTheme="majorEastAsia" w:hAnsi="Arial Narrow" w:cstheme="majorBidi"/>
                <w:bCs/>
                <w:sz w:val="20"/>
              </w:rPr>
              <w:t xml:space="preserve"> 2021; 7(12): 1772-1781</w:t>
            </w:r>
          </w:p>
        </w:tc>
      </w:tr>
      <w:tr w:rsidR="005149D4" w:rsidRPr="007C0D91" w14:paraId="4C1CEC99" w14:textId="77777777" w:rsidTr="008869C7">
        <w:tc>
          <w:tcPr>
            <w:tcW w:w="5000" w:type="pct"/>
            <w:gridSpan w:val="3"/>
            <w:vAlign w:val="center"/>
          </w:tcPr>
          <w:p w14:paraId="47FCE653" w14:textId="77777777" w:rsidR="005149D4" w:rsidRPr="007C0D91" w:rsidRDefault="005149D4" w:rsidP="00767449">
            <w:pPr>
              <w:jc w:val="left"/>
              <w:rPr>
                <w:rFonts w:ascii="Arial Narrow" w:eastAsiaTheme="majorEastAsia" w:hAnsi="Arial Narrow" w:cs="Times New Roman"/>
                <w:b/>
                <w:sz w:val="20"/>
              </w:rPr>
            </w:pPr>
            <w:r w:rsidRPr="007C0D91">
              <w:rPr>
                <w:rFonts w:ascii="Arial Narrow" w:eastAsiaTheme="majorEastAsia" w:hAnsi="Arial Narrow" w:cs="Times New Roman"/>
                <w:b/>
                <w:sz w:val="20"/>
              </w:rPr>
              <w:t>Proposed comparator: SOC</w:t>
            </w:r>
          </w:p>
        </w:tc>
      </w:tr>
      <w:tr w:rsidR="005149D4" w:rsidRPr="007C0D91" w14:paraId="152F324C" w14:textId="77777777" w:rsidTr="00D5331F">
        <w:tc>
          <w:tcPr>
            <w:tcW w:w="796" w:type="pct"/>
            <w:vMerge w:val="restart"/>
            <w:vAlign w:val="center"/>
          </w:tcPr>
          <w:p w14:paraId="0CAD7962"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Study 5008</w:t>
            </w:r>
          </w:p>
          <w:p w14:paraId="7616693C"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(Germany)</w:t>
            </w:r>
          </w:p>
        </w:tc>
        <w:tc>
          <w:tcPr>
            <w:tcW w:w="3027" w:type="pct"/>
            <w:tcBorders>
              <w:top w:val="single" w:sz="4" w:space="0" w:color="auto"/>
              <w:bottom w:val="single" w:sz="4" w:space="0" w:color="auto"/>
            </w:tcBorders>
            <w:shd w:val="clear" w:color="auto" w:fill="B8CCE4" w:themeFill="accent1" w:themeFillTint="66"/>
          </w:tcPr>
          <w:p w14:paraId="54D00B52"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Final report of the study. Multicenter real-world analysis of non-small cell lung cancer patients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or HER2 exon 20 insertion mutations. TAK-788-5008. Retrospective analysis. Final study report</w:t>
            </w:r>
          </w:p>
        </w:tc>
        <w:tc>
          <w:tcPr>
            <w:tcW w:w="1177" w:type="pct"/>
            <w:tcBorders>
              <w:top w:val="single" w:sz="4" w:space="0" w:color="auto"/>
              <w:bottom w:val="single" w:sz="4" w:space="0" w:color="auto"/>
            </w:tcBorders>
            <w:shd w:val="clear" w:color="auto" w:fill="B8CCE4" w:themeFill="accent1" w:themeFillTint="66"/>
            <w:vAlign w:val="center"/>
          </w:tcPr>
          <w:p w14:paraId="4C4F319D"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14 January 2021.</w:t>
            </w:r>
          </w:p>
        </w:tc>
      </w:tr>
      <w:tr w:rsidR="005149D4" w:rsidRPr="007C0D91" w14:paraId="1A5F8559" w14:textId="77777777" w:rsidTr="00D5331F">
        <w:tc>
          <w:tcPr>
            <w:tcW w:w="796" w:type="pct"/>
            <w:vMerge/>
            <w:tcBorders>
              <w:bottom w:val="single" w:sz="4" w:space="0" w:color="auto"/>
            </w:tcBorders>
            <w:vAlign w:val="center"/>
          </w:tcPr>
          <w:p w14:paraId="4EA9546B"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shd w:val="clear" w:color="auto" w:fill="B8CCE4" w:themeFill="accent1" w:themeFillTint="66"/>
          </w:tcPr>
          <w:p w14:paraId="5118594C"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Study protocol. Multicenter </w:t>
            </w:r>
            <w:proofErr w:type="gramStart"/>
            <w:r w:rsidRPr="007C0D91">
              <w:rPr>
                <w:rFonts w:ascii="Arial Narrow" w:eastAsiaTheme="majorEastAsia" w:hAnsi="Arial Narrow" w:cstheme="majorBidi"/>
                <w:bCs/>
                <w:sz w:val="20"/>
              </w:rPr>
              <w:t>Real World</w:t>
            </w:r>
            <w:proofErr w:type="gramEnd"/>
            <w:r w:rsidRPr="007C0D91">
              <w:rPr>
                <w:rFonts w:ascii="Arial Narrow" w:eastAsiaTheme="majorEastAsia" w:hAnsi="Arial Narrow" w:cstheme="majorBidi"/>
                <w:bCs/>
                <w:sz w:val="20"/>
              </w:rPr>
              <w:t xml:space="preserve"> Analysis of Non-Small Cell Lung Cancer Patients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and </w:t>
            </w:r>
            <w:r w:rsidRPr="007C0D91">
              <w:rPr>
                <w:rFonts w:ascii="Arial Narrow" w:eastAsiaTheme="majorEastAsia" w:hAnsi="Arial Narrow" w:cstheme="majorBidi"/>
                <w:bCs/>
                <w:i/>
                <w:sz w:val="20"/>
              </w:rPr>
              <w:t>HER2</w:t>
            </w:r>
            <w:r w:rsidRPr="007C0D91">
              <w:rPr>
                <w:rFonts w:ascii="Arial Narrow" w:eastAsiaTheme="majorEastAsia" w:hAnsi="Arial Narrow" w:cstheme="majorBidi"/>
                <w:bCs/>
                <w:sz w:val="20"/>
              </w:rPr>
              <w:t xml:space="preserve"> Exon 20 Insertion Mutations. </w:t>
            </w:r>
          </w:p>
        </w:tc>
        <w:tc>
          <w:tcPr>
            <w:tcW w:w="1177" w:type="pct"/>
            <w:tcBorders>
              <w:top w:val="single" w:sz="4" w:space="0" w:color="auto"/>
              <w:bottom w:val="single" w:sz="4" w:space="0" w:color="auto"/>
            </w:tcBorders>
            <w:shd w:val="clear" w:color="auto" w:fill="B8CCE4" w:themeFill="accent1" w:themeFillTint="66"/>
            <w:vAlign w:val="center"/>
          </w:tcPr>
          <w:p w14:paraId="2E269CF1"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04 February 2019, Version 1.0.</w:t>
            </w:r>
          </w:p>
        </w:tc>
      </w:tr>
      <w:tr w:rsidR="005149D4" w:rsidRPr="007C0D91" w14:paraId="0DACDB1A" w14:textId="77777777" w:rsidTr="00D5331F">
        <w:tc>
          <w:tcPr>
            <w:tcW w:w="796" w:type="pct"/>
            <w:vMerge w:val="restart"/>
            <w:tcBorders>
              <w:top w:val="single" w:sz="4" w:space="0" w:color="auto"/>
            </w:tcBorders>
            <w:vAlign w:val="center"/>
          </w:tcPr>
          <w:p w14:paraId="5D8B58DC"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Study 5002</w:t>
            </w:r>
          </w:p>
          <w:p w14:paraId="45DCCC3C"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(US Flatiron)</w:t>
            </w:r>
          </w:p>
        </w:tc>
        <w:tc>
          <w:tcPr>
            <w:tcW w:w="3027" w:type="pct"/>
            <w:tcBorders>
              <w:top w:val="single" w:sz="4" w:space="0" w:color="auto"/>
              <w:bottom w:val="single" w:sz="4" w:space="0" w:color="auto"/>
            </w:tcBorders>
            <w:shd w:val="clear" w:color="auto" w:fill="B8CCE4" w:themeFill="accent1" w:themeFillTint="66"/>
          </w:tcPr>
          <w:p w14:paraId="4293EB3E"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Clinical Study Report. TAK-788-5002. Retrospective Observational Study of Non-Small Cell Lung Cancer (NSCLC) Patients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Exon 20 Insertion Mutations: Real World Data Generation of Natural History. </w:t>
            </w:r>
          </w:p>
        </w:tc>
        <w:tc>
          <w:tcPr>
            <w:tcW w:w="1177" w:type="pct"/>
            <w:tcBorders>
              <w:top w:val="single" w:sz="4" w:space="0" w:color="auto"/>
              <w:bottom w:val="single" w:sz="4" w:space="0" w:color="auto"/>
            </w:tcBorders>
            <w:shd w:val="clear" w:color="auto" w:fill="B8CCE4" w:themeFill="accent1" w:themeFillTint="66"/>
            <w:vAlign w:val="center"/>
          </w:tcPr>
          <w:p w14:paraId="3FB4945F"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19 January 2019, Version 1.0.</w:t>
            </w:r>
          </w:p>
        </w:tc>
      </w:tr>
      <w:tr w:rsidR="005149D4" w:rsidRPr="007C0D91" w14:paraId="00D531DE" w14:textId="77777777" w:rsidTr="00D5331F">
        <w:tc>
          <w:tcPr>
            <w:tcW w:w="796" w:type="pct"/>
            <w:vMerge/>
            <w:tcBorders>
              <w:bottom w:val="single" w:sz="4" w:space="0" w:color="auto"/>
            </w:tcBorders>
            <w:vAlign w:val="center"/>
          </w:tcPr>
          <w:p w14:paraId="3B5E3F13"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shd w:val="clear" w:color="auto" w:fill="B8CCE4" w:themeFill="accent1" w:themeFillTint="66"/>
          </w:tcPr>
          <w:p w14:paraId="29A69272"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Study Protocol. Retrospective Observational Study of Non-Small Cell Lung Cancer (NSCLC) Patients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Exon 20 Insertion Mutations: Real World Data Generation of Natural History. </w:t>
            </w:r>
          </w:p>
        </w:tc>
        <w:tc>
          <w:tcPr>
            <w:tcW w:w="1177" w:type="pct"/>
            <w:tcBorders>
              <w:top w:val="single" w:sz="4" w:space="0" w:color="auto"/>
              <w:bottom w:val="single" w:sz="4" w:space="0" w:color="auto"/>
            </w:tcBorders>
            <w:shd w:val="clear" w:color="auto" w:fill="B8CCE4" w:themeFill="accent1" w:themeFillTint="66"/>
            <w:vAlign w:val="center"/>
          </w:tcPr>
          <w:p w14:paraId="764CF162"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14 July 2020, version 1.1</w:t>
            </w:r>
          </w:p>
        </w:tc>
      </w:tr>
      <w:tr w:rsidR="005149D4" w:rsidRPr="007C0D91" w14:paraId="27EC8D65" w14:textId="77777777" w:rsidTr="00D5331F">
        <w:tc>
          <w:tcPr>
            <w:tcW w:w="796" w:type="pct"/>
            <w:vMerge/>
            <w:tcBorders>
              <w:top w:val="single" w:sz="4" w:space="0" w:color="auto"/>
            </w:tcBorders>
            <w:vAlign w:val="center"/>
          </w:tcPr>
          <w:p w14:paraId="0DE6CF78"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shd w:val="clear" w:color="auto" w:fill="B8CCE4" w:themeFill="accent1" w:themeFillTint="66"/>
          </w:tcPr>
          <w:p w14:paraId="6AB1DC73"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Statistical Analysis Plan. TAK-788-5002. Retrospective Observational Study of Non-Small Cell Lung Cancer (NSCLC) Patients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Exon 20 Insertion Mutations: Real World Data Generation of Natural History. </w:t>
            </w:r>
          </w:p>
        </w:tc>
        <w:tc>
          <w:tcPr>
            <w:tcW w:w="1177" w:type="pct"/>
            <w:tcBorders>
              <w:top w:val="single" w:sz="4" w:space="0" w:color="auto"/>
            </w:tcBorders>
            <w:shd w:val="clear" w:color="auto" w:fill="B8CCE4" w:themeFill="accent1" w:themeFillTint="66"/>
            <w:vAlign w:val="center"/>
          </w:tcPr>
          <w:p w14:paraId="44631369"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15 July 2020, version 1.0.</w:t>
            </w:r>
          </w:p>
        </w:tc>
      </w:tr>
      <w:tr w:rsidR="005149D4" w:rsidRPr="007C0D91" w14:paraId="490950CA" w14:textId="77777777" w:rsidTr="008869C7">
        <w:tc>
          <w:tcPr>
            <w:tcW w:w="5000" w:type="pct"/>
            <w:gridSpan w:val="3"/>
            <w:vAlign w:val="center"/>
          </w:tcPr>
          <w:p w14:paraId="38F924E6" w14:textId="77777777" w:rsidR="005149D4" w:rsidRPr="007C0D91" w:rsidRDefault="005149D4" w:rsidP="00767449">
            <w:pPr>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Indirect comparison between mobocertinib and SOC or chemotherapy</w:t>
            </w:r>
          </w:p>
        </w:tc>
      </w:tr>
      <w:tr w:rsidR="005149D4" w:rsidRPr="007C0D91" w14:paraId="41245EAE" w14:textId="77777777" w:rsidTr="00D5331F">
        <w:tc>
          <w:tcPr>
            <w:tcW w:w="796" w:type="pct"/>
            <w:vMerge w:val="restart"/>
            <w:vAlign w:val="center"/>
          </w:tcPr>
          <w:p w14:paraId="056D28EF" w14:textId="4071C09F"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Study 101 vs. pooled Study 500</w:t>
            </w:r>
            <w:r w:rsidR="00262F8E" w:rsidRPr="007C0D91">
              <w:rPr>
                <w:rFonts w:ascii="Arial Narrow" w:eastAsiaTheme="majorEastAsia" w:hAnsi="Arial Narrow" w:cstheme="majorBidi"/>
                <w:bCs/>
                <w:sz w:val="20"/>
              </w:rPr>
              <w:t>2</w:t>
            </w:r>
            <w:r w:rsidRPr="007C0D91">
              <w:rPr>
                <w:rFonts w:ascii="Arial Narrow" w:eastAsiaTheme="majorEastAsia" w:hAnsi="Arial Narrow" w:cstheme="majorBidi"/>
                <w:bCs/>
                <w:sz w:val="20"/>
              </w:rPr>
              <w:t xml:space="preserve"> and Study 500</w:t>
            </w:r>
            <w:r w:rsidR="00262F8E" w:rsidRPr="007C0D91">
              <w:rPr>
                <w:rFonts w:ascii="Arial Narrow" w:eastAsiaTheme="majorEastAsia" w:hAnsi="Arial Narrow" w:cstheme="majorBidi"/>
                <w:bCs/>
                <w:sz w:val="20"/>
              </w:rPr>
              <w:t>8</w:t>
            </w:r>
          </w:p>
        </w:tc>
        <w:tc>
          <w:tcPr>
            <w:tcW w:w="3027" w:type="pct"/>
            <w:tcBorders>
              <w:bottom w:val="single" w:sz="4" w:space="0" w:color="auto"/>
            </w:tcBorders>
            <w:shd w:val="clear" w:color="auto" w:fill="B8CCE4" w:themeFill="accent1" w:themeFillTint="66"/>
          </w:tcPr>
          <w:p w14:paraId="47C7FA3E"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Technical report. IPTW of Mobocertinib vs. Standard of Care (SOC) in Advanced NSCLC Patients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EXON 20 Insertions. TAK-788-5010. Technical report of the IPTW of mobocertinib vs. SOC (Germany) using data from Study 101 at the 01 November 2020 cutoff</w:t>
            </w:r>
          </w:p>
        </w:tc>
        <w:tc>
          <w:tcPr>
            <w:tcW w:w="1177" w:type="pct"/>
            <w:tcBorders>
              <w:top w:val="single" w:sz="4" w:space="0" w:color="auto"/>
              <w:bottom w:val="single" w:sz="4" w:space="0" w:color="auto"/>
            </w:tcBorders>
            <w:shd w:val="clear" w:color="auto" w:fill="B8CCE4" w:themeFill="accent1" w:themeFillTint="66"/>
            <w:vAlign w:val="center"/>
          </w:tcPr>
          <w:p w14:paraId="5DD7F6CF"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21 December 2021, Version 1.0.</w:t>
            </w:r>
          </w:p>
        </w:tc>
      </w:tr>
      <w:tr w:rsidR="005149D4" w:rsidRPr="007C0D91" w14:paraId="19D2E68B" w14:textId="77777777" w:rsidTr="00D5331F">
        <w:tc>
          <w:tcPr>
            <w:tcW w:w="796" w:type="pct"/>
            <w:vMerge/>
            <w:vAlign w:val="center"/>
          </w:tcPr>
          <w:p w14:paraId="2B51203D"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shd w:val="clear" w:color="auto" w:fill="B8CCE4" w:themeFill="accent1" w:themeFillTint="66"/>
          </w:tcPr>
          <w:p w14:paraId="624E94A2"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Comparison of Mobocertinib vs Usual care (GCR) using TAK-788-5008 data. Updated results of the IPTW of mobocertinib vs. SOC (Germany) using data from Study 101 at the 01 November 2021 cutoff</w:t>
            </w:r>
          </w:p>
        </w:tc>
        <w:tc>
          <w:tcPr>
            <w:tcW w:w="1177" w:type="pct"/>
            <w:tcBorders>
              <w:top w:val="single" w:sz="4" w:space="0" w:color="auto"/>
              <w:bottom w:val="single" w:sz="4" w:space="0" w:color="auto"/>
            </w:tcBorders>
            <w:shd w:val="clear" w:color="auto" w:fill="B8CCE4" w:themeFill="accent1" w:themeFillTint="66"/>
            <w:vAlign w:val="center"/>
          </w:tcPr>
          <w:p w14:paraId="7BA8E7D6"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15 February 2022.</w:t>
            </w:r>
          </w:p>
        </w:tc>
      </w:tr>
      <w:tr w:rsidR="005149D4" w:rsidRPr="007C0D91" w14:paraId="22BEA2F1" w14:textId="77777777" w:rsidTr="00D5331F">
        <w:tc>
          <w:tcPr>
            <w:tcW w:w="796" w:type="pct"/>
            <w:vMerge/>
            <w:vAlign w:val="center"/>
          </w:tcPr>
          <w:p w14:paraId="4AE32841"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shd w:val="clear" w:color="auto" w:fill="B8CCE4" w:themeFill="accent1" w:themeFillTint="66"/>
          </w:tcPr>
          <w:p w14:paraId="078C2394"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Statistical Analysis Plan. IPTW of Mobocertinib vs. Standard of Care (SOC) in Advanced NSCLC Patients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EXON 20 Insertions. TAK-788-5010.</w:t>
            </w:r>
          </w:p>
        </w:tc>
        <w:tc>
          <w:tcPr>
            <w:tcW w:w="1177" w:type="pct"/>
            <w:tcBorders>
              <w:top w:val="single" w:sz="4" w:space="0" w:color="auto"/>
              <w:bottom w:val="single" w:sz="4" w:space="0" w:color="auto"/>
            </w:tcBorders>
            <w:shd w:val="clear" w:color="auto" w:fill="B8CCE4" w:themeFill="accent1" w:themeFillTint="66"/>
            <w:vAlign w:val="center"/>
          </w:tcPr>
          <w:p w14:paraId="263D8FB4"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24 August 2021, Version 2.0.</w:t>
            </w:r>
          </w:p>
        </w:tc>
      </w:tr>
      <w:tr w:rsidR="005149D4" w:rsidRPr="007C0D91" w14:paraId="7AC9A311" w14:textId="77777777" w:rsidTr="00D5331F">
        <w:tc>
          <w:tcPr>
            <w:tcW w:w="796" w:type="pct"/>
            <w:vMerge/>
            <w:vAlign w:val="center"/>
          </w:tcPr>
          <w:p w14:paraId="067DB406"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shd w:val="clear" w:color="auto" w:fill="B8CCE4" w:themeFill="accent1" w:themeFillTint="66"/>
          </w:tcPr>
          <w:p w14:paraId="1F6FEDB3"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Study Report. Comparative Effectiveness of Mobocertinib and Standard of Care in Patients with NSCLC with </w:t>
            </w:r>
            <w:r w:rsidRPr="007C0D91">
              <w:rPr>
                <w:rFonts w:ascii="Arial Narrow" w:eastAsiaTheme="majorEastAsia" w:hAnsi="Arial Narrow" w:cstheme="majorBidi"/>
                <w:bCs/>
                <w:i/>
                <w:sz w:val="20"/>
              </w:rPr>
              <w:t>EGFR</w:t>
            </w:r>
            <w:r w:rsidRPr="007C0D91">
              <w:rPr>
                <w:rFonts w:ascii="Arial Narrow" w:eastAsiaTheme="majorEastAsia" w:hAnsi="Arial Narrow" w:cstheme="majorBidi"/>
                <w:bCs/>
                <w:sz w:val="20"/>
              </w:rPr>
              <w:t xml:space="preserve"> Exon 20 Insertion Mutations: An Indirect Comparison.</w:t>
            </w:r>
          </w:p>
        </w:tc>
        <w:tc>
          <w:tcPr>
            <w:tcW w:w="1177" w:type="pct"/>
            <w:tcBorders>
              <w:top w:val="single" w:sz="4" w:space="0" w:color="auto"/>
              <w:bottom w:val="single" w:sz="4" w:space="0" w:color="auto"/>
            </w:tcBorders>
            <w:shd w:val="clear" w:color="auto" w:fill="B8CCE4" w:themeFill="accent1" w:themeFillTint="66"/>
            <w:vAlign w:val="center"/>
          </w:tcPr>
          <w:p w14:paraId="23FEA340"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09 November 2021.</w:t>
            </w:r>
          </w:p>
        </w:tc>
      </w:tr>
      <w:tr w:rsidR="005149D4" w:rsidRPr="007C0D91" w14:paraId="48A843C5" w14:textId="77777777" w:rsidTr="00D5331F">
        <w:tc>
          <w:tcPr>
            <w:tcW w:w="796" w:type="pct"/>
            <w:vMerge/>
            <w:vAlign w:val="center"/>
          </w:tcPr>
          <w:p w14:paraId="2481B4B2"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shd w:val="clear" w:color="auto" w:fill="B8CCE4" w:themeFill="accent1" w:themeFillTint="66"/>
          </w:tcPr>
          <w:p w14:paraId="1EFDCB56"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Comparison of Mobocertinib vs Usual care (Fl) using TAK-788-5002 data.</w:t>
            </w:r>
          </w:p>
          <w:p w14:paraId="096E5E57"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Updated results of the IPTW of mobocertinib vs. SOC (US Flatiron) using data from Study 101. Updated results of the IPTW of mobocertinib vs. SOC (US Flatiron) using data from Study 101 at the 01 November 2021 cutoff.</w:t>
            </w:r>
          </w:p>
        </w:tc>
        <w:tc>
          <w:tcPr>
            <w:tcW w:w="1177" w:type="pct"/>
            <w:tcBorders>
              <w:top w:val="single" w:sz="4" w:space="0" w:color="auto"/>
              <w:bottom w:val="single" w:sz="4" w:space="0" w:color="auto"/>
            </w:tcBorders>
            <w:shd w:val="clear" w:color="auto" w:fill="B8CCE4" w:themeFill="accent1" w:themeFillTint="66"/>
            <w:vAlign w:val="center"/>
          </w:tcPr>
          <w:p w14:paraId="6A25D6A4"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15 February 2022</w:t>
            </w:r>
          </w:p>
        </w:tc>
      </w:tr>
      <w:tr w:rsidR="005149D4" w:rsidRPr="007C0D91" w14:paraId="302EF8B8" w14:textId="77777777" w:rsidTr="008869C7">
        <w:tc>
          <w:tcPr>
            <w:tcW w:w="796" w:type="pct"/>
            <w:vMerge/>
            <w:vAlign w:val="center"/>
          </w:tcPr>
          <w:p w14:paraId="7A3CAF82" w14:textId="77777777" w:rsidR="005149D4" w:rsidRPr="007C0D91" w:rsidRDefault="005149D4" w:rsidP="00767449">
            <w:pPr>
              <w:jc w:val="left"/>
              <w:rPr>
                <w:rFonts w:ascii="Arial Narrow" w:eastAsiaTheme="majorEastAsia" w:hAnsi="Arial Narrow" w:cstheme="majorBidi"/>
                <w:bCs/>
                <w:sz w:val="20"/>
              </w:rPr>
            </w:pPr>
          </w:p>
        </w:tc>
        <w:tc>
          <w:tcPr>
            <w:tcW w:w="3027" w:type="pct"/>
            <w:tcBorders>
              <w:top w:val="single" w:sz="4" w:space="0" w:color="auto"/>
              <w:bottom w:val="single" w:sz="4" w:space="0" w:color="auto"/>
            </w:tcBorders>
          </w:tcPr>
          <w:p w14:paraId="0526115B" w14:textId="77777777" w:rsidR="005149D4" w:rsidRPr="007C0D91" w:rsidRDefault="005149D4" w:rsidP="00767449">
            <w:pPr>
              <w:rPr>
                <w:rFonts w:ascii="Arial Narrow" w:eastAsiaTheme="majorEastAsia" w:hAnsi="Arial Narrow" w:cstheme="majorBidi"/>
                <w:bCs/>
                <w:sz w:val="20"/>
              </w:rPr>
            </w:pPr>
            <w:r w:rsidRPr="007C0D91">
              <w:rPr>
                <w:rFonts w:ascii="Arial Narrow" w:eastAsiaTheme="majorEastAsia" w:hAnsi="Arial Narrow" w:cstheme="majorBidi"/>
                <w:bCs/>
                <w:sz w:val="20"/>
              </w:rPr>
              <w:t>IPTW Mobo Nov2021 vs GCR+Fl CHT. Min Tan, Thibaud Prawitz.</w:t>
            </w:r>
          </w:p>
        </w:tc>
        <w:tc>
          <w:tcPr>
            <w:tcW w:w="1177" w:type="pct"/>
            <w:tcBorders>
              <w:top w:val="single" w:sz="4" w:space="0" w:color="auto"/>
              <w:bottom w:val="single" w:sz="4" w:space="0" w:color="auto"/>
            </w:tcBorders>
            <w:vAlign w:val="center"/>
          </w:tcPr>
          <w:p w14:paraId="20747EBE" w14:textId="77777777" w:rsidR="005149D4" w:rsidRPr="007C0D91" w:rsidRDefault="005149D4" w:rsidP="00767449">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24 January 2023</w:t>
            </w:r>
          </w:p>
        </w:tc>
      </w:tr>
    </w:tbl>
    <w:p w14:paraId="15087F71" w14:textId="71AAE56E"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Source: Table 2, pp11-12, Mobocertinib, public summary document</w:t>
      </w:r>
      <w:r w:rsidR="00183E49" w:rsidRPr="007C0D91">
        <w:rPr>
          <w:rFonts w:ascii="Arial Narrow" w:hAnsi="Arial Narrow"/>
          <w:snapToGrid w:val="0"/>
          <w:sz w:val="18"/>
          <w:szCs w:val="22"/>
        </w:rPr>
        <w:t xml:space="preserve"> (PSD)</w:t>
      </w:r>
      <w:r w:rsidRPr="007C0D91">
        <w:rPr>
          <w:rFonts w:ascii="Arial Narrow" w:hAnsi="Arial Narrow"/>
          <w:snapToGrid w:val="0"/>
          <w:sz w:val="18"/>
          <w:szCs w:val="22"/>
        </w:rPr>
        <w:t>, November 2022 PBAC meeting; mobocertinib resubmission.</w:t>
      </w:r>
    </w:p>
    <w:p w14:paraId="020DC84E" w14:textId="77777777" w:rsidR="005149D4" w:rsidRPr="007C0D91" w:rsidRDefault="005149D4" w:rsidP="00A20326">
      <w:pPr>
        <w:keepLines/>
        <w:contextualSpacing/>
        <w:rPr>
          <w:rFonts w:ascii="Arial Narrow" w:hAnsi="Arial Narrow"/>
          <w:snapToGrid w:val="0"/>
          <w:sz w:val="18"/>
          <w:szCs w:val="22"/>
        </w:rPr>
      </w:pPr>
      <w:r w:rsidRPr="007C0D91">
        <w:rPr>
          <w:rFonts w:ascii="Arial Narrow" w:hAnsi="Arial Narrow"/>
          <w:i/>
          <w:snapToGrid w:val="0"/>
          <w:sz w:val="18"/>
          <w:szCs w:val="22"/>
        </w:rPr>
        <w:t>EGFR</w:t>
      </w:r>
      <w:r w:rsidRPr="007C0D91">
        <w:rPr>
          <w:rFonts w:ascii="Arial Narrow" w:hAnsi="Arial Narrow"/>
          <w:snapToGrid w:val="0"/>
          <w:sz w:val="18"/>
          <w:szCs w:val="22"/>
        </w:rPr>
        <w:t>=epidermal growth factor receptor; Ex20ins=exon 20 insertion; FI=Flatiron; GCR=German Chart Review; IPTW=inverse probability treatment weighting; Mobo=mobocertinib; NSCLC=non-small cell lung cancer; SOC=standard of care comprising all treatments (</w:t>
      </w:r>
      <w:r w:rsidRPr="007C0D91">
        <w:rPr>
          <w:rFonts w:ascii="Arial Narrow" w:hAnsi="Arial Narrow"/>
          <w:i/>
          <w:snapToGrid w:val="0"/>
          <w:sz w:val="18"/>
          <w:szCs w:val="22"/>
        </w:rPr>
        <w:t>EGFR</w:t>
      </w:r>
      <w:r w:rsidRPr="007C0D91">
        <w:rPr>
          <w:rFonts w:ascii="Arial Narrow" w:hAnsi="Arial Narrow"/>
          <w:snapToGrid w:val="0"/>
          <w:sz w:val="18"/>
          <w:szCs w:val="22"/>
        </w:rPr>
        <w:t xml:space="preserve"> TKI, ICI and chemotherapy); TAK-788=mobocertinib.</w:t>
      </w:r>
    </w:p>
    <w:p w14:paraId="105F9CD4" w14:textId="10AEE8B6" w:rsidR="005149D4" w:rsidRPr="007C0D91" w:rsidRDefault="00D5331F" w:rsidP="007516BE">
      <w:pPr>
        <w:keepLines/>
        <w:spacing w:after="120"/>
        <w:rPr>
          <w:rFonts w:ascii="Arial Narrow" w:hAnsi="Arial Narrow"/>
          <w:snapToGrid w:val="0"/>
          <w:sz w:val="18"/>
          <w:szCs w:val="22"/>
        </w:rPr>
      </w:pPr>
      <w:r w:rsidRPr="007C0D91">
        <w:rPr>
          <w:rStyle w:val="CommentReference"/>
          <w:b w:val="0"/>
          <w:bCs/>
          <w:sz w:val="16"/>
          <w:shd w:val="clear" w:color="auto" w:fill="B8CCE4" w:themeFill="accent1" w:themeFillTint="66"/>
        </w:rPr>
        <w:t>Blue shading</w:t>
      </w:r>
      <w:r w:rsidRPr="007C0D91">
        <w:rPr>
          <w:rStyle w:val="CommentReference"/>
          <w:b w:val="0"/>
          <w:bCs/>
          <w:sz w:val="16"/>
        </w:rPr>
        <w:t xml:space="preserve"> </w:t>
      </w:r>
      <w:r w:rsidR="005149D4" w:rsidRPr="007C0D91">
        <w:rPr>
          <w:rFonts w:ascii="Arial Narrow" w:hAnsi="Arial Narrow"/>
          <w:snapToGrid w:val="0"/>
          <w:sz w:val="18"/>
          <w:szCs w:val="22"/>
        </w:rPr>
        <w:t>indicates information previously seen by the PBAC.</w:t>
      </w:r>
    </w:p>
    <w:p w14:paraId="3F103DBE" w14:textId="5DFC5BAD"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lastRenderedPageBreak/>
        <w:t xml:space="preserve">The resubmission presented two unanchored indirect treatment comparisons (ITCs) using </w:t>
      </w:r>
      <w:r w:rsidR="00D9196B" w:rsidRPr="007C0D91">
        <w:rPr>
          <w:rFonts w:asciiTheme="minorHAnsi" w:hAnsiTheme="minorHAnsi"/>
          <w:snapToGrid w:val="0"/>
        </w:rPr>
        <w:t>an</w:t>
      </w:r>
      <w:r w:rsidRPr="007C0D91">
        <w:rPr>
          <w:rFonts w:asciiTheme="minorHAnsi" w:hAnsiTheme="minorHAnsi"/>
          <w:snapToGrid w:val="0"/>
        </w:rPr>
        <w:t xml:space="preserve"> inverse probability treatment weighting (IPTW) approach:</w:t>
      </w:r>
    </w:p>
    <w:p w14:paraId="6D1D7BDC" w14:textId="7D7D013C" w:rsidR="005149D4" w:rsidRPr="007516BE" w:rsidRDefault="005149D4" w:rsidP="007516BE">
      <w:pPr>
        <w:pStyle w:val="ListParagraph"/>
      </w:pPr>
      <w:r w:rsidRPr="007516BE">
        <w:t xml:space="preserve">Mobocertinib </w:t>
      </w:r>
      <w:r w:rsidR="00D44BD9" w:rsidRPr="007516BE">
        <w:t xml:space="preserve">pooled prior platinum </w:t>
      </w:r>
      <w:r w:rsidR="00193607" w:rsidRPr="007516BE">
        <w:t>(</w:t>
      </w:r>
      <w:r w:rsidR="00D44BD9" w:rsidRPr="007516BE">
        <w:t>PPP</w:t>
      </w:r>
      <w:r w:rsidR="00193607" w:rsidRPr="007516BE">
        <w:t>)</w:t>
      </w:r>
      <w:r w:rsidRPr="007516BE">
        <w:t xml:space="preserve"> cohort from Study 101 (N=114) versus the pooled SOC</w:t>
      </w:r>
      <w:r w:rsidR="00D9196B" w:rsidRPr="007516BE">
        <w:t xml:space="preserve"> (comprising EGFR TKI, ICI and chemotherapy)</w:t>
      </w:r>
      <w:r w:rsidRPr="007516BE">
        <w:t xml:space="preserve"> cohort from Studies 5002 and 5008 (N=93); and </w:t>
      </w:r>
    </w:p>
    <w:p w14:paraId="014FF68C" w14:textId="3BA5BDD7" w:rsidR="005149D4" w:rsidRPr="007516BE" w:rsidRDefault="005149D4" w:rsidP="007516BE">
      <w:pPr>
        <w:pStyle w:val="ListParagraph"/>
      </w:pPr>
      <w:r w:rsidRPr="007516BE">
        <w:t>Mobocertinib PPP cohort from Study 101 (N=114) versus the pooled chemotherapy cohort from Study 5002 and Study 5008 (N=23).</w:t>
      </w:r>
    </w:p>
    <w:p w14:paraId="73B20EA8" w14:textId="202DDBBE" w:rsidR="005149D4" w:rsidRPr="007C0D91" w:rsidRDefault="005149D4" w:rsidP="005149D4">
      <w:pPr>
        <w:numPr>
          <w:ilvl w:val="1"/>
          <w:numId w:val="1"/>
        </w:numPr>
        <w:spacing w:after="120"/>
        <w:rPr>
          <w:rFonts w:ascii="Arial Narrow" w:eastAsiaTheme="majorEastAsia" w:hAnsi="Arial Narrow" w:cstheme="majorBidi"/>
          <w:b/>
          <w:iCs/>
          <w:snapToGrid w:val="0"/>
          <w:sz w:val="20"/>
        </w:rPr>
      </w:pPr>
      <w:r w:rsidRPr="007C0D91">
        <w:rPr>
          <w:rFonts w:asciiTheme="minorHAnsi" w:hAnsiTheme="minorHAnsi"/>
          <w:snapToGrid w:val="0"/>
        </w:rPr>
        <w:t xml:space="preserve">The original submission presented ITCs of mobocertinib with SOC in Studies 5002 and Study 5008 separately. </w:t>
      </w:r>
      <w:r w:rsidR="004977E8" w:rsidRPr="007C0D91">
        <w:rPr>
          <w:rFonts w:asciiTheme="minorHAnsi" w:hAnsiTheme="minorHAnsi"/>
          <w:snapToGrid w:val="0"/>
        </w:rPr>
        <w:t>In November 2022, t</w:t>
      </w:r>
      <w:r w:rsidRPr="007C0D91">
        <w:rPr>
          <w:rFonts w:asciiTheme="minorHAnsi" w:hAnsiTheme="minorHAnsi"/>
          <w:iCs/>
          <w:snapToGrid w:val="0"/>
        </w:rPr>
        <w:t xml:space="preserve">he ESC considered that comparing the PPP cohort of Study 101 with pooled results from the comparator studies 5002 and 5008 may be more reasonable than a comparison with either study alone as presented in the original submission (para 6.22, mobocertinib, PSD, November 2022 PBAC meeting). </w:t>
      </w:r>
      <w:r w:rsidR="004977E8" w:rsidRPr="007C0D91">
        <w:rPr>
          <w:rFonts w:asciiTheme="minorHAnsi" w:hAnsiTheme="minorHAnsi"/>
          <w:iCs/>
          <w:snapToGrid w:val="0"/>
        </w:rPr>
        <w:t>At that time, t</w:t>
      </w:r>
      <w:r w:rsidRPr="007C0D91">
        <w:rPr>
          <w:rFonts w:asciiTheme="minorHAnsi" w:hAnsiTheme="minorHAnsi"/>
          <w:iCs/>
          <w:snapToGrid w:val="0"/>
        </w:rPr>
        <w:t xml:space="preserve">he PBAC considered that the resubmission should include a clinical analysis that measures an incremental benefit for mobocertinib compared with chemotherapy-based treatments (taxanes) (para 7.11, mobocertinib, PSD, November 2022 PBAC meeting). The resubmission presented an ITC of the mobocertinib PPP cohort from Study 101 versus the pooled chemotherapy cohort from Studies 5002 and 5008, as </w:t>
      </w:r>
      <w:r w:rsidR="00D9196B" w:rsidRPr="007C0D91">
        <w:rPr>
          <w:rFonts w:asciiTheme="minorHAnsi" w:hAnsiTheme="minorHAnsi"/>
          <w:iCs/>
          <w:snapToGrid w:val="0"/>
        </w:rPr>
        <w:t>requested</w:t>
      </w:r>
      <w:r w:rsidRPr="007C0D91">
        <w:rPr>
          <w:rFonts w:asciiTheme="minorHAnsi" w:hAnsiTheme="minorHAnsi"/>
          <w:iCs/>
          <w:snapToGrid w:val="0"/>
        </w:rPr>
        <w:t xml:space="preserve"> by the PBAC. </w:t>
      </w:r>
    </w:p>
    <w:p w14:paraId="10E92CE9" w14:textId="2C473676" w:rsidR="005149D4" w:rsidRPr="007C0D91" w:rsidRDefault="005149D4" w:rsidP="005149D4">
      <w:pPr>
        <w:numPr>
          <w:ilvl w:val="1"/>
          <w:numId w:val="1"/>
        </w:numPr>
        <w:spacing w:after="120"/>
        <w:rPr>
          <w:rFonts w:ascii="Arial Narrow" w:eastAsiaTheme="majorEastAsia" w:hAnsi="Arial Narrow" w:cstheme="majorBidi"/>
          <w:b/>
          <w:snapToGrid w:val="0"/>
          <w:sz w:val="20"/>
        </w:rPr>
      </w:pPr>
      <w:r w:rsidRPr="007C0D91">
        <w:rPr>
          <w:rFonts w:asciiTheme="minorHAnsi" w:hAnsiTheme="minorHAnsi"/>
          <w:snapToGrid w:val="0"/>
        </w:rPr>
        <w:t xml:space="preserve">Key features of the study cohorts included in the ITCs are </w:t>
      </w:r>
      <w:r w:rsidRPr="007C0D91">
        <w:t xml:space="preserve">summarised in </w:t>
      </w:r>
      <w:r w:rsidRPr="007C0D91">
        <w:fldChar w:fldCharType="begin"/>
      </w:r>
      <w:r w:rsidRPr="007C0D91">
        <w:instrText xml:space="preserve"> REF _Ref133940303 \h  \* MERGEFORMAT </w:instrText>
      </w:r>
      <w:r w:rsidRPr="007C0D91">
        <w:fldChar w:fldCharType="separate"/>
      </w:r>
      <w:r w:rsidR="00117491" w:rsidRPr="00117491">
        <w:rPr>
          <w:rFonts w:eastAsiaTheme="majorEastAsia"/>
        </w:rPr>
        <w:t>Table 4</w:t>
      </w:r>
      <w:r w:rsidRPr="007C0D91">
        <w:fldChar w:fldCharType="end"/>
      </w:r>
      <w:r w:rsidRPr="007C0D91">
        <w:t>.</w:t>
      </w:r>
      <w:r w:rsidRPr="007C0D91">
        <w:rPr>
          <w:rFonts w:asciiTheme="minorHAnsi" w:hAnsiTheme="minorHAnsi"/>
          <w:snapToGrid w:val="0"/>
        </w:rPr>
        <w:t xml:space="preserve"> </w:t>
      </w:r>
    </w:p>
    <w:p w14:paraId="5C6C989F" w14:textId="289AF674" w:rsidR="005149D4" w:rsidRPr="007C0D91" w:rsidRDefault="005149D4" w:rsidP="00646849">
      <w:pPr>
        <w:keepNext/>
        <w:rPr>
          <w:rFonts w:ascii="Arial Narrow" w:eastAsiaTheme="majorEastAsia" w:hAnsi="Arial Narrow" w:cstheme="majorBidi"/>
          <w:b/>
          <w:snapToGrid w:val="0"/>
          <w:sz w:val="20"/>
        </w:rPr>
      </w:pPr>
      <w:bookmarkStart w:id="40" w:name="_Ref133940303"/>
      <w:r w:rsidRPr="007C0D91">
        <w:rPr>
          <w:rFonts w:ascii="Arial Narrow" w:eastAsiaTheme="majorEastAsia" w:hAnsi="Arial Narrow" w:cstheme="majorBidi"/>
          <w:b/>
          <w:snapToGrid w:val="0"/>
          <w:sz w:val="20"/>
        </w:rPr>
        <w:lastRenderedPageBreak/>
        <w:t xml:space="preserve">Table </w:t>
      </w:r>
      <w:r w:rsidRPr="007C0D91">
        <w:rPr>
          <w:rFonts w:ascii="Arial Narrow" w:eastAsiaTheme="majorEastAsia" w:hAnsi="Arial Narrow" w:cstheme="majorBidi"/>
          <w:b/>
          <w:snapToGrid w:val="0"/>
          <w:sz w:val="20"/>
        </w:rPr>
        <w:fldChar w:fldCharType="begin"/>
      </w:r>
      <w:r w:rsidRPr="007C0D91">
        <w:rPr>
          <w:rFonts w:ascii="Arial Narrow" w:eastAsiaTheme="majorEastAsia" w:hAnsi="Arial Narrow" w:cstheme="majorBidi"/>
          <w:b/>
          <w:snapToGrid w:val="0"/>
          <w:sz w:val="20"/>
        </w:rPr>
        <w:instrText xml:space="preserve"> SEQ Table \* ARABIC </w:instrText>
      </w:r>
      <w:r w:rsidRPr="007C0D91">
        <w:rPr>
          <w:rFonts w:ascii="Arial Narrow" w:eastAsiaTheme="majorEastAsia" w:hAnsi="Arial Narrow" w:cstheme="majorBidi"/>
          <w:b/>
          <w:snapToGrid w:val="0"/>
          <w:sz w:val="20"/>
        </w:rPr>
        <w:fldChar w:fldCharType="separate"/>
      </w:r>
      <w:r w:rsidR="00117491">
        <w:rPr>
          <w:rFonts w:ascii="Arial Narrow" w:eastAsiaTheme="majorEastAsia" w:hAnsi="Arial Narrow" w:cstheme="majorBidi"/>
          <w:b/>
          <w:noProof/>
          <w:snapToGrid w:val="0"/>
          <w:sz w:val="20"/>
        </w:rPr>
        <w:t>4</w:t>
      </w:r>
      <w:r w:rsidRPr="007C0D91">
        <w:rPr>
          <w:rFonts w:ascii="Arial Narrow" w:eastAsiaTheme="majorEastAsia" w:hAnsi="Arial Narrow" w:cstheme="majorBidi"/>
          <w:b/>
          <w:snapToGrid w:val="0"/>
          <w:sz w:val="20"/>
        </w:rPr>
        <w:fldChar w:fldCharType="end"/>
      </w:r>
      <w:bookmarkEnd w:id="40"/>
      <w:r w:rsidRPr="007C0D91">
        <w:rPr>
          <w:rFonts w:ascii="Arial Narrow" w:eastAsiaTheme="majorEastAsia" w:hAnsi="Arial Narrow" w:cstheme="majorBidi"/>
          <w:b/>
          <w:snapToGrid w:val="0"/>
          <w:sz w:val="2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1439"/>
        <w:gridCol w:w="1390"/>
        <w:gridCol w:w="867"/>
        <w:gridCol w:w="2276"/>
        <w:gridCol w:w="970"/>
        <w:gridCol w:w="940"/>
      </w:tblGrid>
      <w:tr w:rsidR="005149D4" w:rsidRPr="007C0D91" w14:paraId="7B73B9BE" w14:textId="77777777" w:rsidTr="007516BE">
        <w:tc>
          <w:tcPr>
            <w:tcW w:w="629" w:type="pct"/>
            <w:tcBorders>
              <w:top w:val="single" w:sz="4" w:space="0" w:color="auto"/>
              <w:left w:val="single" w:sz="4" w:space="0" w:color="auto"/>
              <w:bottom w:val="single" w:sz="4" w:space="0" w:color="auto"/>
              <w:right w:val="single" w:sz="4" w:space="0" w:color="auto"/>
            </w:tcBorders>
            <w:hideMark/>
          </w:tcPr>
          <w:p w14:paraId="4D27EB85"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Study</w:t>
            </w:r>
          </w:p>
        </w:tc>
        <w:tc>
          <w:tcPr>
            <w:tcW w:w="798" w:type="pct"/>
            <w:tcBorders>
              <w:top w:val="single" w:sz="4" w:space="0" w:color="auto"/>
              <w:left w:val="single" w:sz="4" w:space="0" w:color="auto"/>
              <w:bottom w:val="single" w:sz="4" w:space="0" w:color="auto"/>
              <w:right w:val="single" w:sz="4" w:space="0" w:color="auto"/>
            </w:tcBorders>
            <w:hideMark/>
          </w:tcPr>
          <w:p w14:paraId="0F832C67"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N</w:t>
            </w:r>
          </w:p>
        </w:tc>
        <w:tc>
          <w:tcPr>
            <w:tcW w:w="771" w:type="pct"/>
            <w:tcBorders>
              <w:top w:val="single" w:sz="4" w:space="0" w:color="auto"/>
              <w:left w:val="single" w:sz="4" w:space="0" w:color="auto"/>
              <w:bottom w:val="single" w:sz="4" w:space="0" w:color="auto"/>
              <w:right w:val="single" w:sz="4" w:space="0" w:color="auto"/>
            </w:tcBorders>
            <w:hideMark/>
          </w:tcPr>
          <w:p w14:paraId="364B3227" w14:textId="77777777" w:rsidR="005149D4" w:rsidRPr="007C0D91" w:rsidRDefault="005149D4" w:rsidP="008869C7">
            <w:pPr>
              <w:keepNext/>
              <w:keepLines/>
              <w:ind w:right="-57"/>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Design/Duration of follow up</w:t>
            </w:r>
          </w:p>
        </w:tc>
        <w:tc>
          <w:tcPr>
            <w:tcW w:w="481" w:type="pct"/>
            <w:tcBorders>
              <w:top w:val="single" w:sz="4" w:space="0" w:color="auto"/>
              <w:left w:val="single" w:sz="4" w:space="0" w:color="auto"/>
              <w:bottom w:val="single" w:sz="4" w:space="0" w:color="auto"/>
              <w:right w:val="single" w:sz="4" w:space="0" w:color="auto"/>
            </w:tcBorders>
          </w:tcPr>
          <w:p w14:paraId="7DCFC7A0"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Risk of bias</w:t>
            </w:r>
          </w:p>
        </w:tc>
        <w:tc>
          <w:tcPr>
            <w:tcW w:w="1262" w:type="pct"/>
            <w:tcBorders>
              <w:top w:val="single" w:sz="4" w:space="0" w:color="auto"/>
              <w:left w:val="single" w:sz="4" w:space="0" w:color="auto"/>
              <w:bottom w:val="single" w:sz="4" w:space="0" w:color="auto"/>
              <w:right w:val="single" w:sz="4" w:space="0" w:color="auto"/>
            </w:tcBorders>
            <w:hideMark/>
          </w:tcPr>
          <w:p w14:paraId="272A2D94"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Patient population</w:t>
            </w:r>
          </w:p>
        </w:tc>
        <w:tc>
          <w:tcPr>
            <w:tcW w:w="538" w:type="pct"/>
            <w:tcBorders>
              <w:top w:val="single" w:sz="4" w:space="0" w:color="auto"/>
              <w:left w:val="single" w:sz="4" w:space="0" w:color="auto"/>
              <w:bottom w:val="single" w:sz="4" w:space="0" w:color="auto"/>
              <w:right w:val="single" w:sz="4" w:space="0" w:color="auto"/>
            </w:tcBorders>
            <w:hideMark/>
          </w:tcPr>
          <w:p w14:paraId="18234256"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Outcomes</w:t>
            </w:r>
          </w:p>
        </w:tc>
        <w:tc>
          <w:tcPr>
            <w:tcW w:w="521" w:type="pct"/>
            <w:tcBorders>
              <w:top w:val="single" w:sz="4" w:space="0" w:color="auto"/>
              <w:left w:val="single" w:sz="4" w:space="0" w:color="auto"/>
              <w:bottom w:val="single" w:sz="4" w:space="0" w:color="auto"/>
              <w:right w:val="single" w:sz="4" w:space="0" w:color="auto"/>
            </w:tcBorders>
            <w:hideMark/>
          </w:tcPr>
          <w:p w14:paraId="1BB4A03B"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Used in modelled evaluation</w:t>
            </w:r>
          </w:p>
        </w:tc>
      </w:tr>
      <w:tr w:rsidR="005149D4" w:rsidRPr="007C0D91" w14:paraId="0420A92C" w14:textId="77777777" w:rsidTr="008869C7">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1A9A4B6"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Mobocertinib</w:t>
            </w:r>
          </w:p>
        </w:tc>
      </w:tr>
      <w:tr w:rsidR="005149D4" w:rsidRPr="007C0D91" w14:paraId="5A1CE5D8" w14:textId="77777777" w:rsidTr="007516BE">
        <w:tc>
          <w:tcPr>
            <w:tcW w:w="629" w:type="pct"/>
            <w:tcBorders>
              <w:top w:val="single" w:sz="4" w:space="0" w:color="auto"/>
              <w:bottom w:val="single" w:sz="4" w:space="0" w:color="auto"/>
            </w:tcBorders>
            <w:shd w:val="clear" w:color="auto" w:fill="B8CCE4" w:themeFill="accent1" w:themeFillTint="66"/>
            <w:vAlign w:val="center"/>
            <w:hideMark/>
          </w:tcPr>
          <w:p w14:paraId="7406A24C" w14:textId="77777777" w:rsidR="005149D4" w:rsidRPr="007C0D91" w:rsidRDefault="005149D4" w:rsidP="008869C7">
            <w:pPr>
              <w:keepNext/>
              <w:keepLines/>
              <w:widowControl w:val="0"/>
              <w:spacing w:line="256" w:lineRule="auto"/>
              <w:jc w:val="left"/>
              <w:rPr>
                <w:rFonts w:ascii="Arial Narrow" w:hAnsi="Arial Narrow"/>
                <w:sz w:val="20"/>
              </w:rPr>
            </w:pPr>
            <w:r w:rsidRPr="007C0D91">
              <w:rPr>
                <w:rFonts w:ascii="Arial Narrow" w:hAnsi="Arial Narrow"/>
                <w:sz w:val="20"/>
              </w:rPr>
              <w:t>Study 101</w:t>
            </w:r>
          </w:p>
          <w:p w14:paraId="3D8D28FB" w14:textId="77777777" w:rsidR="005149D4" w:rsidRPr="007C0D91" w:rsidRDefault="005149D4" w:rsidP="008869C7">
            <w:pPr>
              <w:keepNext/>
              <w:keepLines/>
              <w:jc w:val="left"/>
              <w:rPr>
                <w:rFonts w:ascii="Arial Narrow" w:eastAsiaTheme="majorEastAsia" w:hAnsi="Arial Narrow" w:cstheme="majorBidi"/>
                <w:bCs/>
                <w:sz w:val="20"/>
              </w:rPr>
            </w:pPr>
            <w:r w:rsidRPr="007C0D91">
              <w:rPr>
                <w:rFonts w:ascii="Arial Narrow" w:hAnsi="Arial Narrow"/>
                <w:bCs/>
                <w:sz w:val="20"/>
              </w:rPr>
              <w:t>(DCO November 2021)</w:t>
            </w:r>
          </w:p>
        </w:tc>
        <w:tc>
          <w:tcPr>
            <w:tcW w:w="798" w:type="pct"/>
            <w:tcBorders>
              <w:top w:val="single" w:sz="4" w:space="0" w:color="auto"/>
              <w:bottom w:val="single" w:sz="4" w:space="0" w:color="auto"/>
            </w:tcBorders>
            <w:shd w:val="clear" w:color="auto" w:fill="B8CCE4" w:themeFill="accent1" w:themeFillTint="66"/>
            <w:vAlign w:val="center"/>
            <w:hideMark/>
          </w:tcPr>
          <w:p w14:paraId="6B6A0A42" w14:textId="77777777" w:rsidR="005149D4" w:rsidRPr="007C0D91" w:rsidRDefault="005149D4" w:rsidP="008869C7">
            <w:pPr>
              <w:keepNext/>
              <w:keepLines/>
              <w:jc w:val="center"/>
              <w:rPr>
                <w:rFonts w:ascii="Arial Narrow" w:eastAsiaTheme="majorEastAsia" w:hAnsi="Arial Narrow" w:cstheme="majorBidi"/>
                <w:bCs/>
                <w:sz w:val="20"/>
              </w:rPr>
            </w:pPr>
            <w:r w:rsidRPr="007C0D91">
              <w:rPr>
                <w:rFonts w:ascii="Arial Narrow" w:hAnsi="Arial Narrow"/>
                <w:bCs/>
                <w:sz w:val="20"/>
              </w:rPr>
              <w:t>PPP cohort: 114</w:t>
            </w:r>
            <w:r w:rsidRPr="007C0D91">
              <w:rPr>
                <w:rFonts w:ascii="Arial Narrow" w:hAnsi="Arial Narrow"/>
                <w:bCs/>
                <w:sz w:val="20"/>
                <w:vertAlign w:val="superscript"/>
              </w:rPr>
              <w:t>a</w:t>
            </w:r>
          </w:p>
        </w:tc>
        <w:tc>
          <w:tcPr>
            <w:tcW w:w="771" w:type="pct"/>
            <w:tcBorders>
              <w:top w:val="single" w:sz="4" w:space="0" w:color="auto"/>
              <w:bottom w:val="single" w:sz="4" w:space="0" w:color="auto"/>
            </w:tcBorders>
            <w:shd w:val="clear" w:color="auto" w:fill="B8CCE4" w:themeFill="accent1" w:themeFillTint="66"/>
            <w:vAlign w:val="center"/>
            <w:hideMark/>
          </w:tcPr>
          <w:p w14:paraId="5E188773" w14:textId="77777777" w:rsidR="005149D4" w:rsidRPr="007C0D91" w:rsidRDefault="005149D4" w:rsidP="008869C7">
            <w:pPr>
              <w:keepNext/>
              <w:keepLines/>
              <w:widowControl w:val="0"/>
              <w:spacing w:line="256" w:lineRule="auto"/>
              <w:jc w:val="left"/>
              <w:rPr>
                <w:rFonts w:ascii="Arial Narrow" w:hAnsi="Arial Narrow"/>
                <w:sz w:val="20"/>
              </w:rPr>
            </w:pPr>
            <w:proofErr w:type="gramStart"/>
            <w:r w:rsidRPr="007C0D91">
              <w:rPr>
                <w:rFonts w:ascii="Arial Narrow" w:hAnsi="Arial Narrow"/>
                <w:sz w:val="20"/>
              </w:rPr>
              <w:t>Single-arm</w:t>
            </w:r>
            <w:proofErr w:type="gramEnd"/>
            <w:r w:rsidRPr="007C0D91">
              <w:rPr>
                <w:rFonts w:ascii="Arial Narrow" w:hAnsi="Arial Narrow"/>
                <w:sz w:val="20"/>
              </w:rPr>
              <w:t>,</w:t>
            </w:r>
          </w:p>
          <w:p w14:paraId="6E11422F" w14:textId="77777777" w:rsidR="005149D4" w:rsidRPr="007C0D91" w:rsidRDefault="005149D4" w:rsidP="008869C7">
            <w:pPr>
              <w:keepNext/>
              <w:keepLines/>
              <w:jc w:val="left"/>
              <w:rPr>
                <w:rFonts w:ascii="Arial Narrow" w:eastAsiaTheme="majorEastAsia" w:hAnsi="Arial Narrow" w:cstheme="majorBidi"/>
                <w:bCs/>
                <w:sz w:val="20"/>
              </w:rPr>
            </w:pPr>
            <w:r w:rsidRPr="007C0D91">
              <w:rPr>
                <w:rFonts w:ascii="Arial Narrow" w:hAnsi="Arial Narrow"/>
                <w:bCs/>
                <w:sz w:val="20"/>
                <w:szCs w:val="20"/>
              </w:rPr>
              <w:t>25.8 months</w:t>
            </w:r>
            <w:r w:rsidRPr="007C0D91">
              <w:rPr>
                <w:rFonts w:ascii="Arial Narrow" w:hAnsi="Arial Narrow"/>
                <w:bCs/>
                <w:sz w:val="20"/>
                <w:szCs w:val="20"/>
                <w:vertAlign w:val="superscript"/>
              </w:rPr>
              <w:t>a</w:t>
            </w:r>
          </w:p>
        </w:tc>
        <w:tc>
          <w:tcPr>
            <w:tcW w:w="481" w:type="pct"/>
            <w:tcBorders>
              <w:top w:val="single" w:sz="4" w:space="0" w:color="auto"/>
              <w:bottom w:val="single" w:sz="4" w:space="0" w:color="auto"/>
            </w:tcBorders>
            <w:shd w:val="clear" w:color="auto" w:fill="B8CCE4" w:themeFill="accent1" w:themeFillTint="66"/>
            <w:vAlign w:val="center"/>
          </w:tcPr>
          <w:p w14:paraId="2724E522" w14:textId="77777777" w:rsidR="005149D4" w:rsidRPr="007C0D91" w:rsidRDefault="005149D4" w:rsidP="008869C7">
            <w:pPr>
              <w:keepNext/>
              <w:keepLines/>
              <w:jc w:val="left"/>
              <w:rPr>
                <w:rFonts w:ascii="Arial Narrow" w:hAnsi="Arial Narrow"/>
                <w:bCs/>
                <w:sz w:val="20"/>
              </w:rPr>
            </w:pPr>
            <w:r w:rsidRPr="007C0D91">
              <w:rPr>
                <w:rFonts w:ascii="Arial Narrow" w:hAnsi="Arial Narrow"/>
                <w:bCs/>
                <w:sz w:val="20"/>
              </w:rPr>
              <w:t>High</w:t>
            </w:r>
          </w:p>
        </w:tc>
        <w:tc>
          <w:tcPr>
            <w:tcW w:w="1262" w:type="pct"/>
            <w:tcBorders>
              <w:top w:val="single" w:sz="4" w:space="0" w:color="auto"/>
              <w:bottom w:val="single" w:sz="4" w:space="0" w:color="auto"/>
            </w:tcBorders>
            <w:shd w:val="clear" w:color="auto" w:fill="B8CCE4" w:themeFill="accent1" w:themeFillTint="66"/>
            <w:vAlign w:val="center"/>
            <w:hideMark/>
          </w:tcPr>
          <w:p w14:paraId="4D771E18" w14:textId="77777777" w:rsidR="005149D4" w:rsidRPr="007C0D91" w:rsidRDefault="005149D4" w:rsidP="008869C7">
            <w:pPr>
              <w:keepNext/>
              <w:keepLines/>
              <w:jc w:val="left"/>
              <w:rPr>
                <w:rFonts w:ascii="Arial Narrow" w:eastAsiaTheme="majorEastAsia" w:hAnsi="Arial Narrow" w:cstheme="majorBidi"/>
                <w:bCs/>
                <w:sz w:val="20"/>
              </w:rPr>
            </w:pPr>
            <w:r w:rsidRPr="007C0D91">
              <w:rPr>
                <w:rFonts w:ascii="Arial Narrow" w:hAnsi="Arial Narrow"/>
                <w:bCs/>
                <w:iCs/>
                <w:sz w:val="20"/>
              </w:rPr>
              <w:t xml:space="preserve">Patients with </w:t>
            </w:r>
            <w:r w:rsidRPr="007C0D91">
              <w:rPr>
                <w:rFonts w:ascii="Arial Narrow" w:hAnsi="Arial Narrow"/>
                <w:bCs/>
                <w:i/>
                <w:iCs/>
                <w:sz w:val="20"/>
              </w:rPr>
              <w:t>EGFR</w:t>
            </w:r>
            <w:r w:rsidRPr="007C0D91">
              <w:rPr>
                <w:rFonts w:ascii="Arial Narrow" w:hAnsi="Arial Narrow"/>
                <w:bCs/>
                <w:iCs/>
                <w:sz w:val="20"/>
              </w:rPr>
              <w:t xml:space="preserve"> ex20ins variant advanced NSCLC, ≥ 1 prior treatment lines</w:t>
            </w:r>
          </w:p>
        </w:tc>
        <w:tc>
          <w:tcPr>
            <w:tcW w:w="538" w:type="pct"/>
            <w:tcBorders>
              <w:top w:val="single" w:sz="4" w:space="0" w:color="auto"/>
              <w:bottom w:val="single" w:sz="4" w:space="0" w:color="auto"/>
            </w:tcBorders>
            <w:shd w:val="clear" w:color="auto" w:fill="B8CCE4" w:themeFill="accent1" w:themeFillTint="66"/>
            <w:vAlign w:val="center"/>
            <w:hideMark/>
          </w:tcPr>
          <w:p w14:paraId="6DCA6944" w14:textId="77777777" w:rsidR="005149D4" w:rsidRPr="007C0D91" w:rsidRDefault="005149D4" w:rsidP="008869C7">
            <w:pPr>
              <w:keepNext/>
              <w:keepLines/>
              <w:jc w:val="left"/>
              <w:rPr>
                <w:rFonts w:ascii="Arial Narrow" w:eastAsiaTheme="majorEastAsia" w:hAnsi="Arial Narrow" w:cstheme="majorBidi"/>
                <w:bCs/>
                <w:sz w:val="20"/>
              </w:rPr>
            </w:pPr>
            <w:r w:rsidRPr="007C0D91">
              <w:rPr>
                <w:rFonts w:ascii="Arial Narrow" w:hAnsi="Arial Narrow"/>
                <w:bCs/>
                <w:sz w:val="20"/>
              </w:rPr>
              <w:t>PFS, OS, cORR,</w:t>
            </w:r>
          </w:p>
        </w:tc>
        <w:tc>
          <w:tcPr>
            <w:tcW w:w="521" w:type="pct"/>
            <w:tcBorders>
              <w:top w:val="single" w:sz="4" w:space="0" w:color="auto"/>
              <w:bottom w:val="single" w:sz="4" w:space="0" w:color="auto"/>
            </w:tcBorders>
            <w:shd w:val="clear" w:color="auto" w:fill="B8CCE4" w:themeFill="accent1" w:themeFillTint="66"/>
            <w:vAlign w:val="center"/>
            <w:hideMark/>
          </w:tcPr>
          <w:p w14:paraId="09353AC9" w14:textId="77777777" w:rsidR="005149D4" w:rsidRPr="007C0D91" w:rsidRDefault="005149D4" w:rsidP="008869C7">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w:t>
            </w:r>
          </w:p>
        </w:tc>
      </w:tr>
      <w:tr w:rsidR="005149D4" w:rsidRPr="007C0D91" w14:paraId="21EA299F" w14:textId="77777777" w:rsidTr="00BF7F34">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AA6B7C"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SOC and chemotherapy</w:t>
            </w:r>
          </w:p>
        </w:tc>
      </w:tr>
      <w:tr w:rsidR="005149D4" w:rsidRPr="007C0D91" w14:paraId="57A8B1AB" w14:textId="77777777" w:rsidTr="007516BE">
        <w:tc>
          <w:tcPr>
            <w:tcW w:w="629" w:type="pct"/>
            <w:shd w:val="clear" w:color="auto" w:fill="B8CCE4" w:themeFill="accent1" w:themeFillTint="66"/>
            <w:vAlign w:val="center"/>
            <w:hideMark/>
          </w:tcPr>
          <w:p w14:paraId="2F4B8DBB" w14:textId="77777777" w:rsidR="005149D4" w:rsidRPr="007C0D91" w:rsidRDefault="005149D4" w:rsidP="008869C7">
            <w:pPr>
              <w:keepNext/>
              <w:keepLines/>
              <w:widowControl w:val="0"/>
              <w:spacing w:line="256" w:lineRule="auto"/>
              <w:jc w:val="left"/>
              <w:rPr>
                <w:rFonts w:ascii="Arial Narrow" w:hAnsi="Arial Narrow"/>
                <w:sz w:val="20"/>
                <w:vertAlign w:val="superscript"/>
              </w:rPr>
            </w:pPr>
            <w:r w:rsidRPr="007C0D91">
              <w:rPr>
                <w:rFonts w:ascii="Arial Narrow" w:hAnsi="Arial Narrow"/>
                <w:sz w:val="20"/>
              </w:rPr>
              <w:t>Study 5008</w:t>
            </w:r>
            <w:r w:rsidRPr="007C0D91">
              <w:rPr>
                <w:rFonts w:ascii="Arial Narrow" w:eastAsiaTheme="majorEastAsia" w:hAnsi="Arial Narrow"/>
                <w:bCs/>
                <w:sz w:val="20"/>
                <w:vertAlign w:val="superscript"/>
              </w:rPr>
              <w:t>b</w:t>
            </w:r>
          </w:p>
        </w:tc>
        <w:tc>
          <w:tcPr>
            <w:tcW w:w="798" w:type="pct"/>
            <w:shd w:val="clear" w:color="auto" w:fill="B8CCE4" w:themeFill="accent1" w:themeFillTint="66"/>
            <w:vAlign w:val="center"/>
            <w:hideMark/>
          </w:tcPr>
          <w:p w14:paraId="00891807" w14:textId="77777777" w:rsidR="005149D4" w:rsidRPr="007C0D91" w:rsidRDefault="005149D4" w:rsidP="008869C7">
            <w:pPr>
              <w:keepNext/>
              <w:keepLines/>
              <w:jc w:val="center"/>
              <w:rPr>
                <w:rFonts w:ascii="Arial Narrow" w:eastAsiaTheme="majorEastAsia" w:hAnsi="Arial Narrow"/>
                <w:bCs/>
                <w:sz w:val="20"/>
                <w:vertAlign w:val="superscript"/>
              </w:rPr>
            </w:pPr>
            <w:r w:rsidRPr="007C0D91">
              <w:rPr>
                <w:rFonts w:ascii="Arial Narrow" w:hAnsi="Arial Narrow"/>
                <w:bCs/>
                <w:sz w:val="20"/>
              </w:rPr>
              <w:t>SOC: 43</w:t>
            </w:r>
          </w:p>
          <w:p w14:paraId="266B76E6" w14:textId="77777777" w:rsidR="005149D4" w:rsidRPr="007C0D91" w:rsidRDefault="005149D4" w:rsidP="008869C7">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Chemotherapy: 11</w:t>
            </w:r>
          </w:p>
        </w:tc>
        <w:tc>
          <w:tcPr>
            <w:tcW w:w="771" w:type="pct"/>
            <w:shd w:val="clear" w:color="auto" w:fill="B8CCE4" w:themeFill="accent1" w:themeFillTint="66"/>
            <w:vAlign w:val="center"/>
            <w:hideMark/>
          </w:tcPr>
          <w:p w14:paraId="03BD0B6F" w14:textId="77777777" w:rsidR="005149D4" w:rsidRPr="007C0D91" w:rsidRDefault="005149D4" w:rsidP="008869C7">
            <w:pPr>
              <w:keepNext/>
              <w:keepLines/>
              <w:widowControl w:val="0"/>
              <w:spacing w:line="256" w:lineRule="auto"/>
              <w:jc w:val="left"/>
              <w:rPr>
                <w:rFonts w:ascii="Arial Narrow" w:hAnsi="Arial Narrow"/>
                <w:sz w:val="20"/>
              </w:rPr>
            </w:pPr>
            <w:r w:rsidRPr="007C0D91">
              <w:rPr>
                <w:rFonts w:ascii="Arial Narrow" w:hAnsi="Arial Narrow"/>
                <w:sz w:val="20"/>
              </w:rPr>
              <w:t>Retrospective cohort study</w:t>
            </w:r>
            <w:r w:rsidRPr="007C0D91">
              <w:rPr>
                <w:rFonts w:ascii="Arial Narrow" w:hAnsi="Arial Narrow"/>
                <w:sz w:val="20"/>
                <w:vertAlign w:val="superscript"/>
              </w:rPr>
              <w:t xml:space="preserve"> </w:t>
            </w:r>
          </w:p>
        </w:tc>
        <w:tc>
          <w:tcPr>
            <w:tcW w:w="481" w:type="pct"/>
            <w:shd w:val="clear" w:color="auto" w:fill="B8CCE4" w:themeFill="accent1" w:themeFillTint="66"/>
            <w:vAlign w:val="center"/>
          </w:tcPr>
          <w:p w14:paraId="066C50F2" w14:textId="77777777" w:rsidR="005149D4" w:rsidRPr="007C0D91" w:rsidRDefault="005149D4" w:rsidP="008869C7">
            <w:pPr>
              <w:keepNext/>
              <w:keepLines/>
              <w:jc w:val="left"/>
              <w:rPr>
                <w:rFonts w:ascii="Arial Narrow" w:hAnsi="Arial Narrow"/>
                <w:bCs/>
                <w:sz w:val="20"/>
              </w:rPr>
            </w:pPr>
            <w:r w:rsidRPr="007C0D91">
              <w:rPr>
                <w:rFonts w:ascii="Arial Narrow" w:hAnsi="Arial Narrow"/>
                <w:bCs/>
                <w:sz w:val="20"/>
              </w:rPr>
              <w:t>High</w:t>
            </w:r>
          </w:p>
        </w:tc>
        <w:tc>
          <w:tcPr>
            <w:tcW w:w="1262" w:type="pct"/>
            <w:shd w:val="clear" w:color="auto" w:fill="B8CCE4" w:themeFill="accent1" w:themeFillTint="66"/>
            <w:vAlign w:val="center"/>
            <w:hideMark/>
          </w:tcPr>
          <w:p w14:paraId="046A04CF" w14:textId="77777777" w:rsidR="005149D4" w:rsidRPr="007C0D91" w:rsidRDefault="005149D4" w:rsidP="008869C7">
            <w:pPr>
              <w:keepNext/>
              <w:keepLines/>
              <w:jc w:val="left"/>
              <w:rPr>
                <w:rFonts w:ascii="Arial Narrow" w:eastAsiaTheme="majorEastAsia" w:hAnsi="Arial Narrow" w:cstheme="majorBidi"/>
                <w:bCs/>
                <w:sz w:val="20"/>
              </w:rPr>
            </w:pPr>
            <w:r w:rsidRPr="007C0D91">
              <w:rPr>
                <w:rFonts w:ascii="Arial Narrow" w:hAnsi="Arial Narrow"/>
                <w:bCs/>
                <w:iCs/>
                <w:sz w:val="20"/>
              </w:rPr>
              <w:t xml:space="preserve">Patients with </w:t>
            </w:r>
            <w:r w:rsidRPr="007C0D91">
              <w:rPr>
                <w:rFonts w:ascii="Arial Narrow" w:hAnsi="Arial Narrow"/>
                <w:bCs/>
                <w:i/>
                <w:iCs/>
                <w:sz w:val="20"/>
              </w:rPr>
              <w:t>EGFR</w:t>
            </w:r>
            <w:r w:rsidRPr="007C0D91">
              <w:rPr>
                <w:rFonts w:ascii="Arial Narrow" w:hAnsi="Arial Narrow"/>
                <w:bCs/>
                <w:iCs/>
                <w:sz w:val="20"/>
              </w:rPr>
              <w:t xml:space="preserve"> ex20ins variant advanced NSCLC, ≥ 1 prior treatment lines</w:t>
            </w:r>
          </w:p>
        </w:tc>
        <w:tc>
          <w:tcPr>
            <w:tcW w:w="538" w:type="pct"/>
            <w:shd w:val="clear" w:color="auto" w:fill="B8CCE4" w:themeFill="accent1" w:themeFillTint="66"/>
            <w:vAlign w:val="center"/>
            <w:hideMark/>
          </w:tcPr>
          <w:p w14:paraId="72472D75" w14:textId="77777777" w:rsidR="005149D4" w:rsidRPr="007C0D91" w:rsidRDefault="005149D4" w:rsidP="008869C7">
            <w:pPr>
              <w:keepNext/>
              <w:keepLines/>
              <w:jc w:val="left"/>
              <w:rPr>
                <w:rFonts w:ascii="Arial Narrow" w:eastAsiaTheme="majorEastAsia" w:hAnsi="Arial Narrow" w:cstheme="majorBidi"/>
                <w:bCs/>
                <w:sz w:val="20"/>
              </w:rPr>
            </w:pPr>
            <w:r w:rsidRPr="007C0D91">
              <w:rPr>
                <w:rFonts w:ascii="Arial Narrow" w:hAnsi="Arial Narrow"/>
                <w:bCs/>
                <w:sz w:val="20"/>
              </w:rPr>
              <w:t>PFS, OS</w:t>
            </w:r>
          </w:p>
        </w:tc>
        <w:tc>
          <w:tcPr>
            <w:tcW w:w="521" w:type="pct"/>
            <w:shd w:val="clear" w:color="auto" w:fill="B8CCE4" w:themeFill="accent1" w:themeFillTint="66"/>
            <w:vAlign w:val="center"/>
            <w:hideMark/>
          </w:tcPr>
          <w:p w14:paraId="2FA7E92A" w14:textId="77777777" w:rsidR="005149D4" w:rsidRPr="007C0D91" w:rsidRDefault="005149D4" w:rsidP="008869C7">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w:t>
            </w:r>
          </w:p>
        </w:tc>
      </w:tr>
      <w:tr w:rsidR="005149D4" w:rsidRPr="007C0D91" w14:paraId="4157BAB9" w14:textId="77777777" w:rsidTr="007516BE">
        <w:tc>
          <w:tcPr>
            <w:tcW w:w="629" w:type="pct"/>
            <w:shd w:val="clear" w:color="auto" w:fill="B8CCE4" w:themeFill="accent1" w:themeFillTint="66"/>
            <w:vAlign w:val="center"/>
          </w:tcPr>
          <w:p w14:paraId="7DB4DCE9" w14:textId="77777777" w:rsidR="005149D4" w:rsidRPr="007C0D91" w:rsidRDefault="005149D4" w:rsidP="008869C7">
            <w:pPr>
              <w:keepNext/>
              <w:keepLines/>
              <w:widowControl w:val="0"/>
              <w:spacing w:line="256" w:lineRule="auto"/>
              <w:jc w:val="left"/>
              <w:rPr>
                <w:rFonts w:ascii="Arial Narrow" w:hAnsi="Arial Narrow"/>
                <w:sz w:val="20"/>
              </w:rPr>
            </w:pPr>
            <w:r w:rsidRPr="007C0D91">
              <w:rPr>
                <w:rFonts w:ascii="Arial Narrow" w:hAnsi="Arial Narrow"/>
                <w:sz w:val="20"/>
              </w:rPr>
              <w:t>Study 5002</w:t>
            </w:r>
            <w:r w:rsidRPr="007C0D91">
              <w:rPr>
                <w:rFonts w:ascii="Arial Narrow" w:hAnsi="Arial Narrow"/>
                <w:bCs/>
                <w:sz w:val="20"/>
                <w:vertAlign w:val="superscript"/>
              </w:rPr>
              <w:t>c</w:t>
            </w:r>
          </w:p>
        </w:tc>
        <w:tc>
          <w:tcPr>
            <w:tcW w:w="798" w:type="pct"/>
            <w:shd w:val="clear" w:color="auto" w:fill="B8CCE4" w:themeFill="accent1" w:themeFillTint="66"/>
            <w:vAlign w:val="center"/>
          </w:tcPr>
          <w:p w14:paraId="1E8BD726" w14:textId="77777777" w:rsidR="005149D4" w:rsidRPr="007C0D91" w:rsidRDefault="005149D4" w:rsidP="008869C7">
            <w:pPr>
              <w:keepNext/>
              <w:keepLines/>
              <w:jc w:val="center"/>
              <w:rPr>
                <w:rFonts w:ascii="Arial Narrow" w:hAnsi="Arial Narrow"/>
                <w:bCs/>
                <w:sz w:val="20"/>
                <w:vertAlign w:val="superscript"/>
              </w:rPr>
            </w:pPr>
            <w:r w:rsidRPr="007C0D91">
              <w:rPr>
                <w:rFonts w:ascii="Arial Narrow" w:hAnsi="Arial Narrow"/>
                <w:bCs/>
                <w:sz w:val="20"/>
              </w:rPr>
              <w:t>SOC: 50</w:t>
            </w:r>
          </w:p>
          <w:p w14:paraId="75C9940F" w14:textId="77777777" w:rsidR="005149D4" w:rsidRPr="007C0D91" w:rsidRDefault="005149D4" w:rsidP="008869C7">
            <w:pPr>
              <w:keepNext/>
              <w:keepLines/>
              <w:jc w:val="center"/>
              <w:rPr>
                <w:rFonts w:ascii="Arial Narrow" w:hAnsi="Arial Narrow"/>
                <w:bCs/>
                <w:sz w:val="20"/>
              </w:rPr>
            </w:pPr>
            <w:r w:rsidRPr="007C0D91">
              <w:rPr>
                <w:rFonts w:ascii="Arial Narrow" w:hAnsi="Arial Narrow"/>
                <w:bCs/>
                <w:sz w:val="20"/>
              </w:rPr>
              <w:t>Chemotherapy: 12</w:t>
            </w:r>
          </w:p>
        </w:tc>
        <w:tc>
          <w:tcPr>
            <w:tcW w:w="771" w:type="pct"/>
            <w:shd w:val="clear" w:color="auto" w:fill="B8CCE4" w:themeFill="accent1" w:themeFillTint="66"/>
            <w:vAlign w:val="center"/>
          </w:tcPr>
          <w:p w14:paraId="5141F9AF" w14:textId="77777777" w:rsidR="005149D4" w:rsidRPr="007C0D91" w:rsidRDefault="005149D4" w:rsidP="008869C7">
            <w:pPr>
              <w:keepNext/>
              <w:keepLines/>
              <w:widowControl w:val="0"/>
              <w:spacing w:line="256" w:lineRule="auto"/>
              <w:jc w:val="left"/>
              <w:rPr>
                <w:rFonts w:ascii="Arial Narrow" w:hAnsi="Arial Narrow"/>
                <w:sz w:val="20"/>
              </w:rPr>
            </w:pPr>
            <w:r w:rsidRPr="007C0D91">
              <w:rPr>
                <w:rFonts w:ascii="Arial Narrow" w:hAnsi="Arial Narrow"/>
                <w:sz w:val="20"/>
              </w:rPr>
              <w:t>Retrospective cohort study</w:t>
            </w:r>
          </w:p>
        </w:tc>
        <w:tc>
          <w:tcPr>
            <w:tcW w:w="481" w:type="pct"/>
            <w:shd w:val="clear" w:color="auto" w:fill="B8CCE4" w:themeFill="accent1" w:themeFillTint="66"/>
            <w:vAlign w:val="center"/>
          </w:tcPr>
          <w:p w14:paraId="6B14A0B0" w14:textId="77777777" w:rsidR="005149D4" w:rsidRPr="007C0D91" w:rsidRDefault="005149D4" w:rsidP="008869C7">
            <w:pPr>
              <w:keepNext/>
              <w:keepLines/>
              <w:jc w:val="left"/>
              <w:rPr>
                <w:rFonts w:ascii="Arial Narrow" w:hAnsi="Arial Narrow"/>
                <w:bCs/>
                <w:sz w:val="20"/>
              </w:rPr>
            </w:pPr>
            <w:r w:rsidRPr="007C0D91">
              <w:rPr>
                <w:rFonts w:ascii="Arial Narrow" w:hAnsi="Arial Narrow"/>
                <w:bCs/>
                <w:sz w:val="20"/>
              </w:rPr>
              <w:t>High</w:t>
            </w:r>
          </w:p>
        </w:tc>
        <w:tc>
          <w:tcPr>
            <w:tcW w:w="1262" w:type="pct"/>
            <w:shd w:val="clear" w:color="auto" w:fill="B8CCE4" w:themeFill="accent1" w:themeFillTint="66"/>
            <w:vAlign w:val="center"/>
          </w:tcPr>
          <w:p w14:paraId="11657248" w14:textId="77777777" w:rsidR="005149D4" w:rsidRPr="007C0D91" w:rsidRDefault="005149D4" w:rsidP="008869C7">
            <w:pPr>
              <w:keepNext/>
              <w:keepLines/>
              <w:jc w:val="left"/>
              <w:rPr>
                <w:rFonts w:ascii="Arial Narrow" w:hAnsi="Arial Narrow"/>
                <w:bCs/>
                <w:iCs/>
                <w:sz w:val="20"/>
              </w:rPr>
            </w:pPr>
            <w:r w:rsidRPr="007C0D91">
              <w:rPr>
                <w:rFonts w:ascii="Arial Narrow" w:hAnsi="Arial Narrow"/>
                <w:bCs/>
                <w:iCs/>
                <w:sz w:val="20"/>
              </w:rPr>
              <w:t xml:space="preserve">Patients with </w:t>
            </w:r>
            <w:r w:rsidRPr="007C0D91">
              <w:rPr>
                <w:rFonts w:ascii="Arial Narrow" w:hAnsi="Arial Narrow"/>
                <w:bCs/>
                <w:i/>
                <w:iCs/>
                <w:sz w:val="20"/>
              </w:rPr>
              <w:t>EGFR</w:t>
            </w:r>
            <w:r w:rsidRPr="007C0D91">
              <w:rPr>
                <w:rFonts w:ascii="Arial Narrow" w:hAnsi="Arial Narrow"/>
                <w:bCs/>
                <w:iCs/>
                <w:sz w:val="20"/>
              </w:rPr>
              <w:t xml:space="preserve"> ex20ins variant advanced NSCLC, ≥ 1 prior treatment lines</w:t>
            </w:r>
          </w:p>
        </w:tc>
        <w:tc>
          <w:tcPr>
            <w:tcW w:w="538" w:type="pct"/>
            <w:shd w:val="clear" w:color="auto" w:fill="B8CCE4" w:themeFill="accent1" w:themeFillTint="66"/>
            <w:vAlign w:val="center"/>
          </w:tcPr>
          <w:p w14:paraId="7BDDEED2" w14:textId="77777777" w:rsidR="005149D4" w:rsidRPr="007C0D91" w:rsidRDefault="005149D4" w:rsidP="008869C7">
            <w:pPr>
              <w:keepNext/>
              <w:keepLines/>
              <w:jc w:val="left"/>
              <w:rPr>
                <w:rFonts w:ascii="Arial Narrow" w:hAnsi="Arial Narrow"/>
                <w:bCs/>
                <w:sz w:val="20"/>
              </w:rPr>
            </w:pPr>
            <w:r w:rsidRPr="007C0D91">
              <w:rPr>
                <w:rFonts w:ascii="Arial Narrow" w:hAnsi="Arial Narrow"/>
                <w:bCs/>
                <w:sz w:val="20"/>
              </w:rPr>
              <w:t>PFS, OS, ORR</w:t>
            </w:r>
          </w:p>
        </w:tc>
        <w:tc>
          <w:tcPr>
            <w:tcW w:w="521" w:type="pct"/>
            <w:shd w:val="clear" w:color="auto" w:fill="B8CCE4" w:themeFill="accent1" w:themeFillTint="66"/>
            <w:vAlign w:val="center"/>
          </w:tcPr>
          <w:p w14:paraId="0C1FF71D" w14:textId="77777777" w:rsidR="005149D4" w:rsidRPr="007C0D91" w:rsidRDefault="005149D4" w:rsidP="008869C7">
            <w:pPr>
              <w:keepNext/>
              <w:keepLines/>
              <w:jc w:val="left"/>
              <w:rPr>
                <w:rFonts w:ascii="Arial Narrow" w:hAnsi="Arial Narrow"/>
                <w:bCs/>
                <w:sz w:val="20"/>
                <w:vertAlign w:val="superscript"/>
              </w:rPr>
            </w:pPr>
            <w:r w:rsidRPr="007C0D91">
              <w:rPr>
                <w:rFonts w:ascii="Arial Narrow" w:eastAsiaTheme="majorEastAsia" w:hAnsi="Arial Narrow" w:cstheme="majorBidi"/>
                <w:bCs/>
                <w:sz w:val="20"/>
              </w:rPr>
              <w:t>–</w:t>
            </w:r>
          </w:p>
        </w:tc>
      </w:tr>
      <w:tr w:rsidR="005149D4" w:rsidRPr="007C0D91" w14:paraId="56CE2F29" w14:textId="77777777" w:rsidTr="008869C7">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324F8" w14:textId="77777777" w:rsidR="005149D4" w:rsidRPr="007C0D91" w:rsidRDefault="005149D4" w:rsidP="008869C7">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Indirect comparison</w:t>
            </w:r>
          </w:p>
        </w:tc>
      </w:tr>
      <w:tr w:rsidR="005149D4" w:rsidRPr="007C0D91" w14:paraId="4E5BCE35" w14:textId="77777777" w:rsidTr="008869C7">
        <w:tc>
          <w:tcPr>
            <w:tcW w:w="3941" w:type="pct"/>
            <w:gridSpan w:val="5"/>
            <w:shd w:val="clear" w:color="auto" w:fill="auto"/>
            <w:vAlign w:val="center"/>
          </w:tcPr>
          <w:p w14:paraId="3EF41568" w14:textId="77777777" w:rsidR="005149D4" w:rsidRPr="007C0D91" w:rsidRDefault="005149D4" w:rsidP="008869C7">
            <w:pPr>
              <w:keepNext/>
              <w:keepLines/>
              <w:jc w:val="left"/>
              <w:rPr>
                <w:rFonts w:ascii="Arial Narrow" w:hAnsi="Arial Narrow"/>
                <w:bCs/>
                <w:iCs/>
                <w:sz w:val="20"/>
                <w:vertAlign w:val="superscript"/>
              </w:rPr>
            </w:pPr>
            <w:r w:rsidRPr="007C0D91">
              <w:rPr>
                <w:rFonts w:ascii="Arial Narrow" w:hAnsi="Arial Narrow"/>
                <w:sz w:val="20"/>
              </w:rPr>
              <w:t xml:space="preserve">PPP cohort from Study 101 </w:t>
            </w:r>
            <w:r w:rsidRPr="007C0D91">
              <w:rPr>
                <w:rFonts w:ascii="Arial Narrow" w:hAnsi="Arial Narrow"/>
                <w:i/>
                <w:sz w:val="20"/>
              </w:rPr>
              <w:t xml:space="preserve">vs. </w:t>
            </w:r>
            <w:r w:rsidRPr="007C0D91">
              <w:rPr>
                <w:rFonts w:ascii="Arial Narrow" w:hAnsi="Arial Narrow"/>
                <w:sz w:val="20"/>
              </w:rPr>
              <w:t>pooled SOC cohort from Studies 5008 and 5002</w:t>
            </w:r>
            <w:r w:rsidRPr="007C0D91">
              <w:rPr>
                <w:rFonts w:ascii="Arial Narrow" w:hAnsi="Arial Narrow"/>
                <w:sz w:val="20"/>
                <w:vertAlign w:val="superscript"/>
              </w:rPr>
              <w:t>d</w:t>
            </w:r>
          </w:p>
        </w:tc>
        <w:tc>
          <w:tcPr>
            <w:tcW w:w="538" w:type="pct"/>
            <w:shd w:val="clear" w:color="auto" w:fill="auto"/>
          </w:tcPr>
          <w:p w14:paraId="34E604A2" w14:textId="77777777" w:rsidR="005149D4" w:rsidRPr="007C0D91" w:rsidRDefault="005149D4" w:rsidP="008869C7">
            <w:pPr>
              <w:keepNext/>
              <w:keepLines/>
              <w:jc w:val="left"/>
              <w:rPr>
                <w:rFonts w:ascii="Arial Narrow" w:hAnsi="Arial Narrow"/>
                <w:bCs/>
                <w:sz w:val="20"/>
              </w:rPr>
            </w:pPr>
            <w:r w:rsidRPr="007C0D91">
              <w:rPr>
                <w:rFonts w:ascii="Arial Narrow" w:hAnsi="Arial Narrow"/>
                <w:bCs/>
                <w:sz w:val="20"/>
              </w:rPr>
              <w:t>PFS, OS, ORR</w:t>
            </w:r>
          </w:p>
        </w:tc>
        <w:tc>
          <w:tcPr>
            <w:tcW w:w="521" w:type="pct"/>
            <w:shd w:val="clear" w:color="auto" w:fill="auto"/>
            <w:vAlign w:val="center"/>
          </w:tcPr>
          <w:p w14:paraId="774C8A1F" w14:textId="4313E640" w:rsidR="005149D4" w:rsidRPr="007C0D91" w:rsidRDefault="005149D4" w:rsidP="008869C7">
            <w:pPr>
              <w:keepNext/>
              <w:keepLines/>
              <w:jc w:val="left"/>
              <w:rPr>
                <w:rFonts w:ascii="Arial Narrow" w:hAnsi="Arial Narrow"/>
                <w:bCs/>
                <w:sz w:val="20"/>
              </w:rPr>
            </w:pPr>
            <w:r w:rsidRPr="007C0D91">
              <w:rPr>
                <w:rFonts w:ascii="Arial Narrow" w:hAnsi="Arial Narrow"/>
                <w:bCs/>
                <w:sz w:val="20"/>
              </w:rPr>
              <w:t xml:space="preserve">OS, PFS </w:t>
            </w:r>
          </w:p>
        </w:tc>
      </w:tr>
      <w:tr w:rsidR="005149D4" w:rsidRPr="007C0D91" w14:paraId="30BB0F44" w14:textId="77777777" w:rsidTr="008869C7">
        <w:tc>
          <w:tcPr>
            <w:tcW w:w="3941" w:type="pct"/>
            <w:gridSpan w:val="5"/>
            <w:shd w:val="clear" w:color="auto" w:fill="auto"/>
            <w:vAlign w:val="center"/>
          </w:tcPr>
          <w:p w14:paraId="3302A657" w14:textId="77777777" w:rsidR="005149D4" w:rsidRPr="007C0D91" w:rsidRDefault="005149D4" w:rsidP="008869C7">
            <w:pPr>
              <w:keepNext/>
              <w:keepLines/>
              <w:jc w:val="left"/>
              <w:rPr>
                <w:rFonts w:ascii="Arial Narrow" w:hAnsi="Arial Narrow"/>
                <w:bCs/>
                <w:iCs/>
                <w:sz w:val="20"/>
                <w:vertAlign w:val="superscript"/>
              </w:rPr>
            </w:pPr>
            <w:r w:rsidRPr="007C0D91">
              <w:rPr>
                <w:rFonts w:ascii="Arial Narrow" w:hAnsi="Arial Narrow"/>
                <w:sz w:val="20"/>
              </w:rPr>
              <w:t xml:space="preserve">PPP cohort from Study 101 </w:t>
            </w:r>
            <w:r w:rsidRPr="007C0D91">
              <w:rPr>
                <w:rFonts w:ascii="Arial Narrow" w:hAnsi="Arial Narrow"/>
                <w:i/>
                <w:sz w:val="20"/>
              </w:rPr>
              <w:t xml:space="preserve">vs. </w:t>
            </w:r>
            <w:r w:rsidRPr="007C0D91">
              <w:rPr>
                <w:rFonts w:ascii="Arial Narrow" w:hAnsi="Arial Narrow"/>
                <w:sz w:val="20"/>
              </w:rPr>
              <w:t>pooled chemotherapy cohort from Studies 5008 and 5002</w:t>
            </w:r>
            <w:r w:rsidRPr="007C0D91">
              <w:rPr>
                <w:rFonts w:ascii="Arial Narrow" w:hAnsi="Arial Narrow"/>
                <w:sz w:val="20"/>
                <w:vertAlign w:val="superscript"/>
              </w:rPr>
              <w:t>d</w:t>
            </w:r>
          </w:p>
        </w:tc>
        <w:tc>
          <w:tcPr>
            <w:tcW w:w="538" w:type="pct"/>
            <w:shd w:val="clear" w:color="auto" w:fill="auto"/>
          </w:tcPr>
          <w:p w14:paraId="07B41E57" w14:textId="77777777" w:rsidR="005149D4" w:rsidRPr="007C0D91" w:rsidRDefault="005149D4" w:rsidP="008869C7">
            <w:pPr>
              <w:keepNext/>
              <w:keepLines/>
              <w:jc w:val="left"/>
              <w:rPr>
                <w:rFonts w:ascii="Arial Narrow" w:hAnsi="Arial Narrow"/>
                <w:bCs/>
                <w:sz w:val="20"/>
              </w:rPr>
            </w:pPr>
            <w:r w:rsidRPr="007C0D91">
              <w:rPr>
                <w:rFonts w:ascii="Arial Narrow" w:hAnsi="Arial Narrow"/>
                <w:bCs/>
                <w:sz w:val="20"/>
              </w:rPr>
              <w:t>PFS, OS, ORR</w:t>
            </w:r>
          </w:p>
        </w:tc>
        <w:tc>
          <w:tcPr>
            <w:tcW w:w="521" w:type="pct"/>
            <w:shd w:val="clear" w:color="auto" w:fill="auto"/>
            <w:vAlign w:val="center"/>
          </w:tcPr>
          <w:p w14:paraId="23FCB511" w14:textId="61CF3A2D" w:rsidR="005149D4" w:rsidRPr="007C0D91" w:rsidRDefault="005149D4" w:rsidP="008869C7">
            <w:pPr>
              <w:keepNext/>
              <w:keepLines/>
              <w:jc w:val="left"/>
              <w:rPr>
                <w:rFonts w:ascii="Arial Narrow" w:hAnsi="Arial Narrow"/>
                <w:bCs/>
                <w:sz w:val="20"/>
                <w:vertAlign w:val="superscript"/>
              </w:rPr>
            </w:pPr>
            <w:r w:rsidRPr="007C0D91">
              <w:rPr>
                <w:rFonts w:ascii="Arial Narrow" w:hAnsi="Arial Narrow"/>
                <w:bCs/>
                <w:sz w:val="20"/>
              </w:rPr>
              <w:t>OS, PFS</w:t>
            </w:r>
            <w:r w:rsidRPr="007C0D91">
              <w:rPr>
                <w:rFonts w:ascii="Arial Narrow" w:hAnsi="Arial Narrow"/>
                <w:bCs/>
                <w:sz w:val="20"/>
                <w:vertAlign w:val="superscript"/>
              </w:rPr>
              <w:t>e</w:t>
            </w:r>
          </w:p>
        </w:tc>
      </w:tr>
    </w:tbl>
    <w:p w14:paraId="13455F20" w14:textId="1FFD2585" w:rsidR="005149D4" w:rsidRPr="007C0D91" w:rsidRDefault="005149D4" w:rsidP="005149D4">
      <w:pPr>
        <w:keepNext/>
        <w:keepLines/>
        <w:rPr>
          <w:rFonts w:ascii="Arial Narrow" w:hAnsi="Arial Narrow"/>
          <w:sz w:val="18"/>
        </w:rPr>
      </w:pPr>
      <w:r w:rsidRPr="007C0D91">
        <w:rPr>
          <w:rFonts w:ascii="Arial Narrow" w:hAnsi="Arial Narrow"/>
          <w:sz w:val="18"/>
        </w:rPr>
        <w:t xml:space="preserve">Source: Table 3, mobocertinib, </w:t>
      </w:r>
      <w:r w:rsidR="00FD7EDC" w:rsidRPr="007C0D91">
        <w:rPr>
          <w:rFonts w:ascii="Arial Narrow" w:hAnsi="Arial Narrow"/>
          <w:sz w:val="18"/>
        </w:rPr>
        <w:t>PSD</w:t>
      </w:r>
      <w:r w:rsidRPr="007C0D91">
        <w:rPr>
          <w:rFonts w:ascii="Arial Narrow" w:hAnsi="Arial Narrow"/>
          <w:sz w:val="18"/>
        </w:rPr>
        <w:t>, November 2022 PBAC meeting; Section 2.2 of the resubmission.</w:t>
      </w:r>
    </w:p>
    <w:p w14:paraId="675F03AC" w14:textId="77777777" w:rsidR="005149D4" w:rsidRPr="007C0D91" w:rsidRDefault="005149D4" w:rsidP="005149D4">
      <w:pPr>
        <w:keepNext/>
        <w:keepLines/>
        <w:rPr>
          <w:rFonts w:ascii="Arial Narrow" w:hAnsi="Arial Narrow"/>
          <w:sz w:val="18"/>
        </w:rPr>
      </w:pPr>
      <w:r w:rsidRPr="007C0D91">
        <w:rPr>
          <w:rFonts w:ascii="Arial Narrow" w:hAnsi="Arial Narrow"/>
          <w:sz w:val="18"/>
        </w:rPr>
        <w:t xml:space="preserve">DCO=data cut-off; </w:t>
      </w:r>
      <w:r w:rsidRPr="007C0D91">
        <w:rPr>
          <w:rFonts w:ascii="Arial Narrow" w:hAnsi="Arial Narrow"/>
          <w:i/>
          <w:sz w:val="18"/>
        </w:rPr>
        <w:t>EGFR</w:t>
      </w:r>
      <w:r w:rsidRPr="007C0D91">
        <w:rPr>
          <w:rFonts w:ascii="Arial Narrow" w:hAnsi="Arial Narrow"/>
          <w:sz w:val="18"/>
        </w:rPr>
        <w:t>=epidermal growth factor receptor; ex20ins=exon 20 insertion; NSCLC=non-small cell lung cancer; (c)ORR=(confirmed) objective response rate by Response Evaluation Criteria in Solid Tumours (RECIST v1.1); OS=overall survival; PFS=progression-free survival; PPP=pooled prior platinum; SOC=standard of care comprising all treatments (</w:t>
      </w:r>
      <w:r w:rsidRPr="007C0D91">
        <w:rPr>
          <w:rFonts w:ascii="Arial Narrow" w:hAnsi="Arial Narrow"/>
          <w:i/>
          <w:sz w:val="18"/>
        </w:rPr>
        <w:t>EGFR</w:t>
      </w:r>
      <w:r w:rsidRPr="007C0D91">
        <w:rPr>
          <w:rFonts w:ascii="Arial Narrow" w:hAnsi="Arial Narrow"/>
          <w:sz w:val="18"/>
        </w:rPr>
        <w:t xml:space="preserve"> tyrosine kinase inhibitor, immune checkpoint inhibitor and chemotherapy)</w:t>
      </w:r>
    </w:p>
    <w:p w14:paraId="431CCE67" w14:textId="77777777" w:rsidR="005149D4" w:rsidRPr="007C0D91" w:rsidRDefault="005149D4" w:rsidP="005149D4">
      <w:pPr>
        <w:keepNext/>
        <w:keepLines/>
        <w:rPr>
          <w:rFonts w:ascii="Arial Narrow" w:hAnsi="Arial Narrow"/>
          <w:sz w:val="18"/>
        </w:rPr>
      </w:pPr>
      <w:r w:rsidRPr="007C0D91">
        <w:rPr>
          <w:rFonts w:ascii="Arial Narrow" w:hAnsi="Arial Narrow"/>
          <w:sz w:val="18"/>
          <w:vertAlign w:val="superscript"/>
        </w:rPr>
        <w:t xml:space="preserve">a </w:t>
      </w:r>
      <w:r w:rsidRPr="007C0D91">
        <w:rPr>
          <w:rFonts w:ascii="Arial Narrow" w:hAnsi="Arial Narrow"/>
          <w:sz w:val="18"/>
        </w:rPr>
        <w:t xml:space="preserve">Selected from three parts of Study 101 based on the following criteria: platinum pre-treated patients with </w:t>
      </w:r>
      <w:r w:rsidRPr="007C0D91">
        <w:rPr>
          <w:rFonts w:ascii="Arial Narrow" w:hAnsi="Arial Narrow"/>
          <w:i/>
          <w:sz w:val="18"/>
        </w:rPr>
        <w:t>EGFR</w:t>
      </w:r>
      <w:r w:rsidRPr="007C0D91">
        <w:rPr>
          <w:rFonts w:ascii="Arial Narrow" w:hAnsi="Arial Narrow"/>
          <w:sz w:val="18"/>
        </w:rPr>
        <w:t xml:space="preserve"> ex20ins variant NSCLC who received the recommended mobocertinib dose of 160 mg once daily. Median treatment duration of 7.4 months.</w:t>
      </w:r>
    </w:p>
    <w:p w14:paraId="432714FE" w14:textId="77777777" w:rsidR="005149D4" w:rsidRPr="007C0D91" w:rsidRDefault="005149D4" w:rsidP="005149D4">
      <w:pPr>
        <w:keepNext/>
        <w:keepLines/>
        <w:rPr>
          <w:rFonts w:ascii="Arial Narrow" w:hAnsi="Arial Narrow"/>
          <w:sz w:val="18"/>
        </w:rPr>
      </w:pPr>
      <w:r w:rsidRPr="007C0D91">
        <w:rPr>
          <w:rFonts w:ascii="Arial Narrow" w:hAnsi="Arial Narrow"/>
          <w:sz w:val="18"/>
          <w:vertAlign w:val="superscript"/>
        </w:rPr>
        <w:t xml:space="preserve">b </w:t>
      </w:r>
      <w:r w:rsidRPr="007C0D91">
        <w:rPr>
          <w:rFonts w:ascii="Arial Narrow" w:hAnsi="Arial Narrow"/>
          <w:sz w:val="18"/>
        </w:rPr>
        <w:t>German chart review; observation period 2013−2019.</w:t>
      </w:r>
    </w:p>
    <w:p w14:paraId="4D5D2A5E" w14:textId="77777777" w:rsidR="005149D4" w:rsidRPr="007C0D91" w:rsidRDefault="005149D4" w:rsidP="005149D4">
      <w:pPr>
        <w:keepNext/>
        <w:keepLines/>
        <w:rPr>
          <w:rFonts w:ascii="Arial Narrow" w:hAnsi="Arial Narrow"/>
          <w:sz w:val="18"/>
        </w:rPr>
      </w:pPr>
      <w:r w:rsidRPr="007C0D91">
        <w:rPr>
          <w:rFonts w:ascii="Arial Narrow" w:hAnsi="Arial Narrow"/>
          <w:sz w:val="18"/>
          <w:vertAlign w:val="superscript"/>
        </w:rPr>
        <w:t xml:space="preserve">c </w:t>
      </w:r>
      <w:r w:rsidRPr="007C0D91">
        <w:rPr>
          <w:rFonts w:ascii="Arial Narrow" w:hAnsi="Arial Narrow"/>
          <w:sz w:val="18"/>
        </w:rPr>
        <w:t>US Flatiron registry data; observation period 2011−2020.</w:t>
      </w:r>
    </w:p>
    <w:p w14:paraId="0A2F26AD" w14:textId="77777777" w:rsidR="005149D4" w:rsidRPr="007C0D91" w:rsidRDefault="005149D4" w:rsidP="005149D4">
      <w:pPr>
        <w:keepNext/>
        <w:keepLines/>
        <w:rPr>
          <w:rFonts w:ascii="Arial Narrow" w:hAnsi="Arial Narrow"/>
          <w:iCs/>
          <w:sz w:val="18"/>
        </w:rPr>
      </w:pPr>
      <w:r w:rsidRPr="007C0D91">
        <w:rPr>
          <w:rFonts w:ascii="Arial Narrow" w:hAnsi="Arial Narrow"/>
          <w:sz w:val="18"/>
          <w:vertAlign w:val="superscript"/>
        </w:rPr>
        <w:t xml:space="preserve">d </w:t>
      </w:r>
      <w:proofErr w:type="gramStart"/>
      <w:r w:rsidRPr="007C0D91">
        <w:rPr>
          <w:rFonts w:ascii="Arial Narrow" w:hAnsi="Arial Narrow"/>
          <w:iCs/>
          <w:sz w:val="18"/>
        </w:rPr>
        <w:t>The</w:t>
      </w:r>
      <w:proofErr w:type="gramEnd"/>
      <w:r w:rsidRPr="007C0D91">
        <w:rPr>
          <w:rFonts w:ascii="Arial Narrow" w:hAnsi="Arial Narrow"/>
          <w:iCs/>
          <w:sz w:val="18"/>
        </w:rPr>
        <w:t xml:space="preserve"> risk of bias of the indirect comparisons was high, due to major transitivity issues across treatment cohorts indirectly compared.</w:t>
      </w:r>
    </w:p>
    <w:p w14:paraId="4DEB7C1C" w14:textId="10E678CC" w:rsidR="005149D4" w:rsidRPr="007C0D91" w:rsidRDefault="005149D4" w:rsidP="005149D4">
      <w:pPr>
        <w:keepNext/>
        <w:keepLines/>
        <w:rPr>
          <w:rFonts w:ascii="Arial Narrow" w:hAnsi="Arial Narrow"/>
          <w:sz w:val="18"/>
        </w:rPr>
      </w:pPr>
      <w:r w:rsidRPr="007C0D91">
        <w:rPr>
          <w:rFonts w:ascii="Arial Narrow" w:hAnsi="Arial Narrow"/>
          <w:sz w:val="18"/>
          <w:vertAlign w:val="superscript"/>
        </w:rPr>
        <w:t>e</w:t>
      </w:r>
      <w:r w:rsidRPr="007C0D91">
        <w:rPr>
          <w:rFonts w:ascii="Arial Narrow" w:hAnsi="Arial Narrow"/>
          <w:sz w:val="18"/>
        </w:rPr>
        <w:t xml:space="preserve"> OS and PFS data in the pooled chemotherapy cohort from Studies 5008 and 5002 were only used in </w:t>
      </w:r>
      <w:r w:rsidR="00FD7EDC" w:rsidRPr="007C0D91">
        <w:rPr>
          <w:rFonts w:ascii="Arial Narrow" w:hAnsi="Arial Narrow"/>
          <w:sz w:val="18"/>
        </w:rPr>
        <w:t>a</w:t>
      </w:r>
      <w:r w:rsidRPr="007C0D91">
        <w:rPr>
          <w:rFonts w:ascii="Arial Narrow" w:hAnsi="Arial Narrow"/>
          <w:sz w:val="18"/>
        </w:rPr>
        <w:t xml:space="preserve"> sensitivity analysis.</w:t>
      </w:r>
    </w:p>
    <w:p w14:paraId="5E052007" w14:textId="2732FCB0" w:rsidR="005149D4" w:rsidRPr="007C0D91" w:rsidRDefault="00BF7F34" w:rsidP="007516BE">
      <w:pPr>
        <w:keepLines/>
        <w:spacing w:after="120"/>
        <w:rPr>
          <w:rFonts w:ascii="Arial Narrow" w:hAnsi="Arial Narrow"/>
          <w:sz w:val="18"/>
          <w:szCs w:val="18"/>
        </w:rPr>
      </w:pPr>
      <w:r w:rsidRPr="007C0D91">
        <w:rPr>
          <w:rStyle w:val="CommentReference"/>
          <w:b w:val="0"/>
          <w:bCs/>
          <w:sz w:val="18"/>
          <w:szCs w:val="18"/>
          <w:shd w:val="clear" w:color="auto" w:fill="B8CCE4" w:themeFill="accent1" w:themeFillTint="66"/>
        </w:rPr>
        <w:t>Blue shading</w:t>
      </w:r>
      <w:r w:rsidRPr="007C0D91">
        <w:rPr>
          <w:rStyle w:val="CommentReference"/>
          <w:b w:val="0"/>
          <w:bCs/>
          <w:sz w:val="18"/>
          <w:szCs w:val="18"/>
        </w:rPr>
        <w:t xml:space="preserve"> </w:t>
      </w:r>
      <w:r w:rsidR="005149D4" w:rsidRPr="007C0D91">
        <w:rPr>
          <w:rFonts w:ascii="Arial Narrow" w:hAnsi="Arial Narrow"/>
          <w:snapToGrid w:val="0"/>
          <w:sz w:val="18"/>
          <w:szCs w:val="18"/>
        </w:rPr>
        <w:t>indicates information previously seen by the PBAC.</w:t>
      </w:r>
    </w:p>
    <w:p w14:paraId="7B39E087" w14:textId="35CD841C" w:rsidR="005149D4" w:rsidRPr="007C0D91" w:rsidRDefault="005149D4" w:rsidP="005149D4">
      <w:pPr>
        <w:numPr>
          <w:ilvl w:val="1"/>
          <w:numId w:val="1"/>
        </w:numPr>
        <w:spacing w:after="120"/>
        <w:rPr>
          <w:rFonts w:asciiTheme="minorHAnsi" w:hAnsiTheme="minorHAnsi"/>
          <w:i/>
          <w:snapToGrid w:val="0"/>
        </w:rPr>
      </w:pPr>
      <w:r w:rsidRPr="007C0D91">
        <w:rPr>
          <w:rFonts w:asciiTheme="minorHAnsi" w:hAnsiTheme="minorHAnsi"/>
          <w:snapToGrid w:val="0"/>
        </w:rPr>
        <w:t>Prior to IPTW, the comparator cohorts were “trimmed” by alignment with the inclusion/exclusion criteria of the Study 101 Extension cohort to improve the overlap in patient characteristics between the mobocertinib and comparator populations. Patients were selected from the comparator studies (</w:t>
      </w:r>
      <w:proofErr w:type="gramStart"/>
      <w:r w:rsidRPr="007C0D91">
        <w:rPr>
          <w:rFonts w:asciiTheme="minorHAnsi" w:hAnsiTheme="minorHAnsi"/>
          <w:i/>
          <w:snapToGrid w:val="0"/>
        </w:rPr>
        <w:t>i.e.</w:t>
      </w:r>
      <w:proofErr w:type="gramEnd"/>
      <w:r w:rsidRPr="007C0D91">
        <w:rPr>
          <w:rFonts w:asciiTheme="minorHAnsi" w:hAnsiTheme="minorHAnsi"/>
          <w:i/>
          <w:snapToGrid w:val="0"/>
        </w:rPr>
        <w:t xml:space="preserve"> </w:t>
      </w:r>
      <w:r w:rsidRPr="007C0D91">
        <w:rPr>
          <w:rFonts w:asciiTheme="minorHAnsi" w:hAnsiTheme="minorHAnsi"/>
          <w:snapToGrid w:val="0"/>
        </w:rPr>
        <w:t xml:space="preserve">Studies 5002 and 5008) for inclusion in the ITCs if they had initiated a line of therapy after they had a confirmed diagnosis of advanced NSCLC, and their tumours harboured an </w:t>
      </w:r>
      <w:r w:rsidRPr="007C0D91">
        <w:rPr>
          <w:rFonts w:asciiTheme="minorHAnsi" w:hAnsiTheme="minorHAnsi"/>
          <w:i/>
          <w:snapToGrid w:val="0"/>
        </w:rPr>
        <w:t>EGFR</w:t>
      </w:r>
      <w:r w:rsidRPr="007C0D91">
        <w:rPr>
          <w:rFonts w:asciiTheme="minorHAnsi" w:hAnsiTheme="minorHAnsi"/>
          <w:snapToGrid w:val="0"/>
        </w:rPr>
        <w:t xml:space="preserve"> ex20ins mutation. Patients were excluded if they had an ECOG PS ≥2 and had received </w:t>
      </w:r>
      <w:r w:rsidRPr="007C0D91">
        <w:rPr>
          <w:rFonts w:asciiTheme="minorHAnsi" w:hAnsiTheme="minorHAnsi" w:cstheme="minorHAnsi"/>
          <w:snapToGrid w:val="0"/>
        </w:rPr>
        <w:t>≥</w:t>
      </w:r>
      <w:r w:rsidR="007516BE">
        <w:rPr>
          <w:rFonts w:asciiTheme="minorHAnsi" w:hAnsiTheme="minorHAnsi" w:cstheme="minorHAnsi"/>
          <w:snapToGrid w:val="0"/>
        </w:rPr>
        <w:t> </w:t>
      </w:r>
      <w:r w:rsidRPr="007C0D91">
        <w:rPr>
          <w:rFonts w:asciiTheme="minorHAnsi" w:hAnsiTheme="minorHAnsi"/>
          <w:snapToGrid w:val="0"/>
        </w:rPr>
        <w:t>3 systemic anticancer chemotherapy regimens for advanced NSCLC before the index therapy date (</w:t>
      </w:r>
      <w:proofErr w:type="gramStart"/>
      <w:r w:rsidRPr="007C0D91">
        <w:rPr>
          <w:rFonts w:asciiTheme="minorHAnsi" w:hAnsiTheme="minorHAnsi"/>
          <w:i/>
          <w:snapToGrid w:val="0"/>
        </w:rPr>
        <w:t>i.e.</w:t>
      </w:r>
      <w:proofErr w:type="gramEnd"/>
      <w:r w:rsidRPr="007C0D91">
        <w:rPr>
          <w:rFonts w:asciiTheme="minorHAnsi" w:hAnsiTheme="minorHAnsi"/>
          <w:snapToGrid w:val="0"/>
        </w:rPr>
        <w:t xml:space="preserve"> the date therapy was initiated after PBC). Patients </w:t>
      </w:r>
      <w:r w:rsidR="00A540FA" w:rsidRPr="007C0D91">
        <w:rPr>
          <w:rFonts w:asciiTheme="minorHAnsi" w:hAnsiTheme="minorHAnsi"/>
          <w:snapToGrid w:val="0"/>
        </w:rPr>
        <w:t xml:space="preserve">from Study 5002 </w:t>
      </w:r>
      <w:r w:rsidRPr="007C0D91">
        <w:rPr>
          <w:rFonts w:asciiTheme="minorHAnsi" w:hAnsiTheme="minorHAnsi"/>
          <w:snapToGrid w:val="0"/>
        </w:rPr>
        <w:t xml:space="preserve">with a prior response to treatment with an </w:t>
      </w:r>
      <w:r w:rsidRPr="007C0D91">
        <w:rPr>
          <w:rFonts w:asciiTheme="minorHAnsi" w:hAnsiTheme="minorHAnsi"/>
          <w:i/>
          <w:snapToGrid w:val="0"/>
        </w:rPr>
        <w:t>EGFR</w:t>
      </w:r>
      <w:r w:rsidRPr="007C0D91">
        <w:rPr>
          <w:rFonts w:asciiTheme="minorHAnsi" w:hAnsiTheme="minorHAnsi"/>
          <w:snapToGrid w:val="0"/>
        </w:rPr>
        <w:t xml:space="preserve"> TKI before the index therapy date were also exclude</w:t>
      </w:r>
      <w:r w:rsidR="00A540FA" w:rsidRPr="007C0D91">
        <w:rPr>
          <w:rFonts w:asciiTheme="minorHAnsi" w:hAnsiTheme="minorHAnsi"/>
          <w:snapToGrid w:val="0"/>
        </w:rPr>
        <w:t>d</w:t>
      </w:r>
      <w:r w:rsidRPr="007C0D91">
        <w:rPr>
          <w:rFonts w:asciiTheme="minorHAnsi" w:hAnsiTheme="minorHAnsi"/>
          <w:snapToGrid w:val="0"/>
        </w:rPr>
        <w:t xml:space="preserve">. </w:t>
      </w:r>
      <w:r w:rsidRPr="007C0D91">
        <w:rPr>
          <w:rFonts w:asciiTheme="minorHAnsi" w:hAnsiTheme="minorHAnsi"/>
          <w:iCs/>
          <w:snapToGrid w:val="0"/>
        </w:rPr>
        <w:t>It was unclear whether this criterion was applied to patients drawn from Study 5008.</w:t>
      </w:r>
    </w:p>
    <w:p w14:paraId="7667915A" w14:textId="203591D6" w:rsidR="005149D4" w:rsidRPr="007C0D91" w:rsidRDefault="005149D4" w:rsidP="00D977E1">
      <w:pPr>
        <w:numPr>
          <w:ilvl w:val="1"/>
          <w:numId w:val="1"/>
        </w:numPr>
        <w:spacing w:after="120"/>
        <w:rPr>
          <w:rFonts w:asciiTheme="minorHAnsi" w:hAnsiTheme="minorHAnsi"/>
          <w:iCs/>
          <w:snapToGrid w:val="0"/>
        </w:rPr>
      </w:pPr>
      <w:r w:rsidRPr="007C0D91">
        <w:rPr>
          <w:rFonts w:asciiTheme="minorHAnsi" w:hAnsiTheme="minorHAnsi"/>
          <w:snapToGrid w:val="0"/>
        </w:rPr>
        <w:t xml:space="preserve">The IPTW </w:t>
      </w:r>
      <w:r w:rsidR="006440EC" w:rsidRPr="007C0D91">
        <w:rPr>
          <w:rFonts w:asciiTheme="minorHAnsi" w:hAnsiTheme="minorHAnsi"/>
          <w:snapToGrid w:val="0"/>
        </w:rPr>
        <w:t xml:space="preserve">ITCs </w:t>
      </w:r>
      <w:r w:rsidRPr="007C0D91">
        <w:rPr>
          <w:rFonts w:asciiTheme="minorHAnsi" w:hAnsiTheme="minorHAnsi"/>
          <w:snapToGrid w:val="0"/>
        </w:rPr>
        <w:t xml:space="preserve">in the resubmission were conducted following guidelines </w:t>
      </w:r>
      <w:r w:rsidR="006440EC" w:rsidRPr="007C0D91">
        <w:rPr>
          <w:rFonts w:asciiTheme="minorHAnsi" w:hAnsiTheme="minorHAnsi"/>
          <w:snapToGrid w:val="0"/>
        </w:rPr>
        <w:t>from</w:t>
      </w:r>
      <w:r w:rsidRPr="007C0D91">
        <w:rPr>
          <w:rFonts w:asciiTheme="minorHAnsi" w:hAnsiTheme="minorHAnsi"/>
          <w:snapToGrid w:val="0"/>
        </w:rPr>
        <w:t xml:space="preserve"> the National Institute for Health and Care Excellence (NICE) Decision Support Unit (DSU) </w:t>
      </w:r>
      <w:r w:rsidRPr="007C0D91">
        <w:rPr>
          <w:rFonts w:asciiTheme="minorHAnsi" w:hAnsiTheme="minorHAnsi"/>
          <w:snapToGrid w:val="0"/>
        </w:rPr>
        <w:lastRenderedPageBreak/>
        <w:t>for ITCs based on evidence from non-randomised studies</w:t>
      </w:r>
      <w:r w:rsidRPr="007C0D91">
        <w:rPr>
          <w:rStyle w:val="FootnoteReference"/>
          <w:rFonts w:asciiTheme="minorHAnsi" w:hAnsiTheme="minorHAnsi"/>
          <w:snapToGrid w:val="0"/>
        </w:rPr>
        <w:footnoteReference w:id="6"/>
      </w:r>
      <w:r w:rsidRPr="007C0D91">
        <w:rPr>
          <w:rFonts w:asciiTheme="minorHAnsi" w:hAnsiTheme="minorHAnsi"/>
          <w:snapToGrid w:val="0"/>
        </w:rPr>
        <w:t xml:space="preserve">. </w:t>
      </w:r>
      <w:r w:rsidR="00D977E1" w:rsidRPr="007C0D91">
        <w:rPr>
          <w:rFonts w:asciiTheme="minorHAnsi" w:hAnsiTheme="minorHAnsi"/>
          <w:iCs/>
          <w:snapToGrid w:val="0"/>
        </w:rPr>
        <w:t xml:space="preserve">Population adjustment using IPTW should include known prognostic factors that are associated to an outcome, treatment-effect modifiers as well as any variables that affect the treatment‐selection process. </w:t>
      </w:r>
      <w:r w:rsidRPr="007C0D91">
        <w:rPr>
          <w:rFonts w:asciiTheme="minorHAnsi" w:hAnsiTheme="minorHAnsi"/>
          <w:iCs/>
          <w:snapToGrid w:val="0"/>
        </w:rPr>
        <w:t>Prognostic variables selected for weigh</w:t>
      </w:r>
      <w:r w:rsidR="004222AD" w:rsidRPr="007C0D91">
        <w:rPr>
          <w:rFonts w:asciiTheme="minorHAnsi" w:hAnsiTheme="minorHAnsi"/>
          <w:iCs/>
          <w:snapToGrid w:val="0"/>
        </w:rPr>
        <w:t>t</w:t>
      </w:r>
      <w:r w:rsidRPr="007C0D91">
        <w:rPr>
          <w:rFonts w:asciiTheme="minorHAnsi" w:hAnsiTheme="minorHAnsi"/>
          <w:iCs/>
          <w:snapToGrid w:val="0"/>
        </w:rPr>
        <w:t xml:space="preserve">ing were age, sex, smoking status, presence of brain metastases at baseline, and time since advanced diagnosis. Differences in study design between Study 101 and the comparator studies (prospective versus retrospective) </w:t>
      </w:r>
      <w:r w:rsidR="004222AD" w:rsidRPr="007C0D91">
        <w:rPr>
          <w:rFonts w:asciiTheme="minorHAnsi" w:hAnsiTheme="minorHAnsi"/>
          <w:iCs/>
          <w:snapToGrid w:val="0"/>
        </w:rPr>
        <w:t>had</w:t>
      </w:r>
      <w:r w:rsidRPr="007C0D91">
        <w:rPr>
          <w:rFonts w:asciiTheme="minorHAnsi" w:hAnsiTheme="minorHAnsi"/>
          <w:iCs/>
          <w:snapToGrid w:val="0"/>
        </w:rPr>
        <w:t xml:space="preserve"> a significant impact on data collection (baseline data and assessment of outcomes). Retrospective data </w:t>
      </w:r>
      <w:r w:rsidR="004222AD" w:rsidRPr="007C0D91">
        <w:rPr>
          <w:rFonts w:asciiTheme="minorHAnsi" w:hAnsiTheme="minorHAnsi"/>
          <w:iCs/>
          <w:snapToGrid w:val="0"/>
        </w:rPr>
        <w:t>was</w:t>
      </w:r>
      <w:r w:rsidRPr="007C0D91">
        <w:rPr>
          <w:rFonts w:asciiTheme="minorHAnsi" w:hAnsiTheme="minorHAnsi"/>
          <w:iCs/>
          <w:snapToGrid w:val="0"/>
        </w:rPr>
        <w:t xml:space="preserve"> less likely to be complete or accurate. This, in addition to the small number of patients included in the relevant comparator cohorts, limited the number of variables that could be adjusted in the IPTW and the reliability of the results. Additionally, there were differences in the timing of baseline data collection in the comparator studies such that collection of baseline characteristics </w:t>
      </w:r>
      <w:r w:rsidR="00CC0496" w:rsidRPr="007C0D91">
        <w:rPr>
          <w:rFonts w:asciiTheme="minorHAnsi" w:hAnsiTheme="minorHAnsi"/>
          <w:iCs/>
          <w:snapToGrid w:val="0"/>
        </w:rPr>
        <w:t>was</w:t>
      </w:r>
      <w:r w:rsidRPr="007C0D91">
        <w:rPr>
          <w:rFonts w:asciiTheme="minorHAnsi" w:hAnsiTheme="minorHAnsi"/>
          <w:iCs/>
          <w:snapToGrid w:val="0"/>
        </w:rPr>
        <w:t xml:space="preserve"> no</w:t>
      </w:r>
      <w:r w:rsidR="004222AD" w:rsidRPr="007C0D91">
        <w:rPr>
          <w:rFonts w:asciiTheme="minorHAnsi" w:hAnsiTheme="minorHAnsi"/>
          <w:iCs/>
          <w:snapToGrid w:val="0"/>
        </w:rPr>
        <w:t xml:space="preserve">t </w:t>
      </w:r>
      <w:r w:rsidRPr="007C0D91">
        <w:rPr>
          <w:rFonts w:asciiTheme="minorHAnsi" w:hAnsiTheme="minorHAnsi"/>
          <w:iCs/>
          <w:snapToGrid w:val="0"/>
        </w:rPr>
        <w:t>comparable between the different study cohorts or representative of patient status at treatment initiation after PBC.</w:t>
      </w:r>
    </w:p>
    <w:p w14:paraId="7E4022B3" w14:textId="32577F14"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Patient demographics and disease characteristics of the </w:t>
      </w:r>
      <w:r w:rsidR="00D728B8" w:rsidRPr="007C0D91">
        <w:rPr>
          <w:rFonts w:asciiTheme="minorHAnsi" w:hAnsiTheme="minorHAnsi"/>
          <w:snapToGrid w:val="0"/>
        </w:rPr>
        <w:t xml:space="preserve">mobocertinib </w:t>
      </w:r>
      <w:r w:rsidRPr="007C0D91">
        <w:rPr>
          <w:rFonts w:asciiTheme="minorHAnsi" w:hAnsiTheme="minorHAnsi"/>
          <w:snapToGrid w:val="0"/>
        </w:rPr>
        <w:t xml:space="preserve">PPP cohort from Study 101 (N=114) and the pooled chemotherapy cohort from the comparator studies (5008 and 5002) (N=23) are </w:t>
      </w:r>
      <w:r w:rsidR="00D728B8" w:rsidRPr="007C0D91">
        <w:rPr>
          <w:rFonts w:asciiTheme="minorHAnsi" w:hAnsiTheme="minorHAnsi"/>
          <w:snapToGrid w:val="0"/>
        </w:rPr>
        <w:t>presented</w:t>
      </w:r>
      <w:r w:rsidRPr="007C0D91">
        <w:rPr>
          <w:rFonts w:asciiTheme="minorHAnsi" w:hAnsiTheme="minorHAnsi"/>
          <w:snapToGrid w:val="0"/>
        </w:rPr>
        <w:t xml:space="preserve"> </w:t>
      </w:r>
      <w:r w:rsidRPr="007C0D91">
        <w:t xml:space="preserve">in </w:t>
      </w:r>
      <w:r w:rsidRPr="007C0D91">
        <w:fldChar w:fldCharType="begin"/>
      </w:r>
      <w:r w:rsidRPr="007C0D91">
        <w:instrText xml:space="preserve"> REF _Ref134001346 \h  \* MERGEFORMAT </w:instrText>
      </w:r>
      <w:r w:rsidRPr="007C0D91">
        <w:fldChar w:fldCharType="separate"/>
      </w:r>
      <w:r w:rsidR="00117491" w:rsidRPr="00117491">
        <w:t>Table 5</w:t>
      </w:r>
      <w:r w:rsidRPr="007C0D91">
        <w:fldChar w:fldCharType="end"/>
      </w:r>
      <w:r w:rsidRPr="007C0D91">
        <w:t>.</w:t>
      </w:r>
      <w:r w:rsidRPr="007C0D91">
        <w:rPr>
          <w:rFonts w:asciiTheme="minorHAnsi" w:hAnsiTheme="minorHAnsi"/>
          <w:snapToGrid w:val="0"/>
        </w:rPr>
        <w:t xml:space="preserve"> </w:t>
      </w:r>
    </w:p>
    <w:p w14:paraId="7D803AB7" w14:textId="489639A3" w:rsidR="005149D4" w:rsidRPr="007C0D91" w:rsidRDefault="005149D4" w:rsidP="005149D4">
      <w:pPr>
        <w:keepNext/>
        <w:keepLines/>
        <w:rPr>
          <w:rFonts w:ascii="Arial Narrow" w:hAnsi="Arial Narrow"/>
          <w:b/>
          <w:bCs/>
          <w:sz w:val="20"/>
          <w:szCs w:val="20"/>
        </w:rPr>
      </w:pPr>
      <w:bookmarkStart w:id="41" w:name="_Ref134001346"/>
      <w:r w:rsidRPr="007C0D91">
        <w:rPr>
          <w:rFonts w:ascii="Arial Narrow" w:hAnsi="Arial Narrow"/>
          <w:b/>
          <w:bCs/>
          <w:sz w:val="20"/>
          <w:szCs w:val="20"/>
        </w:rPr>
        <w:t xml:space="preserve">Table </w:t>
      </w:r>
      <w:r w:rsidRPr="007C0D91">
        <w:rPr>
          <w:rFonts w:ascii="Arial Narrow" w:hAnsi="Arial Narrow"/>
          <w:b/>
          <w:bCs/>
          <w:sz w:val="20"/>
          <w:szCs w:val="20"/>
        </w:rPr>
        <w:fldChar w:fldCharType="begin"/>
      </w:r>
      <w:r w:rsidRPr="007C0D91">
        <w:rPr>
          <w:rFonts w:ascii="Arial Narrow" w:hAnsi="Arial Narrow"/>
          <w:b/>
          <w:bCs/>
          <w:sz w:val="20"/>
          <w:szCs w:val="20"/>
        </w:rPr>
        <w:instrText xml:space="preserve"> SEQ Table \* ARABIC </w:instrText>
      </w:r>
      <w:r w:rsidRPr="007C0D91">
        <w:rPr>
          <w:rFonts w:ascii="Arial Narrow" w:hAnsi="Arial Narrow"/>
          <w:b/>
          <w:bCs/>
          <w:sz w:val="20"/>
          <w:szCs w:val="20"/>
        </w:rPr>
        <w:fldChar w:fldCharType="separate"/>
      </w:r>
      <w:r w:rsidR="00117491">
        <w:rPr>
          <w:rFonts w:ascii="Arial Narrow" w:hAnsi="Arial Narrow"/>
          <w:b/>
          <w:bCs/>
          <w:noProof/>
          <w:sz w:val="20"/>
          <w:szCs w:val="20"/>
        </w:rPr>
        <w:t>5</w:t>
      </w:r>
      <w:r w:rsidRPr="007C0D91">
        <w:rPr>
          <w:rFonts w:ascii="Arial Narrow" w:hAnsi="Arial Narrow"/>
          <w:b/>
          <w:bCs/>
          <w:sz w:val="20"/>
          <w:szCs w:val="20"/>
        </w:rPr>
        <w:fldChar w:fldCharType="end"/>
      </w:r>
      <w:bookmarkEnd w:id="41"/>
      <w:r w:rsidRPr="007C0D91">
        <w:rPr>
          <w:rFonts w:ascii="Arial Narrow" w:hAnsi="Arial Narrow"/>
          <w:b/>
          <w:bCs/>
          <w:sz w:val="20"/>
          <w:szCs w:val="20"/>
        </w:rPr>
        <w:t xml:space="preserve">: Baseline characteristics of the </w:t>
      </w:r>
      <w:r w:rsidR="006B088A" w:rsidRPr="007C0D91">
        <w:rPr>
          <w:rFonts w:ascii="Arial Narrow" w:hAnsi="Arial Narrow"/>
          <w:b/>
          <w:bCs/>
          <w:sz w:val="20"/>
          <w:szCs w:val="20"/>
        </w:rPr>
        <w:t xml:space="preserve">mobocertinib </w:t>
      </w:r>
      <w:r w:rsidRPr="007C0D91">
        <w:rPr>
          <w:rFonts w:ascii="Arial Narrow" w:hAnsi="Arial Narrow"/>
          <w:b/>
          <w:bCs/>
          <w:sz w:val="20"/>
          <w:szCs w:val="20"/>
        </w:rPr>
        <w:t>PPP cohort from Study 101 and the pooled chemotherapy cohort from Studies 5002 and 5008 before and after IPTW</w:t>
      </w:r>
    </w:p>
    <w:tbl>
      <w:tblPr>
        <w:tblStyle w:val="HTATableshaded9"/>
        <w:tblW w:w="5000" w:type="pct"/>
        <w:shd w:val="clear" w:color="auto" w:fill="FFFFFF" w:themeFill="background1"/>
        <w:tblLook w:val="0420" w:firstRow="1" w:lastRow="0" w:firstColumn="0" w:lastColumn="0" w:noHBand="0" w:noVBand="1"/>
      </w:tblPr>
      <w:tblGrid>
        <w:gridCol w:w="2394"/>
        <w:gridCol w:w="1307"/>
        <w:gridCol w:w="1229"/>
        <w:gridCol w:w="712"/>
        <w:gridCol w:w="716"/>
        <w:gridCol w:w="1229"/>
        <w:gridCol w:w="712"/>
        <w:gridCol w:w="718"/>
      </w:tblGrid>
      <w:tr w:rsidR="005149D4" w:rsidRPr="007C0D91" w14:paraId="4BE96CDE" w14:textId="77777777" w:rsidTr="00646849">
        <w:trPr>
          <w:cnfStyle w:val="100000000000" w:firstRow="1" w:lastRow="0" w:firstColumn="0" w:lastColumn="0" w:oddVBand="0" w:evenVBand="0" w:oddHBand="0" w:evenHBand="0" w:firstRowFirstColumn="0" w:firstRowLastColumn="0" w:lastRowFirstColumn="0" w:lastRowLastColumn="0"/>
          <w:trHeight w:val="217"/>
        </w:trPr>
        <w:tc>
          <w:tcPr>
            <w:tcW w:w="1328" w:type="pct"/>
            <w:vMerge w:val="restart"/>
            <w:tcBorders>
              <w:top w:val="none" w:sz="0" w:space="0" w:color="auto"/>
              <w:left w:val="none" w:sz="0" w:space="0" w:color="auto"/>
              <w:bottom w:val="none" w:sz="0" w:space="0" w:color="auto"/>
              <w:right w:val="none" w:sz="0" w:space="0" w:color="auto"/>
            </w:tcBorders>
            <w:shd w:val="clear" w:color="auto" w:fill="FFFFFF" w:themeFill="background1"/>
            <w:tcMar>
              <w:left w:w="40" w:type="dxa"/>
              <w:right w:w="40" w:type="dxa"/>
            </w:tcMar>
          </w:tcPr>
          <w:p w14:paraId="3B596AE7" w14:textId="77777777" w:rsidR="005149D4" w:rsidRPr="007C0D91" w:rsidRDefault="005149D4" w:rsidP="008869C7">
            <w:pPr>
              <w:pStyle w:val="Tabletext"/>
              <w:spacing w:before="0" w:after="0"/>
              <w:rPr>
                <w:b/>
              </w:rPr>
            </w:pPr>
            <w:r w:rsidRPr="007C0D91">
              <w:rPr>
                <w:b/>
              </w:rPr>
              <w:t>Baseline parameter</w:t>
            </w:r>
          </w:p>
        </w:tc>
        <w:tc>
          <w:tcPr>
            <w:tcW w:w="725" w:type="pct"/>
            <w:vMerge w:val="restart"/>
            <w:tcBorders>
              <w:top w:val="none" w:sz="0" w:space="0" w:color="auto"/>
              <w:left w:val="none" w:sz="0" w:space="0" w:color="auto"/>
              <w:bottom w:val="none" w:sz="0" w:space="0" w:color="auto"/>
              <w:right w:val="none" w:sz="0" w:space="0" w:color="auto"/>
            </w:tcBorders>
            <w:shd w:val="clear" w:color="auto" w:fill="FFFFFF" w:themeFill="background1"/>
            <w:tcMar>
              <w:left w:w="40" w:type="dxa"/>
              <w:right w:w="40" w:type="dxa"/>
            </w:tcMar>
          </w:tcPr>
          <w:p w14:paraId="7066F376" w14:textId="77777777" w:rsidR="005149D4" w:rsidRPr="007C0D91" w:rsidRDefault="005149D4" w:rsidP="008869C7">
            <w:pPr>
              <w:pStyle w:val="Tabletext"/>
              <w:spacing w:before="0" w:after="0"/>
              <w:rPr>
                <w:b/>
              </w:rPr>
            </w:pPr>
            <w:r w:rsidRPr="007C0D91">
              <w:rPr>
                <w:b/>
              </w:rPr>
              <w:t>Mobocertinib</w:t>
            </w:r>
          </w:p>
          <w:p w14:paraId="3896E403" w14:textId="77777777" w:rsidR="005149D4" w:rsidRPr="007C0D91" w:rsidRDefault="005149D4" w:rsidP="008869C7">
            <w:pPr>
              <w:pStyle w:val="Tabletext"/>
              <w:spacing w:before="0" w:after="0"/>
              <w:rPr>
                <w:b/>
              </w:rPr>
            </w:pPr>
            <w:r w:rsidRPr="007C0D91">
              <w:rPr>
                <w:b/>
              </w:rPr>
              <w:t xml:space="preserve">PPP cohort </w:t>
            </w:r>
          </w:p>
        </w:tc>
        <w:tc>
          <w:tcPr>
            <w:tcW w:w="1473" w:type="pct"/>
            <w:gridSpan w:val="3"/>
            <w:tcBorders>
              <w:top w:val="none" w:sz="0" w:space="0" w:color="auto"/>
              <w:left w:val="none" w:sz="0" w:space="0" w:color="auto"/>
              <w:bottom w:val="none" w:sz="0" w:space="0" w:color="auto"/>
              <w:right w:val="none" w:sz="0" w:space="0" w:color="auto"/>
            </w:tcBorders>
            <w:shd w:val="clear" w:color="auto" w:fill="FFFFFF" w:themeFill="background1"/>
            <w:tcMar>
              <w:left w:w="40" w:type="dxa"/>
              <w:right w:w="40" w:type="dxa"/>
            </w:tcMar>
          </w:tcPr>
          <w:p w14:paraId="0FB62188" w14:textId="77777777" w:rsidR="005149D4" w:rsidRPr="007C0D91" w:rsidRDefault="005149D4" w:rsidP="008869C7">
            <w:pPr>
              <w:pStyle w:val="Tabletext"/>
              <w:spacing w:before="0" w:after="0"/>
              <w:rPr>
                <w:b/>
              </w:rPr>
            </w:pPr>
            <w:r w:rsidRPr="007C0D91">
              <w:rPr>
                <w:b/>
              </w:rPr>
              <w:t>Before IPTW</w:t>
            </w:r>
          </w:p>
        </w:tc>
        <w:tc>
          <w:tcPr>
            <w:tcW w:w="1474" w:type="pct"/>
            <w:gridSpan w:val="3"/>
            <w:tcBorders>
              <w:top w:val="none" w:sz="0" w:space="0" w:color="auto"/>
              <w:left w:val="none" w:sz="0" w:space="0" w:color="auto"/>
              <w:bottom w:val="none" w:sz="0" w:space="0" w:color="auto"/>
              <w:right w:val="none" w:sz="0" w:space="0" w:color="auto"/>
            </w:tcBorders>
            <w:shd w:val="clear" w:color="auto" w:fill="FFFFFF" w:themeFill="background1"/>
            <w:tcMar>
              <w:left w:w="40" w:type="dxa"/>
              <w:right w:w="40" w:type="dxa"/>
            </w:tcMar>
          </w:tcPr>
          <w:p w14:paraId="59311B19" w14:textId="77777777" w:rsidR="005149D4" w:rsidRPr="007C0D91" w:rsidRDefault="005149D4" w:rsidP="008869C7">
            <w:pPr>
              <w:pStyle w:val="Tabletext"/>
              <w:spacing w:before="0" w:after="0"/>
              <w:rPr>
                <w:b/>
              </w:rPr>
            </w:pPr>
            <w:r w:rsidRPr="007C0D91">
              <w:rPr>
                <w:b/>
              </w:rPr>
              <w:t>After IPTW</w:t>
            </w:r>
          </w:p>
        </w:tc>
      </w:tr>
      <w:tr w:rsidR="00646849" w:rsidRPr="007C0D91" w14:paraId="0799014B" w14:textId="77777777" w:rsidTr="00646849">
        <w:trPr>
          <w:trHeight w:val="217"/>
        </w:trPr>
        <w:tc>
          <w:tcPr>
            <w:tcW w:w="1328" w:type="pct"/>
            <w:vMerge/>
            <w:shd w:val="clear" w:color="auto" w:fill="FFFFFF" w:themeFill="background1"/>
            <w:tcMar>
              <w:left w:w="40" w:type="dxa"/>
              <w:right w:w="40" w:type="dxa"/>
            </w:tcMar>
          </w:tcPr>
          <w:p w14:paraId="550251DF" w14:textId="77777777" w:rsidR="005149D4" w:rsidRPr="007C0D91" w:rsidRDefault="005149D4" w:rsidP="008869C7">
            <w:pPr>
              <w:pStyle w:val="Tabletext"/>
              <w:spacing w:before="0" w:after="0"/>
              <w:rPr>
                <w:b/>
              </w:rPr>
            </w:pPr>
          </w:p>
        </w:tc>
        <w:tc>
          <w:tcPr>
            <w:tcW w:w="725" w:type="pct"/>
            <w:vMerge/>
            <w:shd w:val="clear" w:color="auto" w:fill="FFFFFF" w:themeFill="background1"/>
            <w:tcMar>
              <w:left w:w="40" w:type="dxa"/>
              <w:right w:w="40" w:type="dxa"/>
            </w:tcMar>
          </w:tcPr>
          <w:p w14:paraId="550BADF4" w14:textId="77777777" w:rsidR="005149D4" w:rsidRPr="007C0D91" w:rsidRDefault="005149D4" w:rsidP="008869C7">
            <w:pPr>
              <w:pStyle w:val="Tabletext"/>
              <w:spacing w:before="0" w:after="0"/>
              <w:rPr>
                <w:b/>
              </w:rPr>
            </w:pPr>
          </w:p>
        </w:tc>
        <w:tc>
          <w:tcPr>
            <w:tcW w:w="681" w:type="pct"/>
            <w:shd w:val="clear" w:color="auto" w:fill="FFFFFF" w:themeFill="background1"/>
            <w:tcMar>
              <w:left w:w="40" w:type="dxa"/>
              <w:right w:w="40" w:type="dxa"/>
            </w:tcMar>
          </w:tcPr>
          <w:p w14:paraId="3C1D5098" w14:textId="77777777" w:rsidR="005149D4" w:rsidRPr="007C0D91" w:rsidRDefault="005149D4" w:rsidP="008869C7">
            <w:pPr>
              <w:pStyle w:val="Tabletext"/>
              <w:spacing w:before="0" w:after="0"/>
              <w:rPr>
                <w:b/>
              </w:rPr>
            </w:pPr>
            <w:r w:rsidRPr="007C0D91">
              <w:rPr>
                <w:b/>
              </w:rPr>
              <w:t>Chemotherapy cohort</w:t>
            </w:r>
          </w:p>
        </w:tc>
        <w:tc>
          <w:tcPr>
            <w:tcW w:w="395" w:type="pct"/>
            <w:shd w:val="clear" w:color="auto" w:fill="FFFFFF" w:themeFill="background1"/>
            <w:tcMar>
              <w:left w:w="40" w:type="dxa"/>
              <w:right w:w="40" w:type="dxa"/>
            </w:tcMar>
          </w:tcPr>
          <w:p w14:paraId="4BA9A0B9" w14:textId="77777777" w:rsidR="005149D4" w:rsidRPr="007C0D91" w:rsidRDefault="005149D4" w:rsidP="008869C7">
            <w:pPr>
              <w:pStyle w:val="Tabletext"/>
              <w:spacing w:before="0" w:after="0"/>
              <w:rPr>
                <w:b/>
              </w:rPr>
            </w:pPr>
            <w:r w:rsidRPr="007C0D91">
              <w:rPr>
                <w:b/>
              </w:rPr>
              <w:t>P value</w:t>
            </w:r>
          </w:p>
        </w:tc>
        <w:tc>
          <w:tcPr>
            <w:tcW w:w="396" w:type="pct"/>
            <w:shd w:val="clear" w:color="auto" w:fill="FFFFFF" w:themeFill="background1"/>
            <w:tcMar>
              <w:left w:w="40" w:type="dxa"/>
              <w:right w:w="40" w:type="dxa"/>
            </w:tcMar>
          </w:tcPr>
          <w:p w14:paraId="4587BA50" w14:textId="77777777" w:rsidR="005149D4" w:rsidRPr="007C0D91" w:rsidRDefault="005149D4" w:rsidP="008869C7">
            <w:pPr>
              <w:pStyle w:val="Tabletext"/>
              <w:spacing w:before="0" w:after="0"/>
              <w:rPr>
                <w:b/>
              </w:rPr>
            </w:pPr>
            <w:r w:rsidRPr="007C0D91">
              <w:rPr>
                <w:b/>
              </w:rPr>
              <w:t>SMD</w:t>
            </w:r>
          </w:p>
        </w:tc>
        <w:tc>
          <w:tcPr>
            <w:tcW w:w="681" w:type="pct"/>
            <w:shd w:val="clear" w:color="auto" w:fill="FFFFFF" w:themeFill="background1"/>
            <w:tcMar>
              <w:left w:w="40" w:type="dxa"/>
              <w:right w:w="40" w:type="dxa"/>
            </w:tcMar>
          </w:tcPr>
          <w:p w14:paraId="0303787E" w14:textId="77777777" w:rsidR="005149D4" w:rsidRPr="007C0D91" w:rsidRDefault="005149D4" w:rsidP="008869C7">
            <w:pPr>
              <w:pStyle w:val="Tabletext"/>
              <w:spacing w:before="0" w:after="0"/>
              <w:rPr>
                <w:b/>
              </w:rPr>
            </w:pPr>
            <w:r w:rsidRPr="007C0D91">
              <w:rPr>
                <w:b/>
              </w:rPr>
              <w:t>Chemotherapy cohort</w:t>
            </w:r>
          </w:p>
        </w:tc>
        <w:tc>
          <w:tcPr>
            <w:tcW w:w="395" w:type="pct"/>
            <w:shd w:val="clear" w:color="auto" w:fill="FFFFFF" w:themeFill="background1"/>
            <w:tcMar>
              <w:left w:w="40" w:type="dxa"/>
              <w:right w:w="40" w:type="dxa"/>
            </w:tcMar>
          </w:tcPr>
          <w:p w14:paraId="37321CB1" w14:textId="77777777" w:rsidR="005149D4" w:rsidRPr="007C0D91" w:rsidRDefault="005149D4" w:rsidP="008869C7">
            <w:pPr>
              <w:pStyle w:val="Tabletext"/>
              <w:spacing w:before="0" w:after="0"/>
              <w:rPr>
                <w:b/>
              </w:rPr>
            </w:pPr>
            <w:r w:rsidRPr="007C0D91">
              <w:rPr>
                <w:b/>
              </w:rPr>
              <w:t>P value</w:t>
            </w:r>
          </w:p>
        </w:tc>
        <w:tc>
          <w:tcPr>
            <w:tcW w:w="397" w:type="pct"/>
            <w:shd w:val="clear" w:color="auto" w:fill="FFFFFF" w:themeFill="background1"/>
            <w:tcMar>
              <w:left w:w="40" w:type="dxa"/>
              <w:right w:w="40" w:type="dxa"/>
            </w:tcMar>
          </w:tcPr>
          <w:p w14:paraId="18837E82" w14:textId="77777777" w:rsidR="005149D4" w:rsidRPr="007C0D91" w:rsidRDefault="005149D4" w:rsidP="008869C7">
            <w:pPr>
              <w:pStyle w:val="Tabletext"/>
              <w:spacing w:before="0" w:after="0"/>
              <w:rPr>
                <w:b/>
              </w:rPr>
            </w:pPr>
            <w:r w:rsidRPr="007C0D91">
              <w:rPr>
                <w:b/>
              </w:rPr>
              <w:t>SMD</w:t>
            </w:r>
          </w:p>
        </w:tc>
      </w:tr>
      <w:tr w:rsidR="00646849" w:rsidRPr="007C0D91" w14:paraId="5C12E06F" w14:textId="77777777" w:rsidTr="00646849">
        <w:trPr>
          <w:trHeight w:val="217"/>
        </w:trPr>
        <w:tc>
          <w:tcPr>
            <w:tcW w:w="1328" w:type="pct"/>
            <w:shd w:val="clear" w:color="auto" w:fill="FFFFFF" w:themeFill="background1"/>
            <w:tcMar>
              <w:left w:w="40" w:type="dxa"/>
              <w:right w:w="40" w:type="dxa"/>
            </w:tcMar>
            <w:hideMark/>
          </w:tcPr>
          <w:p w14:paraId="13D35957" w14:textId="77777777" w:rsidR="005149D4" w:rsidRPr="007C0D91" w:rsidRDefault="005149D4" w:rsidP="008869C7">
            <w:pPr>
              <w:pStyle w:val="Tabletext"/>
              <w:spacing w:before="0" w:after="0"/>
            </w:pPr>
            <w:r w:rsidRPr="007C0D91">
              <w:t>Sample size, N</w:t>
            </w:r>
          </w:p>
        </w:tc>
        <w:tc>
          <w:tcPr>
            <w:tcW w:w="725" w:type="pct"/>
            <w:shd w:val="clear" w:color="auto" w:fill="FFFFFF" w:themeFill="background1"/>
            <w:tcMar>
              <w:left w:w="40" w:type="dxa"/>
              <w:right w:w="40" w:type="dxa"/>
            </w:tcMar>
            <w:hideMark/>
          </w:tcPr>
          <w:p w14:paraId="2E170FD6" w14:textId="77777777" w:rsidR="005149D4" w:rsidRPr="007C0D91" w:rsidRDefault="005149D4" w:rsidP="008869C7">
            <w:pPr>
              <w:pStyle w:val="Tabletext"/>
              <w:spacing w:before="0" w:after="0"/>
            </w:pPr>
            <w:r w:rsidRPr="007C0D91">
              <w:t>114</w:t>
            </w:r>
          </w:p>
        </w:tc>
        <w:tc>
          <w:tcPr>
            <w:tcW w:w="681" w:type="pct"/>
            <w:shd w:val="clear" w:color="auto" w:fill="FFFFFF" w:themeFill="background1"/>
            <w:tcMar>
              <w:left w:w="40" w:type="dxa"/>
              <w:right w:w="40" w:type="dxa"/>
            </w:tcMar>
          </w:tcPr>
          <w:p w14:paraId="45C7452E" w14:textId="77777777" w:rsidR="005149D4" w:rsidRPr="007C0D91" w:rsidRDefault="005149D4" w:rsidP="008869C7">
            <w:pPr>
              <w:pStyle w:val="Tabletext"/>
              <w:spacing w:before="0" w:after="0"/>
            </w:pPr>
            <w:r w:rsidRPr="007C0D91">
              <w:t>23</w:t>
            </w:r>
          </w:p>
        </w:tc>
        <w:tc>
          <w:tcPr>
            <w:tcW w:w="395" w:type="pct"/>
            <w:shd w:val="clear" w:color="auto" w:fill="FFFFFF" w:themeFill="background1"/>
            <w:tcMar>
              <w:left w:w="40" w:type="dxa"/>
              <w:right w:w="40" w:type="dxa"/>
            </w:tcMar>
          </w:tcPr>
          <w:p w14:paraId="08B5D7A5" w14:textId="77777777" w:rsidR="005149D4" w:rsidRPr="007C0D91" w:rsidRDefault="005149D4" w:rsidP="008869C7">
            <w:pPr>
              <w:pStyle w:val="Tabletext"/>
              <w:spacing w:before="0" w:after="0"/>
            </w:pPr>
          </w:p>
        </w:tc>
        <w:tc>
          <w:tcPr>
            <w:tcW w:w="396" w:type="pct"/>
            <w:shd w:val="clear" w:color="auto" w:fill="FFFFFF" w:themeFill="background1"/>
            <w:tcMar>
              <w:left w:w="40" w:type="dxa"/>
              <w:right w:w="40" w:type="dxa"/>
            </w:tcMar>
            <w:hideMark/>
          </w:tcPr>
          <w:p w14:paraId="431E97ED" w14:textId="77777777" w:rsidR="005149D4" w:rsidRPr="007C0D91" w:rsidRDefault="005149D4" w:rsidP="008869C7">
            <w:pPr>
              <w:pStyle w:val="Tabletext"/>
              <w:spacing w:before="0" w:after="0"/>
            </w:pPr>
          </w:p>
        </w:tc>
        <w:tc>
          <w:tcPr>
            <w:tcW w:w="681" w:type="pct"/>
            <w:shd w:val="clear" w:color="auto" w:fill="FFFFFF" w:themeFill="background1"/>
            <w:tcMar>
              <w:left w:w="40" w:type="dxa"/>
              <w:right w:w="40" w:type="dxa"/>
            </w:tcMar>
          </w:tcPr>
          <w:p w14:paraId="07B747C7" w14:textId="77777777" w:rsidR="005149D4" w:rsidRPr="007C0D91" w:rsidRDefault="005149D4" w:rsidP="008869C7">
            <w:pPr>
              <w:pStyle w:val="Tabletext"/>
              <w:spacing w:before="0" w:after="0"/>
            </w:pPr>
            <w:r w:rsidRPr="007C0D91">
              <w:t>115</w:t>
            </w:r>
          </w:p>
        </w:tc>
        <w:tc>
          <w:tcPr>
            <w:tcW w:w="395" w:type="pct"/>
            <w:shd w:val="clear" w:color="auto" w:fill="FFFFFF" w:themeFill="background1"/>
            <w:tcMar>
              <w:left w:w="40" w:type="dxa"/>
              <w:right w:w="40" w:type="dxa"/>
            </w:tcMar>
          </w:tcPr>
          <w:p w14:paraId="1D494741" w14:textId="77777777" w:rsidR="005149D4" w:rsidRPr="007C0D91" w:rsidRDefault="005149D4" w:rsidP="008869C7">
            <w:pPr>
              <w:pStyle w:val="Tabletext"/>
              <w:spacing w:before="0" w:after="0"/>
            </w:pPr>
          </w:p>
        </w:tc>
        <w:tc>
          <w:tcPr>
            <w:tcW w:w="397" w:type="pct"/>
            <w:shd w:val="clear" w:color="auto" w:fill="FFFFFF" w:themeFill="background1"/>
            <w:tcMar>
              <w:left w:w="40" w:type="dxa"/>
              <w:right w:w="40" w:type="dxa"/>
            </w:tcMar>
          </w:tcPr>
          <w:p w14:paraId="1F3F57AA" w14:textId="77777777" w:rsidR="005149D4" w:rsidRPr="007C0D91" w:rsidRDefault="005149D4" w:rsidP="008869C7">
            <w:pPr>
              <w:pStyle w:val="Tabletext"/>
              <w:spacing w:before="0" w:after="0"/>
            </w:pPr>
          </w:p>
        </w:tc>
      </w:tr>
      <w:tr w:rsidR="00646849" w:rsidRPr="007C0D91" w14:paraId="279BCF47" w14:textId="77777777" w:rsidTr="00646849">
        <w:trPr>
          <w:trHeight w:val="218"/>
        </w:trPr>
        <w:tc>
          <w:tcPr>
            <w:tcW w:w="1328" w:type="pct"/>
            <w:shd w:val="clear" w:color="auto" w:fill="FFFFFF" w:themeFill="background1"/>
            <w:tcMar>
              <w:left w:w="40" w:type="dxa"/>
              <w:right w:w="40" w:type="dxa"/>
            </w:tcMar>
          </w:tcPr>
          <w:p w14:paraId="3D9B1841" w14:textId="1D929819" w:rsidR="0046051D" w:rsidRPr="007C0D91" w:rsidRDefault="0046051D" w:rsidP="00646849">
            <w:pPr>
              <w:pStyle w:val="Tabletext"/>
              <w:spacing w:before="0" w:after="0"/>
            </w:pPr>
            <w:r w:rsidRPr="007C0D91">
              <w:t>ESS</w:t>
            </w:r>
          </w:p>
        </w:tc>
        <w:tc>
          <w:tcPr>
            <w:tcW w:w="725" w:type="pct"/>
            <w:shd w:val="clear" w:color="auto" w:fill="FFFFFF" w:themeFill="background1"/>
            <w:tcMar>
              <w:left w:w="40" w:type="dxa"/>
              <w:right w:w="40" w:type="dxa"/>
            </w:tcMar>
          </w:tcPr>
          <w:p w14:paraId="01FE3ED3" w14:textId="1ABA26EC" w:rsidR="0046051D" w:rsidRPr="007C0D91" w:rsidRDefault="000D5545" w:rsidP="00646849">
            <w:pPr>
              <w:pStyle w:val="Tabletext"/>
              <w:spacing w:before="0" w:after="0"/>
            </w:pPr>
            <w:r w:rsidRPr="007C0D91">
              <w:t>–</w:t>
            </w:r>
          </w:p>
        </w:tc>
        <w:tc>
          <w:tcPr>
            <w:tcW w:w="681" w:type="pct"/>
            <w:shd w:val="clear" w:color="auto" w:fill="FFFFFF" w:themeFill="background1"/>
            <w:tcMar>
              <w:left w:w="40" w:type="dxa"/>
              <w:right w:w="40" w:type="dxa"/>
            </w:tcMar>
          </w:tcPr>
          <w:p w14:paraId="11BCC387" w14:textId="595401E1" w:rsidR="0046051D" w:rsidRPr="007C0D91" w:rsidRDefault="000D5545" w:rsidP="00646849">
            <w:pPr>
              <w:pStyle w:val="Tabletext"/>
              <w:spacing w:before="0" w:after="0"/>
            </w:pPr>
            <w:r w:rsidRPr="007C0D91">
              <w:t>–</w:t>
            </w:r>
          </w:p>
        </w:tc>
        <w:tc>
          <w:tcPr>
            <w:tcW w:w="395" w:type="pct"/>
            <w:shd w:val="clear" w:color="auto" w:fill="FFFFFF" w:themeFill="background1"/>
            <w:tcMar>
              <w:left w:w="40" w:type="dxa"/>
              <w:right w:w="40" w:type="dxa"/>
            </w:tcMar>
          </w:tcPr>
          <w:p w14:paraId="11A5BF3B" w14:textId="06D8EB82" w:rsidR="0046051D" w:rsidRPr="007C0D91" w:rsidRDefault="000D5545" w:rsidP="00646849">
            <w:pPr>
              <w:pStyle w:val="Tabletext"/>
              <w:spacing w:before="0" w:after="0"/>
            </w:pPr>
            <w:r w:rsidRPr="007C0D91">
              <w:t>–</w:t>
            </w:r>
          </w:p>
        </w:tc>
        <w:tc>
          <w:tcPr>
            <w:tcW w:w="396" w:type="pct"/>
            <w:shd w:val="clear" w:color="auto" w:fill="FFFFFF" w:themeFill="background1"/>
            <w:tcMar>
              <w:left w:w="40" w:type="dxa"/>
              <w:right w:w="40" w:type="dxa"/>
            </w:tcMar>
          </w:tcPr>
          <w:p w14:paraId="1EA5F2DB" w14:textId="4ACF9ABD" w:rsidR="0046051D" w:rsidRPr="007C0D91" w:rsidRDefault="000D5545" w:rsidP="00646849">
            <w:pPr>
              <w:pStyle w:val="Tabletext"/>
              <w:spacing w:before="0" w:after="0"/>
            </w:pPr>
            <w:r w:rsidRPr="007C0D91">
              <w:t>–</w:t>
            </w:r>
          </w:p>
        </w:tc>
        <w:tc>
          <w:tcPr>
            <w:tcW w:w="681" w:type="pct"/>
            <w:shd w:val="clear" w:color="auto" w:fill="FFFFFF" w:themeFill="background1"/>
            <w:tcMar>
              <w:left w:w="40" w:type="dxa"/>
              <w:right w:w="40" w:type="dxa"/>
            </w:tcMar>
          </w:tcPr>
          <w:p w14:paraId="5F628CC7" w14:textId="1D4250C3" w:rsidR="0046051D" w:rsidRPr="007C0D91" w:rsidRDefault="0046051D" w:rsidP="00646849">
            <w:pPr>
              <w:pStyle w:val="Tabletext"/>
              <w:spacing w:before="0" w:after="0"/>
            </w:pPr>
            <w:r w:rsidRPr="007C0D91">
              <w:t>15.6</w:t>
            </w:r>
          </w:p>
        </w:tc>
        <w:tc>
          <w:tcPr>
            <w:tcW w:w="395" w:type="pct"/>
            <w:shd w:val="clear" w:color="auto" w:fill="FFFFFF" w:themeFill="background1"/>
            <w:tcMar>
              <w:left w:w="40" w:type="dxa"/>
              <w:right w:w="40" w:type="dxa"/>
            </w:tcMar>
          </w:tcPr>
          <w:p w14:paraId="62BFAA99" w14:textId="19702D90" w:rsidR="0046051D" w:rsidRPr="007C0D91" w:rsidRDefault="000D5545" w:rsidP="00646849">
            <w:pPr>
              <w:pStyle w:val="Tabletext"/>
              <w:spacing w:before="0" w:after="0"/>
            </w:pPr>
            <w:r w:rsidRPr="007C0D91">
              <w:t>–</w:t>
            </w:r>
          </w:p>
        </w:tc>
        <w:tc>
          <w:tcPr>
            <w:tcW w:w="397" w:type="pct"/>
            <w:shd w:val="clear" w:color="auto" w:fill="FFFFFF" w:themeFill="background1"/>
            <w:tcMar>
              <w:left w:w="40" w:type="dxa"/>
              <w:right w:w="40" w:type="dxa"/>
            </w:tcMar>
          </w:tcPr>
          <w:p w14:paraId="6E009688" w14:textId="7F90AC2C" w:rsidR="0046051D" w:rsidRPr="007C0D91" w:rsidRDefault="000D5545" w:rsidP="00646849">
            <w:pPr>
              <w:pStyle w:val="Tabletext"/>
              <w:spacing w:before="0" w:after="0"/>
            </w:pPr>
            <w:r w:rsidRPr="007C0D91">
              <w:t>–</w:t>
            </w:r>
          </w:p>
        </w:tc>
      </w:tr>
      <w:tr w:rsidR="00646849" w:rsidRPr="007C0D91" w14:paraId="2F6107BC" w14:textId="77777777" w:rsidTr="00646849">
        <w:trPr>
          <w:trHeight w:val="244"/>
        </w:trPr>
        <w:tc>
          <w:tcPr>
            <w:tcW w:w="1328" w:type="pct"/>
            <w:shd w:val="clear" w:color="auto" w:fill="FFFFFF" w:themeFill="background1"/>
            <w:tcMar>
              <w:left w:w="40" w:type="dxa"/>
              <w:right w:w="40" w:type="dxa"/>
            </w:tcMar>
            <w:hideMark/>
          </w:tcPr>
          <w:p w14:paraId="5B38EDB2" w14:textId="77777777" w:rsidR="0046051D" w:rsidRPr="007C0D91" w:rsidRDefault="0046051D" w:rsidP="0046051D">
            <w:pPr>
              <w:pStyle w:val="Tabletext"/>
              <w:spacing w:before="0" w:after="0"/>
            </w:pPr>
            <w:r w:rsidRPr="007C0D91">
              <w:t>Age: mean (SD)</w:t>
            </w:r>
            <w:r w:rsidRPr="007C0D91">
              <w:rPr>
                <w:vertAlign w:val="superscript"/>
              </w:rPr>
              <w:t>a</w:t>
            </w:r>
          </w:p>
        </w:tc>
        <w:tc>
          <w:tcPr>
            <w:tcW w:w="725" w:type="pct"/>
            <w:shd w:val="clear" w:color="auto" w:fill="FFFFFF" w:themeFill="background1"/>
            <w:tcMar>
              <w:left w:w="40" w:type="dxa"/>
              <w:right w:w="40" w:type="dxa"/>
            </w:tcMar>
            <w:hideMark/>
          </w:tcPr>
          <w:p w14:paraId="3203AAAB" w14:textId="77777777" w:rsidR="0046051D" w:rsidRPr="007C0D91" w:rsidRDefault="0046051D" w:rsidP="0046051D">
            <w:pPr>
              <w:pStyle w:val="Tabletext"/>
              <w:spacing w:before="0" w:after="0"/>
            </w:pPr>
            <w:r w:rsidRPr="007C0D91">
              <w:t>59.6 (11.5)</w:t>
            </w:r>
          </w:p>
        </w:tc>
        <w:tc>
          <w:tcPr>
            <w:tcW w:w="681" w:type="pct"/>
            <w:shd w:val="clear" w:color="auto" w:fill="FFFFFF" w:themeFill="background1"/>
            <w:tcMar>
              <w:left w:w="40" w:type="dxa"/>
              <w:right w:w="40" w:type="dxa"/>
            </w:tcMar>
          </w:tcPr>
          <w:p w14:paraId="51B73644" w14:textId="77777777" w:rsidR="0046051D" w:rsidRPr="007C0D91" w:rsidRDefault="0046051D" w:rsidP="0046051D">
            <w:pPr>
              <w:pStyle w:val="Tabletext"/>
              <w:spacing w:before="0" w:after="0"/>
            </w:pPr>
            <w:r w:rsidRPr="007C0D91">
              <w:t>63.8 (11.8)</w:t>
            </w:r>
          </w:p>
        </w:tc>
        <w:tc>
          <w:tcPr>
            <w:tcW w:w="395" w:type="pct"/>
            <w:shd w:val="clear" w:color="auto" w:fill="FFFFFF" w:themeFill="background1"/>
            <w:tcMar>
              <w:left w:w="40" w:type="dxa"/>
              <w:right w:w="40" w:type="dxa"/>
            </w:tcMar>
          </w:tcPr>
          <w:p w14:paraId="7CA9A7DD" w14:textId="32F665F9" w:rsidR="0046051D" w:rsidRPr="007C0D91" w:rsidRDefault="0046051D" w:rsidP="0046051D">
            <w:pPr>
              <w:pStyle w:val="Tabletext"/>
              <w:spacing w:before="0" w:after="0"/>
            </w:pPr>
            <w:r w:rsidRPr="007C0D91">
              <w:t>0.112</w:t>
            </w:r>
          </w:p>
        </w:tc>
        <w:tc>
          <w:tcPr>
            <w:tcW w:w="396" w:type="pct"/>
            <w:shd w:val="clear" w:color="auto" w:fill="FFFFFF" w:themeFill="background1"/>
            <w:tcMar>
              <w:left w:w="40" w:type="dxa"/>
              <w:right w:w="40" w:type="dxa"/>
            </w:tcMar>
          </w:tcPr>
          <w:p w14:paraId="1399CF56" w14:textId="11B33CE3" w:rsidR="0046051D" w:rsidRPr="007C0D91" w:rsidRDefault="0046051D" w:rsidP="0046051D">
            <w:pPr>
              <w:pStyle w:val="Tabletext"/>
              <w:spacing w:before="0" w:after="0"/>
            </w:pPr>
            <w:r w:rsidRPr="007C0D91">
              <w:t>0.363</w:t>
            </w:r>
          </w:p>
        </w:tc>
        <w:tc>
          <w:tcPr>
            <w:tcW w:w="681" w:type="pct"/>
            <w:shd w:val="clear" w:color="auto" w:fill="FFFFFF" w:themeFill="background1"/>
            <w:tcMar>
              <w:left w:w="40" w:type="dxa"/>
              <w:right w:w="40" w:type="dxa"/>
            </w:tcMar>
          </w:tcPr>
          <w:p w14:paraId="0EB3C813" w14:textId="77777777" w:rsidR="0046051D" w:rsidRPr="007C0D91" w:rsidRDefault="0046051D" w:rsidP="0046051D">
            <w:pPr>
              <w:pStyle w:val="Tabletext"/>
              <w:spacing w:before="0" w:after="0"/>
            </w:pPr>
            <w:r w:rsidRPr="007C0D91">
              <w:t>58.1 (12.6)</w:t>
            </w:r>
          </w:p>
        </w:tc>
        <w:tc>
          <w:tcPr>
            <w:tcW w:w="395" w:type="pct"/>
            <w:shd w:val="clear" w:color="auto" w:fill="FFFFFF" w:themeFill="background1"/>
            <w:tcMar>
              <w:left w:w="40" w:type="dxa"/>
              <w:right w:w="40" w:type="dxa"/>
            </w:tcMar>
          </w:tcPr>
          <w:p w14:paraId="220F2C5D" w14:textId="77777777" w:rsidR="0046051D" w:rsidRPr="007C0D91" w:rsidRDefault="0046051D" w:rsidP="0046051D">
            <w:pPr>
              <w:pStyle w:val="Tabletext"/>
              <w:spacing w:before="0" w:after="0"/>
            </w:pPr>
            <w:r w:rsidRPr="007C0D91">
              <w:t>0.6555</w:t>
            </w:r>
          </w:p>
        </w:tc>
        <w:tc>
          <w:tcPr>
            <w:tcW w:w="397" w:type="pct"/>
            <w:shd w:val="clear" w:color="auto" w:fill="FFFFFF" w:themeFill="background1"/>
            <w:tcMar>
              <w:left w:w="40" w:type="dxa"/>
              <w:right w:w="40" w:type="dxa"/>
            </w:tcMar>
          </w:tcPr>
          <w:p w14:paraId="3B25ACC0" w14:textId="6BCF8CA8" w:rsidR="0046051D" w:rsidRPr="007C0D91" w:rsidRDefault="0046051D" w:rsidP="0046051D">
            <w:pPr>
              <w:pStyle w:val="Tabletext"/>
              <w:spacing w:before="0" w:after="0"/>
            </w:pPr>
            <w:r w:rsidRPr="007C0D91">
              <w:t>0.126</w:t>
            </w:r>
          </w:p>
        </w:tc>
      </w:tr>
      <w:tr w:rsidR="00646849" w:rsidRPr="007C0D91" w14:paraId="5A23AB5E" w14:textId="77777777" w:rsidTr="00646849">
        <w:trPr>
          <w:trHeight w:val="244"/>
        </w:trPr>
        <w:tc>
          <w:tcPr>
            <w:tcW w:w="1328" w:type="pct"/>
            <w:shd w:val="clear" w:color="auto" w:fill="FFFFFF" w:themeFill="background1"/>
            <w:tcMar>
              <w:left w:w="40" w:type="dxa"/>
              <w:right w:w="40" w:type="dxa"/>
            </w:tcMar>
            <w:hideMark/>
          </w:tcPr>
          <w:p w14:paraId="387283CD" w14:textId="77777777" w:rsidR="0046051D" w:rsidRPr="007C0D91" w:rsidRDefault="0046051D" w:rsidP="0046051D">
            <w:pPr>
              <w:pStyle w:val="Tabletext"/>
              <w:spacing w:before="0" w:after="0"/>
            </w:pPr>
            <w:r w:rsidRPr="007C0D91">
              <w:t>Sex = Female (</w:t>
            </w:r>
            <w:proofErr w:type="gramStart"/>
            <w:r w:rsidRPr="007C0D91">
              <w:t>%)</w:t>
            </w:r>
            <w:r w:rsidRPr="007C0D91">
              <w:rPr>
                <w:vertAlign w:val="superscript"/>
              </w:rPr>
              <w:t>a</w:t>
            </w:r>
            <w:proofErr w:type="gramEnd"/>
          </w:p>
        </w:tc>
        <w:tc>
          <w:tcPr>
            <w:tcW w:w="725" w:type="pct"/>
            <w:shd w:val="clear" w:color="auto" w:fill="FFFFFF" w:themeFill="background1"/>
            <w:tcMar>
              <w:left w:w="40" w:type="dxa"/>
              <w:right w:w="40" w:type="dxa"/>
            </w:tcMar>
            <w:hideMark/>
          </w:tcPr>
          <w:p w14:paraId="1C371469" w14:textId="77777777" w:rsidR="0046051D" w:rsidRPr="007C0D91" w:rsidRDefault="0046051D" w:rsidP="0046051D">
            <w:pPr>
              <w:pStyle w:val="Tabletext"/>
              <w:spacing w:before="0" w:after="0"/>
            </w:pPr>
            <w:r w:rsidRPr="007C0D91">
              <w:t>75 (65.8)</w:t>
            </w:r>
          </w:p>
        </w:tc>
        <w:tc>
          <w:tcPr>
            <w:tcW w:w="681" w:type="pct"/>
            <w:shd w:val="clear" w:color="auto" w:fill="FFFFFF" w:themeFill="background1"/>
            <w:tcMar>
              <w:left w:w="40" w:type="dxa"/>
              <w:right w:w="40" w:type="dxa"/>
            </w:tcMar>
          </w:tcPr>
          <w:p w14:paraId="0816B7D2" w14:textId="474A0165" w:rsidR="0046051D" w:rsidRPr="007C0D91" w:rsidRDefault="0046051D" w:rsidP="0046051D">
            <w:pPr>
              <w:pStyle w:val="Tabletext"/>
              <w:spacing w:before="0" w:after="0"/>
            </w:pPr>
            <w:r w:rsidRPr="007C0D91">
              <w:t>14 (60.9)</w:t>
            </w:r>
          </w:p>
        </w:tc>
        <w:tc>
          <w:tcPr>
            <w:tcW w:w="395" w:type="pct"/>
            <w:shd w:val="clear" w:color="auto" w:fill="FFFFFF" w:themeFill="background1"/>
            <w:tcMar>
              <w:left w:w="40" w:type="dxa"/>
              <w:right w:w="40" w:type="dxa"/>
            </w:tcMar>
          </w:tcPr>
          <w:p w14:paraId="6A96A530" w14:textId="31B2DA06" w:rsidR="0046051D" w:rsidRPr="007C0D91" w:rsidRDefault="0046051D" w:rsidP="0046051D">
            <w:pPr>
              <w:pStyle w:val="Tabletext"/>
              <w:spacing w:before="0" w:after="0"/>
            </w:pPr>
            <w:r w:rsidRPr="007C0D91">
              <w:t>0.832</w:t>
            </w:r>
          </w:p>
        </w:tc>
        <w:tc>
          <w:tcPr>
            <w:tcW w:w="396" w:type="pct"/>
            <w:shd w:val="clear" w:color="auto" w:fill="FFFFFF" w:themeFill="background1"/>
            <w:tcMar>
              <w:left w:w="40" w:type="dxa"/>
              <w:right w:w="40" w:type="dxa"/>
            </w:tcMar>
          </w:tcPr>
          <w:p w14:paraId="304C2198" w14:textId="24339BEB" w:rsidR="0046051D" w:rsidRPr="007C0D91" w:rsidRDefault="0046051D" w:rsidP="0046051D">
            <w:pPr>
              <w:pStyle w:val="Tabletext"/>
              <w:spacing w:before="0" w:after="0"/>
            </w:pPr>
            <w:r w:rsidRPr="007C0D91">
              <w:t>0.102</w:t>
            </w:r>
          </w:p>
        </w:tc>
        <w:tc>
          <w:tcPr>
            <w:tcW w:w="681" w:type="pct"/>
            <w:shd w:val="clear" w:color="auto" w:fill="FFFFFF" w:themeFill="background1"/>
            <w:tcMar>
              <w:left w:w="40" w:type="dxa"/>
              <w:right w:w="40" w:type="dxa"/>
            </w:tcMar>
          </w:tcPr>
          <w:p w14:paraId="73B1810F" w14:textId="77777777" w:rsidR="0046051D" w:rsidRPr="007C0D91" w:rsidRDefault="0046051D" w:rsidP="0046051D">
            <w:pPr>
              <w:pStyle w:val="Tabletext"/>
              <w:spacing w:before="0" w:after="0"/>
            </w:pPr>
            <w:r w:rsidRPr="007C0D91">
              <w:t>64.8 (56.2)</w:t>
            </w:r>
          </w:p>
        </w:tc>
        <w:tc>
          <w:tcPr>
            <w:tcW w:w="395" w:type="pct"/>
            <w:shd w:val="clear" w:color="auto" w:fill="FFFFFF" w:themeFill="background1"/>
            <w:tcMar>
              <w:left w:w="40" w:type="dxa"/>
              <w:right w:w="40" w:type="dxa"/>
            </w:tcMar>
          </w:tcPr>
          <w:p w14:paraId="7BB1092B" w14:textId="77777777" w:rsidR="0046051D" w:rsidRPr="007C0D91" w:rsidRDefault="0046051D" w:rsidP="0046051D">
            <w:pPr>
              <w:pStyle w:val="Tabletext"/>
              <w:spacing w:before="0" w:after="0"/>
            </w:pPr>
            <w:r w:rsidRPr="007C0D91">
              <w:t>0.4637</w:t>
            </w:r>
          </w:p>
        </w:tc>
        <w:tc>
          <w:tcPr>
            <w:tcW w:w="397" w:type="pct"/>
            <w:shd w:val="clear" w:color="auto" w:fill="FFFFFF" w:themeFill="background1"/>
            <w:tcMar>
              <w:left w:w="40" w:type="dxa"/>
              <w:right w:w="40" w:type="dxa"/>
            </w:tcMar>
          </w:tcPr>
          <w:p w14:paraId="51B9A60A" w14:textId="3B977698" w:rsidR="0046051D" w:rsidRPr="007C0D91" w:rsidRDefault="0046051D" w:rsidP="0046051D">
            <w:pPr>
              <w:pStyle w:val="Tabletext"/>
              <w:spacing w:before="0" w:after="0"/>
            </w:pPr>
            <w:r w:rsidRPr="007C0D91">
              <w:t>0.198</w:t>
            </w:r>
          </w:p>
        </w:tc>
      </w:tr>
      <w:tr w:rsidR="00646849" w:rsidRPr="007C0D91" w14:paraId="1FC29986" w14:textId="77777777" w:rsidTr="00646849">
        <w:trPr>
          <w:trHeight w:val="79"/>
        </w:trPr>
        <w:tc>
          <w:tcPr>
            <w:tcW w:w="1328" w:type="pct"/>
            <w:shd w:val="clear" w:color="auto" w:fill="FFFFFF" w:themeFill="background1"/>
            <w:tcMar>
              <w:left w:w="40" w:type="dxa"/>
              <w:right w:w="40" w:type="dxa"/>
            </w:tcMar>
          </w:tcPr>
          <w:p w14:paraId="250BE232" w14:textId="08931EE4" w:rsidR="0046051D" w:rsidRPr="007C0D91" w:rsidRDefault="0046051D" w:rsidP="00646849">
            <w:pPr>
              <w:pStyle w:val="Tabletext"/>
              <w:spacing w:before="0" w:after="0"/>
            </w:pPr>
            <w:r w:rsidRPr="007C0D91">
              <w:t>Smoking history: No n (</w:t>
            </w:r>
            <w:proofErr w:type="gramStart"/>
            <w:r w:rsidRPr="007C0D91">
              <w:t>%)</w:t>
            </w:r>
            <w:r w:rsidRPr="007C0D91">
              <w:rPr>
                <w:vertAlign w:val="superscript"/>
              </w:rPr>
              <w:t>a</w:t>
            </w:r>
            <w:proofErr w:type="gramEnd"/>
          </w:p>
        </w:tc>
        <w:tc>
          <w:tcPr>
            <w:tcW w:w="725" w:type="pct"/>
            <w:shd w:val="clear" w:color="auto" w:fill="FFFFFF" w:themeFill="background1"/>
            <w:tcMar>
              <w:left w:w="40" w:type="dxa"/>
              <w:right w:w="40" w:type="dxa"/>
            </w:tcMar>
          </w:tcPr>
          <w:p w14:paraId="53F15382" w14:textId="77777777" w:rsidR="0046051D" w:rsidRPr="007C0D91" w:rsidRDefault="0046051D" w:rsidP="0046051D">
            <w:pPr>
              <w:pStyle w:val="Tabletext"/>
              <w:spacing w:before="0" w:after="0"/>
            </w:pPr>
            <w:r w:rsidRPr="007C0D91">
              <w:t>81 (71.1)</w:t>
            </w:r>
          </w:p>
        </w:tc>
        <w:tc>
          <w:tcPr>
            <w:tcW w:w="681" w:type="pct"/>
            <w:shd w:val="clear" w:color="auto" w:fill="FFFFFF" w:themeFill="background1"/>
            <w:tcMar>
              <w:left w:w="40" w:type="dxa"/>
              <w:right w:w="40" w:type="dxa"/>
            </w:tcMar>
          </w:tcPr>
          <w:p w14:paraId="6C1D76AB" w14:textId="329747A0" w:rsidR="0046051D" w:rsidRPr="007C0D91" w:rsidRDefault="0046051D" w:rsidP="0046051D">
            <w:pPr>
              <w:pStyle w:val="Tabletext"/>
              <w:spacing w:before="0" w:after="0"/>
            </w:pPr>
            <w:r w:rsidRPr="007C0D91">
              <w:t>12 (52.2)</w:t>
            </w:r>
          </w:p>
        </w:tc>
        <w:tc>
          <w:tcPr>
            <w:tcW w:w="395" w:type="pct"/>
            <w:shd w:val="clear" w:color="auto" w:fill="FFFFFF" w:themeFill="background1"/>
            <w:tcMar>
              <w:left w:w="40" w:type="dxa"/>
              <w:right w:w="40" w:type="dxa"/>
            </w:tcMar>
          </w:tcPr>
          <w:p w14:paraId="415E7329" w14:textId="219190A4" w:rsidR="0046051D" w:rsidRPr="007C0D91" w:rsidRDefault="0046051D" w:rsidP="0046051D">
            <w:pPr>
              <w:pStyle w:val="Tabletext"/>
              <w:spacing w:before="0" w:after="0"/>
            </w:pPr>
            <w:r w:rsidRPr="007C0D91">
              <w:t>0.128</w:t>
            </w:r>
          </w:p>
        </w:tc>
        <w:tc>
          <w:tcPr>
            <w:tcW w:w="396" w:type="pct"/>
            <w:shd w:val="clear" w:color="auto" w:fill="FFFFFF" w:themeFill="background1"/>
            <w:tcMar>
              <w:left w:w="40" w:type="dxa"/>
              <w:right w:w="40" w:type="dxa"/>
            </w:tcMar>
          </w:tcPr>
          <w:p w14:paraId="5F74BB3E" w14:textId="754A5844" w:rsidR="0046051D" w:rsidRPr="007C0D91" w:rsidRDefault="0046051D" w:rsidP="0046051D">
            <w:pPr>
              <w:pStyle w:val="Tabletext"/>
              <w:spacing w:before="0" w:after="0"/>
            </w:pPr>
            <w:r w:rsidRPr="007C0D91">
              <w:t>0.398</w:t>
            </w:r>
          </w:p>
        </w:tc>
        <w:tc>
          <w:tcPr>
            <w:tcW w:w="681" w:type="pct"/>
            <w:shd w:val="clear" w:color="auto" w:fill="FFFFFF" w:themeFill="background1"/>
            <w:tcMar>
              <w:left w:w="40" w:type="dxa"/>
              <w:right w:w="40" w:type="dxa"/>
            </w:tcMar>
          </w:tcPr>
          <w:p w14:paraId="1C402114" w14:textId="77777777" w:rsidR="0046051D" w:rsidRPr="007C0D91" w:rsidRDefault="0046051D" w:rsidP="0046051D">
            <w:pPr>
              <w:pStyle w:val="Tabletext"/>
              <w:spacing w:before="0" w:after="0"/>
            </w:pPr>
            <w:r w:rsidRPr="007C0D91">
              <w:t>84.28 (73.1)</w:t>
            </w:r>
          </w:p>
        </w:tc>
        <w:tc>
          <w:tcPr>
            <w:tcW w:w="395" w:type="pct"/>
            <w:shd w:val="clear" w:color="auto" w:fill="FFFFFF" w:themeFill="background1"/>
            <w:tcMar>
              <w:left w:w="40" w:type="dxa"/>
              <w:right w:w="40" w:type="dxa"/>
            </w:tcMar>
          </w:tcPr>
          <w:p w14:paraId="6341B0CA" w14:textId="77777777" w:rsidR="0046051D" w:rsidRPr="007C0D91" w:rsidRDefault="0046051D" w:rsidP="0046051D">
            <w:pPr>
              <w:pStyle w:val="Tabletext"/>
              <w:spacing w:before="0" w:after="0"/>
            </w:pPr>
            <w:r w:rsidRPr="007C0D91">
              <w:t>0.8461</w:t>
            </w:r>
          </w:p>
        </w:tc>
        <w:tc>
          <w:tcPr>
            <w:tcW w:w="397" w:type="pct"/>
            <w:shd w:val="clear" w:color="auto" w:fill="FFFFFF" w:themeFill="background1"/>
            <w:tcMar>
              <w:left w:w="40" w:type="dxa"/>
              <w:right w:w="40" w:type="dxa"/>
            </w:tcMar>
          </w:tcPr>
          <w:p w14:paraId="6A281BE2" w14:textId="3CAD7CA9" w:rsidR="0046051D" w:rsidRPr="007C0D91" w:rsidRDefault="0046051D" w:rsidP="0046051D">
            <w:pPr>
              <w:pStyle w:val="Tabletext"/>
              <w:spacing w:before="0" w:after="0"/>
            </w:pPr>
            <w:r w:rsidRPr="007C0D91">
              <w:t>0.045</w:t>
            </w:r>
          </w:p>
        </w:tc>
      </w:tr>
      <w:tr w:rsidR="00646849" w:rsidRPr="007C0D91" w14:paraId="6959A035" w14:textId="77777777" w:rsidTr="00646849">
        <w:trPr>
          <w:trHeight w:val="244"/>
        </w:trPr>
        <w:tc>
          <w:tcPr>
            <w:tcW w:w="1328" w:type="pct"/>
            <w:shd w:val="clear" w:color="auto" w:fill="FFFFFF" w:themeFill="background1"/>
            <w:tcMar>
              <w:left w:w="40" w:type="dxa"/>
              <w:right w:w="40" w:type="dxa"/>
            </w:tcMar>
          </w:tcPr>
          <w:p w14:paraId="1A3601FC" w14:textId="45289C8E" w:rsidR="0046051D" w:rsidRPr="007C0D91" w:rsidRDefault="0046051D" w:rsidP="00646849">
            <w:pPr>
              <w:pStyle w:val="Tabletext"/>
              <w:spacing w:before="0" w:after="0"/>
            </w:pPr>
            <w:r w:rsidRPr="007C0D91">
              <w:t>Brain metastases: No</w:t>
            </w:r>
            <w:r w:rsidR="00646849" w:rsidRPr="007C0D91">
              <w:t xml:space="preserve"> </w:t>
            </w:r>
            <w:r w:rsidRPr="007C0D91">
              <w:t>n (</w:t>
            </w:r>
            <w:proofErr w:type="gramStart"/>
            <w:r w:rsidRPr="007C0D91">
              <w:t>%)</w:t>
            </w:r>
            <w:r w:rsidRPr="007C0D91">
              <w:rPr>
                <w:vertAlign w:val="superscript"/>
              </w:rPr>
              <w:t>a</w:t>
            </w:r>
            <w:proofErr w:type="gramEnd"/>
          </w:p>
        </w:tc>
        <w:tc>
          <w:tcPr>
            <w:tcW w:w="725" w:type="pct"/>
            <w:shd w:val="clear" w:color="auto" w:fill="FFFFFF" w:themeFill="background1"/>
            <w:tcMar>
              <w:left w:w="40" w:type="dxa"/>
              <w:right w:w="40" w:type="dxa"/>
            </w:tcMar>
          </w:tcPr>
          <w:p w14:paraId="24F6D898" w14:textId="77777777" w:rsidR="0046051D" w:rsidRPr="007C0D91" w:rsidRDefault="0046051D" w:rsidP="0046051D">
            <w:pPr>
              <w:pStyle w:val="Tabletext"/>
              <w:spacing w:before="0" w:after="0"/>
            </w:pPr>
            <w:r w:rsidRPr="007C0D91">
              <w:t>74 (64.9)</w:t>
            </w:r>
          </w:p>
        </w:tc>
        <w:tc>
          <w:tcPr>
            <w:tcW w:w="681" w:type="pct"/>
            <w:shd w:val="clear" w:color="auto" w:fill="FFFFFF" w:themeFill="background1"/>
            <w:tcMar>
              <w:left w:w="40" w:type="dxa"/>
              <w:right w:w="40" w:type="dxa"/>
            </w:tcMar>
          </w:tcPr>
          <w:p w14:paraId="2CE013F7" w14:textId="70A3A4A8" w:rsidR="0046051D" w:rsidRPr="007C0D91" w:rsidRDefault="0046051D" w:rsidP="0046051D">
            <w:pPr>
              <w:pStyle w:val="Tabletext"/>
              <w:spacing w:before="0" w:after="0"/>
            </w:pPr>
            <w:r w:rsidRPr="007C0D91">
              <w:t>17 (73.9)</w:t>
            </w:r>
          </w:p>
        </w:tc>
        <w:tc>
          <w:tcPr>
            <w:tcW w:w="395" w:type="pct"/>
            <w:shd w:val="clear" w:color="auto" w:fill="FFFFFF" w:themeFill="background1"/>
            <w:tcMar>
              <w:left w:w="40" w:type="dxa"/>
              <w:right w:w="40" w:type="dxa"/>
            </w:tcMar>
          </w:tcPr>
          <w:p w14:paraId="2B6AAEEB" w14:textId="68669E78" w:rsidR="0046051D" w:rsidRPr="007C0D91" w:rsidRDefault="0046051D" w:rsidP="0046051D">
            <w:pPr>
              <w:pStyle w:val="Tabletext"/>
              <w:spacing w:before="0" w:after="0"/>
            </w:pPr>
            <w:r w:rsidRPr="007C0D91">
              <w:t>0.554</w:t>
            </w:r>
          </w:p>
        </w:tc>
        <w:tc>
          <w:tcPr>
            <w:tcW w:w="396" w:type="pct"/>
            <w:shd w:val="clear" w:color="auto" w:fill="FFFFFF" w:themeFill="background1"/>
            <w:tcMar>
              <w:left w:w="40" w:type="dxa"/>
              <w:right w:w="40" w:type="dxa"/>
            </w:tcMar>
          </w:tcPr>
          <w:p w14:paraId="36C52C16" w14:textId="40291367" w:rsidR="0046051D" w:rsidRPr="007C0D91" w:rsidRDefault="0046051D" w:rsidP="0046051D">
            <w:pPr>
              <w:pStyle w:val="Tabletext"/>
              <w:spacing w:before="0" w:after="0"/>
            </w:pPr>
            <w:r w:rsidRPr="007C0D91">
              <w:t>0.196</w:t>
            </w:r>
          </w:p>
        </w:tc>
        <w:tc>
          <w:tcPr>
            <w:tcW w:w="681" w:type="pct"/>
            <w:shd w:val="clear" w:color="auto" w:fill="FFFFFF" w:themeFill="background1"/>
            <w:tcMar>
              <w:left w:w="40" w:type="dxa"/>
              <w:right w:w="40" w:type="dxa"/>
            </w:tcMar>
          </w:tcPr>
          <w:p w14:paraId="4539231B" w14:textId="67235592" w:rsidR="0046051D" w:rsidRPr="007C0D91" w:rsidRDefault="0046051D" w:rsidP="0046051D">
            <w:pPr>
              <w:pStyle w:val="Tabletext"/>
              <w:spacing w:before="0" w:after="0"/>
            </w:pPr>
            <w:r w:rsidRPr="007C0D91">
              <w:t>62.8 (54.4)</w:t>
            </w:r>
          </w:p>
        </w:tc>
        <w:tc>
          <w:tcPr>
            <w:tcW w:w="395" w:type="pct"/>
            <w:shd w:val="clear" w:color="auto" w:fill="FFFFFF" w:themeFill="background1"/>
            <w:tcMar>
              <w:left w:w="40" w:type="dxa"/>
              <w:right w:w="40" w:type="dxa"/>
            </w:tcMar>
          </w:tcPr>
          <w:p w14:paraId="3C0497DA" w14:textId="77777777" w:rsidR="0046051D" w:rsidRPr="007C0D91" w:rsidRDefault="0046051D" w:rsidP="0046051D">
            <w:pPr>
              <w:pStyle w:val="Tabletext"/>
              <w:spacing w:before="0" w:after="0"/>
            </w:pPr>
            <w:r w:rsidRPr="007C0D91">
              <w:t>0.4372</w:t>
            </w:r>
          </w:p>
        </w:tc>
        <w:tc>
          <w:tcPr>
            <w:tcW w:w="397" w:type="pct"/>
            <w:shd w:val="clear" w:color="auto" w:fill="FFFFFF" w:themeFill="background1"/>
            <w:tcMar>
              <w:left w:w="40" w:type="dxa"/>
              <w:right w:w="40" w:type="dxa"/>
            </w:tcMar>
          </w:tcPr>
          <w:p w14:paraId="17426642" w14:textId="14A76868" w:rsidR="0046051D" w:rsidRPr="007C0D91" w:rsidRDefault="0046051D" w:rsidP="0046051D">
            <w:pPr>
              <w:pStyle w:val="Tabletext"/>
              <w:spacing w:before="0" w:after="0"/>
            </w:pPr>
            <w:r w:rsidRPr="007C0D91">
              <w:t>0.215</w:t>
            </w:r>
          </w:p>
        </w:tc>
      </w:tr>
      <w:tr w:rsidR="00646849" w:rsidRPr="007C0D91" w14:paraId="1203151E" w14:textId="77777777" w:rsidTr="00646849">
        <w:trPr>
          <w:trHeight w:val="70"/>
        </w:trPr>
        <w:tc>
          <w:tcPr>
            <w:tcW w:w="1328" w:type="pct"/>
            <w:shd w:val="clear" w:color="auto" w:fill="FFFFFF" w:themeFill="background1"/>
            <w:tcMar>
              <w:left w:w="40" w:type="dxa"/>
              <w:right w:w="40" w:type="dxa"/>
            </w:tcMar>
            <w:hideMark/>
          </w:tcPr>
          <w:p w14:paraId="2E63EDDE" w14:textId="77777777" w:rsidR="0046051D" w:rsidRPr="007C0D91" w:rsidRDefault="0046051D" w:rsidP="0046051D">
            <w:pPr>
              <w:pStyle w:val="Tabletext"/>
              <w:spacing w:before="0" w:after="0"/>
            </w:pPr>
            <w:r w:rsidRPr="007C0D91">
              <w:t>Time since advanced diagnosis: mean (SD)</w:t>
            </w:r>
            <w:proofErr w:type="gramStart"/>
            <w:r w:rsidRPr="007C0D91">
              <w:rPr>
                <w:vertAlign w:val="superscript"/>
              </w:rPr>
              <w:t>a</w:t>
            </w:r>
            <w:r w:rsidRPr="007C0D91">
              <w:t>,</w:t>
            </w:r>
            <w:proofErr w:type="gramEnd"/>
            <w:r w:rsidRPr="007C0D91">
              <w:t xml:space="preserve"> months</w:t>
            </w:r>
          </w:p>
        </w:tc>
        <w:tc>
          <w:tcPr>
            <w:tcW w:w="725" w:type="pct"/>
            <w:shd w:val="clear" w:color="auto" w:fill="FFFFFF" w:themeFill="background1"/>
            <w:tcMar>
              <w:left w:w="40" w:type="dxa"/>
              <w:right w:w="40" w:type="dxa"/>
            </w:tcMar>
            <w:hideMark/>
          </w:tcPr>
          <w:p w14:paraId="4AA9249B" w14:textId="77777777" w:rsidR="0046051D" w:rsidRPr="007C0D91" w:rsidRDefault="0046051D" w:rsidP="0046051D">
            <w:pPr>
              <w:pStyle w:val="Tabletext"/>
              <w:spacing w:before="0" w:after="0"/>
            </w:pPr>
            <w:r w:rsidRPr="007C0D91">
              <w:t>15.7 (14.4)</w:t>
            </w:r>
          </w:p>
        </w:tc>
        <w:tc>
          <w:tcPr>
            <w:tcW w:w="681" w:type="pct"/>
            <w:shd w:val="clear" w:color="auto" w:fill="FFFFFF" w:themeFill="background1"/>
            <w:tcMar>
              <w:left w:w="40" w:type="dxa"/>
              <w:right w:w="40" w:type="dxa"/>
            </w:tcMar>
            <w:hideMark/>
          </w:tcPr>
          <w:p w14:paraId="55EE28AC" w14:textId="50F0B193" w:rsidR="0046051D" w:rsidRPr="007C0D91" w:rsidRDefault="0046051D" w:rsidP="0046051D">
            <w:pPr>
              <w:pStyle w:val="Tabletext"/>
              <w:spacing w:before="0" w:after="0"/>
            </w:pPr>
            <w:r w:rsidRPr="007C0D91">
              <w:t>12.8 (9.7)</w:t>
            </w:r>
          </w:p>
        </w:tc>
        <w:tc>
          <w:tcPr>
            <w:tcW w:w="395" w:type="pct"/>
            <w:shd w:val="clear" w:color="auto" w:fill="FFFFFF" w:themeFill="background1"/>
            <w:tcMar>
              <w:left w:w="40" w:type="dxa"/>
              <w:right w:w="40" w:type="dxa"/>
            </w:tcMar>
          </w:tcPr>
          <w:p w14:paraId="2C9B2A93" w14:textId="753E22F2" w:rsidR="0046051D" w:rsidRPr="007C0D91" w:rsidRDefault="0046051D" w:rsidP="0046051D">
            <w:pPr>
              <w:pStyle w:val="Tabletext"/>
              <w:spacing w:before="0" w:after="0"/>
            </w:pPr>
            <w:r w:rsidRPr="007C0D91">
              <w:t>0.355</w:t>
            </w:r>
          </w:p>
        </w:tc>
        <w:tc>
          <w:tcPr>
            <w:tcW w:w="396" w:type="pct"/>
            <w:shd w:val="clear" w:color="auto" w:fill="FFFFFF" w:themeFill="background1"/>
            <w:tcMar>
              <w:left w:w="40" w:type="dxa"/>
              <w:right w:w="40" w:type="dxa"/>
            </w:tcMar>
          </w:tcPr>
          <w:p w14:paraId="57BD05F1" w14:textId="02DA2313" w:rsidR="0046051D" w:rsidRPr="007C0D91" w:rsidRDefault="0046051D" w:rsidP="0046051D">
            <w:pPr>
              <w:pStyle w:val="Tabletext"/>
              <w:spacing w:before="0" w:after="0"/>
            </w:pPr>
            <w:r w:rsidRPr="007C0D91">
              <w:t>0.238</w:t>
            </w:r>
          </w:p>
        </w:tc>
        <w:tc>
          <w:tcPr>
            <w:tcW w:w="681" w:type="pct"/>
            <w:shd w:val="clear" w:color="auto" w:fill="FFFFFF" w:themeFill="background1"/>
            <w:tcMar>
              <w:left w:w="40" w:type="dxa"/>
              <w:right w:w="40" w:type="dxa"/>
            </w:tcMar>
          </w:tcPr>
          <w:p w14:paraId="0999E5C4" w14:textId="55B6A14D" w:rsidR="0046051D" w:rsidRPr="007C0D91" w:rsidRDefault="0046051D" w:rsidP="0046051D">
            <w:pPr>
              <w:pStyle w:val="Tabletext"/>
              <w:spacing w:before="0" w:after="0"/>
            </w:pPr>
            <w:r w:rsidRPr="007C0D91">
              <w:t>13.4 (8.9)</w:t>
            </w:r>
          </w:p>
        </w:tc>
        <w:tc>
          <w:tcPr>
            <w:tcW w:w="395" w:type="pct"/>
            <w:shd w:val="clear" w:color="auto" w:fill="FFFFFF" w:themeFill="background1"/>
            <w:tcMar>
              <w:left w:w="40" w:type="dxa"/>
              <w:right w:w="40" w:type="dxa"/>
            </w:tcMar>
          </w:tcPr>
          <w:p w14:paraId="7010434D" w14:textId="77777777" w:rsidR="0046051D" w:rsidRPr="007C0D91" w:rsidRDefault="0046051D" w:rsidP="0046051D">
            <w:pPr>
              <w:pStyle w:val="Tabletext"/>
              <w:spacing w:before="0" w:after="0"/>
            </w:pPr>
            <w:r w:rsidRPr="007C0D91">
              <w:t>0.3133</w:t>
            </w:r>
          </w:p>
        </w:tc>
        <w:tc>
          <w:tcPr>
            <w:tcW w:w="397" w:type="pct"/>
            <w:shd w:val="clear" w:color="auto" w:fill="FFFFFF" w:themeFill="background1"/>
            <w:tcMar>
              <w:left w:w="40" w:type="dxa"/>
              <w:right w:w="40" w:type="dxa"/>
            </w:tcMar>
          </w:tcPr>
          <w:p w14:paraId="3AF2DC88" w14:textId="755D2722" w:rsidR="0046051D" w:rsidRPr="007C0D91" w:rsidRDefault="0046051D" w:rsidP="0046051D">
            <w:pPr>
              <w:pStyle w:val="Tabletext"/>
              <w:spacing w:before="0" w:after="0"/>
            </w:pPr>
            <w:r w:rsidRPr="007C0D91">
              <w:t>0.194</w:t>
            </w:r>
          </w:p>
        </w:tc>
      </w:tr>
    </w:tbl>
    <w:p w14:paraId="1B4DCCDC" w14:textId="77777777" w:rsidR="005149D4" w:rsidRPr="007C0D91" w:rsidRDefault="005149D4" w:rsidP="00110BFE">
      <w:pPr>
        <w:pStyle w:val="FooterTableFigure"/>
        <w:jc w:val="left"/>
      </w:pPr>
      <w:r w:rsidRPr="007C0D91">
        <w:t>Source: Table 2-7, p13 of the resubmission.</w:t>
      </w:r>
    </w:p>
    <w:p w14:paraId="12B8C6CD" w14:textId="367C370C" w:rsidR="005149D4" w:rsidRPr="007C0D91" w:rsidRDefault="004B1226" w:rsidP="00110BFE">
      <w:pPr>
        <w:pStyle w:val="FooterTableFigure"/>
        <w:jc w:val="left"/>
      </w:pPr>
      <w:r w:rsidRPr="007C0D91">
        <w:t xml:space="preserve">ESS=effective sample size; </w:t>
      </w:r>
      <w:r w:rsidR="005149D4" w:rsidRPr="007C0D91">
        <w:t>N=number of patients; PPP=pooled prior platinum; IPTW=inverse probability of treatment weighting; SD=standard deviation;</w:t>
      </w:r>
      <w:r w:rsidR="00110BFE" w:rsidRPr="007C0D91">
        <w:t xml:space="preserve"> </w:t>
      </w:r>
      <w:r w:rsidR="005149D4" w:rsidRPr="007C0D91">
        <w:t>SMD=standardised mean difference.</w:t>
      </w:r>
    </w:p>
    <w:p w14:paraId="55AF66C3" w14:textId="73552D5F" w:rsidR="005149D4" w:rsidRPr="007C0D91" w:rsidRDefault="005149D4" w:rsidP="00110BFE">
      <w:pPr>
        <w:pStyle w:val="FooterTableFigure"/>
        <w:jc w:val="left"/>
      </w:pPr>
      <w:r w:rsidRPr="007C0D91">
        <w:rPr>
          <w:rStyle w:val="FootnoteReference"/>
        </w:rPr>
        <w:t>a</w:t>
      </w:r>
      <w:r w:rsidRPr="007C0D91">
        <w:t xml:space="preserve"> Factors were included in the weighting.</w:t>
      </w:r>
    </w:p>
    <w:p w14:paraId="25BA98B7" w14:textId="67E213ED" w:rsidR="00953B26" w:rsidRPr="007C0D91" w:rsidRDefault="00953B26" w:rsidP="00110BFE">
      <w:pPr>
        <w:pStyle w:val="FooterTableFigure"/>
        <w:jc w:val="left"/>
      </w:pPr>
      <w:r w:rsidRPr="007C0D91">
        <w:t xml:space="preserve">Note: </w:t>
      </w:r>
      <w:r w:rsidR="008048E8" w:rsidRPr="007C0D91">
        <w:t xml:space="preserve">Outcome data was </w:t>
      </w:r>
      <w:r w:rsidRPr="007C0D91">
        <w:t>rounded to one decimal place.</w:t>
      </w:r>
    </w:p>
    <w:p w14:paraId="45061AD6" w14:textId="77777777" w:rsidR="005149D4" w:rsidRPr="007C0D91" w:rsidRDefault="005149D4" w:rsidP="005149D4">
      <w:pPr>
        <w:numPr>
          <w:ilvl w:val="1"/>
          <w:numId w:val="1"/>
        </w:numPr>
        <w:spacing w:after="120"/>
        <w:rPr>
          <w:rFonts w:asciiTheme="minorHAnsi" w:hAnsiTheme="minorHAnsi"/>
          <w:iCs/>
          <w:snapToGrid w:val="0"/>
        </w:rPr>
      </w:pPr>
      <w:r w:rsidRPr="007C0D91">
        <w:rPr>
          <w:rFonts w:asciiTheme="minorHAnsi" w:hAnsiTheme="minorHAnsi"/>
          <w:snapToGrid w:val="0"/>
        </w:rPr>
        <w:t xml:space="preserve">The resubmission argued that, after weighting, baseline characteristics between the mobocertinib and chemotherapy cohorts were balanced, with a standardised mean difference (SMD) ≤ 0.25. </w:t>
      </w:r>
      <w:r w:rsidRPr="007C0D91">
        <w:rPr>
          <w:rFonts w:asciiTheme="minorHAnsi" w:hAnsiTheme="minorHAnsi"/>
          <w:iCs/>
          <w:snapToGrid w:val="0"/>
        </w:rPr>
        <w:t xml:space="preserve">Although a SMD threshold of 0.25 is suggested in the NICE guidance, no justification was provided. There appears no universally agreed upon criterion as to what threshold of the SMD can be used to indicate an important imbalance. Other sources in the literature recommend a more stringent SMD </w:t>
      </w:r>
      <w:r w:rsidRPr="007C0D91">
        <w:rPr>
          <w:rFonts w:asciiTheme="minorHAnsi" w:hAnsiTheme="minorHAnsi"/>
          <w:iCs/>
          <w:snapToGrid w:val="0"/>
        </w:rPr>
        <w:lastRenderedPageBreak/>
        <w:t>threshold of &gt; 0.1 as an indication of important covariate imbalance</w:t>
      </w:r>
      <w:r w:rsidRPr="007C0D91">
        <w:rPr>
          <w:rFonts w:asciiTheme="minorHAnsi" w:hAnsiTheme="minorHAnsi"/>
          <w:iCs/>
          <w:snapToGrid w:val="0"/>
          <w:vertAlign w:val="superscript"/>
        </w:rPr>
        <w:footnoteReference w:id="7"/>
      </w:r>
      <w:r w:rsidRPr="007C0D91">
        <w:rPr>
          <w:rFonts w:asciiTheme="minorHAnsi" w:hAnsiTheme="minorHAnsi"/>
          <w:iCs/>
          <w:snapToGrid w:val="0"/>
        </w:rPr>
        <w:t>. If this lower threshold is used, differences remained between the mobocertinib cohort and the pooled chemotherapy cohort after weighting for all the baseline characteristics except for smoking history, particularly for gender (female: 66% vs. 56%) and brain metastasis (yes: 35% vs. 46%).</w:t>
      </w:r>
    </w:p>
    <w:p w14:paraId="16404EF9" w14:textId="77777777" w:rsidR="005149D4" w:rsidRPr="007C0D91" w:rsidRDefault="005149D4" w:rsidP="005149D4">
      <w:pPr>
        <w:numPr>
          <w:ilvl w:val="1"/>
          <w:numId w:val="1"/>
        </w:numPr>
        <w:spacing w:after="120"/>
        <w:rPr>
          <w:rFonts w:asciiTheme="minorHAnsi" w:hAnsiTheme="minorHAnsi"/>
          <w:iCs/>
          <w:snapToGrid w:val="0"/>
        </w:rPr>
      </w:pPr>
      <w:r w:rsidRPr="007C0D91">
        <w:rPr>
          <w:rFonts w:asciiTheme="minorHAnsi" w:hAnsiTheme="minorHAnsi"/>
          <w:iCs/>
          <w:snapToGrid w:val="0"/>
        </w:rPr>
        <w:t>The sample size of the pooled chemotherapy subgroup was artificially inflated from 23 to 115 via the IPTW. The effective sample size (ESS) of the chemotherapy cohort reduced to 15.6. As a result, correlation was induced within the chemotherapy cohort and there was a resulting lack of independence. It was unclear from the resubmission whether the IPTW weights were stabilised to account for extreme weighting and the inflated sample size.</w:t>
      </w:r>
    </w:p>
    <w:p w14:paraId="3C226805" w14:textId="77777777" w:rsidR="005149D4" w:rsidRPr="007C0D91" w:rsidRDefault="005149D4" w:rsidP="005149D4">
      <w:pPr>
        <w:numPr>
          <w:ilvl w:val="1"/>
          <w:numId w:val="1"/>
        </w:numPr>
        <w:spacing w:after="120"/>
        <w:rPr>
          <w:rFonts w:asciiTheme="minorHAnsi" w:hAnsiTheme="minorHAnsi"/>
          <w:iCs/>
          <w:snapToGrid w:val="0"/>
        </w:rPr>
      </w:pPr>
      <w:r w:rsidRPr="007C0D91">
        <w:rPr>
          <w:rFonts w:asciiTheme="minorHAnsi" w:hAnsiTheme="minorHAnsi"/>
          <w:iCs/>
          <w:snapToGrid w:val="0"/>
        </w:rPr>
        <w:t>The resubmission did not provide data on other important patient demographic and disease characteristics in the pooled chemotherapy cohort before and after weighting. The residual confounding due to unreported and, thus, unaccounted-for covariates, and the extent of this bias, cannot be assessed.</w:t>
      </w:r>
    </w:p>
    <w:p w14:paraId="0EFD5F30" w14:textId="77777777" w:rsidR="005149D4" w:rsidRPr="007C0D91" w:rsidRDefault="005149D4" w:rsidP="007516BE">
      <w:pPr>
        <w:pStyle w:val="3-BodyText"/>
      </w:pPr>
      <w:proofErr w:type="gramStart"/>
      <w:r w:rsidRPr="007C0D91">
        <w:t>With regard to</w:t>
      </w:r>
      <w:proofErr w:type="gramEnd"/>
      <w:r w:rsidRPr="007C0D91">
        <w:t xml:space="preserve"> the pooled SOC cohort from Studies 5002 and 5008, weighting increased the sample size from 93 to 109 with an ESS of 65. There were notable differences in patient characteristics between the mobocertinib PPP cohort from Study 101 and the pooled SOC cohort from Studies 5002 and 5008 that could not be adjusted for in the IPTW, such as Asian race (60% vs. 7%-8%) and number of prior lines of therapy (</w:t>
      </w:r>
      <w:r w:rsidRPr="007C0D91">
        <w:rPr>
          <w:rFonts w:cstheme="minorHAnsi"/>
        </w:rPr>
        <w:t>≥</w:t>
      </w:r>
      <w:r w:rsidRPr="007C0D91">
        <w:t xml:space="preserve"> 2 lines: 59% vs. 4%-7%). In addition, there was a high risk of residual confounding across the Study 101 and pooled Studies 5002 and 5008 data sets due to other unobserved/unmeasured patient/disease characteristics, </w:t>
      </w:r>
      <w:proofErr w:type="gramStart"/>
      <w:r w:rsidRPr="007C0D91">
        <w:t>e.g.</w:t>
      </w:r>
      <w:proofErr w:type="gramEnd"/>
      <w:r w:rsidRPr="007C0D91">
        <w:t xml:space="preserve"> prior use of chemoradiotherapy and surgery (± adjuvant chemotherapy) in early-stage disease and ECOG PS.</w:t>
      </w:r>
    </w:p>
    <w:p w14:paraId="29395FF9" w14:textId="4E64E90C" w:rsidR="005149D4" w:rsidRPr="007C0D91" w:rsidRDefault="005149D4" w:rsidP="005149D4">
      <w:pPr>
        <w:numPr>
          <w:ilvl w:val="1"/>
          <w:numId w:val="1"/>
        </w:numPr>
        <w:spacing w:after="120"/>
        <w:rPr>
          <w:rFonts w:asciiTheme="minorHAnsi" w:hAnsiTheme="minorHAnsi"/>
          <w:iCs/>
          <w:snapToGrid w:val="0"/>
        </w:rPr>
      </w:pPr>
      <w:r w:rsidRPr="007C0D91">
        <w:rPr>
          <w:rFonts w:asciiTheme="minorHAnsi" w:hAnsiTheme="minorHAnsi"/>
          <w:iCs/>
          <w:snapToGrid w:val="0"/>
        </w:rPr>
        <w:t xml:space="preserve">Overall, the </w:t>
      </w:r>
      <w:r w:rsidR="00A93A15" w:rsidRPr="007C0D91">
        <w:rPr>
          <w:rFonts w:asciiTheme="minorHAnsi" w:hAnsiTheme="minorHAnsi"/>
          <w:iCs/>
          <w:snapToGrid w:val="0"/>
        </w:rPr>
        <w:t>ESC considered the</w:t>
      </w:r>
      <w:r w:rsidR="00A93A15" w:rsidRPr="007C0D91">
        <w:rPr>
          <w:rFonts w:asciiTheme="minorHAnsi" w:hAnsiTheme="minorHAnsi"/>
          <w:i/>
          <w:snapToGrid w:val="0"/>
        </w:rPr>
        <w:t xml:space="preserve"> </w:t>
      </w:r>
      <w:r w:rsidRPr="007C0D91">
        <w:rPr>
          <w:rFonts w:asciiTheme="minorHAnsi" w:hAnsiTheme="minorHAnsi"/>
          <w:iCs/>
          <w:snapToGrid w:val="0"/>
        </w:rPr>
        <w:t xml:space="preserve">numerous limitations identified above (not exhaustive) cannot be adequately ameliorated using IPTW in the ITCs. </w:t>
      </w:r>
      <w:r w:rsidR="00A93A15" w:rsidRPr="007C0D91">
        <w:rPr>
          <w:rFonts w:asciiTheme="minorHAnsi" w:hAnsiTheme="minorHAnsi"/>
          <w:iCs/>
          <w:snapToGrid w:val="0"/>
        </w:rPr>
        <w:t>The ESC agreed with the evaluation that t</w:t>
      </w:r>
      <w:r w:rsidRPr="007C0D91">
        <w:rPr>
          <w:rFonts w:asciiTheme="minorHAnsi" w:hAnsiTheme="minorHAnsi"/>
          <w:iCs/>
          <w:snapToGrid w:val="0"/>
        </w:rPr>
        <w:t xml:space="preserve">here was a high degree of uncertainty regarding the indirect estimates of the incremental benefit of mobocertinib versus both chemotherapy and SOC. </w:t>
      </w:r>
    </w:p>
    <w:p w14:paraId="19239B64" w14:textId="77777777" w:rsidR="005149D4" w:rsidRPr="007C0D91" w:rsidRDefault="005149D4" w:rsidP="007B48A1">
      <w:pPr>
        <w:pStyle w:val="4-SubsectionHeading"/>
      </w:pPr>
      <w:bookmarkStart w:id="42" w:name="_Toc107927627"/>
      <w:bookmarkStart w:id="43" w:name="_Toc135210114"/>
      <w:r w:rsidRPr="007C0D91">
        <w:t>Comparative effectiveness</w:t>
      </w:r>
      <w:bookmarkEnd w:id="42"/>
      <w:bookmarkEnd w:id="43"/>
    </w:p>
    <w:p w14:paraId="060D0D32" w14:textId="2B1F8DF1" w:rsidR="005149D4" w:rsidRPr="007C0D91" w:rsidRDefault="005149D4" w:rsidP="005149D4">
      <w:pPr>
        <w:numPr>
          <w:ilvl w:val="1"/>
          <w:numId w:val="1"/>
        </w:numPr>
        <w:spacing w:after="120"/>
      </w:pPr>
      <w:r w:rsidRPr="007C0D91">
        <w:rPr>
          <w:rFonts w:asciiTheme="minorHAnsi" w:hAnsiTheme="minorHAnsi"/>
          <w:snapToGrid w:val="0"/>
        </w:rPr>
        <w:t xml:space="preserve">The results of ITCs of mobocertinib </w:t>
      </w:r>
      <w:r w:rsidRPr="007C0D91">
        <w:rPr>
          <w:rFonts w:asciiTheme="minorHAnsi" w:hAnsiTheme="minorHAnsi"/>
          <w:i/>
          <w:snapToGrid w:val="0"/>
        </w:rPr>
        <w:t xml:space="preserve">versus </w:t>
      </w:r>
      <w:r w:rsidRPr="007C0D91">
        <w:rPr>
          <w:rFonts w:asciiTheme="minorHAnsi" w:hAnsiTheme="minorHAnsi"/>
          <w:snapToGrid w:val="0"/>
        </w:rPr>
        <w:t xml:space="preserve">the nominated comparator, </w:t>
      </w:r>
      <w:proofErr w:type="gramStart"/>
      <w:r w:rsidRPr="007C0D91">
        <w:rPr>
          <w:rFonts w:asciiTheme="minorHAnsi" w:hAnsiTheme="minorHAnsi"/>
          <w:i/>
          <w:snapToGrid w:val="0"/>
        </w:rPr>
        <w:t>i.e.</w:t>
      </w:r>
      <w:proofErr w:type="gramEnd"/>
      <w:r w:rsidRPr="007C0D91">
        <w:rPr>
          <w:rFonts w:asciiTheme="minorHAnsi" w:hAnsiTheme="minorHAnsi"/>
          <w:i/>
          <w:snapToGrid w:val="0"/>
        </w:rPr>
        <w:t xml:space="preserve"> </w:t>
      </w:r>
      <w:r w:rsidRPr="007C0D91">
        <w:rPr>
          <w:rFonts w:asciiTheme="minorHAnsi" w:hAnsiTheme="minorHAnsi"/>
          <w:snapToGrid w:val="0"/>
        </w:rPr>
        <w:t xml:space="preserve">chemotherapy, and </w:t>
      </w:r>
      <w:r w:rsidRPr="007C0D91">
        <w:rPr>
          <w:rFonts w:asciiTheme="minorHAnsi" w:hAnsiTheme="minorHAnsi"/>
          <w:i/>
          <w:snapToGrid w:val="0"/>
        </w:rPr>
        <w:t>versus</w:t>
      </w:r>
      <w:r w:rsidRPr="007C0D91">
        <w:rPr>
          <w:rFonts w:asciiTheme="minorHAnsi" w:hAnsiTheme="minorHAnsi"/>
          <w:snapToGrid w:val="0"/>
        </w:rPr>
        <w:t xml:space="preserve"> SOC for OS and for PFS are presented in </w:t>
      </w:r>
      <w:r w:rsidRPr="007C0D91">
        <w:fldChar w:fldCharType="begin"/>
      </w:r>
      <w:r w:rsidRPr="007C0D91">
        <w:instrText xml:space="preserve"> REF _Ref134001351 \h  \* MERGEFORMAT </w:instrText>
      </w:r>
      <w:r w:rsidRPr="007C0D91">
        <w:fldChar w:fldCharType="separate"/>
      </w:r>
      <w:r w:rsidR="00117491" w:rsidRPr="007C0D91">
        <w:t xml:space="preserve">Table </w:t>
      </w:r>
      <w:r w:rsidR="00117491">
        <w:t>6</w:t>
      </w:r>
      <w:r w:rsidRPr="007C0D91">
        <w:fldChar w:fldCharType="end"/>
      </w:r>
      <w:r w:rsidRPr="007C0D91">
        <w:t>, along with the efficacy data previously reviewed by the PBAC at the November 2022 meeting. The</w:t>
      </w:r>
      <w:r w:rsidRPr="007C0D91">
        <w:rPr>
          <w:rFonts w:asciiTheme="minorHAnsi" w:hAnsiTheme="minorHAnsi"/>
          <w:snapToGrid w:val="0"/>
        </w:rPr>
        <w:t xml:space="preserve"> OS and PFS Kaplan-Meier (KM) plots of OS and PFS for the ITC of mobocertinib </w:t>
      </w:r>
      <w:r w:rsidRPr="007C0D91">
        <w:rPr>
          <w:rFonts w:asciiTheme="minorHAnsi" w:hAnsiTheme="minorHAnsi"/>
          <w:i/>
          <w:snapToGrid w:val="0"/>
        </w:rPr>
        <w:t>versus</w:t>
      </w:r>
      <w:r w:rsidRPr="007C0D91">
        <w:rPr>
          <w:rFonts w:asciiTheme="minorHAnsi" w:hAnsiTheme="minorHAnsi"/>
          <w:snapToGrid w:val="0"/>
        </w:rPr>
        <w:t xml:space="preserve"> chemotherapy are presented in </w:t>
      </w:r>
      <w:r w:rsidRPr="007C0D91">
        <w:fldChar w:fldCharType="begin"/>
      </w:r>
      <w:r w:rsidRPr="007C0D91">
        <w:instrText xml:space="preserve"> REF _Ref133839832 \h  \* MERGEFORMAT </w:instrText>
      </w:r>
      <w:r w:rsidRPr="007C0D91">
        <w:fldChar w:fldCharType="separate"/>
      </w:r>
      <w:r w:rsidR="00117491" w:rsidRPr="00117491">
        <w:t>Figure 1</w:t>
      </w:r>
      <w:r w:rsidRPr="007C0D91">
        <w:fldChar w:fldCharType="end"/>
      </w:r>
      <w:r w:rsidRPr="007C0D91">
        <w:t xml:space="preserve"> and </w:t>
      </w:r>
      <w:r w:rsidRPr="007C0D91">
        <w:fldChar w:fldCharType="begin"/>
      </w:r>
      <w:r w:rsidRPr="007C0D91">
        <w:instrText xml:space="preserve"> REF _Ref134204090 \h  \* MERGEFORMAT </w:instrText>
      </w:r>
      <w:r w:rsidRPr="007C0D91">
        <w:fldChar w:fldCharType="separate"/>
      </w:r>
      <w:r w:rsidR="00117491" w:rsidRPr="00117491">
        <w:t>Figure 2</w:t>
      </w:r>
      <w:r w:rsidRPr="007C0D91">
        <w:fldChar w:fldCharType="end"/>
      </w:r>
      <w:r w:rsidRPr="007C0D91">
        <w:t>.</w:t>
      </w:r>
    </w:p>
    <w:p w14:paraId="3DBFDDAD" w14:textId="3E6036C8" w:rsidR="005149D4" w:rsidRPr="007C0D91" w:rsidRDefault="005149D4" w:rsidP="005149D4">
      <w:pPr>
        <w:pStyle w:val="TableFigureHeading"/>
      </w:pPr>
      <w:bookmarkStart w:id="44" w:name="_Ref134001351"/>
      <w:r w:rsidRPr="007C0D91">
        <w:lastRenderedPageBreak/>
        <w:t xml:space="preserve">Table </w:t>
      </w:r>
      <w:r w:rsidR="00F36295">
        <w:fldChar w:fldCharType="begin"/>
      </w:r>
      <w:r w:rsidR="00F36295">
        <w:instrText xml:space="preserve"> SEQ Table \* ARABIC </w:instrText>
      </w:r>
      <w:r w:rsidR="00F36295">
        <w:fldChar w:fldCharType="separate"/>
      </w:r>
      <w:r w:rsidR="00117491">
        <w:rPr>
          <w:noProof/>
        </w:rPr>
        <w:t>6</w:t>
      </w:r>
      <w:r w:rsidR="00F36295">
        <w:rPr>
          <w:noProof/>
        </w:rPr>
        <w:fldChar w:fldCharType="end"/>
      </w:r>
      <w:bookmarkEnd w:id="44"/>
      <w:r w:rsidRPr="007C0D91">
        <w:t>: Summary of the indirect comparison results in the resubmission and in the previous submission</w:t>
      </w:r>
    </w:p>
    <w:tbl>
      <w:tblPr>
        <w:tblStyle w:val="TableGrid"/>
        <w:tblW w:w="5000" w:type="pct"/>
        <w:tblLook w:val="0420" w:firstRow="1" w:lastRow="0" w:firstColumn="0" w:lastColumn="0" w:noHBand="0" w:noVBand="1"/>
      </w:tblPr>
      <w:tblGrid>
        <w:gridCol w:w="4532"/>
        <w:gridCol w:w="2267"/>
        <w:gridCol w:w="2218"/>
      </w:tblGrid>
      <w:tr w:rsidR="005149D4" w:rsidRPr="007C0D91" w14:paraId="4D394FC0" w14:textId="77777777" w:rsidTr="008869C7">
        <w:trPr>
          <w:cantSplit/>
        </w:trPr>
        <w:tc>
          <w:tcPr>
            <w:tcW w:w="2513" w:type="pct"/>
            <w:tcBorders>
              <w:bottom w:val="single" w:sz="4" w:space="0" w:color="auto"/>
            </w:tcBorders>
          </w:tcPr>
          <w:p w14:paraId="04A81DA1" w14:textId="77777777" w:rsidR="005149D4" w:rsidRPr="007C0D91" w:rsidRDefault="005149D4" w:rsidP="008869C7">
            <w:pPr>
              <w:keepNext/>
              <w:keepLines/>
              <w:jc w:val="left"/>
              <w:rPr>
                <w:rFonts w:ascii="Arial Narrow" w:hAnsi="Arial Narrow" w:cs="Times New Roman"/>
                <w:snapToGrid w:val="0"/>
                <w:sz w:val="20"/>
              </w:rPr>
            </w:pPr>
          </w:p>
        </w:tc>
        <w:tc>
          <w:tcPr>
            <w:tcW w:w="1257" w:type="pct"/>
            <w:tcBorders>
              <w:bottom w:val="single" w:sz="4" w:space="0" w:color="auto"/>
            </w:tcBorders>
          </w:tcPr>
          <w:p w14:paraId="40854C8E" w14:textId="77777777" w:rsidR="005149D4" w:rsidRPr="007C0D91" w:rsidRDefault="005149D4" w:rsidP="008869C7">
            <w:pPr>
              <w:keepNext/>
              <w:keepLines/>
              <w:jc w:val="left"/>
              <w:rPr>
                <w:rFonts w:ascii="Arial Narrow" w:hAnsi="Arial Narrow" w:cs="Times New Roman"/>
                <w:b/>
                <w:snapToGrid w:val="0"/>
                <w:sz w:val="20"/>
              </w:rPr>
            </w:pPr>
            <w:r w:rsidRPr="007C0D91">
              <w:rPr>
                <w:rFonts w:ascii="Arial Narrow" w:eastAsia="Arial" w:hAnsi="Arial Narrow" w:cs="Times New Roman"/>
                <w:b/>
                <w:snapToGrid w:val="0"/>
                <w:sz w:val="20"/>
              </w:rPr>
              <w:t>OS</w:t>
            </w:r>
          </w:p>
        </w:tc>
        <w:tc>
          <w:tcPr>
            <w:tcW w:w="1230" w:type="pct"/>
            <w:tcBorders>
              <w:bottom w:val="single" w:sz="4" w:space="0" w:color="auto"/>
            </w:tcBorders>
          </w:tcPr>
          <w:p w14:paraId="54D6BDB9" w14:textId="77777777" w:rsidR="005149D4" w:rsidRPr="007C0D91" w:rsidRDefault="005149D4" w:rsidP="008869C7">
            <w:pPr>
              <w:keepNext/>
              <w:keepLines/>
              <w:jc w:val="left"/>
              <w:rPr>
                <w:rFonts w:ascii="Arial Narrow" w:hAnsi="Arial Narrow" w:cs="Times New Roman"/>
                <w:b/>
                <w:snapToGrid w:val="0"/>
                <w:sz w:val="20"/>
                <w:vertAlign w:val="superscript"/>
              </w:rPr>
            </w:pPr>
            <w:r w:rsidRPr="007C0D91">
              <w:rPr>
                <w:rFonts w:ascii="Arial Narrow" w:eastAsia="Arial" w:hAnsi="Arial Narrow" w:cs="Times New Roman"/>
                <w:b/>
                <w:snapToGrid w:val="0"/>
                <w:sz w:val="20"/>
              </w:rPr>
              <w:t>PFS</w:t>
            </w:r>
            <w:r w:rsidRPr="007C0D91">
              <w:rPr>
                <w:rFonts w:ascii="Arial Narrow" w:eastAsia="Arial" w:hAnsi="Arial Narrow" w:cs="Times New Roman"/>
                <w:b/>
                <w:snapToGrid w:val="0"/>
                <w:sz w:val="20"/>
                <w:vertAlign w:val="superscript"/>
              </w:rPr>
              <w:t>a</w:t>
            </w:r>
          </w:p>
        </w:tc>
      </w:tr>
      <w:tr w:rsidR="00F148C0" w:rsidRPr="007C0D91" w14:paraId="085528D6" w14:textId="77777777" w:rsidTr="00F148C0">
        <w:trPr>
          <w:cantSplit/>
        </w:trPr>
        <w:tc>
          <w:tcPr>
            <w:tcW w:w="2513" w:type="pct"/>
            <w:tcBorders>
              <w:bottom w:val="single" w:sz="4" w:space="0" w:color="auto"/>
            </w:tcBorders>
            <w:shd w:val="clear" w:color="auto" w:fill="B8CCE4" w:themeFill="accent1" w:themeFillTint="66"/>
          </w:tcPr>
          <w:p w14:paraId="6B70FFB1" w14:textId="1D5392FA" w:rsidR="00F148C0" w:rsidRPr="007C0D91" w:rsidRDefault="00F148C0" w:rsidP="008869C7">
            <w:pPr>
              <w:keepNext/>
              <w:keepLines/>
              <w:jc w:val="left"/>
              <w:rPr>
                <w:rFonts w:ascii="Arial Narrow" w:hAnsi="Arial Narrow" w:cs="Times New Roman"/>
                <w:snapToGrid w:val="0"/>
                <w:sz w:val="20"/>
              </w:rPr>
            </w:pPr>
            <w:r w:rsidRPr="007C0D91">
              <w:rPr>
                <w:rFonts w:ascii="Arial Narrow" w:eastAsia="Arial" w:hAnsi="Arial Narrow" w:cs="Times New Roman"/>
                <w:b/>
                <w:snapToGrid w:val="0"/>
                <w:sz w:val="20"/>
              </w:rPr>
              <w:t>Study 101</w:t>
            </w:r>
          </w:p>
        </w:tc>
        <w:tc>
          <w:tcPr>
            <w:tcW w:w="2487" w:type="pct"/>
            <w:gridSpan w:val="2"/>
            <w:tcBorders>
              <w:bottom w:val="single" w:sz="4" w:space="0" w:color="auto"/>
            </w:tcBorders>
            <w:shd w:val="clear" w:color="auto" w:fill="B8CCE4" w:themeFill="accent1" w:themeFillTint="66"/>
          </w:tcPr>
          <w:p w14:paraId="5BFCB268" w14:textId="1B7B5226" w:rsidR="00F148C0" w:rsidRPr="007C0D91" w:rsidRDefault="00F148C0" w:rsidP="00F148C0">
            <w:pPr>
              <w:keepNext/>
              <w:keepLines/>
              <w:jc w:val="center"/>
              <w:rPr>
                <w:rFonts w:ascii="Arial Narrow" w:eastAsia="Arial" w:hAnsi="Arial Narrow" w:cs="Times New Roman"/>
                <w:b/>
                <w:snapToGrid w:val="0"/>
                <w:sz w:val="20"/>
              </w:rPr>
            </w:pPr>
            <w:r w:rsidRPr="007C0D91">
              <w:rPr>
                <w:rFonts w:ascii="Arial Narrow" w:eastAsia="Arial" w:hAnsi="Arial Narrow" w:cs="Times New Roman"/>
                <w:b/>
                <w:snapToGrid w:val="0"/>
                <w:sz w:val="20"/>
              </w:rPr>
              <w:t>Mobocertinib</w:t>
            </w:r>
          </w:p>
        </w:tc>
      </w:tr>
      <w:tr w:rsidR="005149D4" w:rsidRPr="007C0D91" w14:paraId="29F46A8B" w14:textId="77777777" w:rsidTr="00C71372">
        <w:trPr>
          <w:cantSplit/>
        </w:trPr>
        <w:tc>
          <w:tcPr>
            <w:tcW w:w="2513" w:type="pct"/>
            <w:shd w:val="clear" w:color="auto" w:fill="B8CCE4" w:themeFill="accent1" w:themeFillTint="66"/>
          </w:tcPr>
          <w:p w14:paraId="2AB56805"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Median duration mobocertinib in Study 101 (N=114), months (95% CI)</w:t>
            </w:r>
          </w:p>
        </w:tc>
        <w:tc>
          <w:tcPr>
            <w:tcW w:w="1257" w:type="pct"/>
            <w:shd w:val="clear" w:color="auto" w:fill="B8CCE4" w:themeFill="accent1" w:themeFillTint="66"/>
          </w:tcPr>
          <w:p w14:paraId="0C64578B"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20.2 (14.9, 25.3)</w:t>
            </w:r>
          </w:p>
        </w:tc>
        <w:tc>
          <w:tcPr>
            <w:tcW w:w="1230" w:type="pct"/>
            <w:shd w:val="clear" w:color="auto" w:fill="B8CCE4" w:themeFill="accent1" w:themeFillTint="66"/>
          </w:tcPr>
          <w:p w14:paraId="007F2D2B"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7.3 (5.6, 8.8)</w:t>
            </w:r>
          </w:p>
        </w:tc>
      </w:tr>
      <w:tr w:rsidR="005149D4" w:rsidRPr="007C0D91" w14:paraId="69FDB150" w14:textId="77777777" w:rsidTr="00C71372">
        <w:trPr>
          <w:cantSplit/>
        </w:trPr>
        <w:tc>
          <w:tcPr>
            <w:tcW w:w="2513" w:type="pct"/>
            <w:shd w:val="clear" w:color="auto" w:fill="B8CCE4" w:themeFill="accent1" w:themeFillTint="66"/>
          </w:tcPr>
          <w:p w14:paraId="20A81883"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b/>
                <w:snapToGrid w:val="0"/>
                <w:sz w:val="20"/>
              </w:rPr>
              <w:t xml:space="preserve">Study 5008 </w:t>
            </w:r>
          </w:p>
        </w:tc>
        <w:tc>
          <w:tcPr>
            <w:tcW w:w="2487" w:type="pct"/>
            <w:gridSpan w:val="2"/>
            <w:shd w:val="clear" w:color="auto" w:fill="B8CCE4" w:themeFill="accent1" w:themeFillTint="66"/>
          </w:tcPr>
          <w:p w14:paraId="6BC1198A" w14:textId="77777777" w:rsidR="005149D4" w:rsidRPr="007C0D91" w:rsidRDefault="005149D4" w:rsidP="008869C7">
            <w:pPr>
              <w:keepNext/>
              <w:keepLines/>
              <w:jc w:val="center"/>
              <w:rPr>
                <w:rFonts w:ascii="Arial Narrow" w:eastAsia="Arial" w:hAnsi="Arial Narrow" w:cs="Times New Roman"/>
                <w:snapToGrid w:val="0"/>
                <w:sz w:val="20"/>
              </w:rPr>
            </w:pPr>
            <w:r w:rsidRPr="007C0D91">
              <w:rPr>
                <w:rFonts w:ascii="Arial Narrow" w:eastAsia="Arial" w:hAnsi="Arial Narrow" w:cs="Times New Roman"/>
                <w:b/>
                <w:snapToGrid w:val="0"/>
                <w:sz w:val="20"/>
              </w:rPr>
              <w:t>SOC</w:t>
            </w:r>
            <w:r w:rsidRPr="007C0D91">
              <w:rPr>
                <w:rFonts w:ascii="Arial Narrow" w:eastAsia="Arial" w:hAnsi="Arial Narrow" w:cs="Times New Roman"/>
                <w:b/>
                <w:snapToGrid w:val="0"/>
                <w:sz w:val="20"/>
                <w:vertAlign w:val="superscript"/>
              </w:rPr>
              <w:t>b</w:t>
            </w:r>
          </w:p>
        </w:tc>
      </w:tr>
      <w:tr w:rsidR="005149D4" w:rsidRPr="007C0D91" w14:paraId="72B085F7" w14:textId="77777777" w:rsidTr="00C71372">
        <w:trPr>
          <w:cantSplit/>
        </w:trPr>
        <w:tc>
          <w:tcPr>
            <w:tcW w:w="2513" w:type="pct"/>
            <w:shd w:val="clear" w:color="auto" w:fill="B8CCE4" w:themeFill="accent1" w:themeFillTint="66"/>
          </w:tcPr>
          <w:p w14:paraId="44883B21"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Unadjusted median duration in Study 5008 (N=43), months (95% CI)</w:t>
            </w:r>
          </w:p>
        </w:tc>
        <w:tc>
          <w:tcPr>
            <w:tcW w:w="1257" w:type="pct"/>
            <w:shd w:val="clear" w:color="auto" w:fill="B8CCE4" w:themeFill="accent1" w:themeFillTint="66"/>
          </w:tcPr>
          <w:p w14:paraId="39513E80"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11.3 (8.9, 14.5)</w:t>
            </w:r>
          </w:p>
        </w:tc>
        <w:tc>
          <w:tcPr>
            <w:tcW w:w="1230" w:type="pct"/>
            <w:shd w:val="clear" w:color="auto" w:fill="B8CCE4" w:themeFill="accent1" w:themeFillTint="66"/>
          </w:tcPr>
          <w:p w14:paraId="7CD78259"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3.0 (2.0, 4.4)</w:t>
            </w:r>
          </w:p>
        </w:tc>
      </w:tr>
      <w:tr w:rsidR="005149D4" w:rsidRPr="007C0D91" w14:paraId="488CB8AF" w14:textId="77777777" w:rsidTr="00C71372">
        <w:trPr>
          <w:cantSplit/>
        </w:trPr>
        <w:tc>
          <w:tcPr>
            <w:tcW w:w="2513" w:type="pct"/>
            <w:shd w:val="clear" w:color="auto" w:fill="B8CCE4" w:themeFill="accent1" w:themeFillTint="66"/>
          </w:tcPr>
          <w:p w14:paraId="79105BD3"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IPTW adjusted median duration Study 5008 (95% CI)</w:t>
            </w:r>
          </w:p>
        </w:tc>
        <w:tc>
          <w:tcPr>
            <w:tcW w:w="1257" w:type="pct"/>
            <w:shd w:val="clear" w:color="auto" w:fill="B8CCE4" w:themeFill="accent1" w:themeFillTint="66"/>
          </w:tcPr>
          <w:p w14:paraId="039F9AAD"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9.8 (4.3, 13.7)</w:t>
            </w:r>
          </w:p>
        </w:tc>
        <w:tc>
          <w:tcPr>
            <w:tcW w:w="1230" w:type="pct"/>
            <w:shd w:val="clear" w:color="auto" w:fill="B8CCE4" w:themeFill="accent1" w:themeFillTint="66"/>
          </w:tcPr>
          <w:p w14:paraId="1CFD9D6A"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2.6 (1.5, 5.6)</w:t>
            </w:r>
          </w:p>
        </w:tc>
      </w:tr>
      <w:tr w:rsidR="005149D4" w:rsidRPr="007C0D91" w14:paraId="6214AC12" w14:textId="77777777" w:rsidTr="00C71372">
        <w:trPr>
          <w:cantSplit/>
        </w:trPr>
        <w:tc>
          <w:tcPr>
            <w:tcW w:w="2513" w:type="pct"/>
            <w:shd w:val="clear" w:color="auto" w:fill="B8CCE4" w:themeFill="accent1" w:themeFillTint="66"/>
          </w:tcPr>
          <w:p w14:paraId="5995EEDC"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b/>
                <w:snapToGrid w:val="0"/>
                <w:sz w:val="20"/>
              </w:rPr>
              <w:t>Study 5002</w:t>
            </w:r>
          </w:p>
        </w:tc>
        <w:tc>
          <w:tcPr>
            <w:tcW w:w="2487" w:type="pct"/>
            <w:gridSpan w:val="2"/>
            <w:shd w:val="clear" w:color="auto" w:fill="B8CCE4" w:themeFill="accent1" w:themeFillTint="66"/>
          </w:tcPr>
          <w:p w14:paraId="67F94D3B" w14:textId="77777777" w:rsidR="005149D4" w:rsidRPr="007C0D91" w:rsidRDefault="005149D4" w:rsidP="008869C7">
            <w:pPr>
              <w:keepNext/>
              <w:keepLines/>
              <w:jc w:val="center"/>
              <w:rPr>
                <w:rFonts w:ascii="Arial Narrow" w:eastAsia="Arial" w:hAnsi="Arial Narrow" w:cs="Times New Roman"/>
                <w:snapToGrid w:val="0"/>
                <w:sz w:val="20"/>
              </w:rPr>
            </w:pPr>
            <w:r w:rsidRPr="007C0D91">
              <w:rPr>
                <w:rFonts w:ascii="Arial Narrow" w:eastAsia="Arial" w:hAnsi="Arial Narrow" w:cs="Times New Roman"/>
                <w:b/>
                <w:snapToGrid w:val="0"/>
                <w:sz w:val="20"/>
              </w:rPr>
              <w:t>SOC</w:t>
            </w:r>
            <w:r w:rsidRPr="007C0D91">
              <w:rPr>
                <w:rFonts w:ascii="Arial Narrow" w:eastAsia="Arial" w:hAnsi="Arial Narrow" w:cs="Times New Roman"/>
                <w:b/>
                <w:snapToGrid w:val="0"/>
                <w:sz w:val="20"/>
                <w:vertAlign w:val="superscript"/>
              </w:rPr>
              <w:t>b</w:t>
            </w:r>
          </w:p>
        </w:tc>
      </w:tr>
      <w:tr w:rsidR="005149D4" w:rsidRPr="007C0D91" w14:paraId="1E89ACB4" w14:textId="77777777" w:rsidTr="00C71372">
        <w:trPr>
          <w:cantSplit/>
        </w:trPr>
        <w:tc>
          <w:tcPr>
            <w:tcW w:w="2513" w:type="pct"/>
            <w:shd w:val="clear" w:color="auto" w:fill="B8CCE4" w:themeFill="accent1" w:themeFillTint="66"/>
          </w:tcPr>
          <w:p w14:paraId="4E1A0DFF"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Unadjusted median duration Study 5002 (N=50), months (95% CI)</w:t>
            </w:r>
          </w:p>
        </w:tc>
        <w:tc>
          <w:tcPr>
            <w:tcW w:w="1257" w:type="pct"/>
            <w:shd w:val="clear" w:color="auto" w:fill="B8CCE4" w:themeFill="accent1" w:themeFillTint="66"/>
          </w:tcPr>
          <w:p w14:paraId="5897D936"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11.5 (7.9, 16.6)</w:t>
            </w:r>
          </w:p>
        </w:tc>
        <w:tc>
          <w:tcPr>
            <w:tcW w:w="1230" w:type="pct"/>
            <w:shd w:val="clear" w:color="auto" w:fill="B8CCE4" w:themeFill="accent1" w:themeFillTint="66"/>
          </w:tcPr>
          <w:p w14:paraId="5474C3D5"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3.3 (2.3, 5.9)</w:t>
            </w:r>
          </w:p>
        </w:tc>
      </w:tr>
      <w:tr w:rsidR="005149D4" w:rsidRPr="007C0D91" w14:paraId="01C0759A" w14:textId="77777777" w:rsidTr="00C71372">
        <w:trPr>
          <w:cantSplit/>
        </w:trPr>
        <w:tc>
          <w:tcPr>
            <w:tcW w:w="2513" w:type="pct"/>
            <w:tcBorders>
              <w:bottom w:val="single" w:sz="4" w:space="0" w:color="auto"/>
            </w:tcBorders>
            <w:shd w:val="clear" w:color="auto" w:fill="B8CCE4" w:themeFill="accent1" w:themeFillTint="66"/>
          </w:tcPr>
          <w:p w14:paraId="22B34591" w14:textId="77777777" w:rsidR="005149D4" w:rsidRPr="007C0D91" w:rsidRDefault="005149D4" w:rsidP="008869C7">
            <w:pPr>
              <w:keepNext/>
              <w:keepLines/>
              <w:jc w:val="left"/>
              <w:rPr>
                <w:rFonts w:ascii="Arial Narrow" w:hAnsi="Arial Narrow" w:cs="Times New Roman"/>
                <w:snapToGrid w:val="0"/>
                <w:sz w:val="20"/>
              </w:rPr>
            </w:pPr>
            <w:r w:rsidRPr="007C0D91">
              <w:rPr>
                <w:rFonts w:ascii="Arial Narrow" w:eastAsia="Arial" w:hAnsi="Arial Narrow" w:cs="Times New Roman"/>
                <w:snapToGrid w:val="0"/>
                <w:sz w:val="20"/>
              </w:rPr>
              <w:t>IPTW adjusted median duration Study 5002 (95% CI)</w:t>
            </w:r>
          </w:p>
        </w:tc>
        <w:tc>
          <w:tcPr>
            <w:tcW w:w="1257" w:type="pct"/>
            <w:tcBorders>
              <w:bottom w:val="single" w:sz="4" w:space="0" w:color="auto"/>
            </w:tcBorders>
            <w:shd w:val="clear" w:color="auto" w:fill="B8CCE4" w:themeFill="accent1" w:themeFillTint="66"/>
          </w:tcPr>
          <w:p w14:paraId="52808CCA"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12.4 (7.1, 16.6)</w:t>
            </w:r>
          </w:p>
        </w:tc>
        <w:tc>
          <w:tcPr>
            <w:tcW w:w="1230" w:type="pct"/>
            <w:tcBorders>
              <w:bottom w:val="single" w:sz="4" w:space="0" w:color="auto"/>
            </w:tcBorders>
            <w:shd w:val="clear" w:color="auto" w:fill="B8CCE4" w:themeFill="accent1" w:themeFillTint="66"/>
          </w:tcPr>
          <w:p w14:paraId="28A5F54E"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3.25 (2.2, 7.3)</w:t>
            </w:r>
          </w:p>
        </w:tc>
      </w:tr>
      <w:tr w:rsidR="005149D4" w:rsidRPr="007C0D91" w14:paraId="67E7F815" w14:textId="77777777" w:rsidTr="00C71372">
        <w:trPr>
          <w:cantSplit/>
        </w:trPr>
        <w:tc>
          <w:tcPr>
            <w:tcW w:w="2513" w:type="pct"/>
            <w:shd w:val="clear" w:color="auto" w:fill="B8CCE4" w:themeFill="accent1" w:themeFillTint="66"/>
          </w:tcPr>
          <w:p w14:paraId="4F6C3444"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Pooled</w:t>
            </w:r>
            <w:r w:rsidRPr="007C0D91">
              <w:rPr>
                <w:rFonts w:ascii="Arial Narrow" w:eastAsia="Arial" w:hAnsi="Arial Narrow" w:cs="Times New Roman"/>
                <w:b/>
                <w:snapToGrid w:val="0"/>
                <w:sz w:val="20"/>
                <w:vertAlign w:val="superscript"/>
              </w:rPr>
              <w:t>c</w:t>
            </w:r>
            <w:r w:rsidRPr="007C0D91">
              <w:rPr>
                <w:rFonts w:ascii="Arial Narrow" w:eastAsia="Arial" w:hAnsi="Arial Narrow" w:cs="Times New Roman"/>
                <w:b/>
                <w:snapToGrid w:val="0"/>
                <w:sz w:val="20"/>
              </w:rPr>
              <w:t xml:space="preserve"> - Study 5008 and Study 5002 </w:t>
            </w:r>
          </w:p>
        </w:tc>
        <w:tc>
          <w:tcPr>
            <w:tcW w:w="2487" w:type="pct"/>
            <w:gridSpan w:val="2"/>
            <w:shd w:val="clear" w:color="auto" w:fill="B8CCE4" w:themeFill="accent1" w:themeFillTint="66"/>
          </w:tcPr>
          <w:p w14:paraId="051DEBB3" w14:textId="77777777" w:rsidR="005149D4" w:rsidRPr="007C0D91" w:rsidRDefault="005149D4" w:rsidP="008869C7">
            <w:pPr>
              <w:keepNext/>
              <w:keepLines/>
              <w:jc w:val="center"/>
              <w:rPr>
                <w:rFonts w:ascii="Arial Narrow" w:eastAsia="Arial" w:hAnsi="Arial Narrow" w:cs="Times New Roman"/>
                <w:b/>
                <w:snapToGrid w:val="0"/>
                <w:sz w:val="20"/>
              </w:rPr>
            </w:pPr>
            <w:r w:rsidRPr="007C0D91">
              <w:rPr>
                <w:rFonts w:ascii="Arial Narrow" w:eastAsia="Arial" w:hAnsi="Arial Narrow" w:cs="Times New Roman"/>
                <w:b/>
                <w:snapToGrid w:val="0"/>
                <w:sz w:val="20"/>
              </w:rPr>
              <w:t>SOC</w:t>
            </w:r>
            <w:r w:rsidRPr="007C0D91">
              <w:rPr>
                <w:rFonts w:ascii="Arial Narrow" w:eastAsia="Arial" w:hAnsi="Arial Narrow" w:cs="Times New Roman"/>
                <w:b/>
                <w:snapToGrid w:val="0"/>
                <w:sz w:val="20"/>
                <w:vertAlign w:val="superscript"/>
              </w:rPr>
              <w:t>b</w:t>
            </w:r>
          </w:p>
        </w:tc>
      </w:tr>
      <w:tr w:rsidR="005149D4" w:rsidRPr="007C0D91" w14:paraId="366E3787" w14:textId="77777777" w:rsidTr="00C71372">
        <w:trPr>
          <w:cantSplit/>
        </w:trPr>
        <w:tc>
          <w:tcPr>
            <w:tcW w:w="2513" w:type="pct"/>
            <w:shd w:val="clear" w:color="auto" w:fill="B8CCE4" w:themeFill="accent1" w:themeFillTint="66"/>
          </w:tcPr>
          <w:p w14:paraId="49253776"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Unadjusted median duration (N=93), months (95% CI)</w:t>
            </w:r>
          </w:p>
        </w:tc>
        <w:tc>
          <w:tcPr>
            <w:tcW w:w="1257" w:type="pct"/>
            <w:shd w:val="clear" w:color="auto" w:fill="B8CCE4" w:themeFill="accent1" w:themeFillTint="66"/>
          </w:tcPr>
          <w:p w14:paraId="33CD910B"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11.4 (8.9, 14.1)</w:t>
            </w:r>
          </w:p>
        </w:tc>
        <w:tc>
          <w:tcPr>
            <w:tcW w:w="1230" w:type="pct"/>
            <w:shd w:val="clear" w:color="auto" w:fill="B8CCE4" w:themeFill="accent1" w:themeFillTint="66"/>
          </w:tcPr>
          <w:p w14:paraId="70423167"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3.0 (2.5, 4.3)</w:t>
            </w:r>
          </w:p>
        </w:tc>
      </w:tr>
      <w:tr w:rsidR="005149D4" w:rsidRPr="007C0D91" w14:paraId="76AAE09E" w14:textId="77777777" w:rsidTr="00C71372">
        <w:trPr>
          <w:cantSplit/>
        </w:trPr>
        <w:tc>
          <w:tcPr>
            <w:tcW w:w="2513" w:type="pct"/>
            <w:shd w:val="clear" w:color="auto" w:fill="B8CCE4" w:themeFill="accent1" w:themeFillTint="66"/>
          </w:tcPr>
          <w:p w14:paraId="3D54FA4E"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IPTW adjusted median duration, months (95% CI)</w:t>
            </w:r>
          </w:p>
        </w:tc>
        <w:tc>
          <w:tcPr>
            <w:tcW w:w="1257" w:type="pct"/>
            <w:shd w:val="clear" w:color="auto" w:fill="B8CCE4" w:themeFill="accent1" w:themeFillTint="66"/>
          </w:tcPr>
          <w:p w14:paraId="00134806"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11.0 (7.9, 13.6)</w:t>
            </w:r>
          </w:p>
        </w:tc>
        <w:tc>
          <w:tcPr>
            <w:tcW w:w="1230" w:type="pct"/>
            <w:shd w:val="clear" w:color="auto" w:fill="B8CCE4" w:themeFill="accent1" w:themeFillTint="66"/>
          </w:tcPr>
          <w:p w14:paraId="7EBEBECE"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2.9 (2.2, 4.4)</w:t>
            </w:r>
          </w:p>
        </w:tc>
      </w:tr>
      <w:tr w:rsidR="005149D4" w:rsidRPr="007C0D91" w14:paraId="69BA0495" w14:textId="77777777" w:rsidTr="008869C7">
        <w:trPr>
          <w:cantSplit/>
        </w:trPr>
        <w:tc>
          <w:tcPr>
            <w:tcW w:w="2513" w:type="pct"/>
          </w:tcPr>
          <w:p w14:paraId="1477F7BA"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b/>
                <w:snapToGrid w:val="0"/>
                <w:sz w:val="20"/>
              </w:rPr>
              <w:t>Pooled - Study 5008 and Study 5002</w:t>
            </w:r>
          </w:p>
        </w:tc>
        <w:tc>
          <w:tcPr>
            <w:tcW w:w="2487" w:type="pct"/>
            <w:gridSpan w:val="2"/>
          </w:tcPr>
          <w:p w14:paraId="59674474" w14:textId="77777777" w:rsidR="005149D4" w:rsidRPr="007C0D91" w:rsidRDefault="005149D4" w:rsidP="008869C7">
            <w:pPr>
              <w:keepNext/>
              <w:keepLines/>
              <w:jc w:val="center"/>
              <w:rPr>
                <w:rFonts w:ascii="Arial Narrow" w:hAnsi="Arial Narrow" w:cs="Times New Roman"/>
                <w:b/>
                <w:bCs/>
                <w:snapToGrid w:val="0"/>
                <w:sz w:val="20"/>
                <w:vertAlign w:val="superscript"/>
              </w:rPr>
            </w:pPr>
            <w:r w:rsidRPr="007C0D91">
              <w:rPr>
                <w:rFonts w:ascii="Arial Narrow" w:hAnsi="Arial Narrow" w:cs="Times New Roman"/>
                <w:b/>
                <w:bCs/>
                <w:snapToGrid w:val="0"/>
                <w:sz w:val="20"/>
              </w:rPr>
              <w:t>Chemotherapy</w:t>
            </w:r>
            <w:r w:rsidRPr="007C0D91">
              <w:rPr>
                <w:rFonts w:ascii="Arial Narrow" w:hAnsi="Arial Narrow" w:cs="Times New Roman"/>
                <w:b/>
                <w:bCs/>
                <w:snapToGrid w:val="0"/>
                <w:sz w:val="20"/>
                <w:vertAlign w:val="superscript"/>
              </w:rPr>
              <w:t>d</w:t>
            </w:r>
          </w:p>
        </w:tc>
      </w:tr>
      <w:tr w:rsidR="005149D4" w:rsidRPr="007C0D91" w14:paraId="64569216" w14:textId="77777777" w:rsidTr="008869C7">
        <w:trPr>
          <w:cantSplit/>
        </w:trPr>
        <w:tc>
          <w:tcPr>
            <w:tcW w:w="2513" w:type="pct"/>
          </w:tcPr>
          <w:p w14:paraId="204EBE4B"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Unadjusted median duration (N=23), months (95% CI)</w:t>
            </w:r>
          </w:p>
        </w:tc>
        <w:tc>
          <w:tcPr>
            <w:tcW w:w="1257" w:type="pct"/>
            <w:vAlign w:val="center"/>
          </w:tcPr>
          <w:p w14:paraId="07E707E2" w14:textId="77777777" w:rsidR="005149D4" w:rsidRPr="007C0D91" w:rsidRDefault="005149D4" w:rsidP="008869C7">
            <w:pPr>
              <w:keepNext/>
              <w:keepLines/>
              <w:jc w:val="left"/>
              <w:rPr>
                <w:rFonts w:ascii="Arial Narrow" w:hAnsi="Arial Narrow" w:cs="Times New Roman"/>
                <w:bCs/>
                <w:snapToGrid w:val="0"/>
                <w:sz w:val="20"/>
              </w:rPr>
            </w:pPr>
            <w:r w:rsidRPr="007C0D91">
              <w:rPr>
                <w:rFonts w:ascii="Arial Narrow" w:eastAsia="Arial" w:hAnsi="Arial Narrow" w:cs="Times New Roman"/>
                <w:snapToGrid w:val="0"/>
                <w:sz w:val="20"/>
              </w:rPr>
              <w:t>13.7 (9.4, 20.6)</w:t>
            </w:r>
          </w:p>
        </w:tc>
        <w:tc>
          <w:tcPr>
            <w:tcW w:w="1230" w:type="pct"/>
          </w:tcPr>
          <w:p w14:paraId="45262B43" w14:textId="77777777" w:rsidR="005149D4" w:rsidRPr="007C0D91" w:rsidRDefault="005149D4" w:rsidP="008869C7">
            <w:pPr>
              <w:keepNext/>
              <w:keepLines/>
              <w:jc w:val="left"/>
              <w:rPr>
                <w:rFonts w:ascii="Arial Narrow" w:hAnsi="Arial Narrow" w:cs="Times New Roman"/>
                <w:bCs/>
                <w:snapToGrid w:val="0"/>
                <w:sz w:val="20"/>
              </w:rPr>
            </w:pPr>
            <w:r w:rsidRPr="007C0D91">
              <w:rPr>
                <w:rFonts w:ascii="Arial Narrow" w:eastAsia="Arial" w:hAnsi="Arial Narrow" w:cs="Times New Roman"/>
                <w:snapToGrid w:val="0"/>
                <w:sz w:val="20"/>
              </w:rPr>
              <w:t>5.0 (2.9, 8.1)</w:t>
            </w:r>
          </w:p>
        </w:tc>
      </w:tr>
      <w:tr w:rsidR="005149D4" w:rsidRPr="007C0D91" w14:paraId="4D8453C2" w14:textId="77777777" w:rsidTr="008869C7">
        <w:trPr>
          <w:cantSplit/>
        </w:trPr>
        <w:tc>
          <w:tcPr>
            <w:tcW w:w="2513" w:type="pct"/>
            <w:tcBorders>
              <w:bottom w:val="single" w:sz="4" w:space="0" w:color="auto"/>
            </w:tcBorders>
          </w:tcPr>
          <w:p w14:paraId="682F53A5"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IPTW adjusted median duration, months (95% CI)</w:t>
            </w:r>
          </w:p>
        </w:tc>
        <w:tc>
          <w:tcPr>
            <w:tcW w:w="1257" w:type="pct"/>
            <w:tcBorders>
              <w:bottom w:val="single" w:sz="4" w:space="0" w:color="auto"/>
            </w:tcBorders>
            <w:vAlign w:val="center"/>
          </w:tcPr>
          <w:p w14:paraId="7AA8D23B" w14:textId="77777777" w:rsidR="005149D4" w:rsidRPr="007C0D91" w:rsidRDefault="005149D4" w:rsidP="008869C7">
            <w:pPr>
              <w:keepNext/>
              <w:keepLines/>
              <w:jc w:val="left"/>
              <w:rPr>
                <w:rFonts w:ascii="Arial Narrow" w:hAnsi="Arial Narrow" w:cs="Times New Roman"/>
                <w:bCs/>
                <w:snapToGrid w:val="0"/>
                <w:sz w:val="20"/>
              </w:rPr>
            </w:pPr>
            <w:r w:rsidRPr="007C0D91">
              <w:rPr>
                <w:rFonts w:ascii="Arial Narrow" w:eastAsia="Arial" w:hAnsi="Arial Narrow" w:cs="Times New Roman"/>
                <w:snapToGrid w:val="0"/>
                <w:sz w:val="20"/>
              </w:rPr>
              <w:t>12.4 (8.9, 20.6)</w:t>
            </w:r>
          </w:p>
        </w:tc>
        <w:tc>
          <w:tcPr>
            <w:tcW w:w="1230" w:type="pct"/>
            <w:tcBorders>
              <w:bottom w:val="single" w:sz="4" w:space="0" w:color="auto"/>
            </w:tcBorders>
          </w:tcPr>
          <w:p w14:paraId="399613DA" w14:textId="77777777" w:rsidR="005149D4" w:rsidRPr="007C0D91" w:rsidRDefault="005149D4" w:rsidP="008869C7">
            <w:pPr>
              <w:keepNext/>
              <w:keepLines/>
              <w:jc w:val="left"/>
              <w:rPr>
                <w:rFonts w:ascii="Arial Narrow" w:hAnsi="Arial Narrow" w:cs="Times New Roman"/>
                <w:bCs/>
                <w:snapToGrid w:val="0"/>
                <w:sz w:val="20"/>
              </w:rPr>
            </w:pPr>
            <w:r w:rsidRPr="007C0D91">
              <w:rPr>
                <w:rFonts w:ascii="Arial Narrow" w:eastAsia="Arial" w:hAnsi="Arial Narrow" w:cs="Times New Roman"/>
                <w:snapToGrid w:val="0"/>
                <w:sz w:val="20"/>
              </w:rPr>
              <w:t>4.4 (1.9, 8.1)</w:t>
            </w:r>
          </w:p>
        </w:tc>
      </w:tr>
      <w:tr w:rsidR="005149D4" w:rsidRPr="007C0D91" w14:paraId="2D29005E" w14:textId="77777777" w:rsidTr="00C71372">
        <w:trPr>
          <w:cantSplit/>
        </w:trPr>
        <w:tc>
          <w:tcPr>
            <w:tcW w:w="5000" w:type="pct"/>
            <w:gridSpan w:val="3"/>
            <w:shd w:val="clear" w:color="auto" w:fill="B8CCE4" w:themeFill="accent1" w:themeFillTint="66"/>
          </w:tcPr>
          <w:p w14:paraId="688E10D7" w14:textId="77777777" w:rsidR="005149D4" w:rsidRPr="007C0D91" w:rsidRDefault="005149D4" w:rsidP="008869C7">
            <w:pPr>
              <w:keepNext/>
              <w:keepLines/>
              <w:jc w:val="left"/>
              <w:rPr>
                <w:rFonts w:ascii="Arial Narrow" w:hAnsi="Arial Narrow" w:cs="Times New Roman"/>
                <w:b/>
                <w:bCs/>
                <w:snapToGrid w:val="0"/>
                <w:sz w:val="20"/>
              </w:rPr>
            </w:pPr>
            <w:r w:rsidRPr="007C0D91">
              <w:rPr>
                <w:rFonts w:ascii="Arial Narrow" w:hAnsi="Arial Narrow" w:cs="Times New Roman"/>
                <w:b/>
                <w:bCs/>
                <w:snapToGrid w:val="0"/>
                <w:sz w:val="20"/>
              </w:rPr>
              <w:t xml:space="preserve">Indirect </w:t>
            </w:r>
            <w:r w:rsidRPr="007C0D91">
              <w:rPr>
                <w:rFonts w:ascii="Arial Narrow" w:eastAsia="Arial" w:hAnsi="Arial Narrow" w:cs="Times New Roman"/>
                <w:b/>
                <w:snapToGrid w:val="0"/>
                <w:sz w:val="20"/>
              </w:rPr>
              <w:t>mobocertinib vs. SOC</w:t>
            </w:r>
            <w:r w:rsidRPr="007C0D91">
              <w:rPr>
                <w:rFonts w:ascii="Arial Narrow" w:eastAsia="Arial" w:hAnsi="Arial Narrow" w:cs="Times New Roman"/>
                <w:b/>
                <w:snapToGrid w:val="0"/>
                <w:sz w:val="20"/>
                <w:vertAlign w:val="superscript"/>
              </w:rPr>
              <w:t>b</w:t>
            </w:r>
            <w:r w:rsidRPr="007C0D91">
              <w:rPr>
                <w:rFonts w:ascii="Arial Narrow" w:eastAsia="Arial" w:hAnsi="Arial Narrow" w:cs="Times New Roman"/>
                <w:b/>
                <w:snapToGrid w:val="0"/>
                <w:sz w:val="20"/>
              </w:rPr>
              <w:t xml:space="preserve"> in Study 5008, (95% CI) [Log-rank p-value]</w:t>
            </w:r>
          </w:p>
        </w:tc>
      </w:tr>
      <w:tr w:rsidR="005149D4" w:rsidRPr="007C0D91" w14:paraId="5BF2B314" w14:textId="77777777" w:rsidTr="00C71372">
        <w:trPr>
          <w:cantSplit/>
        </w:trPr>
        <w:tc>
          <w:tcPr>
            <w:tcW w:w="2513" w:type="pct"/>
            <w:tcBorders>
              <w:bottom w:val="single" w:sz="4" w:space="0" w:color="auto"/>
            </w:tcBorders>
            <w:shd w:val="clear" w:color="auto" w:fill="B8CCE4" w:themeFill="accent1" w:themeFillTint="66"/>
          </w:tcPr>
          <w:p w14:paraId="18FFDE15" w14:textId="77777777" w:rsidR="005149D4" w:rsidRPr="007C0D91" w:rsidRDefault="005149D4" w:rsidP="008869C7">
            <w:pPr>
              <w:keepNext/>
              <w:keepLines/>
              <w:ind w:left="720"/>
              <w:jc w:val="left"/>
              <w:rPr>
                <w:rFonts w:ascii="Arial Narrow" w:hAnsi="Arial Narrow" w:cs="Times New Roman"/>
                <w:snapToGrid w:val="0"/>
                <w:sz w:val="20"/>
              </w:rPr>
            </w:pPr>
            <w:r w:rsidRPr="007C0D91">
              <w:rPr>
                <w:rFonts w:ascii="Arial Narrow" w:eastAsia="Arial" w:hAnsi="Arial Narrow" w:cs="Times New Roman"/>
                <w:snapToGrid w:val="0"/>
                <w:sz w:val="20"/>
              </w:rPr>
              <w:t xml:space="preserve">Unadjusted HR </w:t>
            </w:r>
          </w:p>
        </w:tc>
        <w:tc>
          <w:tcPr>
            <w:tcW w:w="1257" w:type="pct"/>
            <w:tcBorders>
              <w:bottom w:val="single" w:sz="4" w:space="0" w:color="auto"/>
            </w:tcBorders>
            <w:shd w:val="clear" w:color="auto" w:fill="B8CCE4" w:themeFill="accent1" w:themeFillTint="66"/>
          </w:tcPr>
          <w:p w14:paraId="2AF78D7E" w14:textId="77777777" w:rsidR="005149D4" w:rsidRPr="007C0D91" w:rsidRDefault="005149D4" w:rsidP="008869C7">
            <w:pPr>
              <w:keepNext/>
              <w:keepLines/>
              <w:jc w:val="left"/>
              <w:rPr>
                <w:rFonts w:ascii="Arial Narrow" w:hAnsi="Arial Narrow" w:cs="Times New Roman"/>
                <w:b/>
                <w:snapToGrid w:val="0"/>
                <w:sz w:val="20"/>
              </w:rPr>
            </w:pPr>
            <w:r w:rsidRPr="007C0D91">
              <w:rPr>
                <w:rFonts w:ascii="Arial Narrow" w:eastAsia="Arial" w:hAnsi="Arial Narrow" w:cs="Times New Roman"/>
                <w:b/>
                <w:snapToGrid w:val="0"/>
                <w:sz w:val="20"/>
              </w:rPr>
              <w:t>0.50 (0.32, 0.76) [0.0009]</w:t>
            </w:r>
          </w:p>
        </w:tc>
        <w:tc>
          <w:tcPr>
            <w:tcW w:w="1230" w:type="pct"/>
            <w:tcBorders>
              <w:bottom w:val="single" w:sz="4" w:space="0" w:color="auto"/>
            </w:tcBorders>
            <w:shd w:val="clear" w:color="auto" w:fill="B8CCE4" w:themeFill="accent1" w:themeFillTint="66"/>
          </w:tcPr>
          <w:p w14:paraId="75FBE7A6" w14:textId="77777777" w:rsidR="005149D4" w:rsidRPr="007C0D91" w:rsidRDefault="005149D4" w:rsidP="008869C7">
            <w:pPr>
              <w:keepNext/>
              <w:keepLines/>
              <w:jc w:val="left"/>
              <w:rPr>
                <w:rFonts w:ascii="Arial Narrow" w:hAnsi="Arial Narrow" w:cs="Times New Roman"/>
                <w:b/>
                <w:snapToGrid w:val="0"/>
                <w:sz w:val="20"/>
              </w:rPr>
            </w:pPr>
            <w:r w:rsidRPr="007C0D91">
              <w:rPr>
                <w:rFonts w:ascii="Arial Narrow" w:eastAsia="Arial" w:hAnsi="Arial Narrow" w:cs="Times New Roman"/>
                <w:b/>
                <w:snapToGrid w:val="0"/>
                <w:sz w:val="20"/>
              </w:rPr>
              <w:t>0.34 (0.22, 0.51) [&lt;0.0001]</w:t>
            </w:r>
          </w:p>
        </w:tc>
      </w:tr>
      <w:tr w:rsidR="005149D4" w:rsidRPr="007C0D91" w14:paraId="5527CFBD" w14:textId="77777777" w:rsidTr="00C71372">
        <w:trPr>
          <w:cantSplit/>
        </w:trPr>
        <w:tc>
          <w:tcPr>
            <w:tcW w:w="2513" w:type="pct"/>
            <w:shd w:val="clear" w:color="auto" w:fill="B8CCE4" w:themeFill="accent1" w:themeFillTint="66"/>
          </w:tcPr>
          <w:p w14:paraId="08CCF623" w14:textId="77777777" w:rsidR="005149D4" w:rsidRPr="007C0D91" w:rsidRDefault="005149D4" w:rsidP="008869C7">
            <w:pPr>
              <w:keepNext/>
              <w:keepLines/>
              <w:ind w:left="720"/>
              <w:jc w:val="left"/>
              <w:rPr>
                <w:rFonts w:ascii="Arial Narrow" w:hAnsi="Arial Narrow" w:cs="Times New Roman"/>
                <w:snapToGrid w:val="0"/>
                <w:sz w:val="20"/>
              </w:rPr>
            </w:pPr>
            <w:r w:rsidRPr="007C0D91">
              <w:rPr>
                <w:rFonts w:ascii="Arial Narrow" w:eastAsia="Arial" w:hAnsi="Arial Narrow" w:cs="Times New Roman"/>
                <w:snapToGrid w:val="0"/>
                <w:sz w:val="20"/>
              </w:rPr>
              <w:t xml:space="preserve">IPTW adjusted HR </w:t>
            </w:r>
          </w:p>
        </w:tc>
        <w:tc>
          <w:tcPr>
            <w:tcW w:w="1257" w:type="pct"/>
            <w:shd w:val="clear" w:color="auto" w:fill="B8CCE4" w:themeFill="accent1" w:themeFillTint="66"/>
          </w:tcPr>
          <w:p w14:paraId="3A0B5776" w14:textId="77777777" w:rsidR="005149D4" w:rsidRPr="007C0D91" w:rsidRDefault="005149D4" w:rsidP="008869C7">
            <w:pPr>
              <w:keepNext/>
              <w:keepLines/>
              <w:jc w:val="left"/>
              <w:rPr>
                <w:rFonts w:ascii="Arial Narrow" w:hAnsi="Arial Narrow" w:cs="Times New Roman"/>
                <w:b/>
                <w:snapToGrid w:val="0"/>
                <w:sz w:val="20"/>
              </w:rPr>
            </w:pPr>
            <w:r w:rsidRPr="007C0D91">
              <w:rPr>
                <w:rFonts w:ascii="Arial Narrow" w:eastAsia="Arial" w:hAnsi="Arial Narrow" w:cs="Times New Roman"/>
                <w:b/>
                <w:snapToGrid w:val="0"/>
                <w:sz w:val="20"/>
              </w:rPr>
              <w:t>0.42 (0.26, 0.69) [0.0025]</w:t>
            </w:r>
          </w:p>
        </w:tc>
        <w:tc>
          <w:tcPr>
            <w:tcW w:w="1230" w:type="pct"/>
            <w:shd w:val="clear" w:color="auto" w:fill="B8CCE4" w:themeFill="accent1" w:themeFillTint="66"/>
          </w:tcPr>
          <w:p w14:paraId="60270CED" w14:textId="77777777" w:rsidR="005149D4" w:rsidRPr="007C0D91" w:rsidRDefault="005149D4" w:rsidP="008869C7">
            <w:pPr>
              <w:keepNext/>
              <w:keepLines/>
              <w:jc w:val="left"/>
              <w:rPr>
                <w:rFonts w:ascii="Arial Narrow" w:hAnsi="Arial Narrow" w:cs="Times New Roman"/>
                <w:b/>
                <w:snapToGrid w:val="0"/>
                <w:sz w:val="20"/>
              </w:rPr>
            </w:pPr>
            <w:r w:rsidRPr="007C0D91">
              <w:rPr>
                <w:rFonts w:ascii="Arial Narrow" w:eastAsia="Arial" w:hAnsi="Arial Narrow" w:cs="Times New Roman"/>
                <w:b/>
                <w:snapToGrid w:val="0"/>
                <w:sz w:val="20"/>
              </w:rPr>
              <w:t>0.28 (0.18, 0.43) [&lt;0.0001]</w:t>
            </w:r>
          </w:p>
        </w:tc>
      </w:tr>
      <w:tr w:rsidR="005149D4" w:rsidRPr="007C0D91" w14:paraId="4A66187E" w14:textId="77777777" w:rsidTr="00C71372">
        <w:trPr>
          <w:cantSplit/>
        </w:trPr>
        <w:tc>
          <w:tcPr>
            <w:tcW w:w="5000" w:type="pct"/>
            <w:gridSpan w:val="3"/>
            <w:shd w:val="clear" w:color="auto" w:fill="B8CCE4" w:themeFill="accent1" w:themeFillTint="66"/>
          </w:tcPr>
          <w:p w14:paraId="73597839"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hAnsi="Arial Narrow" w:cs="Times New Roman"/>
                <w:b/>
                <w:bCs/>
                <w:snapToGrid w:val="0"/>
                <w:sz w:val="20"/>
              </w:rPr>
              <w:t xml:space="preserve">Indirect </w:t>
            </w:r>
            <w:r w:rsidRPr="007C0D91">
              <w:rPr>
                <w:rFonts w:ascii="Arial Narrow" w:eastAsia="Arial" w:hAnsi="Arial Narrow" w:cs="Times New Roman"/>
                <w:b/>
                <w:snapToGrid w:val="0"/>
                <w:sz w:val="20"/>
              </w:rPr>
              <w:t>mobocertinib vs. SOC</w:t>
            </w:r>
            <w:r w:rsidRPr="007C0D91">
              <w:rPr>
                <w:rFonts w:ascii="Arial Narrow" w:eastAsia="Arial" w:hAnsi="Arial Narrow" w:cs="Times New Roman"/>
                <w:b/>
                <w:snapToGrid w:val="0"/>
                <w:sz w:val="20"/>
                <w:vertAlign w:val="superscript"/>
              </w:rPr>
              <w:t>b</w:t>
            </w:r>
            <w:r w:rsidRPr="007C0D91">
              <w:rPr>
                <w:rFonts w:ascii="Arial Narrow" w:eastAsia="Arial" w:hAnsi="Arial Narrow" w:cs="Times New Roman"/>
                <w:b/>
                <w:snapToGrid w:val="0"/>
                <w:sz w:val="20"/>
              </w:rPr>
              <w:t xml:space="preserve"> in Study 5002, (95% CI) [Log-rank p-value]</w:t>
            </w:r>
          </w:p>
        </w:tc>
      </w:tr>
      <w:tr w:rsidR="005149D4" w:rsidRPr="007C0D91" w14:paraId="060D9DA2" w14:textId="77777777" w:rsidTr="00C71372">
        <w:trPr>
          <w:cantSplit/>
        </w:trPr>
        <w:tc>
          <w:tcPr>
            <w:tcW w:w="2513" w:type="pct"/>
            <w:shd w:val="clear" w:color="auto" w:fill="B8CCE4" w:themeFill="accent1" w:themeFillTint="66"/>
          </w:tcPr>
          <w:p w14:paraId="49C6884B" w14:textId="77777777" w:rsidR="005149D4" w:rsidRPr="007C0D91" w:rsidRDefault="005149D4" w:rsidP="008869C7">
            <w:pPr>
              <w:keepNext/>
              <w:keepLines/>
              <w:ind w:left="720"/>
              <w:jc w:val="left"/>
              <w:rPr>
                <w:rFonts w:ascii="Arial Narrow" w:hAnsi="Arial Narrow" w:cs="Times New Roman"/>
                <w:snapToGrid w:val="0"/>
                <w:sz w:val="20"/>
              </w:rPr>
            </w:pPr>
            <w:r w:rsidRPr="007C0D91">
              <w:rPr>
                <w:rFonts w:ascii="Arial Narrow" w:eastAsia="Arial" w:hAnsi="Arial Narrow" w:cs="Times New Roman"/>
                <w:snapToGrid w:val="0"/>
                <w:sz w:val="20"/>
              </w:rPr>
              <w:t xml:space="preserve">Unadjusted HR </w:t>
            </w:r>
          </w:p>
        </w:tc>
        <w:tc>
          <w:tcPr>
            <w:tcW w:w="1257" w:type="pct"/>
            <w:shd w:val="clear" w:color="auto" w:fill="B8CCE4" w:themeFill="accent1" w:themeFillTint="66"/>
          </w:tcPr>
          <w:p w14:paraId="60677C03"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0.58 (0.38, 0.88) [0.0120]</w:t>
            </w:r>
          </w:p>
        </w:tc>
        <w:tc>
          <w:tcPr>
            <w:tcW w:w="1230" w:type="pct"/>
            <w:shd w:val="clear" w:color="auto" w:fill="B8CCE4" w:themeFill="accent1" w:themeFillTint="66"/>
          </w:tcPr>
          <w:p w14:paraId="7D0D65F7"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0.57 (0.37, 0.89) [0.0099]</w:t>
            </w:r>
          </w:p>
        </w:tc>
      </w:tr>
      <w:tr w:rsidR="005149D4" w:rsidRPr="007C0D91" w14:paraId="054B8B11" w14:textId="77777777" w:rsidTr="00C71372">
        <w:trPr>
          <w:cantSplit/>
        </w:trPr>
        <w:tc>
          <w:tcPr>
            <w:tcW w:w="2513" w:type="pct"/>
            <w:shd w:val="clear" w:color="auto" w:fill="B8CCE4" w:themeFill="accent1" w:themeFillTint="66"/>
          </w:tcPr>
          <w:p w14:paraId="53650EB7" w14:textId="77777777" w:rsidR="005149D4" w:rsidRPr="007C0D91" w:rsidRDefault="005149D4" w:rsidP="008869C7">
            <w:pPr>
              <w:keepNext/>
              <w:keepLines/>
              <w:ind w:left="720"/>
              <w:jc w:val="left"/>
              <w:rPr>
                <w:rFonts w:ascii="Arial Narrow" w:hAnsi="Arial Narrow" w:cs="Times New Roman"/>
                <w:snapToGrid w:val="0"/>
                <w:sz w:val="20"/>
              </w:rPr>
            </w:pPr>
            <w:r w:rsidRPr="007C0D91">
              <w:rPr>
                <w:rFonts w:ascii="Arial Narrow" w:eastAsia="Arial" w:hAnsi="Arial Narrow" w:cs="Times New Roman"/>
                <w:snapToGrid w:val="0"/>
                <w:sz w:val="20"/>
              </w:rPr>
              <w:t xml:space="preserve">IPTW adjusted HR </w:t>
            </w:r>
          </w:p>
        </w:tc>
        <w:tc>
          <w:tcPr>
            <w:tcW w:w="1257" w:type="pct"/>
            <w:tcBorders>
              <w:bottom w:val="single" w:sz="4" w:space="0" w:color="auto"/>
            </w:tcBorders>
            <w:shd w:val="clear" w:color="auto" w:fill="B8CCE4" w:themeFill="accent1" w:themeFillTint="66"/>
          </w:tcPr>
          <w:p w14:paraId="66F26B87" w14:textId="77777777" w:rsidR="005149D4" w:rsidRPr="007C0D91" w:rsidRDefault="005149D4" w:rsidP="008869C7">
            <w:pPr>
              <w:keepNext/>
              <w:keepLines/>
              <w:jc w:val="left"/>
              <w:rPr>
                <w:rFonts w:ascii="Arial Narrow" w:hAnsi="Arial Narrow" w:cs="Times New Roman"/>
                <w:b/>
                <w:snapToGrid w:val="0"/>
                <w:sz w:val="20"/>
              </w:rPr>
            </w:pPr>
            <w:r w:rsidRPr="007C0D91">
              <w:rPr>
                <w:rFonts w:ascii="Arial Narrow" w:eastAsia="Arial" w:hAnsi="Arial Narrow" w:cs="Times New Roman"/>
                <w:b/>
                <w:snapToGrid w:val="0"/>
                <w:sz w:val="20"/>
              </w:rPr>
              <w:t xml:space="preserve">0.56 (0.37, </w:t>
            </w:r>
            <w:proofErr w:type="gramStart"/>
            <w:r w:rsidRPr="007C0D91">
              <w:rPr>
                <w:rFonts w:ascii="Arial Narrow" w:eastAsia="Arial" w:hAnsi="Arial Narrow" w:cs="Times New Roman"/>
                <w:b/>
                <w:snapToGrid w:val="0"/>
                <w:sz w:val="20"/>
              </w:rPr>
              <w:t>0.84)</w:t>
            </w:r>
            <w:r w:rsidRPr="007C0D91">
              <w:rPr>
                <w:rFonts w:ascii="Arial Narrow" w:eastAsia="Arial" w:hAnsi="Arial Narrow" w:cs="Times New Roman"/>
                <w:b/>
                <w:snapToGrid w:val="0"/>
                <w:sz w:val="20"/>
                <w:vertAlign w:val="superscript"/>
              </w:rPr>
              <w:t>a</w:t>
            </w:r>
            <w:proofErr w:type="gramEnd"/>
            <w:r w:rsidRPr="007C0D91">
              <w:rPr>
                <w:rFonts w:ascii="Arial Narrow" w:eastAsia="Arial" w:hAnsi="Arial Narrow" w:cs="Times New Roman"/>
                <w:b/>
                <w:snapToGrid w:val="0"/>
                <w:sz w:val="20"/>
              </w:rPr>
              <w:t xml:space="preserve"> [0.0095]</w:t>
            </w:r>
          </w:p>
        </w:tc>
        <w:tc>
          <w:tcPr>
            <w:tcW w:w="1230" w:type="pct"/>
            <w:tcBorders>
              <w:bottom w:val="single" w:sz="4" w:space="0" w:color="auto"/>
            </w:tcBorders>
            <w:shd w:val="clear" w:color="auto" w:fill="B8CCE4" w:themeFill="accent1" w:themeFillTint="66"/>
          </w:tcPr>
          <w:p w14:paraId="7D140D34" w14:textId="77777777" w:rsidR="005149D4" w:rsidRPr="007C0D91" w:rsidRDefault="005149D4" w:rsidP="008869C7">
            <w:pPr>
              <w:keepNext/>
              <w:keepLines/>
              <w:jc w:val="left"/>
              <w:rPr>
                <w:rFonts w:ascii="Arial Narrow" w:hAnsi="Arial Narrow" w:cs="Times New Roman"/>
                <w:b/>
                <w:snapToGrid w:val="0"/>
                <w:sz w:val="20"/>
              </w:rPr>
            </w:pPr>
            <w:r w:rsidRPr="007C0D91">
              <w:rPr>
                <w:rFonts w:ascii="Arial Narrow" w:eastAsia="Arial" w:hAnsi="Arial Narrow" w:cs="Times New Roman"/>
                <w:b/>
                <w:snapToGrid w:val="0"/>
                <w:sz w:val="20"/>
              </w:rPr>
              <w:t>0.58 (0.37, 0.91) [0.0207]</w:t>
            </w:r>
          </w:p>
        </w:tc>
      </w:tr>
      <w:tr w:rsidR="005149D4" w:rsidRPr="007C0D91" w14:paraId="5421738C" w14:textId="77777777" w:rsidTr="008869C7">
        <w:trPr>
          <w:cantSplit/>
        </w:trPr>
        <w:tc>
          <w:tcPr>
            <w:tcW w:w="5000" w:type="pct"/>
            <w:gridSpan w:val="3"/>
          </w:tcPr>
          <w:p w14:paraId="3E22B25D"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hAnsi="Arial Narrow" w:cs="Times New Roman"/>
                <w:b/>
                <w:bCs/>
                <w:snapToGrid w:val="0"/>
                <w:sz w:val="20"/>
              </w:rPr>
              <w:t xml:space="preserve">Indirect </w:t>
            </w:r>
            <w:r w:rsidRPr="007C0D91">
              <w:rPr>
                <w:rFonts w:ascii="Arial Narrow" w:eastAsia="Arial" w:hAnsi="Arial Narrow" w:cs="Times New Roman"/>
                <w:b/>
                <w:snapToGrid w:val="0"/>
                <w:sz w:val="20"/>
              </w:rPr>
              <w:t>mobocertinib vs. pooled SOC</w:t>
            </w:r>
            <w:r w:rsidRPr="007C0D91">
              <w:rPr>
                <w:rFonts w:ascii="Arial Narrow" w:eastAsia="Arial" w:hAnsi="Arial Narrow" w:cs="Times New Roman"/>
                <w:b/>
                <w:snapToGrid w:val="0"/>
                <w:sz w:val="20"/>
                <w:vertAlign w:val="superscript"/>
              </w:rPr>
              <w:t>b</w:t>
            </w:r>
            <w:r w:rsidRPr="007C0D91">
              <w:rPr>
                <w:rFonts w:ascii="Arial Narrow" w:eastAsia="Arial" w:hAnsi="Arial Narrow" w:cs="Times New Roman"/>
                <w:b/>
                <w:snapToGrid w:val="0"/>
                <w:sz w:val="20"/>
              </w:rPr>
              <w:t xml:space="preserve"> cohort from Studies 5002 and 5008, (95% CI) [Cox p-value]</w:t>
            </w:r>
          </w:p>
        </w:tc>
      </w:tr>
      <w:tr w:rsidR="005149D4" w:rsidRPr="007C0D91" w14:paraId="02883CF5" w14:textId="77777777" w:rsidTr="008869C7">
        <w:trPr>
          <w:cantSplit/>
        </w:trPr>
        <w:tc>
          <w:tcPr>
            <w:tcW w:w="2513" w:type="pct"/>
            <w:tcBorders>
              <w:bottom w:val="single" w:sz="4" w:space="0" w:color="auto"/>
            </w:tcBorders>
          </w:tcPr>
          <w:p w14:paraId="225AB2EE" w14:textId="77777777" w:rsidR="005149D4" w:rsidRPr="007C0D91" w:rsidRDefault="005149D4" w:rsidP="008869C7">
            <w:pPr>
              <w:keepNext/>
              <w:keepLines/>
              <w:ind w:left="720"/>
              <w:jc w:val="left"/>
              <w:rPr>
                <w:rFonts w:ascii="Arial Narrow" w:hAnsi="Arial Narrow" w:cs="Times New Roman"/>
                <w:snapToGrid w:val="0"/>
                <w:sz w:val="20"/>
              </w:rPr>
            </w:pPr>
            <w:r w:rsidRPr="007C0D91">
              <w:rPr>
                <w:rFonts w:ascii="Arial Narrow" w:eastAsia="Arial" w:hAnsi="Arial Narrow" w:cs="Times New Roman"/>
                <w:snapToGrid w:val="0"/>
                <w:sz w:val="20"/>
              </w:rPr>
              <w:t xml:space="preserve">Unadjusted HR </w:t>
            </w:r>
          </w:p>
        </w:tc>
        <w:tc>
          <w:tcPr>
            <w:tcW w:w="1257" w:type="pct"/>
          </w:tcPr>
          <w:p w14:paraId="0C8F0B9D"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0.55 (0.39, 0.77) [0.0005]</w:t>
            </w:r>
          </w:p>
        </w:tc>
        <w:tc>
          <w:tcPr>
            <w:tcW w:w="1230" w:type="pct"/>
          </w:tcPr>
          <w:p w14:paraId="66BD2D85"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0.46 (0.33, 0.64) [&lt;0.0001]</w:t>
            </w:r>
          </w:p>
        </w:tc>
      </w:tr>
      <w:tr w:rsidR="005149D4" w:rsidRPr="007C0D91" w14:paraId="0E590E8D" w14:textId="77777777" w:rsidTr="008869C7">
        <w:trPr>
          <w:cantSplit/>
        </w:trPr>
        <w:tc>
          <w:tcPr>
            <w:tcW w:w="2513" w:type="pct"/>
          </w:tcPr>
          <w:p w14:paraId="3F973D39" w14:textId="77777777" w:rsidR="005149D4" w:rsidRPr="007C0D91" w:rsidRDefault="005149D4" w:rsidP="008869C7">
            <w:pPr>
              <w:keepNext/>
              <w:keepLines/>
              <w:ind w:left="720"/>
              <w:jc w:val="left"/>
              <w:rPr>
                <w:rFonts w:ascii="Arial Narrow" w:hAnsi="Arial Narrow" w:cs="Times New Roman"/>
                <w:snapToGrid w:val="0"/>
                <w:sz w:val="20"/>
              </w:rPr>
            </w:pPr>
            <w:r w:rsidRPr="007C0D91">
              <w:rPr>
                <w:rFonts w:ascii="Arial Narrow" w:eastAsia="Arial" w:hAnsi="Arial Narrow" w:cs="Times New Roman"/>
                <w:snapToGrid w:val="0"/>
                <w:sz w:val="20"/>
              </w:rPr>
              <w:t>IPTW adjusted HR</w:t>
            </w:r>
          </w:p>
        </w:tc>
        <w:tc>
          <w:tcPr>
            <w:tcW w:w="1257" w:type="pct"/>
          </w:tcPr>
          <w:p w14:paraId="281492B8"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0.51 (0.35, 0.74) [0.0003]</w:t>
            </w:r>
          </w:p>
        </w:tc>
        <w:tc>
          <w:tcPr>
            <w:tcW w:w="1230" w:type="pct"/>
          </w:tcPr>
          <w:p w14:paraId="384D739D"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0.49 (0.32, 0.75) [0.0012]</w:t>
            </w:r>
          </w:p>
        </w:tc>
      </w:tr>
      <w:tr w:rsidR="005149D4" w:rsidRPr="007C0D91" w14:paraId="736D6CB4" w14:textId="77777777" w:rsidTr="008869C7">
        <w:trPr>
          <w:cantSplit/>
        </w:trPr>
        <w:tc>
          <w:tcPr>
            <w:tcW w:w="5000" w:type="pct"/>
            <w:gridSpan w:val="3"/>
          </w:tcPr>
          <w:p w14:paraId="098FF9C3"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hAnsi="Arial Narrow" w:cs="Times New Roman"/>
                <w:b/>
                <w:bCs/>
                <w:snapToGrid w:val="0"/>
                <w:sz w:val="20"/>
              </w:rPr>
              <w:t xml:space="preserve">Indirect </w:t>
            </w:r>
            <w:r w:rsidRPr="007C0D91">
              <w:rPr>
                <w:rFonts w:ascii="Arial Narrow" w:eastAsia="Arial" w:hAnsi="Arial Narrow" w:cs="Times New Roman"/>
                <w:b/>
                <w:snapToGrid w:val="0"/>
                <w:sz w:val="20"/>
              </w:rPr>
              <w:t>mobocertinib vs. pooled chemotherapy cohort from Studies 5002 and 5008</w:t>
            </w:r>
            <w:r w:rsidRPr="007C0D91">
              <w:rPr>
                <w:rFonts w:ascii="Arial Narrow" w:eastAsia="Arial" w:hAnsi="Arial Narrow" w:cs="Times New Roman"/>
                <w:b/>
                <w:snapToGrid w:val="0"/>
                <w:sz w:val="20"/>
                <w:vertAlign w:val="superscript"/>
              </w:rPr>
              <w:t>d</w:t>
            </w:r>
            <w:r w:rsidRPr="007C0D91">
              <w:rPr>
                <w:rFonts w:ascii="Arial Narrow" w:eastAsia="Arial" w:hAnsi="Arial Narrow" w:cs="Times New Roman"/>
                <w:b/>
                <w:snapToGrid w:val="0"/>
                <w:sz w:val="20"/>
              </w:rPr>
              <w:t>, (95% CI) [Cox p-value]</w:t>
            </w:r>
          </w:p>
        </w:tc>
      </w:tr>
      <w:tr w:rsidR="005149D4" w:rsidRPr="007C0D91" w14:paraId="15750CB3" w14:textId="77777777" w:rsidTr="008869C7">
        <w:trPr>
          <w:cantSplit/>
        </w:trPr>
        <w:tc>
          <w:tcPr>
            <w:tcW w:w="2513" w:type="pct"/>
          </w:tcPr>
          <w:p w14:paraId="47F01E71" w14:textId="77777777" w:rsidR="005149D4" w:rsidRPr="007C0D91" w:rsidRDefault="005149D4" w:rsidP="008869C7">
            <w:pPr>
              <w:keepNext/>
              <w:keepLines/>
              <w:ind w:left="720"/>
              <w:jc w:val="left"/>
              <w:rPr>
                <w:rFonts w:ascii="Arial Narrow" w:eastAsia="Arial" w:hAnsi="Arial Narrow" w:cs="Times New Roman"/>
                <w:snapToGrid w:val="0"/>
                <w:sz w:val="20"/>
              </w:rPr>
            </w:pPr>
            <w:r w:rsidRPr="007C0D91">
              <w:rPr>
                <w:rFonts w:ascii="Arial Narrow" w:eastAsia="Arial" w:hAnsi="Arial Narrow" w:cs="Times New Roman"/>
                <w:snapToGrid w:val="0"/>
                <w:sz w:val="20"/>
              </w:rPr>
              <w:t xml:space="preserve">Unadjusted HR </w:t>
            </w:r>
          </w:p>
        </w:tc>
        <w:tc>
          <w:tcPr>
            <w:tcW w:w="1257" w:type="pct"/>
          </w:tcPr>
          <w:p w14:paraId="61CCA200"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0.69 (0.40, 1.17) [0.1671]</w:t>
            </w:r>
          </w:p>
        </w:tc>
        <w:tc>
          <w:tcPr>
            <w:tcW w:w="1230" w:type="pct"/>
          </w:tcPr>
          <w:p w14:paraId="026FC8C0"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0.58 (0.36, 0.94) [0.0284]</w:t>
            </w:r>
          </w:p>
        </w:tc>
      </w:tr>
      <w:tr w:rsidR="005149D4" w:rsidRPr="007C0D91" w14:paraId="1FDD3E61" w14:textId="77777777" w:rsidTr="008869C7">
        <w:trPr>
          <w:cantSplit/>
        </w:trPr>
        <w:tc>
          <w:tcPr>
            <w:tcW w:w="2513" w:type="pct"/>
            <w:tcBorders>
              <w:bottom w:val="single" w:sz="4" w:space="0" w:color="auto"/>
            </w:tcBorders>
          </w:tcPr>
          <w:p w14:paraId="4674E32E" w14:textId="77777777" w:rsidR="005149D4" w:rsidRPr="007C0D91" w:rsidRDefault="005149D4" w:rsidP="008869C7">
            <w:pPr>
              <w:keepNext/>
              <w:keepLines/>
              <w:ind w:left="720"/>
              <w:jc w:val="left"/>
              <w:rPr>
                <w:rFonts w:ascii="Arial Narrow" w:eastAsia="Arial" w:hAnsi="Arial Narrow" w:cs="Times New Roman"/>
                <w:snapToGrid w:val="0"/>
                <w:sz w:val="20"/>
              </w:rPr>
            </w:pPr>
            <w:r w:rsidRPr="007C0D91">
              <w:rPr>
                <w:rFonts w:ascii="Arial Narrow" w:eastAsia="Arial" w:hAnsi="Arial Narrow" w:cs="Times New Roman"/>
                <w:snapToGrid w:val="0"/>
                <w:sz w:val="20"/>
              </w:rPr>
              <w:t>IPTW adjusted HR</w:t>
            </w:r>
          </w:p>
        </w:tc>
        <w:tc>
          <w:tcPr>
            <w:tcW w:w="1257" w:type="pct"/>
            <w:tcBorders>
              <w:bottom w:val="single" w:sz="4" w:space="0" w:color="auto"/>
            </w:tcBorders>
          </w:tcPr>
          <w:p w14:paraId="0D3C3661" w14:textId="77777777" w:rsidR="005149D4" w:rsidRPr="007C0D91" w:rsidRDefault="005149D4" w:rsidP="008869C7">
            <w:pPr>
              <w:keepNext/>
              <w:keepLines/>
              <w:jc w:val="left"/>
              <w:rPr>
                <w:rFonts w:ascii="Arial Narrow" w:eastAsia="Arial" w:hAnsi="Arial Narrow" w:cs="Times New Roman"/>
                <w:snapToGrid w:val="0"/>
                <w:sz w:val="20"/>
              </w:rPr>
            </w:pPr>
            <w:r w:rsidRPr="007C0D91">
              <w:rPr>
                <w:rFonts w:ascii="Arial Narrow" w:eastAsia="Arial" w:hAnsi="Arial Narrow" w:cs="Times New Roman"/>
                <w:snapToGrid w:val="0"/>
                <w:sz w:val="20"/>
              </w:rPr>
              <w:t>0.60 (0.34, 1.03) [0.0637]</w:t>
            </w:r>
          </w:p>
        </w:tc>
        <w:tc>
          <w:tcPr>
            <w:tcW w:w="1230" w:type="pct"/>
            <w:tcBorders>
              <w:bottom w:val="single" w:sz="4" w:space="0" w:color="auto"/>
            </w:tcBorders>
          </w:tcPr>
          <w:p w14:paraId="59FED278" w14:textId="77777777" w:rsidR="005149D4" w:rsidRPr="007C0D91" w:rsidRDefault="005149D4" w:rsidP="008869C7">
            <w:pPr>
              <w:keepNext/>
              <w:keepLines/>
              <w:jc w:val="left"/>
              <w:rPr>
                <w:rFonts w:ascii="Arial Narrow" w:eastAsia="Arial" w:hAnsi="Arial Narrow" w:cs="Times New Roman"/>
                <w:b/>
                <w:snapToGrid w:val="0"/>
                <w:sz w:val="20"/>
              </w:rPr>
            </w:pPr>
            <w:r w:rsidRPr="007C0D91">
              <w:rPr>
                <w:rFonts w:ascii="Arial Narrow" w:eastAsia="Arial" w:hAnsi="Arial Narrow" w:cs="Times New Roman"/>
                <w:b/>
                <w:snapToGrid w:val="0"/>
                <w:sz w:val="20"/>
              </w:rPr>
              <w:t>0.50 (0.30, 0.82) [0.0059]</w:t>
            </w:r>
          </w:p>
        </w:tc>
      </w:tr>
    </w:tbl>
    <w:p w14:paraId="05AEE197" w14:textId="77777777" w:rsidR="005149D4" w:rsidRPr="007C0D91" w:rsidRDefault="005149D4" w:rsidP="005149D4">
      <w:pPr>
        <w:pStyle w:val="TableFigureFooter"/>
      </w:pPr>
      <w:r w:rsidRPr="007C0D91">
        <w:t>Source: Attachment 1 accompanying the resubmission; mobocertinib, public summary document, November 2022 PBAC meeting.</w:t>
      </w:r>
    </w:p>
    <w:p w14:paraId="211102DF" w14:textId="77777777" w:rsidR="005149D4" w:rsidRPr="007C0D91" w:rsidRDefault="005149D4" w:rsidP="005149D4">
      <w:pPr>
        <w:pStyle w:val="TableFigureFooter"/>
      </w:pPr>
      <w:r w:rsidRPr="007C0D91">
        <w:t>CI=confidence interval; HR=hazard ratio; IPTW=inverse probability treatment weighting; OS=overall survival; PFS=progression-free survival; SOC=standard of care.</w:t>
      </w:r>
    </w:p>
    <w:p w14:paraId="24A7F483" w14:textId="29DCE487" w:rsidR="005149D4" w:rsidRPr="007C0D91" w:rsidRDefault="005149D4" w:rsidP="005149D4">
      <w:pPr>
        <w:pStyle w:val="TableFigureFooter"/>
      </w:pPr>
      <w:r w:rsidRPr="007C0D91">
        <w:rPr>
          <w:vertAlign w:val="superscript"/>
        </w:rPr>
        <w:t xml:space="preserve">a </w:t>
      </w:r>
      <w:proofErr w:type="gramStart"/>
      <w:r w:rsidRPr="007C0D91">
        <w:t>As</w:t>
      </w:r>
      <w:proofErr w:type="gramEnd"/>
      <w:r w:rsidRPr="007C0D91">
        <w:t xml:space="preserve"> assessed by investigator in Study 101. Studies 5002 and 5008 were based on the German chart review and the US </w:t>
      </w:r>
      <w:r w:rsidR="00CC0496" w:rsidRPr="007C0D91">
        <w:t>Flatiron</w:t>
      </w:r>
      <w:r w:rsidRPr="007C0D91">
        <w:t xml:space="preserve"> databases, respectively, and thus PFS could not be categorised as either investigator or independent review committee assessed.</w:t>
      </w:r>
    </w:p>
    <w:p w14:paraId="5A5C14B6" w14:textId="77777777" w:rsidR="005149D4" w:rsidRPr="007C0D91" w:rsidRDefault="005149D4" w:rsidP="005149D4">
      <w:pPr>
        <w:pStyle w:val="TableFigureFooter"/>
      </w:pPr>
      <w:r w:rsidRPr="007C0D91">
        <w:rPr>
          <w:vertAlign w:val="superscript"/>
        </w:rPr>
        <w:t xml:space="preserve">b </w:t>
      </w:r>
      <w:r w:rsidRPr="007C0D91">
        <w:t>SOC included all treatments (epidermal growth factor receptor tyrosine kinase inhibitors, immune checkpoint inhibitors; and chemotherapy (platinum and non-platinum-based)).</w:t>
      </w:r>
    </w:p>
    <w:p w14:paraId="19938321" w14:textId="77777777" w:rsidR="005149D4" w:rsidRPr="007C0D91" w:rsidRDefault="005149D4" w:rsidP="005149D4">
      <w:pPr>
        <w:pStyle w:val="TableFigureFooter"/>
      </w:pPr>
      <w:r w:rsidRPr="007C0D91">
        <w:rPr>
          <w:vertAlign w:val="superscript"/>
        </w:rPr>
        <w:t xml:space="preserve">c </w:t>
      </w:r>
      <w:r w:rsidRPr="007C0D91">
        <w:t>Presented in the Pre-PBAC response for the previous submission.</w:t>
      </w:r>
    </w:p>
    <w:p w14:paraId="4B1A49E0" w14:textId="77777777" w:rsidR="005149D4" w:rsidRPr="007C0D91" w:rsidRDefault="005149D4" w:rsidP="005149D4">
      <w:pPr>
        <w:pStyle w:val="TableFigureFooter"/>
      </w:pPr>
      <w:r w:rsidRPr="007C0D91">
        <w:rPr>
          <w:vertAlign w:val="superscript"/>
        </w:rPr>
        <w:t xml:space="preserve">d </w:t>
      </w:r>
      <w:r w:rsidRPr="007C0D91">
        <w:t>23 patients received chemotherapy: 8 received platinum-based chemotherapy and 15 patients received single-agent chemotherapy which included docetaxel (n=5), pemetrexed (n=7), paclitaxel (n=2) and gemcitabine (n=1).</w:t>
      </w:r>
    </w:p>
    <w:p w14:paraId="3716EBBD" w14:textId="00CC0F62" w:rsidR="005149D4" w:rsidRPr="007C0D91" w:rsidRDefault="005149D4" w:rsidP="005149D4">
      <w:pPr>
        <w:pStyle w:val="TableFigureFooter"/>
      </w:pPr>
      <w:r w:rsidRPr="007C0D91">
        <w:t>Notes:</w:t>
      </w:r>
      <w:r w:rsidR="00A93A15" w:rsidRPr="007C0D91">
        <w:t xml:space="preserve"> </w:t>
      </w:r>
      <w:r w:rsidRPr="007C0D91">
        <w:rPr>
          <w:b/>
        </w:rPr>
        <w:t>Bolded results are statistically significant</w:t>
      </w:r>
    </w:p>
    <w:p w14:paraId="055E7639" w14:textId="77777777" w:rsidR="005149D4" w:rsidRPr="007C0D91" w:rsidRDefault="005149D4" w:rsidP="005149D4">
      <w:pPr>
        <w:pStyle w:val="TableFigureFooter"/>
      </w:pPr>
      <w:r w:rsidRPr="007C0D91">
        <w:t xml:space="preserve">Mobocertinib data were based on the November 2021 data cutoff for Study 101. Median duration of follow-up 25.8 months. </w:t>
      </w:r>
    </w:p>
    <w:p w14:paraId="13EA23E7" w14:textId="77777777" w:rsidR="005149D4" w:rsidRPr="007C0D91" w:rsidRDefault="005149D4" w:rsidP="005149D4">
      <w:pPr>
        <w:pStyle w:val="TableFigureFooter"/>
        <w:rPr>
          <w:shd w:val="clear" w:color="auto" w:fill="8DB3E2" w:themeFill="text2" w:themeFillTint="66"/>
        </w:rPr>
      </w:pPr>
      <w:bookmarkStart w:id="45" w:name="_Hlk134410498"/>
      <w:r w:rsidRPr="007C0D91">
        <w:t xml:space="preserve">Median durations rounded to one decimal </w:t>
      </w:r>
      <w:proofErr w:type="gramStart"/>
      <w:r w:rsidRPr="007C0D91">
        <w:t>place</w:t>
      </w:r>
      <w:proofErr w:type="gramEnd"/>
      <w:r w:rsidRPr="007C0D91">
        <w:rPr>
          <w:shd w:val="clear" w:color="auto" w:fill="8DB3E2" w:themeFill="text2" w:themeFillTint="66"/>
        </w:rPr>
        <w:t xml:space="preserve"> </w:t>
      </w:r>
    </w:p>
    <w:bookmarkEnd w:id="45"/>
    <w:p w14:paraId="18701B6E" w14:textId="4C2EE12D" w:rsidR="005149D4" w:rsidRPr="007C0D91" w:rsidRDefault="00C71372" w:rsidP="005149D4">
      <w:pPr>
        <w:pStyle w:val="TableFigureFooter"/>
        <w:rPr>
          <w:szCs w:val="18"/>
        </w:rPr>
      </w:pPr>
      <w:r w:rsidRPr="007C0D91">
        <w:rPr>
          <w:rStyle w:val="CommentReference"/>
          <w:b w:val="0"/>
          <w:bCs/>
          <w:sz w:val="18"/>
          <w:szCs w:val="18"/>
          <w:shd w:val="clear" w:color="auto" w:fill="B8CCE4" w:themeFill="accent1" w:themeFillTint="66"/>
        </w:rPr>
        <w:t>Blue shading</w:t>
      </w:r>
      <w:r w:rsidRPr="007C0D91">
        <w:rPr>
          <w:rStyle w:val="CommentReference"/>
          <w:b w:val="0"/>
          <w:bCs/>
          <w:sz w:val="18"/>
          <w:szCs w:val="18"/>
        </w:rPr>
        <w:t xml:space="preserve"> </w:t>
      </w:r>
      <w:r w:rsidR="005149D4" w:rsidRPr="007C0D91">
        <w:rPr>
          <w:szCs w:val="18"/>
        </w:rPr>
        <w:t xml:space="preserve">indicates information previously seen by the PBAC. </w:t>
      </w:r>
    </w:p>
    <w:p w14:paraId="4B1F2E51" w14:textId="0929A229" w:rsidR="007516BE" w:rsidRDefault="005149D4" w:rsidP="005149D4">
      <w:pPr>
        <w:keepNext/>
        <w:keepLines/>
        <w:rPr>
          <w:rFonts w:ascii="Arial Narrow" w:hAnsi="Arial Narrow"/>
          <w:b/>
          <w:bCs/>
          <w:noProof/>
          <w:sz w:val="20"/>
          <w:szCs w:val="18"/>
        </w:rPr>
      </w:pPr>
      <w:bookmarkStart w:id="46" w:name="_Ref133839832"/>
      <w:r w:rsidRPr="007C0D91">
        <w:rPr>
          <w:rFonts w:ascii="Arial Narrow" w:hAnsi="Arial Narrow"/>
          <w:b/>
          <w:bCs/>
          <w:sz w:val="20"/>
          <w:szCs w:val="18"/>
        </w:rPr>
        <w:lastRenderedPageBreak/>
        <w:t xml:space="preserve">Figure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Figure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1</w:t>
      </w:r>
      <w:r w:rsidRPr="007C0D91">
        <w:rPr>
          <w:rFonts w:ascii="Arial Narrow" w:hAnsi="Arial Narrow"/>
          <w:b/>
          <w:bCs/>
          <w:sz w:val="20"/>
          <w:szCs w:val="18"/>
        </w:rPr>
        <w:fldChar w:fldCharType="end"/>
      </w:r>
      <w:bookmarkEnd w:id="46"/>
      <w:r w:rsidRPr="007C0D91">
        <w:rPr>
          <w:rFonts w:ascii="Arial Narrow" w:hAnsi="Arial Narrow"/>
          <w:b/>
          <w:bCs/>
          <w:sz w:val="20"/>
          <w:szCs w:val="18"/>
        </w:rPr>
        <w:t xml:space="preserve">: </w:t>
      </w:r>
      <w:bookmarkStart w:id="47" w:name="_Hlk134410910"/>
      <w:r w:rsidRPr="007C0D91">
        <w:rPr>
          <w:rFonts w:ascii="Arial Narrow" w:hAnsi="Arial Narrow"/>
          <w:b/>
          <w:bCs/>
          <w:sz w:val="20"/>
          <w:szCs w:val="18"/>
        </w:rPr>
        <w:t xml:space="preserve">KM plot of OS for mobocertinib PPP cohort from Study 101 (observed) </w:t>
      </w:r>
      <w:r w:rsidRPr="007C0D91">
        <w:rPr>
          <w:rFonts w:ascii="Arial Narrow" w:hAnsi="Arial Narrow"/>
          <w:b/>
          <w:bCs/>
          <w:i/>
          <w:sz w:val="20"/>
          <w:szCs w:val="18"/>
        </w:rPr>
        <w:t>vs</w:t>
      </w:r>
      <w:r w:rsidRPr="007C0D91">
        <w:rPr>
          <w:rFonts w:ascii="Arial Narrow" w:hAnsi="Arial Narrow"/>
          <w:b/>
          <w:bCs/>
          <w:sz w:val="20"/>
          <w:szCs w:val="18"/>
        </w:rPr>
        <w:t>. pooled chemotherapy cohort from Studies 5002 and 5008 (unadjusted and IPTW adjusted)</w:t>
      </w:r>
      <w:bookmarkEnd w:id="47"/>
      <w:r w:rsidR="007516BE" w:rsidRPr="007516BE">
        <w:rPr>
          <w:rFonts w:ascii="Arial Narrow" w:hAnsi="Arial Narrow"/>
          <w:b/>
          <w:bCs/>
          <w:noProof/>
          <w:sz w:val="20"/>
          <w:szCs w:val="18"/>
        </w:rPr>
        <w:t xml:space="preserve"> </w:t>
      </w:r>
    </w:p>
    <w:p w14:paraId="1FD8FB84" w14:textId="5F86A2C4" w:rsidR="005149D4" w:rsidRPr="007C0D91" w:rsidRDefault="007516BE" w:rsidP="005149D4">
      <w:pPr>
        <w:keepNext/>
        <w:keepLines/>
        <w:rPr>
          <w:rFonts w:ascii="Arial Narrow" w:hAnsi="Arial Narrow"/>
          <w:b/>
          <w:bCs/>
          <w:sz w:val="20"/>
          <w:szCs w:val="18"/>
        </w:rPr>
      </w:pPr>
      <w:r w:rsidRPr="007C0D91">
        <w:rPr>
          <w:rFonts w:ascii="Arial Narrow" w:hAnsi="Arial Narrow"/>
          <w:b/>
          <w:bCs/>
          <w:noProof/>
          <w:sz w:val="20"/>
          <w:szCs w:val="18"/>
        </w:rPr>
        <w:drawing>
          <wp:inline distT="0" distB="0" distL="0" distR="0" wp14:anchorId="13EE1959" wp14:editId="304F2255">
            <wp:extent cx="5701030" cy="3195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6966" cy="3199252"/>
                    </a:xfrm>
                    <a:prstGeom prst="rect">
                      <a:avLst/>
                    </a:prstGeom>
                  </pic:spPr>
                </pic:pic>
              </a:graphicData>
            </a:graphic>
          </wp:inline>
        </w:drawing>
      </w:r>
    </w:p>
    <w:p w14:paraId="6235C567" w14:textId="77777777"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Source: Figure 2-3, p15 of the resubmission.</w:t>
      </w:r>
    </w:p>
    <w:p w14:paraId="43E2E113" w14:textId="77777777"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Fl=US Flatiron registry data (used in Study 5002); GCR=German chart review data (used in Study 5008); IPTW=inverse proportional treatment weighting; KM=Kaplan-Meier; OS=overall survival.</w:t>
      </w:r>
    </w:p>
    <w:p w14:paraId="71E17BE1" w14:textId="77777777"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Note:</w:t>
      </w:r>
    </w:p>
    <w:p w14:paraId="725A48BE" w14:textId="77777777" w:rsidR="005149D4" w:rsidRPr="007C0D91" w:rsidRDefault="005149D4" w:rsidP="007516BE">
      <w:pPr>
        <w:spacing w:after="120"/>
        <w:rPr>
          <w:rFonts w:ascii="Arial Narrow" w:hAnsi="Arial Narrow"/>
          <w:snapToGrid w:val="0"/>
          <w:sz w:val="18"/>
          <w:szCs w:val="22"/>
        </w:rPr>
      </w:pPr>
      <w:r w:rsidRPr="007C0D91">
        <w:rPr>
          <w:rFonts w:ascii="Arial Narrow" w:hAnsi="Arial Narrow"/>
          <w:snapToGrid w:val="0"/>
          <w:sz w:val="18"/>
          <w:szCs w:val="22"/>
        </w:rPr>
        <w:t>Usual care in the figure legend refers to chemotherapy. Observed is OS as reported for the cohort (without adjustment by IPTW). Weighted is OS reported following adjustment by IPTW.</w:t>
      </w:r>
    </w:p>
    <w:p w14:paraId="525DF48F" w14:textId="100EDE92" w:rsidR="007516BE" w:rsidRDefault="005149D4" w:rsidP="005149D4">
      <w:pPr>
        <w:keepNext/>
        <w:keepLines/>
        <w:rPr>
          <w:rFonts w:ascii="Arial Narrow" w:hAnsi="Arial Narrow"/>
          <w:b/>
          <w:bCs/>
          <w:noProof/>
          <w:sz w:val="20"/>
          <w:szCs w:val="18"/>
        </w:rPr>
      </w:pPr>
      <w:bookmarkStart w:id="48" w:name="_Ref134204090"/>
      <w:r w:rsidRPr="007C0D91">
        <w:rPr>
          <w:rFonts w:ascii="Arial Narrow" w:hAnsi="Arial Narrow"/>
          <w:b/>
          <w:bCs/>
          <w:sz w:val="20"/>
          <w:szCs w:val="18"/>
        </w:rPr>
        <w:lastRenderedPageBreak/>
        <w:t xml:space="preserve">Figure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Figure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2</w:t>
      </w:r>
      <w:r w:rsidRPr="007C0D91">
        <w:rPr>
          <w:rFonts w:ascii="Arial Narrow" w:hAnsi="Arial Narrow"/>
          <w:b/>
          <w:bCs/>
          <w:sz w:val="20"/>
          <w:szCs w:val="18"/>
        </w:rPr>
        <w:fldChar w:fldCharType="end"/>
      </w:r>
      <w:bookmarkEnd w:id="48"/>
      <w:r w:rsidRPr="007C0D91">
        <w:rPr>
          <w:rFonts w:ascii="Arial Narrow" w:hAnsi="Arial Narrow"/>
          <w:b/>
          <w:bCs/>
          <w:sz w:val="20"/>
          <w:szCs w:val="18"/>
        </w:rPr>
        <w:t>: KM plot of PFS</w:t>
      </w:r>
      <w:r w:rsidRPr="007C0D91">
        <w:rPr>
          <w:rFonts w:ascii="Arial Narrow" w:hAnsi="Arial Narrow"/>
          <w:b/>
          <w:bCs/>
          <w:sz w:val="20"/>
          <w:szCs w:val="18"/>
          <w:vertAlign w:val="superscript"/>
        </w:rPr>
        <w:t>a</w:t>
      </w:r>
      <w:r w:rsidRPr="007C0D91">
        <w:rPr>
          <w:rFonts w:ascii="Arial Narrow" w:hAnsi="Arial Narrow"/>
          <w:b/>
          <w:bCs/>
          <w:sz w:val="20"/>
          <w:szCs w:val="18"/>
        </w:rPr>
        <w:t xml:space="preserve"> for mobocertinib PPP cohort (observed) from Study 101 </w:t>
      </w:r>
      <w:r w:rsidRPr="007C0D91">
        <w:rPr>
          <w:rFonts w:ascii="Arial Narrow" w:hAnsi="Arial Narrow"/>
          <w:b/>
          <w:bCs/>
          <w:i/>
          <w:sz w:val="20"/>
          <w:szCs w:val="18"/>
        </w:rPr>
        <w:t>vs</w:t>
      </w:r>
      <w:r w:rsidRPr="007C0D91">
        <w:rPr>
          <w:rFonts w:ascii="Arial Narrow" w:hAnsi="Arial Narrow"/>
          <w:b/>
          <w:bCs/>
          <w:sz w:val="20"/>
          <w:szCs w:val="18"/>
        </w:rPr>
        <w:t>. pooled chemotherapy cohort from Studies 5002 and 5008 (unadjusted and IPTW adjusted)</w:t>
      </w:r>
      <w:r w:rsidR="007516BE" w:rsidRPr="007516BE">
        <w:rPr>
          <w:rFonts w:ascii="Arial Narrow" w:hAnsi="Arial Narrow"/>
          <w:b/>
          <w:bCs/>
          <w:noProof/>
          <w:sz w:val="20"/>
          <w:szCs w:val="18"/>
        </w:rPr>
        <w:t xml:space="preserve"> </w:t>
      </w:r>
    </w:p>
    <w:p w14:paraId="46C59B3C" w14:textId="6DEA58CF" w:rsidR="005149D4" w:rsidRPr="007C0D91" w:rsidRDefault="007516BE" w:rsidP="005149D4">
      <w:pPr>
        <w:keepNext/>
        <w:keepLines/>
        <w:rPr>
          <w:rFonts w:ascii="Arial Narrow" w:hAnsi="Arial Narrow"/>
          <w:b/>
          <w:bCs/>
          <w:sz w:val="20"/>
          <w:szCs w:val="18"/>
        </w:rPr>
      </w:pPr>
      <w:r w:rsidRPr="007C0D91">
        <w:rPr>
          <w:rFonts w:ascii="Arial Narrow" w:hAnsi="Arial Narrow"/>
          <w:b/>
          <w:bCs/>
          <w:noProof/>
          <w:sz w:val="20"/>
          <w:szCs w:val="18"/>
        </w:rPr>
        <w:drawing>
          <wp:inline distT="0" distB="0" distL="0" distR="0" wp14:anchorId="370DBD2B" wp14:editId="046688DA">
            <wp:extent cx="5732145" cy="328520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3285204"/>
                    </a:xfrm>
                    <a:prstGeom prst="rect">
                      <a:avLst/>
                    </a:prstGeom>
                  </pic:spPr>
                </pic:pic>
              </a:graphicData>
            </a:graphic>
          </wp:inline>
        </w:drawing>
      </w:r>
    </w:p>
    <w:p w14:paraId="25E12477" w14:textId="77777777" w:rsidR="005149D4" w:rsidRPr="007C0D91" w:rsidRDefault="005149D4" w:rsidP="005149D4">
      <w:pPr>
        <w:keepNext/>
        <w:keepLines/>
        <w:rPr>
          <w:rFonts w:ascii="Arial Narrow" w:hAnsi="Arial Narrow"/>
          <w:snapToGrid w:val="0"/>
          <w:sz w:val="18"/>
          <w:szCs w:val="22"/>
        </w:rPr>
      </w:pPr>
      <w:r w:rsidRPr="007C0D91">
        <w:rPr>
          <w:rFonts w:ascii="Arial Narrow" w:hAnsi="Arial Narrow"/>
          <w:snapToGrid w:val="0"/>
          <w:sz w:val="18"/>
          <w:szCs w:val="22"/>
        </w:rPr>
        <w:t>Source: Figure 2-4, p16 of the resubmission.</w:t>
      </w:r>
    </w:p>
    <w:p w14:paraId="4940B0A3" w14:textId="77777777"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 xml:space="preserve">Fl=US Flatiron registry data (used in Study 5002); GCR=German chart review data (used in Study 5008); IPTW=inverse proportional treatment weighting; KM=Kaplan-Meier; PFS=progression free survival </w:t>
      </w:r>
    </w:p>
    <w:p w14:paraId="51C53B06" w14:textId="77777777"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 xml:space="preserve">a </w:t>
      </w:r>
      <w:r w:rsidRPr="007C0D91">
        <w:rPr>
          <w:rFonts w:ascii="Arial Narrow" w:hAnsi="Arial Narrow"/>
          <w:snapToGrid w:val="0"/>
          <w:sz w:val="18"/>
          <w:szCs w:val="22"/>
        </w:rPr>
        <w:t>PFS as assessed by investigator in Study 101. Studies 5002 and 5008 were based on the German chart review and the US Flatiron databases, respectively, and thus PFS could not be categorised as either investigator or independent review committee assessed.</w:t>
      </w:r>
    </w:p>
    <w:p w14:paraId="16763EE8" w14:textId="77777777" w:rsidR="005149D4" w:rsidRPr="007C0D91" w:rsidRDefault="005149D4" w:rsidP="005149D4">
      <w:pPr>
        <w:spacing w:after="120"/>
        <w:contextualSpacing/>
        <w:rPr>
          <w:rFonts w:ascii="Arial Narrow" w:hAnsi="Arial Narrow"/>
          <w:snapToGrid w:val="0"/>
          <w:sz w:val="18"/>
          <w:szCs w:val="22"/>
        </w:rPr>
      </w:pPr>
      <w:r w:rsidRPr="007C0D91">
        <w:rPr>
          <w:rFonts w:ascii="Arial Narrow" w:hAnsi="Arial Narrow"/>
          <w:snapToGrid w:val="0"/>
          <w:sz w:val="18"/>
          <w:szCs w:val="22"/>
        </w:rPr>
        <w:t>Note:</w:t>
      </w:r>
    </w:p>
    <w:p w14:paraId="51580912" w14:textId="77777777" w:rsidR="005149D4" w:rsidRPr="007C0D91" w:rsidRDefault="005149D4" w:rsidP="007516BE">
      <w:pPr>
        <w:spacing w:after="120"/>
        <w:rPr>
          <w:rFonts w:ascii="Arial Narrow" w:hAnsi="Arial Narrow"/>
          <w:snapToGrid w:val="0"/>
          <w:sz w:val="18"/>
          <w:szCs w:val="22"/>
        </w:rPr>
      </w:pPr>
      <w:r w:rsidRPr="007C0D91">
        <w:rPr>
          <w:rFonts w:ascii="Arial Narrow" w:hAnsi="Arial Narrow"/>
          <w:snapToGrid w:val="0"/>
          <w:sz w:val="18"/>
          <w:szCs w:val="22"/>
        </w:rPr>
        <w:t>Usual care in the figure legend refers to chemotherapy. Observed is PFS as reported for the cohort (without adjustment by IPTW). Weighted is PFS reported following adjustment by IPTW.</w:t>
      </w:r>
    </w:p>
    <w:p w14:paraId="5C0E0F01" w14:textId="3202B2B9" w:rsidR="005149D4" w:rsidRPr="007C0D91" w:rsidRDefault="005149D4" w:rsidP="005149D4">
      <w:pPr>
        <w:numPr>
          <w:ilvl w:val="1"/>
          <w:numId w:val="1"/>
        </w:numPr>
        <w:spacing w:after="120"/>
        <w:rPr>
          <w:rFonts w:asciiTheme="minorHAnsi" w:hAnsiTheme="minorHAnsi"/>
          <w:iCs/>
          <w:snapToGrid w:val="0"/>
        </w:rPr>
      </w:pPr>
      <w:r w:rsidRPr="007C0D91">
        <w:rPr>
          <w:rFonts w:asciiTheme="minorHAnsi" w:hAnsiTheme="minorHAnsi"/>
          <w:snapToGrid w:val="0"/>
        </w:rPr>
        <w:t xml:space="preserve">The median OS was 20.2 (95% CI, 14.9, 25.3) months for mobocertinib compared with 13.7 (95% CI, 9.4, 20.6) months in the pooled chemotherapy cohort from Studies 5002 and 5008 before IPTW (events observed in 57.9% [66/114] </w:t>
      </w:r>
      <w:r w:rsidRPr="007C0D91">
        <w:rPr>
          <w:rFonts w:asciiTheme="minorHAnsi" w:hAnsiTheme="minorHAnsi"/>
          <w:i/>
          <w:snapToGrid w:val="0"/>
        </w:rPr>
        <w:t>versus</w:t>
      </w:r>
      <w:r w:rsidRPr="007C0D91">
        <w:rPr>
          <w:rFonts w:asciiTheme="minorHAnsi" w:hAnsiTheme="minorHAnsi"/>
          <w:snapToGrid w:val="0"/>
        </w:rPr>
        <w:t xml:space="preserve"> 73.9% [17/23]). After IPTW, the median OS decreased slightly</w:t>
      </w:r>
      <w:r w:rsidRPr="007C0D91" w:rsidDel="006A6143">
        <w:rPr>
          <w:rFonts w:asciiTheme="minorHAnsi" w:hAnsiTheme="minorHAnsi"/>
          <w:snapToGrid w:val="0"/>
        </w:rPr>
        <w:t xml:space="preserve"> </w:t>
      </w:r>
      <w:r w:rsidRPr="007C0D91">
        <w:rPr>
          <w:rFonts w:asciiTheme="minorHAnsi" w:hAnsiTheme="minorHAnsi"/>
          <w:snapToGrid w:val="0"/>
        </w:rPr>
        <w:t xml:space="preserve">by 1.3 months (from 13.7 months to 12.4 months) in the pooled chemotherapy cohort. The reported OS hazard ratios (HRs) for mobocertinib </w:t>
      </w:r>
      <w:r w:rsidRPr="007C0D91">
        <w:rPr>
          <w:rFonts w:asciiTheme="minorHAnsi" w:hAnsiTheme="minorHAnsi"/>
          <w:i/>
          <w:snapToGrid w:val="0"/>
        </w:rPr>
        <w:t>versus</w:t>
      </w:r>
      <w:r w:rsidRPr="007C0D91">
        <w:rPr>
          <w:rFonts w:asciiTheme="minorHAnsi" w:hAnsiTheme="minorHAnsi"/>
          <w:snapToGrid w:val="0"/>
        </w:rPr>
        <w:t xml:space="preserve"> chemotherapy was 0.69 (95% CI</w:t>
      </w:r>
      <w:r w:rsidR="00083A7E" w:rsidRPr="007C0D91">
        <w:rPr>
          <w:rFonts w:asciiTheme="minorHAnsi" w:hAnsiTheme="minorHAnsi"/>
          <w:snapToGrid w:val="0"/>
        </w:rPr>
        <w:t>,</w:t>
      </w:r>
      <w:r w:rsidRPr="007C0D91">
        <w:rPr>
          <w:rFonts w:asciiTheme="minorHAnsi" w:hAnsiTheme="minorHAnsi"/>
          <w:snapToGrid w:val="0"/>
        </w:rPr>
        <w:t xml:space="preserve"> 0.40, 1.17) before IPTW and 0.60 (95% CI</w:t>
      </w:r>
      <w:r w:rsidR="00083A7E" w:rsidRPr="007C0D91">
        <w:rPr>
          <w:rFonts w:asciiTheme="minorHAnsi" w:hAnsiTheme="minorHAnsi"/>
          <w:snapToGrid w:val="0"/>
        </w:rPr>
        <w:t>,</w:t>
      </w:r>
      <w:r w:rsidRPr="007C0D91">
        <w:rPr>
          <w:rFonts w:asciiTheme="minorHAnsi" w:hAnsiTheme="minorHAnsi"/>
          <w:snapToGrid w:val="0"/>
        </w:rPr>
        <w:t xml:space="preserve"> 0.34, 1.03) after adjustment; however, the differences did not reach statistical significance (</w:t>
      </w:r>
      <w:r w:rsidRPr="007C0D91">
        <w:rPr>
          <w:rFonts w:asciiTheme="minorHAnsi" w:hAnsiTheme="minorHAnsi"/>
          <w:snapToGrid w:val="0"/>
        </w:rPr>
        <w:fldChar w:fldCharType="begin"/>
      </w:r>
      <w:r w:rsidRPr="007C0D91">
        <w:rPr>
          <w:rFonts w:asciiTheme="minorHAnsi" w:hAnsiTheme="minorHAnsi"/>
          <w:snapToGrid w:val="0"/>
        </w:rPr>
        <w:instrText xml:space="preserve"> REF _Ref134001351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7C0D91">
        <w:t xml:space="preserve">Table </w:t>
      </w:r>
      <w:r w:rsidR="00117491">
        <w:t>6</w:t>
      </w:r>
      <w:r w:rsidRPr="007C0D91">
        <w:rPr>
          <w:rFonts w:asciiTheme="minorHAnsi" w:hAnsiTheme="minorHAnsi"/>
          <w:snapToGrid w:val="0"/>
        </w:rPr>
        <w:fldChar w:fldCharType="end"/>
      </w:r>
      <w:r w:rsidRPr="007C0D91">
        <w:rPr>
          <w:rFonts w:asciiTheme="minorHAnsi" w:hAnsiTheme="minorHAnsi"/>
          <w:snapToGrid w:val="0"/>
        </w:rPr>
        <w:t xml:space="preserve">). </w:t>
      </w:r>
      <w:r w:rsidRPr="007C0D91">
        <w:rPr>
          <w:rFonts w:asciiTheme="minorHAnsi" w:hAnsiTheme="minorHAnsi"/>
          <w:iCs/>
          <w:snapToGrid w:val="0"/>
        </w:rPr>
        <w:t>There is no indication in the resubmission that the proportional hazards assumption was tested. The OS KM curves for mobocertinib and for chemotherapy (both unadjusted and IPTW-adjusted) crossed at around Month 9 (</w:t>
      </w:r>
      <w:r w:rsidRPr="007C0D91">
        <w:rPr>
          <w:iCs/>
        </w:rPr>
        <w:fldChar w:fldCharType="begin"/>
      </w:r>
      <w:r w:rsidRPr="007C0D91">
        <w:rPr>
          <w:iCs/>
        </w:rPr>
        <w:instrText xml:space="preserve"> REF _Ref133839832 \h  \* MERGEFORMAT </w:instrText>
      </w:r>
      <w:r w:rsidRPr="007C0D91">
        <w:rPr>
          <w:iCs/>
        </w:rPr>
      </w:r>
      <w:r w:rsidRPr="007C0D91">
        <w:rPr>
          <w:iCs/>
        </w:rPr>
        <w:fldChar w:fldCharType="separate"/>
      </w:r>
      <w:r w:rsidR="00117491" w:rsidRPr="00117491">
        <w:rPr>
          <w:iCs/>
        </w:rPr>
        <w:t>Figure 1</w:t>
      </w:r>
      <w:r w:rsidRPr="007C0D91">
        <w:rPr>
          <w:iCs/>
        </w:rPr>
        <w:fldChar w:fldCharType="end"/>
      </w:r>
      <w:r w:rsidRPr="007C0D91">
        <w:rPr>
          <w:rFonts w:asciiTheme="minorHAnsi" w:hAnsiTheme="minorHAnsi"/>
          <w:iCs/>
          <w:snapToGrid w:val="0"/>
        </w:rPr>
        <w:t xml:space="preserve">) indicating a violation of the proportional </w:t>
      </w:r>
      <w:r w:rsidR="00CC0496" w:rsidRPr="007C0D91">
        <w:rPr>
          <w:rFonts w:asciiTheme="minorHAnsi" w:hAnsiTheme="minorHAnsi"/>
          <w:iCs/>
          <w:snapToGrid w:val="0"/>
        </w:rPr>
        <w:t>hazards’</w:t>
      </w:r>
      <w:r w:rsidRPr="007C0D91">
        <w:rPr>
          <w:rFonts w:asciiTheme="minorHAnsi" w:hAnsiTheme="minorHAnsi"/>
          <w:iCs/>
          <w:snapToGrid w:val="0"/>
        </w:rPr>
        <w:t xml:space="preserve"> assumption. The </w:t>
      </w:r>
      <w:r w:rsidR="00A93A15" w:rsidRPr="007C0D91">
        <w:rPr>
          <w:rFonts w:asciiTheme="minorHAnsi" w:hAnsiTheme="minorHAnsi"/>
          <w:iCs/>
          <w:snapToGrid w:val="0"/>
        </w:rPr>
        <w:t xml:space="preserve">ESC considered the </w:t>
      </w:r>
      <w:r w:rsidRPr="007C0D91">
        <w:rPr>
          <w:rFonts w:asciiTheme="minorHAnsi" w:hAnsiTheme="minorHAnsi"/>
          <w:iCs/>
          <w:snapToGrid w:val="0"/>
        </w:rPr>
        <w:t xml:space="preserve">indirect HR results, therefore, should be interpreted with </w:t>
      </w:r>
      <w:r w:rsidR="00A93A15" w:rsidRPr="007C0D91">
        <w:rPr>
          <w:rFonts w:asciiTheme="minorHAnsi" w:hAnsiTheme="minorHAnsi"/>
          <w:iCs/>
          <w:snapToGrid w:val="0"/>
        </w:rPr>
        <w:t xml:space="preserve">a high degree of </w:t>
      </w:r>
      <w:r w:rsidRPr="007C0D91">
        <w:rPr>
          <w:rFonts w:asciiTheme="minorHAnsi" w:hAnsiTheme="minorHAnsi"/>
          <w:iCs/>
          <w:snapToGrid w:val="0"/>
        </w:rPr>
        <w:t>caution.</w:t>
      </w:r>
    </w:p>
    <w:p w14:paraId="226290CD" w14:textId="6EAD46A0"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The median PFS was 7.3 (95% CI, 5.6, 8.8) months, as assessed by investigator, for mobocertinib, compared with 5.0 (95% CI, 2.9, 8.1) months in the pooled chemotherapy cohort (events observed in 69.3% [79/114] versus 69.6% [16/23]). After weighting, the median PFS slightly decreased in the chemotherapy subgroup from </w:t>
      </w:r>
      <w:r w:rsidRPr="007C0D91">
        <w:rPr>
          <w:rFonts w:asciiTheme="minorHAnsi" w:hAnsiTheme="minorHAnsi"/>
          <w:snapToGrid w:val="0"/>
        </w:rPr>
        <w:lastRenderedPageBreak/>
        <w:t>5.</w:t>
      </w:r>
      <w:r w:rsidR="009B3FAF" w:rsidRPr="007C0D91">
        <w:rPr>
          <w:rFonts w:asciiTheme="minorHAnsi" w:hAnsiTheme="minorHAnsi"/>
          <w:snapToGrid w:val="0"/>
        </w:rPr>
        <w:t>0</w:t>
      </w:r>
      <w:r w:rsidR="009B3FAF">
        <w:rPr>
          <w:rFonts w:asciiTheme="minorHAnsi" w:hAnsiTheme="minorHAnsi"/>
          <w:snapToGrid w:val="0"/>
        </w:rPr>
        <w:t> </w:t>
      </w:r>
      <w:r w:rsidRPr="007C0D91">
        <w:rPr>
          <w:rFonts w:asciiTheme="minorHAnsi" w:hAnsiTheme="minorHAnsi"/>
          <w:snapToGrid w:val="0"/>
        </w:rPr>
        <w:t>months to 4.4 months. Both before and after IPTW, mobocertinib was associated with a statistically significant reduction in the risk of disease progression or death when compared to chemotherapy (unadjusted HR: 0.58 [95% CI</w:t>
      </w:r>
      <w:r w:rsidR="00083A7E" w:rsidRPr="007C0D91">
        <w:rPr>
          <w:rFonts w:asciiTheme="minorHAnsi" w:hAnsiTheme="minorHAnsi"/>
          <w:snapToGrid w:val="0"/>
        </w:rPr>
        <w:t>,</w:t>
      </w:r>
      <w:r w:rsidRPr="007C0D91">
        <w:rPr>
          <w:rFonts w:asciiTheme="minorHAnsi" w:hAnsiTheme="minorHAnsi"/>
          <w:snapToGrid w:val="0"/>
        </w:rPr>
        <w:t xml:space="preserve"> 0.36, 0.94]; IPTW adjusted HR: 0.50 [95% CI</w:t>
      </w:r>
      <w:r w:rsidR="00083A7E" w:rsidRPr="007C0D91">
        <w:rPr>
          <w:rFonts w:asciiTheme="minorHAnsi" w:hAnsiTheme="minorHAnsi"/>
          <w:snapToGrid w:val="0"/>
        </w:rPr>
        <w:t>,</w:t>
      </w:r>
      <w:r w:rsidRPr="007C0D91">
        <w:rPr>
          <w:rFonts w:asciiTheme="minorHAnsi" w:hAnsiTheme="minorHAnsi"/>
          <w:snapToGrid w:val="0"/>
        </w:rPr>
        <w:t xml:space="preserve"> 0.30, 0.82]) (</w:t>
      </w:r>
      <w:r w:rsidRPr="007C0D91">
        <w:rPr>
          <w:rFonts w:asciiTheme="minorHAnsi" w:hAnsiTheme="minorHAnsi"/>
          <w:snapToGrid w:val="0"/>
        </w:rPr>
        <w:fldChar w:fldCharType="begin"/>
      </w:r>
      <w:r w:rsidRPr="007C0D91">
        <w:rPr>
          <w:rFonts w:asciiTheme="minorHAnsi" w:hAnsiTheme="minorHAnsi"/>
          <w:snapToGrid w:val="0"/>
        </w:rPr>
        <w:instrText xml:space="preserve"> REF _Ref134001351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7C0D91">
        <w:t xml:space="preserve">Table </w:t>
      </w:r>
      <w:r w:rsidR="00117491">
        <w:t>6</w:t>
      </w:r>
      <w:r w:rsidRPr="007C0D91">
        <w:rPr>
          <w:rFonts w:asciiTheme="minorHAnsi" w:hAnsiTheme="minorHAnsi"/>
          <w:snapToGrid w:val="0"/>
        </w:rPr>
        <w:fldChar w:fldCharType="end"/>
      </w:r>
      <w:r w:rsidRPr="007C0D91">
        <w:rPr>
          <w:rFonts w:asciiTheme="minorHAnsi" w:hAnsiTheme="minorHAnsi"/>
          <w:snapToGrid w:val="0"/>
        </w:rPr>
        <w:t>).</w:t>
      </w:r>
    </w:p>
    <w:p w14:paraId="3A59D07B" w14:textId="55B77B36" w:rsidR="005149D4" w:rsidRPr="007C0D91" w:rsidRDefault="005149D4" w:rsidP="005149D4">
      <w:pPr>
        <w:numPr>
          <w:ilvl w:val="1"/>
          <w:numId w:val="1"/>
        </w:numPr>
        <w:spacing w:after="120"/>
        <w:rPr>
          <w:rFonts w:asciiTheme="minorHAnsi" w:hAnsiTheme="minorHAnsi"/>
          <w:iCs/>
          <w:snapToGrid w:val="0"/>
        </w:rPr>
      </w:pPr>
      <w:r w:rsidRPr="007C0D91">
        <w:rPr>
          <w:rFonts w:asciiTheme="minorHAnsi" w:hAnsiTheme="minorHAnsi"/>
          <w:snapToGrid w:val="0"/>
        </w:rPr>
        <w:t xml:space="preserve">The median OS for the pooled chemotherapy cohort, after IPTW adjustment, was slightly longer than that for the pooled SOC cohort (12.4 [95% CI: 8.9, 20.6] months </w:t>
      </w:r>
      <w:r w:rsidRPr="009B3FAF">
        <w:rPr>
          <w:rFonts w:asciiTheme="minorHAnsi" w:hAnsiTheme="minorHAnsi"/>
          <w:iCs/>
          <w:snapToGrid w:val="0"/>
        </w:rPr>
        <w:t xml:space="preserve">versus </w:t>
      </w:r>
      <w:r w:rsidRPr="007C0D91">
        <w:rPr>
          <w:rFonts w:asciiTheme="minorHAnsi" w:hAnsiTheme="minorHAnsi"/>
          <w:snapToGrid w:val="0"/>
        </w:rPr>
        <w:t>11.0 [95% CI: 7.9, 13.6] months), but the confidence intervals overlapped (</w:t>
      </w:r>
      <w:r w:rsidRPr="007C0D91">
        <w:rPr>
          <w:rFonts w:asciiTheme="minorHAnsi" w:hAnsiTheme="minorHAnsi"/>
          <w:snapToGrid w:val="0"/>
        </w:rPr>
        <w:fldChar w:fldCharType="begin"/>
      </w:r>
      <w:r w:rsidRPr="007C0D91">
        <w:rPr>
          <w:rFonts w:asciiTheme="minorHAnsi" w:hAnsiTheme="minorHAnsi"/>
          <w:snapToGrid w:val="0"/>
        </w:rPr>
        <w:instrText xml:space="preserve"> REF _Ref134001351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7C0D91">
        <w:t xml:space="preserve">Table </w:t>
      </w:r>
      <w:r w:rsidR="00117491">
        <w:rPr>
          <w:noProof/>
        </w:rPr>
        <w:t>6</w:t>
      </w:r>
      <w:r w:rsidRPr="007C0D91">
        <w:rPr>
          <w:rFonts w:asciiTheme="minorHAnsi" w:hAnsiTheme="minorHAnsi"/>
          <w:snapToGrid w:val="0"/>
        </w:rPr>
        <w:fldChar w:fldCharType="end"/>
      </w:r>
      <w:r w:rsidRPr="007C0D91">
        <w:rPr>
          <w:rFonts w:asciiTheme="minorHAnsi" w:hAnsiTheme="minorHAnsi"/>
          <w:snapToGrid w:val="0"/>
        </w:rPr>
        <w:t>). The point estimates of IPTW adjusted and unadjusted OS HRs were more favourable to mobocertinib if it was compared with SOC comprising all treatments (</w:t>
      </w:r>
      <w:r w:rsidRPr="007C0D91">
        <w:rPr>
          <w:rFonts w:asciiTheme="minorHAnsi" w:hAnsiTheme="minorHAnsi"/>
          <w:i/>
          <w:snapToGrid w:val="0"/>
        </w:rPr>
        <w:t>EGFR</w:t>
      </w:r>
      <w:r w:rsidRPr="007C0D91">
        <w:rPr>
          <w:rFonts w:asciiTheme="minorHAnsi" w:hAnsiTheme="minorHAnsi"/>
          <w:snapToGrid w:val="0"/>
        </w:rPr>
        <w:t xml:space="preserve"> TKIs, ICIs and chemotherapy) than compared with chemotherapy alone (</w:t>
      </w:r>
      <w:proofErr w:type="gramStart"/>
      <w:r w:rsidRPr="007C0D91">
        <w:rPr>
          <w:rFonts w:asciiTheme="minorHAnsi" w:hAnsiTheme="minorHAnsi"/>
          <w:i/>
          <w:snapToGrid w:val="0"/>
        </w:rPr>
        <w:t>e.g.</w:t>
      </w:r>
      <w:proofErr w:type="gramEnd"/>
      <w:r w:rsidRPr="007C0D91">
        <w:rPr>
          <w:rFonts w:asciiTheme="minorHAnsi" w:hAnsiTheme="minorHAnsi"/>
          <w:i/>
          <w:snapToGrid w:val="0"/>
        </w:rPr>
        <w:t xml:space="preserve"> </w:t>
      </w:r>
      <w:r w:rsidRPr="007C0D91">
        <w:rPr>
          <w:rFonts w:asciiTheme="minorHAnsi" w:hAnsiTheme="minorHAnsi"/>
          <w:snapToGrid w:val="0"/>
        </w:rPr>
        <w:t xml:space="preserve">IPTW-adjusted HR: 0.51 [0.25, 0.74] </w:t>
      </w:r>
      <w:r w:rsidRPr="007C0D91">
        <w:rPr>
          <w:rFonts w:asciiTheme="minorHAnsi" w:hAnsiTheme="minorHAnsi"/>
          <w:i/>
          <w:snapToGrid w:val="0"/>
        </w:rPr>
        <w:t xml:space="preserve">versus </w:t>
      </w:r>
      <w:r w:rsidRPr="007C0D91">
        <w:rPr>
          <w:rFonts w:asciiTheme="minorHAnsi" w:hAnsiTheme="minorHAnsi"/>
          <w:snapToGrid w:val="0"/>
        </w:rPr>
        <w:t xml:space="preserve">0.60 [0.34, 1.03]). A similar trend was observed for PFS. </w:t>
      </w:r>
      <w:r w:rsidRPr="007C0D91">
        <w:rPr>
          <w:rFonts w:asciiTheme="minorHAnsi" w:hAnsiTheme="minorHAnsi"/>
          <w:iCs/>
          <w:snapToGrid w:val="0"/>
        </w:rPr>
        <w:t xml:space="preserve">This could be attributable to the inclusion of ICIs and standard </w:t>
      </w:r>
      <w:r w:rsidR="00FB0DBF" w:rsidRPr="00FB0DBF">
        <w:rPr>
          <w:rFonts w:asciiTheme="minorHAnsi" w:hAnsiTheme="minorHAnsi"/>
          <w:i/>
          <w:iCs/>
          <w:snapToGrid w:val="0"/>
        </w:rPr>
        <w:t>EGFR</w:t>
      </w:r>
      <w:r w:rsidRPr="007C0D91">
        <w:rPr>
          <w:rFonts w:asciiTheme="minorHAnsi" w:hAnsiTheme="minorHAnsi"/>
          <w:iCs/>
          <w:snapToGrid w:val="0"/>
        </w:rPr>
        <w:t xml:space="preserve"> TKIs in the comparator cohort which are less effective as second-line treatment of </w:t>
      </w:r>
      <w:r w:rsidR="00FB0DBF" w:rsidRPr="00FB0DBF">
        <w:rPr>
          <w:rFonts w:asciiTheme="minorHAnsi" w:hAnsiTheme="minorHAnsi"/>
          <w:i/>
          <w:iCs/>
          <w:snapToGrid w:val="0"/>
        </w:rPr>
        <w:t>EGFR</w:t>
      </w:r>
      <w:r w:rsidRPr="007C0D91">
        <w:rPr>
          <w:rFonts w:asciiTheme="minorHAnsi" w:hAnsiTheme="minorHAnsi"/>
          <w:iCs/>
          <w:snapToGrid w:val="0"/>
        </w:rPr>
        <w:t xml:space="preserve"> ex20ins positive NSCLC. ICIs and standard </w:t>
      </w:r>
      <w:r w:rsidR="00FB0DBF" w:rsidRPr="00FB0DBF">
        <w:rPr>
          <w:rFonts w:asciiTheme="minorHAnsi" w:hAnsiTheme="minorHAnsi"/>
          <w:i/>
          <w:iCs/>
          <w:snapToGrid w:val="0"/>
        </w:rPr>
        <w:t>EGFR</w:t>
      </w:r>
      <w:r w:rsidRPr="007C0D91">
        <w:rPr>
          <w:rFonts w:asciiTheme="minorHAnsi" w:hAnsiTheme="minorHAnsi"/>
          <w:iCs/>
          <w:snapToGrid w:val="0"/>
        </w:rPr>
        <w:t xml:space="preserve"> TKIs accounted for around 70% of therapies in the pooled SOC cohort drawn from German and US patient </w:t>
      </w:r>
      <w:proofErr w:type="gramStart"/>
      <w:r w:rsidRPr="007C0D91">
        <w:rPr>
          <w:rFonts w:asciiTheme="minorHAnsi" w:hAnsiTheme="minorHAnsi"/>
          <w:iCs/>
          <w:snapToGrid w:val="0"/>
        </w:rPr>
        <w:t>populations, but</w:t>
      </w:r>
      <w:proofErr w:type="gramEnd"/>
      <w:r w:rsidRPr="007C0D91">
        <w:rPr>
          <w:rFonts w:asciiTheme="minorHAnsi" w:hAnsiTheme="minorHAnsi"/>
          <w:iCs/>
          <w:snapToGrid w:val="0"/>
        </w:rPr>
        <w:t xml:space="preserve"> are not commonly used in Australian clinical practice in the second-line </w:t>
      </w:r>
      <w:r w:rsidR="00FB0DBF" w:rsidRPr="00FB0DBF">
        <w:rPr>
          <w:rFonts w:asciiTheme="minorHAnsi" w:hAnsiTheme="minorHAnsi"/>
          <w:i/>
          <w:iCs/>
          <w:snapToGrid w:val="0"/>
        </w:rPr>
        <w:t>EGFR</w:t>
      </w:r>
      <w:r w:rsidRPr="007C0D91">
        <w:rPr>
          <w:rFonts w:asciiTheme="minorHAnsi" w:hAnsiTheme="minorHAnsi"/>
          <w:iCs/>
          <w:snapToGrid w:val="0"/>
        </w:rPr>
        <w:t xml:space="preserve"> ex20ins NSCLC setting (para 6.53, mobocertinib, PSD, November 2022 PBAC meeting).</w:t>
      </w:r>
    </w:p>
    <w:p w14:paraId="229FC784" w14:textId="77777777" w:rsidR="005149D4" w:rsidRPr="007C0D91" w:rsidRDefault="005149D4" w:rsidP="005149D4">
      <w:pPr>
        <w:numPr>
          <w:ilvl w:val="1"/>
          <w:numId w:val="1"/>
        </w:numPr>
        <w:spacing w:after="120"/>
        <w:rPr>
          <w:rFonts w:asciiTheme="minorHAnsi" w:hAnsiTheme="minorHAnsi"/>
          <w:iCs/>
          <w:snapToGrid w:val="0"/>
        </w:rPr>
      </w:pPr>
      <w:r w:rsidRPr="007C0D91">
        <w:rPr>
          <w:rFonts w:asciiTheme="minorHAnsi" w:hAnsiTheme="minorHAnsi"/>
          <w:iCs/>
          <w:snapToGrid w:val="0"/>
        </w:rPr>
        <w:t>Any interpretation of the indirect results of mobocertinib versus chemotherapy or versus SOC should consider the limitations associated with the IPTW unanchored indirect comparisons, which are discussed in the “Clinical studies” section.</w:t>
      </w:r>
    </w:p>
    <w:p w14:paraId="66B5DBB5" w14:textId="77777777" w:rsidR="005149D4" w:rsidRPr="007C0D91" w:rsidRDefault="005149D4" w:rsidP="007B48A1">
      <w:pPr>
        <w:pStyle w:val="4-SubsectionHeading"/>
      </w:pPr>
      <w:bookmarkStart w:id="49" w:name="_Toc107927628"/>
      <w:bookmarkStart w:id="50" w:name="_Toc135210115"/>
      <w:r w:rsidRPr="007C0D91">
        <w:t>Comparative harms</w:t>
      </w:r>
      <w:bookmarkEnd w:id="49"/>
      <w:bookmarkEnd w:id="50"/>
    </w:p>
    <w:p w14:paraId="69BA96E7" w14:textId="77777777"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No comparative safety data are presented in the original submission or in the resubmission for mobocertinib </w:t>
      </w:r>
      <w:r w:rsidRPr="007C0D91">
        <w:rPr>
          <w:rFonts w:asciiTheme="minorHAnsi" w:hAnsiTheme="minorHAnsi"/>
          <w:i/>
          <w:snapToGrid w:val="0"/>
        </w:rPr>
        <w:t xml:space="preserve">versus </w:t>
      </w:r>
      <w:r w:rsidRPr="007C0D91">
        <w:rPr>
          <w:rFonts w:asciiTheme="minorHAnsi" w:hAnsiTheme="minorHAnsi"/>
          <w:snapToGrid w:val="0"/>
        </w:rPr>
        <w:t xml:space="preserve">chemotherapy or </w:t>
      </w:r>
      <w:r w:rsidRPr="007C0D91">
        <w:rPr>
          <w:rFonts w:asciiTheme="minorHAnsi" w:hAnsiTheme="minorHAnsi"/>
          <w:i/>
          <w:snapToGrid w:val="0"/>
        </w:rPr>
        <w:t xml:space="preserve">versus </w:t>
      </w:r>
      <w:r w:rsidRPr="007C0D91">
        <w:rPr>
          <w:rFonts w:asciiTheme="minorHAnsi" w:hAnsiTheme="minorHAnsi"/>
          <w:snapToGrid w:val="0"/>
        </w:rPr>
        <w:t xml:space="preserve">SOC. </w:t>
      </w:r>
    </w:p>
    <w:p w14:paraId="363C0831" w14:textId="300ADC40"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A summary of overall safety outcomes in the PPP cohort of Study 101 </w:t>
      </w:r>
      <w:r w:rsidR="00E735C6" w:rsidRPr="007C0D91">
        <w:rPr>
          <w:rFonts w:asciiTheme="minorHAnsi" w:hAnsiTheme="minorHAnsi"/>
          <w:snapToGrid w:val="0"/>
        </w:rPr>
        <w:t>(</w:t>
      </w:r>
      <w:r w:rsidRPr="007C0D91">
        <w:rPr>
          <w:rFonts w:asciiTheme="minorHAnsi" w:hAnsiTheme="minorHAnsi"/>
          <w:snapToGrid w:val="0"/>
        </w:rPr>
        <w:t xml:space="preserve">as presented in the </w:t>
      </w:r>
      <w:r w:rsidR="00E735C6" w:rsidRPr="007C0D91">
        <w:rPr>
          <w:rFonts w:asciiTheme="minorHAnsi" w:hAnsiTheme="minorHAnsi"/>
          <w:snapToGrid w:val="0"/>
        </w:rPr>
        <w:t>original</w:t>
      </w:r>
      <w:r w:rsidRPr="007C0D91">
        <w:rPr>
          <w:rFonts w:asciiTheme="minorHAnsi" w:hAnsiTheme="minorHAnsi"/>
          <w:snapToGrid w:val="0"/>
        </w:rPr>
        <w:t xml:space="preserve"> submission</w:t>
      </w:r>
      <w:r w:rsidR="00E735C6" w:rsidRPr="007C0D91">
        <w:rPr>
          <w:rFonts w:asciiTheme="minorHAnsi" w:hAnsiTheme="minorHAnsi"/>
          <w:snapToGrid w:val="0"/>
        </w:rPr>
        <w:t>)</w:t>
      </w:r>
      <w:r w:rsidRPr="007C0D91">
        <w:rPr>
          <w:rFonts w:asciiTheme="minorHAnsi" w:hAnsiTheme="minorHAnsi"/>
          <w:snapToGrid w:val="0"/>
        </w:rPr>
        <w:t xml:space="preserve"> is </w:t>
      </w:r>
      <w:r w:rsidR="00E735C6" w:rsidRPr="007C0D91">
        <w:rPr>
          <w:rFonts w:asciiTheme="minorHAnsi" w:hAnsiTheme="minorHAnsi"/>
          <w:snapToGrid w:val="0"/>
        </w:rPr>
        <w:t>presented</w:t>
      </w:r>
      <w:r w:rsidRPr="007C0D91">
        <w:rPr>
          <w:rFonts w:asciiTheme="minorHAnsi" w:hAnsiTheme="minorHAnsi"/>
          <w:snapToGrid w:val="0"/>
        </w:rPr>
        <w:t xml:space="preserve"> in </w:t>
      </w:r>
      <w:r w:rsidRPr="007C0D91">
        <w:fldChar w:fldCharType="begin"/>
      </w:r>
      <w:r w:rsidRPr="007C0D91">
        <w:instrText xml:space="preserve"> REF _Ref133851048 \h  \* MERGEFORMAT </w:instrText>
      </w:r>
      <w:r w:rsidRPr="007C0D91">
        <w:fldChar w:fldCharType="separate"/>
      </w:r>
      <w:r w:rsidR="00117491" w:rsidRPr="00117491">
        <w:t>Table 7</w:t>
      </w:r>
      <w:r w:rsidRPr="007C0D91">
        <w:fldChar w:fldCharType="end"/>
      </w:r>
      <w:r w:rsidRPr="007C0D91">
        <w:rPr>
          <w:rFonts w:asciiTheme="minorHAnsi" w:hAnsiTheme="minorHAnsi"/>
          <w:snapToGrid w:val="0"/>
        </w:rPr>
        <w:t>.</w:t>
      </w:r>
    </w:p>
    <w:p w14:paraId="38130556" w14:textId="2B93223D" w:rsidR="005149D4" w:rsidRPr="007C0D91" w:rsidRDefault="005149D4" w:rsidP="005149D4">
      <w:pPr>
        <w:keepNext/>
        <w:keepLines/>
        <w:rPr>
          <w:rFonts w:ascii="Arial Narrow" w:hAnsi="Arial Narrow"/>
          <w:b/>
          <w:bCs/>
          <w:sz w:val="20"/>
          <w:szCs w:val="18"/>
        </w:rPr>
      </w:pPr>
      <w:bookmarkStart w:id="51" w:name="_Ref133851048"/>
      <w:r w:rsidRPr="007C0D91">
        <w:rPr>
          <w:rFonts w:ascii="Arial Narrow" w:hAnsi="Arial Narrow"/>
          <w:b/>
          <w:bCs/>
          <w:sz w:val="20"/>
          <w:szCs w:val="18"/>
        </w:rPr>
        <w:lastRenderedPageBreak/>
        <w:t xml:space="preserve">Table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Table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7</w:t>
      </w:r>
      <w:r w:rsidRPr="007C0D91">
        <w:rPr>
          <w:rFonts w:ascii="Arial Narrow" w:hAnsi="Arial Narrow"/>
          <w:b/>
          <w:bCs/>
          <w:sz w:val="20"/>
          <w:szCs w:val="18"/>
        </w:rPr>
        <w:fldChar w:fldCharType="end"/>
      </w:r>
      <w:bookmarkEnd w:id="51"/>
      <w:r w:rsidR="00646849" w:rsidRPr="007C0D91">
        <w:rPr>
          <w:rFonts w:ascii="Arial Narrow" w:hAnsi="Arial Narrow"/>
          <w:b/>
          <w:bCs/>
          <w:sz w:val="20"/>
          <w:szCs w:val="18"/>
        </w:rPr>
        <w:t>:</w:t>
      </w:r>
      <w:r w:rsidRPr="007C0D91">
        <w:rPr>
          <w:rFonts w:ascii="Arial Narrow" w:hAnsi="Arial Narrow"/>
          <w:b/>
          <w:bCs/>
          <w:sz w:val="20"/>
          <w:szCs w:val="18"/>
        </w:rPr>
        <w:t xml:space="preserve"> Summary of overall AEs (any grade or Grade ≥3) for the </w:t>
      </w:r>
      <w:r w:rsidR="00141DC5" w:rsidRPr="007C0D91">
        <w:rPr>
          <w:rFonts w:ascii="Arial Narrow" w:hAnsi="Arial Narrow"/>
          <w:b/>
          <w:bCs/>
          <w:sz w:val="20"/>
          <w:szCs w:val="18"/>
        </w:rPr>
        <w:t xml:space="preserve">mobocertinib PPP cohort from </w:t>
      </w:r>
      <w:r w:rsidRPr="007C0D91">
        <w:rPr>
          <w:rFonts w:ascii="Arial Narrow" w:hAnsi="Arial Narrow"/>
          <w:b/>
          <w:bCs/>
          <w:sz w:val="20"/>
          <w:szCs w:val="18"/>
        </w:rPr>
        <w:t>Study 101</w:t>
      </w:r>
    </w:p>
    <w:tbl>
      <w:tblPr>
        <w:tblStyle w:val="HTATableshaded"/>
        <w:tblW w:w="5000" w:type="pct"/>
        <w:shd w:val="clear" w:color="auto" w:fill="FFFFFF" w:themeFill="background1"/>
        <w:tblLook w:val="04A0" w:firstRow="1" w:lastRow="0" w:firstColumn="1" w:lastColumn="0" w:noHBand="0" w:noVBand="1"/>
      </w:tblPr>
      <w:tblGrid>
        <w:gridCol w:w="4705"/>
        <w:gridCol w:w="2157"/>
        <w:gridCol w:w="2155"/>
      </w:tblGrid>
      <w:tr w:rsidR="005149D4" w:rsidRPr="007C0D91" w14:paraId="79793C96" w14:textId="77777777" w:rsidTr="00046E34">
        <w:trPr>
          <w:cnfStyle w:val="100000000000" w:firstRow="1" w:lastRow="0" w:firstColumn="0" w:lastColumn="0" w:oddVBand="0" w:evenVBand="0" w:oddHBand="0" w:evenHBand="0" w:firstRowFirstColumn="0" w:firstRowLastColumn="0" w:lastRowFirstColumn="0" w:lastRowLastColumn="0"/>
          <w:cantSplit/>
          <w:trHeight w:val="205"/>
        </w:trPr>
        <w:tc>
          <w:tcPr>
            <w:tcW w:w="2609" w:type="pct"/>
            <w:tcBorders>
              <w:top w:val="none" w:sz="0" w:space="0" w:color="auto"/>
              <w:left w:val="none" w:sz="0" w:space="0" w:color="auto"/>
              <w:bottom w:val="none" w:sz="0" w:space="0" w:color="auto"/>
              <w:right w:val="none" w:sz="0" w:space="0" w:color="auto"/>
            </w:tcBorders>
            <w:shd w:val="clear" w:color="auto" w:fill="B8CCE4" w:themeFill="accent1" w:themeFillTint="66"/>
          </w:tcPr>
          <w:p w14:paraId="4CC07D4C" w14:textId="77777777" w:rsidR="005149D4" w:rsidRPr="007C0D91" w:rsidRDefault="005149D4" w:rsidP="008869C7">
            <w:pPr>
              <w:keepNext/>
              <w:keepLines/>
              <w:spacing w:before="0" w:after="0"/>
              <w:jc w:val="left"/>
              <w:rPr>
                <w:rFonts w:ascii="Arial Narrow" w:hAnsi="Arial Narrow" w:cs="Times New Roman"/>
                <w:b/>
                <w:snapToGrid w:val="0"/>
                <w:sz w:val="20"/>
              </w:rPr>
            </w:pPr>
            <w:r w:rsidRPr="007C0D91">
              <w:rPr>
                <w:rFonts w:ascii="Arial Narrow" w:hAnsi="Arial Narrow" w:cs="Times New Roman"/>
                <w:b/>
                <w:snapToGrid w:val="0"/>
                <w:sz w:val="20"/>
              </w:rPr>
              <w:t>AE, n (%)</w:t>
            </w:r>
          </w:p>
        </w:tc>
        <w:tc>
          <w:tcPr>
            <w:tcW w:w="1196" w:type="pct"/>
            <w:tcBorders>
              <w:top w:val="none" w:sz="0" w:space="0" w:color="auto"/>
              <w:left w:val="none" w:sz="0" w:space="0" w:color="auto"/>
              <w:bottom w:val="none" w:sz="0" w:space="0" w:color="auto"/>
              <w:right w:val="none" w:sz="0" w:space="0" w:color="auto"/>
            </w:tcBorders>
            <w:shd w:val="clear" w:color="auto" w:fill="B8CCE4" w:themeFill="accent1" w:themeFillTint="66"/>
          </w:tcPr>
          <w:p w14:paraId="0F93AA46" w14:textId="77777777" w:rsidR="005149D4" w:rsidRPr="007C0D91" w:rsidRDefault="005149D4" w:rsidP="008869C7">
            <w:pPr>
              <w:keepNext/>
              <w:keepLines/>
              <w:spacing w:before="0" w:after="0"/>
              <w:jc w:val="center"/>
              <w:rPr>
                <w:rFonts w:ascii="Arial Narrow" w:hAnsi="Arial Narrow" w:cs="Times New Roman"/>
                <w:b/>
                <w:snapToGrid w:val="0"/>
                <w:sz w:val="20"/>
              </w:rPr>
            </w:pPr>
            <w:r w:rsidRPr="007C0D91">
              <w:rPr>
                <w:rFonts w:ascii="Arial Narrow" w:hAnsi="Arial Narrow" w:cs="Times New Roman"/>
                <w:b/>
                <w:snapToGrid w:val="0"/>
                <w:sz w:val="20"/>
              </w:rPr>
              <w:t>Any grade</w:t>
            </w:r>
          </w:p>
        </w:tc>
        <w:tc>
          <w:tcPr>
            <w:tcW w:w="1195" w:type="pct"/>
            <w:tcBorders>
              <w:top w:val="none" w:sz="0" w:space="0" w:color="auto"/>
              <w:left w:val="none" w:sz="0" w:space="0" w:color="auto"/>
              <w:bottom w:val="none" w:sz="0" w:space="0" w:color="auto"/>
              <w:right w:val="none" w:sz="0" w:space="0" w:color="auto"/>
            </w:tcBorders>
            <w:shd w:val="clear" w:color="auto" w:fill="B8CCE4" w:themeFill="accent1" w:themeFillTint="66"/>
          </w:tcPr>
          <w:p w14:paraId="2EF7F4DB" w14:textId="77777777" w:rsidR="005149D4" w:rsidRPr="007C0D91" w:rsidRDefault="005149D4" w:rsidP="008869C7">
            <w:pPr>
              <w:keepNext/>
              <w:keepLines/>
              <w:spacing w:before="0" w:after="0"/>
              <w:jc w:val="center"/>
              <w:rPr>
                <w:rFonts w:ascii="Arial Narrow" w:hAnsi="Arial Narrow" w:cs="Times New Roman"/>
                <w:b/>
                <w:snapToGrid w:val="0"/>
                <w:sz w:val="20"/>
              </w:rPr>
            </w:pPr>
            <w:r w:rsidRPr="007C0D91">
              <w:rPr>
                <w:rFonts w:ascii="Arial Narrow" w:hAnsi="Arial Narrow" w:cs="Times New Roman"/>
                <w:b/>
                <w:snapToGrid w:val="0"/>
                <w:sz w:val="20"/>
              </w:rPr>
              <w:t>Grade ≥3</w:t>
            </w:r>
          </w:p>
        </w:tc>
      </w:tr>
      <w:tr w:rsidR="005149D4" w:rsidRPr="007C0D91" w14:paraId="39A36B3F" w14:textId="77777777" w:rsidTr="00046E34">
        <w:trPr>
          <w:cantSplit/>
        </w:trPr>
        <w:tc>
          <w:tcPr>
            <w:tcW w:w="2609" w:type="pct"/>
            <w:shd w:val="clear" w:color="auto" w:fill="B8CCE4" w:themeFill="accent1" w:themeFillTint="66"/>
          </w:tcPr>
          <w:p w14:paraId="3B164E30"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Any TEAE</w:t>
            </w:r>
            <w:r w:rsidRPr="007C0D91">
              <w:rPr>
                <w:rFonts w:ascii="Arial Narrow" w:hAnsi="Arial Narrow" w:cs="Times New Roman"/>
                <w:snapToGrid w:val="0"/>
                <w:sz w:val="20"/>
                <w:vertAlign w:val="superscript"/>
              </w:rPr>
              <w:t>a</w:t>
            </w:r>
            <w:r w:rsidRPr="007C0D91">
              <w:rPr>
                <w:rFonts w:ascii="Arial Narrow" w:hAnsi="Arial Narrow" w:cs="Times New Roman"/>
                <w:snapToGrid w:val="0"/>
                <w:sz w:val="20"/>
              </w:rPr>
              <w:t xml:space="preserve"> </w:t>
            </w:r>
          </w:p>
        </w:tc>
        <w:tc>
          <w:tcPr>
            <w:tcW w:w="1196" w:type="pct"/>
            <w:shd w:val="clear" w:color="auto" w:fill="B8CCE4" w:themeFill="accent1" w:themeFillTint="66"/>
          </w:tcPr>
          <w:p w14:paraId="61C25F7A"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114 (100)</w:t>
            </w:r>
          </w:p>
        </w:tc>
        <w:tc>
          <w:tcPr>
            <w:tcW w:w="1195" w:type="pct"/>
            <w:shd w:val="clear" w:color="auto" w:fill="B8CCE4" w:themeFill="accent1" w:themeFillTint="66"/>
          </w:tcPr>
          <w:p w14:paraId="78D5B591"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86 (75)</w:t>
            </w:r>
          </w:p>
        </w:tc>
      </w:tr>
      <w:tr w:rsidR="005149D4" w:rsidRPr="007C0D91" w14:paraId="3E1584C0" w14:textId="77777777" w:rsidTr="00046E34">
        <w:trPr>
          <w:cantSplit/>
        </w:trPr>
        <w:tc>
          <w:tcPr>
            <w:tcW w:w="2609" w:type="pct"/>
            <w:shd w:val="clear" w:color="auto" w:fill="B8CCE4" w:themeFill="accent1" w:themeFillTint="66"/>
          </w:tcPr>
          <w:p w14:paraId="4D561532"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 xml:space="preserve">  Drug-related </w:t>
            </w:r>
          </w:p>
        </w:tc>
        <w:tc>
          <w:tcPr>
            <w:tcW w:w="1196" w:type="pct"/>
            <w:shd w:val="clear" w:color="auto" w:fill="B8CCE4" w:themeFill="accent1" w:themeFillTint="66"/>
          </w:tcPr>
          <w:p w14:paraId="7A77F9AD"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113 (99)</w:t>
            </w:r>
          </w:p>
        </w:tc>
        <w:tc>
          <w:tcPr>
            <w:tcW w:w="1195" w:type="pct"/>
            <w:shd w:val="clear" w:color="auto" w:fill="B8CCE4" w:themeFill="accent1" w:themeFillTint="66"/>
          </w:tcPr>
          <w:p w14:paraId="67B24BDE"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59 (52)</w:t>
            </w:r>
          </w:p>
        </w:tc>
      </w:tr>
      <w:tr w:rsidR="005149D4" w:rsidRPr="007C0D91" w14:paraId="1FBBC21B" w14:textId="77777777" w:rsidTr="00046E34">
        <w:trPr>
          <w:cantSplit/>
        </w:trPr>
        <w:tc>
          <w:tcPr>
            <w:tcW w:w="2609" w:type="pct"/>
            <w:shd w:val="clear" w:color="auto" w:fill="B8CCE4" w:themeFill="accent1" w:themeFillTint="66"/>
          </w:tcPr>
          <w:p w14:paraId="5A929250"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 xml:space="preserve">  Leading to treatment discontinuation</w:t>
            </w:r>
          </w:p>
        </w:tc>
        <w:tc>
          <w:tcPr>
            <w:tcW w:w="1196" w:type="pct"/>
            <w:shd w:val="clear" w:color="auto" w:fill="B8CCE4" w:themeFill="accent1" w:themeFillTint="66"/>
          </w:tcPr>
          <w:p w14:paraId="4403FBBA"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21 (18)</w:t>
            </w:r>
          </w:p>
        </w:tc>
        <w:tc>
          <w:tcPr>
            <w:tcW w:w="1195" w:type="pct"/>
            <w:shd w:val="clear" w:color="auto" w:fill="B8CCE4" w:themeFill="accent1" w:themeFillTint="66"/>
          </w:tcPr>
          <w:p w14:paraId="67DCE14A"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NA</w:t>
            </w:r>
            <w:r w:rsidRPr="007C0D91">
              <w:rPr>
                <w:rFonts w:ascii="Arial Narrow" w:hAnsi="Arial Narrow" w:cs="Times New Roman"/>
                <w:snapToGrid w:val="0"/>
                <w:sz w:val="20"/>
                <w:vertAlign w:val="superscript"/>
              </w:rPr>
              <w:t>c</w:t>
            </w:r>
          </w:p>
        </w:tc>
      </w:tr>
      <w:tr w:rsidR="005149D4" w:rsidRPr="007C0D91" w14:paraId="01F7719B" w14:textId="77777777" w:rsidTr="00046E34">
        <w:trPr>
          <w:cantSplit/>
        </w:trPr>
        <w:tc>
          <w:tcPr>
            <w:tcW w:w="2609" w:type="pct"/>
            <w:shd w:val="clear" w:color="auto" w:fill="B8CCE4" w:themeFill="accent1" w:themeFillTint="66"/>
          </w:tcPr>
          <w:p w14:paraId="011240B5"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 xml:space="preserve">  Leading to dose reduction </w:t>
            </w:r>
          </w:p>
        </w:tc>
        <w:tc>
          <w:tcPr>
            <w:tcW w:w="1196" w:type="pct"/>
            <w:shd w:val="clear" w:color="auto" w:fill="B8CCE4" w:themeFill="accent1" w:themeFillTint="66"/>
          </w:tcPr>
          <w:p w14:paraId="34490A64"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31 (27)</w:t>
            </w:r>
          </w:p>
        </w:tc>
        <w:tc>
          <w:tcPr>
            <w:tcW w:w="1195" w:type="pct"/>
            <w:shd w:val="clear" w:color="auto" w:fill="B8CCE4" w:themeFill="accent1" w:themeFillTint="66"/>
          </w:tcPr>
          <w:p w14:paraId="71205F5D"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NA</w:t>
            </w:r>
            <w:r w:rsidRPr="007C0D91">
              <w:rPr>
                <w:rFonts w:ascii="Arial Narrow" w:hAnsi="Arial Narrow" w:cs="Times New Roman"/>
                <w:snapToGrid w:val="0"/>
                <w:sz w:val="20"/>
                <w:vertAlign w:val="superscript"/>
              </w:rPr>
              <w:t>c</w:t>
            </w:r>
          </w:p>
        </w:tc>
      </w:tr>
      <w:tr w:rsidR="005149D4" w:rsidRPr="007C0D91" w14:paraId="2E81FE83" w14:textId="77777777" w:rsidTr="00046E34">
        <w:trPr>
          <w:cantSplit/>
        </w:trPr>
        <w:tc>
          <w:tcPr>
            <w:tcW w:w="2609" w:type="pct"/>
            <w:shd w:val="clear" w:color="auto" w:fill="B8CCE4" w:themeFill="accent1" w:themeFillTint="66"/>
          </w:tcPr>
          <w:p w14:paraId="0CCDF817"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Any TESAE</w:t>
            </w:r>
          </w:p>
        </w:tc>
        <w:tc>
          <w:tcPr>
            <w:tcW w:w="1196" w:type="pct"/>
            <w:shd w:val="clear" w:color="auto" w:fill="B8CCE4" w:themeFill="accent1" w:themeFillTint="66"/>
          </w:tcPr>
          <w:p w14:paraId="54B34759"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60 (53)</w:t>
            </w:r>
          </w:p>
        </w:tc>
        <w:tc>
          <w:tcPr>
            <w:tcW w:w="1195" w:type="pct"/>
            <w:shd w:val="clear" w:color="auto" w:fill="B8CCE4" w:themeFill="accent1" w:themeFillTint="66"/>
          </w:tcPr>
          <w:p w14:paraId="7CC50C9E"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55 (48)</w:t>
            </w:r>
          </w:p>
        </w:tc>
      </w:tr>
      <w:tr w:rsidR="005149D4" w:rsidRPr="007C0D91" w14:paraId="08EAE905" w14:textId="77777777" w:rsidTr="00046E34">
        <w:trPr>
          <w:cantSplit/>
        </w:trPr>
        <w:tc>
          <w:tcPr>
            <w:tcW w:w="2609" w:type="pct"/>
            <w:shd w:val="clear" w:color="auto" w:fill="B8CCE4" w:themeFill="accent1" w:themeFillTint="66"/>
          </w:tcPr>
          <w:p w14:paraId="4C0DBDD5"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 xml:space="preserve">  Drug-related </w:t>
            </w:r>
          </w:p>
        </w:tc>
        <w:tc>
          <w:tcPr>
            <w:tcW w:w="1196" w:type="pct"/>
            <w:shd w:val="clear" w:color="auto" w:fill="B8CCE4" w:themeFill="accent1" w:themeFillTint="66"/>
          </w:tcPr>
          <w:p w14:paraId="463870D7"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22 (19)</w:t>
            </w:r>
          </w:p>
        </w:tc>
        <w:tc>
          <w:tcPr>
            <w:tcW w:w="1195" w:type="pct"/>
            <w:shd w:val="clear" w:color="auto" w:fill="B8CCE4" w:themeFill="accent1" w:themeFillTint="66"/>
          </w:tcPr>
          <w:p w14:paraId="7E4DC77C"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20 (18)</w:t>
            </w:r>
          </w:p>
        </w:tc>
      </w:tr>
      <w:tr w:rsidR="005149D4" w:rsidRPr="007C0D91" w14:paraId="17D19120" w14:textId="77777777" w:rsidTr="00046E34">
        <w:trPr>
          <w:cantSplit/>
        </w:trPr>
        <w:tc>
          <w:tcPr>
            <w:tcW w:w="2609" w:type="pct"/>
            <w:shd w:val="clear" w:color="auto" w:fill="B8CCE4" w:themeFill="accent1" w:themeFillTint="66"/>
          </w:tcPr>
          <w:p w14:paraId="36FA19CB"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 xml:space="preserve">  Leading to treatment discontinuation </w:t>
            </w:r>
          </w:p>
        </w:tc>
        <w:tc>
          <w:tcPr>
            <w:tcW w:w="1196" w:type="pct"/>
            <w:shd w:val="clear" w:color="auto" w:fill="B8CCE4" w:themeFill="accent1" w:themeFillTint="66"/>
          </w:tcPr>
          <w:p w14:paraId="33BC4455"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11 (10)</w:t>
            </w:r>
          </w:p>
        </w:tc>
        <w:tc>
          <w:tcPr>
            <w:tcW w:w="1195" w:type="pct"/>
            <w:shd w:val="clear" w:color="auto" w:fill="B8CCE4" w:themeFill="accent1" w:themeFillTint="66"/>
          </w:tcPr>
          <w:p w14:paraId="58964493"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NA</w:t>
            </w:r>
            <w:r w:rsidRPr="007C0D91">
              <w:rPr>
                <w:rFonts w:ascii="Arial Narrow" w:hAnsi="Arial Narrow" w:cs="Times New Roman"/>
                <w:snapToGrid w:val="0"/>
                <w:sz w:val="20"/>
                <w:vertAlign w:val="superscript"/>
              </w:rPr>
              <w:t>c</w:t>
            </w:r>
          </w:p>
        </w:tc>
      </w:tr>
      <w:tr w:rsidR="005149D4" w:rsidRPr="007C0D91" w14:paraId="0FACD306" w14:textId="77777777" w:rsidTr="00046E34">
        <w:trPr>
          <w:cantSplit/>
        </w:trPr>
        <w:tc>
          <w:tcPr>
            <w:tcW w:w="2609" w:type="pct"/>
            <w:shd w:val="clear" w:color="auto" w:fill="B8CCE4" w:themeFill="accent1" w:themeFillTint="66"/>
          </w:tcPr>
          <w:p w14:paraId="5DB9244F"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 xml:space="preserve">  Leading to dose reduction </w:t>
            </w:r>
          </w:p>
        </w:tc>
        <w:tc>
          <w:tcPr>
            <w:tcW w:w="1196" w:type="pct"/>
            <w:shd w:val="clear" w:color="auto" w:fill="B8CCE4" w:themeFill="accent1" w:themeFillTint="66"/>
          </w:tcPr>
          <w:p w14:paraId="22B2C092"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3 (3)</w:t>
            </w:r>
          </w:p>
        </w:tc>
        <w:tc>
          <w:tcPr>
            <w:tcW w:w="1195" w:type="pct"/>
            <w:shd w:val="clear" w:color="auto" w:fill="B8CCE4" w:themeFill="accent1" w:themeFillTint="66"/>
          </w:tcPr>
          <w:p w14:paraId="3E925AA9"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NA</w:t>
            </w:r>
            <w:r w:rsidRPr="007C0D91">
              <w:rPr>
                <w:rFonts w:ascii="Arial Narrow" w:hAnsi="Arial Narrow" w:cs="Times New Roman"/>
                <w:snapToGrid w:val="0"/>
                <w:sz w:val="20"/>
                <w:vertAlign w:val="superscript"/>
              </w:rPr>
              <w:t>c</w:t>
            </w:r>
          </w:p>
        </w:tc>
      </w:tr>
      <w:tr w:rsidR="005149D4" w:rsidRPr="007C0D91" w14:paraId="67D166DE" w14:textId="77777777" w:rsidTr="00C97367">
        <w:trPr>
          <w:cantSplit/>
        </w:trPr>
        <w:tc>
          <w:tcPr>
            <w:tcW w:w="2609" w:type="pct"/>
            <w:shd w:val="clear" w:color="auto" w:fill="B8CCE4" w:themeFill="accent1" w:themeFillTint="66"/>
          </w:tcPr>
          <w:p w14:paraId="7428478C" w14:textId="77777777" w:rsidR="005149D4" w:rsidRPr="007C0D91" w:rsidRDefault="005149D4" w:rsidP="008869C7">
            <w:pPr>
              <w:keepNext/>
              <w:keepLines/>
              <w:spacing w:before="0" w:after="0"/>
              <w:jc w:val="left"/>
              <w:rPr>
                <w:rFonts w:ascii="Arial Narrow" w:hAnsi="Arial Narrow" w:cs="Times New Roman"/>
                <w:snapToGrid w:val="0"/>
                <w:sz w:val="20"/>
              </w:rPr>
            </w:pPr>
            <w:r w:rsidRPr="007C0D91">
              <w:rPr>
                <w:rFonts w:ascii="Arial Narrow" w:hAnsi="Arial Narrow" w:cs="Times New Roman"/>
                <w:snapToGrid w:val="0"/>
                <w:sz w:val="20"/>
              </w:rPr>
              <w:t>Deaths</w:t>
            </w:r>
            <w:r w:rsidRPr="007C0D91">
              <w:rPr>
                <w:rFonts w:ascii="Arial Narrow" w:hAnsi="Arial Narrow" w:cs="Times New Roman"/>
                <w:snapToGrid w:val="0"/>
                <w:sz w:val="20"/>
                <w:vertAlign w:val="superscript"/>
              </w:rPr>
              <w:t>b</w:t>
            </w:r>
          </w:p>
        </w:tc>
        <w:tc>
          <w:tcPr>
            <w:tcW w:w="2391" w:type="pct"/>
            <w:gridSpan w:val="2"/>
            <w:shd w:val="clear" w:color="auto" w:fill="B8CCE4" w:themeFill="accent1" w:themeFillTint="66"/>
          </w:tcPr>
          <w:p w14:paraId="484DB2CE" w14:textId="77777777" w:rsidR="005149D4" w:rsidRPr="007C0D91" w:rsidRDefault="005149D4" w:rsidP="008869C7">
            <w:pPr>
              <w:keepNext/>
              <w:keepLines/>
              <w:spacing w:before="0" w:after="0"/>
              <w:jc w:val="center"/>
              <w:rPr>
                <w:rFonts w:ascii="Arial Narrow" w:hAnsi="Arial Narrow" w:cs="Times New Roman"/>
                <w:snapToGrid w:val="0"/>
                <w:sz w:val="20"/>
              </w:rPr>
            </w:pPr>
            <w:r w:rsidRPr="007C0D91">
              <w:rPr>
                <w:rFonts w:ascii="Arial Narrow" w:hAnsi="Arial Narrow" w:cs="Times New Roman"/>
                <w:snapToGrid w:val="0"/>
                <w:sz w:val="20"/>
              </w:rPr>
              <w:t>15 (13)</w:t>
            </w:r>
          </w:p>
        </w:tc>
      </w:tr>
    </w:tbl>
    <w:p w14:paraId="67645146" w14:textId="28A3F48C" w:rsidR="005149D4" w:rsidRPr="007C0D91" w:rsidRDefault="005149D4" w:rsidP="005149D4">
      <w:pPr>
        <w:pStyle w:val="FooterTableFigure"/>
        <w:keepNext/>
        <w:keepLines/>
        <w:spacing w:after="0"/>
      </w:pPr>
      <w:r w:rsidRPr="007C0D91">
        <w:t xml:space="preserve">Source: Table 10, mobocertinib, </w:t>
      </w:r>
      <w:r w:rsidR="00FD32CF" w:rsidRPr="007C0D91">
        <w:t>PSD</w:t>
      </w:r>
      <w:r w:rsidRPr="007C0D91">
        <w:t>, November 2022 PBAC meeting.</w:t>
      </w:r>
    </w:p>
    <w:p w14:paraId="0E8EE996" w14:textId="77777777" w:rsidR="005149D4" w:rsidRPr="007C0D91" w:rsidRDefault="005149D4" w:rsidP="005149D4">
      <w:pPr>
        <w:pStyle w:val="FooterTableFigure"/>
        <w:keepNext/>
        <w:keepLines/>
        <w:spacing w:after="0"/>
      </w:pPr>
      <w:r w:rsidRPr="007C0D91">
        <w:t>AE=adverse event; NA=not available/applicable; PPP=pooled prior platinum; TEAE=treatment-emergent adverse event; TESAE=treatment-emergent serious adverse event.</w:t>
      </w:r>
    </w:p>
    <w:p w14:paraId="1BA3DC56" w14:textId="77777777" w:rsidR="005149D4" w:rsidRPr="007C0D91" w:rsidRDefault="005149D4" w:rsidP="005149D4">
      <w:pPr>
        <w:pStyle w:val="FooterTableFigure"/>
        <w:keepNext/>
        <w:keepLines/>
        <w:spacing w:after="0"/>
      </w:pPr>
      <w:r w:rsidRPr="007C0D91">
        <w:rPr>
          <w:vertAlign w:val="superscript"/>
        </w:rPr>
        <w:t xml:space="preserve">a </w:t>
      </w:r>
      <w:r w:rsidRPr="007C0D91">
        <w:t>TEAEs are all AEs with an onset date on or after the first dose date and within 30 days of last dose of study drug. AEs were graded according to the National Clinical Institute Common Terminology Criteria for Adverse Events (NCI CTCAE) v5.0. Patients were counted only once in their most severe category. Medical Dictionary for Regulatory Activities (MedDRA) Dictionary (Version 24.0) was used for coding AEs.</w:t>
      </w:r>
    </w:p>
    <w:p w14:paraId="78489599" w14:textId="77777777" w:rsidR="005149D4" w:rsidRPr="007C0D91" w:rsidRDefault="005149D4" w:rsidP="005149D4">
      <w:pPr>
        <w:pStyle w:val="FooterTableFigure"/>
        <w:keepNext/>
        <w:keepLines/>
        <w:spacing w:after="0"/>
      </w:pPr>
      <w:r w:rsidRPr="007C0D91">
        <w:rPr>
          <w:vertAlign w:val="superscript"/>
        </w:rPr>
        <w:t xml:space="preserve">b </w:t>
      </w:r>
      <w:r w:rsidRPr="007C0D91">
        <w:t>Death within 30 days of last dose.</w:t>
      </w:r>
    </w:p>
    <w:p w14:paraId="139FFDEE" w14:textId="77777777" w:rsidR="005149D4" w:rsidRPr="007C0D91" w:rsidRDefault="005149D4" w:rsidP="005149D4">
      <w:pPr>
        <w:pStyle w:val="FooterTableFigure"/>
        <w:keepNext/>
        <w:keepLines/>
        <w:spacing w:after="0"/>
      </w:pPr>
      <w:r w:rsidRPr="007C0D91">
        <w:rPr>
          <w:vertAlign w:val="superscript"/>
        </w:rPr>
        <w:t>c</w:t>
      </w:r>
      <w:r w:rsidRPr="007C0D91">
        <w:t xml:space="preserve"> Not evaluated by AE grade</w:t>
      </w:r>
    </w:p>
    <w:p w14:paraId="7BDD43F0" w14:textId="77777777" w:rsidR="005149D4" w:rsidRPr="007C0D91" w:rsidRDefault="005149D4" w:rsidP="005149D4">
      <w:pPr>
        <w:pStyle w:val="FooterTableFigure"/>
        <w:keepNext/>
        <w:keepLines/>
        <w:spacing w:after="0"/>
      </w:pPr>
      <w:r w:rsidRPr="007C0D91">
        <w:t>Data cutoff: November 2021.</w:t>
      </w:r>
    </w:p>
    <w:p w14:paraId="72843C08" w14:textId="77777777" w:rsidR="005149D4" w:rsidRPr="007C0D91" w:rsidRDefault="005149D4" w:rsidP="009B3FAF">
      <w:pPr>
        <w:keepLines/>
        <w:spacing w:after="120"/>
        <w:rPr>
          <w:rFonts w:ascii="Arial Narrow" w:hAnsi="Arial Narrow"/>
          <w:iCs/>
          <w:snapToGrid w:val="0"/>
          <w:sz w:val="18"/>
          <w:szCs w:val="22"/>
        </w:rPr>
      </w:pPr>
      <w:r w:rsidRPr="007C0D91">
        <w:rPr>
          <w:rFonts w:ascii="Arial Narrow" w:hAnsi="Arial Narrow"/>
          <w:iCs/>
          <w:snapToGrid w:val="0"/>
          <w:sz w:val="18"/>
          <w:szCs w:val="22"/>
          <w:shd w:val="clear" w:color="auto" w:fill="B8CCE4" w:themeFill="accent1" w:themeFillTint="66"/>
        </w:rPr>
        <w:t>Blue shading</w:t>
      </w:r>
      <w:r w:rsidRPr="007C0D91">
        <w:rPr>
          <w:rFonts w:ascii="Arial Narrow" w:hAnsi="Arial Narrow"/>
          <w:iCs/>
          <w:snapToGrid w:val="0"/>
          <w:sz w:val="18"/>
          <w:szCs w:val="22"/>
        </w:rPr>
        <w:t xml:space="preserve"> </w:t>
      </w:r>
      <w:bookmarkStart w:id="52" w:name="_Hlk141174335"/>
      <w:r w:rsidRPr="007C0D91">
        <w:rPr>
          <w:rFonts w:ascii="Arial Narrow" w:hAnsi="Arial Narrow"/>
          <w:iCs/>
          <w:snapToGrid w:val="0"/>
          <w:sz w:val="18"/>
          <w:szCs w:val="22"/>
        </w:rPr>
        <w:t>indicates information previously seen by the PBAC</w:t>
      </w:r>
      <w:bookmarkEnd w:id="52"/>
      <w:r w:rsidRPr="007C0D91">
        <w:rPr>
          <w:rFonts w:ascii="Arial Narrow" w:hAnsi="Arial Narrow"/>
          <w:iCs/>
          <w:snapToGrid w:val="0"/>
          <w:sz w:val="18"/>
          <w:szCs w:val="22"/>
        </w:rPr>
        <w:t>.</w:t>
      </w:r>
    </w:p>
    <w:p w14:paraId="12DBE375" w14:textId="399D3FD3" w:rsidR="004B1226" w:rsidRPr="007C0D91" w:rsidRDefault="000D5545" w:rsidP="00D74F1A">
      <w:pPr>
        <w:numPr>
          <w:ilvl w:val="1"/>
          <w:numId w:val="1"/>
        </w:numPr>
        <w:spacing w:after="120"/>
        <w:rPr>
          <w:rFonts w:asciiTheme="minorHAnsi" w:hAnsiTheme="minorHAnsi"/>
          <w:iCs/>
          <w:snapToGrid w:val="0"/>
        </w:rPr>
      </w:pPr>
      <w:r w:rsidRPr="007C0D91">
        <w:rPr>
          <w:iCs/>
        </w:rPr>
        <w:t xml:space="preserve">The most frequently reported treatment-emergent adverse events of any grade (&gt;30% of patients) included diarrhoea (93%), rash (47%), decreased appetite (45%), vomiting (43%), nausea (40%), paronychia (39%), blood creatinine increased (35%), anaemia (34%), and dry skin (33%) (para 6.36, mobocertinib, PDS, November 2022 PBAC meeting). </w:t>
      </w:r>
      <w:r w:rsidR="005149D4" w:rsidRPr="007C0D91">
        <w:rPr>
          <w:rFonts w:asciiTheme="minorHAnsi" w:hAnsiTheme="minorHAnsi"/>
          <w:iCs/>
          <w:snapToGrid w:val="0"/>
        </w:rPr>
        <w:t xml:space="preserve">Overall, the safety of mobocertinib observed in Study 101 appeared to be </w:t>
      </w:r>
      <w:proofErr w:type="gramStart"/>
      <w:r w:rsidR="005149D4" w:rsidRPr="007C0D91">
        <w:rPr>
          <w:rFonts w:asciiTheme="minorHAnsi" w:hAnsiTheme="minorHAnsi"/>
          <w:iCs/>
          <w:snapToGrid w:val="0"/>
        </w:rPr>
        <w:t>similar to</w:t>
      </w:r>
      <w:proofErr w:type="gramEnd"/>
      <w:r w:rsidR="005149D4" w:rsidRPr="007C0D91">
        <w:rPr>
          <w:rFonts w:asciiTheme="minorHAnsi" w:hAnsiTheme="minorHAnsi"/>
          <w:iCs/>
          <w:snapToGrid w:val="0"/>
        </w:rPr>
        <w:t xml:space="preserve"> that of other </w:t>
      </w:r>
      <w:r w:rsidR="00FB0DBF" w:rsidRPr="00FB0DBF">
        <w:rPr>
          <w:rFonts w:asciiTheme="minorHAnsi" w:hAnsiTheme="minorHAnsi"/>
          <w:i/>
          <w:iCs/>
          <w:snapToGrid w:val="0"/>
        </w:rPr>
        <w:t>EGFR</w:t>
      </w:r>
      <w:r w:rsidR="005149D4" w:rsidRPr="007C0D91">
        <w:rPr>
          <w:rFonts w:asciiTheme="minorHAnsi" w:hAnsiTheme="minorHAnsi"/>
          <w:iCs/>
          <w:snapToGrid w:val="0"/>
        </w:rPr>
        <w:t xml:space="preserve"> inhibitors which is typically characterised by gastrointestinal-related and cutaneous-related AEs.</w:t>
      </w:r>
      <w:r w:rsidR="004B1226" w:rsidRPr="007C0D91">
        <w:rPr>
          <w:rFonts w:asciiTheme="minorHAnsi" w:hAnsiTheme="minorHAnsi"/>
          <w:iCs/>
          <w:snapToGrid w:val="0"/>
        </w:rPr>
        <w:t xml:space="preserve"> </w:t>
      </w:r>
    </w:p>
    <w:p w14:paraId="70F3D586" w14:textId="77777777" w:rsidR="005149D4" w:rsidRPr="007C0D91" w:rsidRDefault="005149D4" w:rsidP="005149D4">
      <w:pPr>
        <w:numPr>
          <w:ilvl w:val="1"/>
          <w:numId w:val="1"/>
        </w:numPr>
        <w:spacing w:after="120"/>
        <w:rPr>
          <w:rFonts w:asciiTheme="minorHAnsi" w:hAnsiTheme="minorHAnsi"/>
          <w:iCs/>
          <w:snapToGrid w:val="0"/>
        </w:rPr>
      </w:pPr>
      <w:r w:rsidRPr="007C0D91">
        <w:rPr>
          <w:rFonts w:asciiTheme="minorHAnsi" w:hAnsiTheme="minorHAnsi"/>
          <w:iCs/>
          <w:snapToGrid w:val="0"/>
        </w:rPr>
        <w:t>Interpretation of the safety data from Study 101 should be made in the context of the open-label design and stringent exclusion criteria of Study 101 (such as patients with a history of interstitial lung disease (ILD), drug-related or radiation-related pneumonitis that required steroid treatment, or active cardiovascular disease/prolonged QTc interval). The safety data from Study 101 are likely to overestimate the safety of mobocertinib in clinical practice.</w:t>
      </w:r>
    </w:p>
    <w:p w14:paraId="5553773B" w14:textId="77777777"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The mobocertinib Product Information included special warnings and precautions for use for QTc prolongation and Torsades de Pointes, ILD/pneumonitis, cardiac failure, and diarrhoea.</w:t>
      </w:r>
    </w:p>
    <w:p w14:paraId="7E11EE84" w14:textId="77777777" w:rsidR="005149D4" w:rsidRPr="007C0D91" w:rsidRDefault="005149D4" w:rsidP="007B48A1">
      <w:pPr>
        <w:pStyle w:val="4-SubsectionHeading"/>
      </w:pPr>
      <w:bookmarkStart w:id="53" w:name="_Toc107927629"/>
      <w:bookmarkStart w:id="54" w:name="_Toc135210116"/>
      <w:r w:rsidRPr="007C0D91">
        <w:t>Benefits/harms</w:t>
      </w:r>
      <w:bookmarkEnd w:id="53"/>
      <w:bookmarkEnd w:id="54"/>
    </w:p>
    <w:p w14:paraId="10F8473A" w14:textId="75B0A439" w:rsidR="005149D4" w:rsidRPr="007C0D91" w:rsidRDefault="005149D4" w:rsidP="005149D4">
      <w:pPr>
        <w:numPr>
          <w:ilvl w:val="1"/>
          <w:numId w:val="1"/>
        </w:numPr>
        <w:spacing w:after="120"/>
        <w:rPr>
          <w:rFonts w:asciiTheme="minorHAnsi" w:hAnsiTheme="minorHAnsi"/>
          <w:iCs/>
        </w:rPr>
      </w:pPr>
      <w:bookmarkStart w:id="55" w:name="_Hlk138003711"/>
      <w:r w:rsidRPr="007C0D91">
        <w:rPr>
          <w:rFonts w:asciiTheme="minorHAnsi" w:hAnsiTheme="minorHAnsi"/>
          <w:bCs/>
          <w:iCs/>
        </w:rPr>
        <w:t>A</w:t>
      </w:r>
      <w:r w:rsidRPr="007C0D91">
        <w:rPr>
          <w:rFonts w:asciiTheme="minorHAnsi" w:hAnsiTheme="minorHAnsi"/>
          <w:iCs/>
        </w:rPr>
        <w:t xml:space="preserve"> benefits/harms quantification table is not presented. The results of the unanchored IPTW-based indirect comparisons were associated with a high risk of bias and there were important observed differences across mobocertinib and comparator cohorts that could not be adjusted for, and the impact of unknown confounders remained unclear. This leads to a high level of uncertainty regarding the magnitude of any incremental benefit associated with mobocertinib over chemotherapy or SOC </w:t>
      </w:r>
      <w:r w:rsidRPr="007C0D91">
        <w:rPr>
          <w:rFonts w:asciiTheme="minorHAnsi" w:hAnsiTheme="minorHAnsi"/>
          <w:iCs/>
        </w:rPr>
        <w:lastRenderedPageBreak/>
        <w:t xml:space="preserve">comprising all treatments (standard </w:t>
      </w:r>
      <w:r w:rsidR="00FB0DBF" w:rsidRPr="00FB0DBF">
        <w:rPr>
          <w:rFonts w:asciiTheme="minorHAnsi" w:hAnsiTheme="minorHAnsi"/>
          <w:i/>
          <w:iCs/>
        </w:rPr>
        <w:t>EGFR</w:t>
      </w:r>
      <w:r w:rsidRPr="007C0D91">
        <w:rPr>
          <w:rFonts w:asciiTheme="minorHAnsi" w:hAnsiTheme="minorHAnsi"/>
          <w:iCs/>
        </w:rPr>
        <w:t xml:space="preserve"> TKIs, ICIs and chemotherapy). There were no comparisons made for safety. </w:t>
      </w:r>
    </w:p>
    <w:p w14:paraId="1FD1268F" w14:textId="77777777" w:rsidR="005149D4" w:rsidRPr="007C0D91" w:rsidRDefault="005149D4" w:rsidP="007B48A1">
      <w:pPr>
        <w:pStyle w:val="4-SubsectionHeading"/>
      </w:pPr>
      <w:bookmarkStart w:id="56" w:name="_Toc22897644"/>
      <w:bookmarkStart w:id="57" w:name="_Toc107927630"/>
      <w:bookmarkStart w:id="58" w:name="_Toc135210117"/>
      <w:bookmarkEnd w:id="55"/>
      <w:r w:rsidRPr="007C0D91">
        <w:t>Clinical claim</w:t>
      </w:r>
      <w:bookmarkEnd w:id="56"/>
      <w:bookmarkEnd w:id="57"/>
      <w:bookmarkEnd w:id="58"/>
    </w:p>
    <w:p w14:paraId="35C0EF0D" w14:textId="6D160D8A" w:rsidR="005149D4" w:rsidRPr="007C0D91" w:rsidRDefault="005149D4" w:rsidP="005149D4">
      <w:pPr>
        <w:numPr>
          <w:ilvl w:val="1"/>
          <w:numId w:val="1"/>
        </w:numPr>
        <w:spacing w:after="120"/>
        <w:rPr>
          <w:rFonts w:asciiTheme="minorHAnsi" w:hAnsiTheme="minorHAnsi"/>
          <w:snapToGrid w:val="0"/>
        </w:rPr>
      </w:pPr>
      <w:r w:rsidRPr="007C0D91">
        <w:rPr>
          <w:rFonts w:asciiTheme="minorHAnsi" w:hAnsiTheme="minorHAnsi"/>
          <w:snapToGrid w:val="0"/>
        </w:rPr>
        <w:t xml:space="preserve">The resubmission described mobocertinib as superior in terms of effectiveness compared to SOC </w:t>
      </w:r>
      <w:r w:rsidRPr="007C0D91">
        <w:rPr>
          <w:rFonts w:asciiTheme="minorHAnsi" w:hAnsiTheme="minorHAnsi"/>
          <w:bCs/>
          <w:snapToGrid w:val="0"/>
        </w:rPr>
        <w:t xml:space="preserve">in patients with locally advanced or metastatic NSCLC and </w:t>
      </w:r>
      <w:r w:rsidR="00FB0DBF" w:rsidRPr="00FB0DBF">
        <w:rPr>
          <w:rFonts w:asciiTheme="minorHAnsi" w:hAnsiTheme="minorHAnsi"/>
          <w:bCs/>
          <w:i/>
          <w:snapToGrid w:val="0"/>
        </w:rPr>
        <w:t>EGFR</w:t>
      </w:r>
      <w:r w:rsidRPr="007C0D91">
        <w:rPr>
          <w:rFonts w:asciiTheme="minorHAnsi" w:hAnsiTheme="minorHAnsi"/>
          <w:bCs/>
          <w:snapToGrid w:val="0"/>
        </w:rPr>
        <w:t xml:space="preserve"> ex20ins mutations who have progressed on or following prior treatment with PBC</w:t>
      </w:r>
      <w:r w:rsidRPr="007C0D91">
        <w:rPr>
          <w:rFonts w:asciiTheme="minorHAnsi" w:hAnsiTheme="minorHAnsi"/>
          <w:snapToGrid w:val="0"/>
        </w:rPr>
        <w:t xml:space="preserve">. In </w:t>
      </w:r>
      <w:r w:rsidR="00EA244C" w:rsidRPr="007C0D91">
        <w:rPr>
          <w:rFonts w:asciiTheme="minorHAnsi" w:hAnsiTheme="minorHAnsi"/>
          <w:snapToGrid w:val="0"/>
        </w:rPr>
        <w:t xml:space="preserve">the clinical evaluation section of the </w:t>
      </w:r>
      <w:r w:rsidRPr="007C0D91">
        <w:rPr>
          <w:rFonts w:asciiTheme="minorHAnsi" w:hAnsiTheme="minorHAnsi"/>
          <w:snapToGrid w:val="0"/>
        </w:rPr>
        <w:t xml:space="preserve">resubmission, SOC referred to all treatments (standard </w:t>
      </w:r>
      <w:r w:rsidR="00FB0DBF" w:rsidRPr="00FB0DBF">
        <w:rPr>
          <w:rFonts w:asciiTheme="minorHAnsi" w:hAnsiTheme="minorHAnsi"/>
          <w:i/>
          <w:snapToGrid w:val="0"/>
        </w:rPr>
        <w:t>EGFR</w:t>
      </w:r>
      <w:r w:rsidRPr="007C0D91">
        <w:rPr>
          <w:rFonts w:asciiTheme="minorHAnsi" w:hAnsiTheme="minorHAnsi"/>
          <w:snapToGrid w:val="0"/>
        </w:rPr>
        <w:t xml:space="preserve"> TKIs, ICIs and chemotherapy). Th</w:t>
      </w:r>
      <w:r w:rsidR="00EA244C" w:rsidRPr="007C0D91">
        <w:rPr>
          <w:rFonts w:asciiTheme="minorHAnsi" w:hAnsiTheme="minorHAnsi"/>
          <w:snapToGrid w:val="0"/>
        </w:rPr>
        <w:t>e ESC agreed with the evaluation that this</w:t>
      </w:r>
      <w:r w:rsidRPr="007C0D91">
        <w:rPr>
          <w:rFonts w:asciiTheme="minorHAnsi" w:hAnsiTheme="minorHAnsi"/>
          <w:snapToGrid w:val="0"/>
        </w:rPr>
        <w:t xml:space="preserve"> claim was not adequately supported by the available evidence. Results of the IPTW-based indirect comparisons to SOC were associated with a high risk of bias and the magnitude of the treatment benefit associated with mobocertinib was uncertain and likely overestimated in the Australian setting due to the inclusion of ICIs and standard </w:t>
      </w:r>
      <w:r w:rsidR="00FB0DBF" w:rsidRPr="00FB0DBF">
        <w:rPr>
          <w:rFonts w:asciiTheme="minorHAnsi" w:hAnsiTheme="minorHAnsi"/>
          <w:i/>
          <w:snapToGrid w:val="0"/>
        </w:rPr>
        <w:t>EGFR</w:t>
      </w:r>
      <w:r w:rsidRPr="007C0D91">
        <w:rPr>
          <w:rFonts w:asciiTheme="minorHAnsi" w:hAnsiTheme="minorHAnsi"/>
          <w:snapToGrid w:val="0"/>
        </w:rPr>
        <w:t xml:space="preserve"> TKIs which are not effective in the proposed </w:t>
      </w:r>
      <w:r w:rsidR="00FB0DBF" w:rsidRPr="00FB0DBF">
        <w:rPr>
          <w:rFonts w:asciiTheme="minorHAnsi" w:hAnsiTheme="minorHAnsi"/>
          <w:i/>
          <w:snapToGrid w:val="0"/>
        </w:rPr>
        <w:t>EGFR</w:t>
      </w:r>
      <w:r w:rsidRPr="007C0D91">
        <w:rPr>
          <w:rFonts w:asciiTheme="minorHAnsi" w:hAnsiTheme="minorHAnsi"/>
          <w:snapToGrid w:val="0"/>
        </w:rPr>
        <w:t xml:space="preserve"> ex20ins NSCLC population. </w:t>
      </w:r>
      <w:r w:rsidR="00E012DC" w:rsidRPr="007C0D91">
        <w:rPr>
          <w:rFonts w:asciiTheme="minorHAnsi" w:hAnsiTheme="minorHAnsi"/>
          <w:snapToGrid w:val="0"/>
        </w:rPr>
        <w:t>However, the IPTW-based indirect comparisons o</w:t>
      </w:r>
      <w:r w:rsidR="0012403A" w:rsidRPr="007C0D91">
        <w:rPr>
          <w:rFonts w:asciiTheme="minorHAnsi" w:hAnsiTheme="minorHAnsi"/>
          <w:snapToGrid w:val="0"/>
        </w:rPr>
        <w:t>f</w:t>
      </w:r>
      <w:r w:rsidR="00E012DC" w:rsidRPr="007C0D91">
        <w:rPr>
          <w:rFonts w:asciiTheme="minorHAnsi" w:hAnsiTheme="minorHAnsi"/>
          <w:snapToGrid w:val="0"/>
        </w:rPr>
        <w:t xml:space="preserve"> mobocertinib versus chemotherapy alone were also associated with a high risk of bias and uncertainty around the comparative treatment benefit. </w:t>
      </w:r>
    </w:p>
    <w:p w14:paraId="4347E5A3" w14:textId="3C277387" w:rsidR="004C600F" w:rsidRPr="007C0D91" w:rsidRDefault="005149D4" w:rsidP="005149D4">
      <w:pPr>
        <w:numPr>
          <w:ilvl w:val="1"/>
          <w:numId w:val="1"/>
        </w:numPr>
        <w:spacing w:after="120"/>
        <w:rPr>
          <w:rFonts w:asciiTheme="minorHAnsi" w:hAnsiTheme="minorHAnsi"/>
          <w:i/>
          <w:snapToGrid w:val="0"/>
        </w:rPr>
      </w:pPr>
      <w:r w:rsidRPr="007C0D91">
        <w:rPr>
          <w:rFonts w:asciiTheme="minorHAnsi" w:hAnsiTheme="minorHAnsi"/>
          <w:snapToGrid w:val="0"/>
        </w:rPr>
        <w:t>The resubmission presented two IPTW-based unanchored ITCs: 1)</w:t>
      </w:r>
      <w:r w:rsidR="00D74F1A" w:rsidRPr="007C0D91">
        <w:rPr>
          <w:rFonts w:asciiTheme="minorHAnsi" w:hAnsiTheme="minorHAnsi"/>
          <w:snapToGrid w:val="0"/>
        </w:rPr>
        <w:t xml:space="preserve"> </w:t>
      </w:r>
      <w:r w:rsidRPr="007C0D91">
        <w:rPr>
          <w:rFonts w:asciiTheme="minorHAnsi" w:hAnsiTheme="minorHAnsi"/>
          <w:snapToGrid w:val="0"/>
        </w:rPr>
        <w:t>comparing the mobocertinib</w:t>
      </w:r>
      <w:r w:rsidRPr="007C0D91" w:rsidDel="001005A5">
        <w:rPr>
          <w:rFonts w:asciiTheme="minorHAnsi" w:hAnsiTheme="minorHAnsi"/>
          <w:snapToGrid w:val="0"/>
        </w:rPr>
        <w:t xml:space="preserve"> </w:t>
      </w:r>
      <w:r w:rsidRPr="007C0D91">
        <w:rPr>
          <w:rFonts w:asciiTheme="minorHAnsi" w:hAnsiTheme="minorHAnsi"/>
          <w:snapToGrid w:val="0"/>
        </w:rPr>
        <w:t xml:space="preserve">PPP cohort from Study 101 </w:t>
      </w:r>
      <w:r w:rsidRPr="007C0D91">
        <w:rPr>
          <w:rFonts w:asciiTheme="minorHAnsi" w:hAnsiTheme="minorHAnsi"/>
          <w:i/>
          <w:snapToGrid w:val="0"/>
        </w:rPr>
        <w:t>versus</w:t>
      </w:r>
      <w:r w:rsidRPr="007C0D91">
        <w:rPr>
          <w:rFonts w:asciiTheme="minorHAnsi" w:hAnsiTheme="minorHAnsi"/>
          <w:snapToGrid w:val="0"/>
        </w:rPr>
        <w:t xml:space="preserve"> the pooled chemotherapy cohort from Studies 500</w:t>
      </w:r>
      <w:r w:rsidR="004C600F" w:rsidRPr="007C0D91">
        <w:rPr>
          <w:rFonts w:asciiTheme="minorHAnsi" w:hAnsiTheme="minorHAnsi"/>
          <w:snapToGrid w:val="0"/>
        </w:rPr>
        <w:t>2</w:t>
      </w:r>
      <w:r w:rsidRPr="007C0D91">
        <w:rPr>
          <w:rFonts w:asciiTheme="minorHAnsi" w:hAnsiTheme="minorHAnsi"/>
          <w:snapToGrid w:val="0"/>
        </w:rPr>
        <w:t xml:space="preserve"> and 500</w:t>
      </w:r>
      <w:r w:rsidR="004C600F" w:rsidRPr="007C0D91">
        <w:rPr>
          <w:rFonts w:asciiTheme="minorHAnsi" w:hAnsiTheme="minorHAnsi"/>
          <w:snapToGrid w:val="0"/>
        </w:rPr>
        <w:t>8</w:t>
      </w:r>
      <w:r w:rsidRPr="007C0D91">
        <w:rPr>
          <w:rFonts w:asciiTheme="minorHAnsi" w:hAnsiTheme="minorHAnsi"/>
          <w:snapToGrid w:val="0"/>
        </w:rPr>
        <w:t>; and 2) comparing the mobocertinib</w:t>
      </w:r>
      <w:r w:rsidRPr="007C0D91" w:rsidDel="001005A5">
        <w:rPr>
          <w:rFonts w:asciiTheme="minorHAnsi" w:hAnsiTheme="minorHAnsi"/>
          <w:snapToGrid w:val="0"/>
        </w:rPr>
        <w:t xml:space="preserve"> </w:t>
      </w:r>
      <w:r w:rsidRPr="007C0D91">
        <w:rPr>
          <w:rFonts w:asciiTheme="minorHAnsi" w:hAnsiTheme="minorHAnsi"/>
          <w:snapToGrid w:val="0"/>
        </w:rPr>
        <w:t>PPP cohort from Study 101 versus the pooled SOC cohort from Studies 500</w:t>
      </w:r>
      <w:r w:rsidR="004C600F" w:rsidRPr="007C0D91">
        <w:rPr>
          <w:rFonts w:asciiTheme="minorHAnsi" w:hAnsiTheme="minorHAnsi"/>
          <w:snapToGrid w:val="0"/>
        </w:rPr>
        <w:t>2</w:t>
      </w:r>
      <w:r w:rsidRPr="007C0D91">
        <w:rPr>
          <w:rFonts w:asciiTheme="minorHAnsi" w:hAnsiTheme="minorHAnsi"/>
          <w:snapToGrid w:val="0"/>
        </w:rPr>
        <w:t xml:space="preserve"> and 500</w:t>
      </w:r>
      <w:r w:rsidR="004C600F" w:rsidRPr="007C0D91">
        <w:rPr>
          <w:rFonts w:asciiTheme="minorHAnsi" w:hAnsiTheme="minorHAnsi"/>
          <w:snapToGrid w:val="0"/>
        </w:rPr>
        <w:t>8</w:t>
      </w:r>
      <w:r w:rsidRPr="007C0D91">
        <w:rPr>
          <w:rFonts w:asciiTheme="minorHAnsi" w:hAnsiTheme="minorHAnsi"/>
          <w:snapToGrid w:val="0"/>
        </w:rPr>
        <w:t>.</w:t>
      </w:r>
      <w:r w:rsidRPr="007C0D91">
        <w:rPr>
          <w:rFonts w:asciiTheme="minorHAnsi" w:hAnsiTheme="minorHAnsi"/>
          <w:i/>
          <w:snapToGrid w:val="0"/>
        </w:rPr>
        <w:t xml:space="preserve"> </w:t>
      </w:r>
    </w:p>
    <w:p w14:paraId="459F9AEB" w14:textId="44D89138" w:rsidR="005149D4" w:rsidRPr="007C0D91" w:rsidRDefault="005149D4" w:rsidP="005149D4">
      <w:pPr>
        <w:numPr>
          <w:ilvl w:val="1"/>
          <w:numId w:val="1"/>
        </w:numPr>
        <w:spacing w:after="120"/>
        <w:rPr>
          <w:rFonts w:asciiTheme="minorHAnsi" w:hAnsiTheme="minorHAnsi"/>
          <w:iCs/>
          <w:snapToGrid w:val="0"/>
        </w:rPr>
      </w:pPr>
      <w:bookmarkStart w:id="59" w:name="_Ref140506222"/>
      <w:r w:rsidRPr="007C0D91">
        <w:rPr>
          <w:rFonts w:asciiTheme="minorHAnsi" w:hAnsiTheme="minorHAnsi"/>
          <w:iCs/>
          <w:snapToGrid w:val="0"/>
        </w:rPr>
        <w:t>The key issues associated with these ITCs were:</w:t>
      </w:r>
      <w:bookmarkEnd w:id="59"/>
    </w:p>
    <w:p w14:paraId="1706F101" w14:textId="09F86585" w:rsidR="005149D4" w:rsidRPr="007C0D91" w:rsidRDefault="005149D4" w:rsidP="001733ED">
      <w:pPr>
        <w:numPr>
          <w:ilvl w:val="0"/>
          <w:numId w:val="8"/>
        </w:numPr>
        <w:spacing w:after="120"/>
        <w:ind w:left="1080"/>
        <w:rPr>
          <w:rFonts w:asciiTheme="minorHAnsi" w:hAnsiTheme="minorHAnsi"/>
          <w:iCs/>
          <w:snapToGrid w:val="0"/>
        </w:rPr>
      </w:pPr>
      <w:r w:rsidRPr="007C0D91">
        <w:rPr>
          <w:rFonts w:asciiTheme="minorHAnsi" w:hAnsiTheme="minorHAnsi"/>
          <w:iCs/>
          <w:snapToGrid w:val="0"/>
        </w:rPr>
        <w:t xml:space="preserve">The study design differed between Study 101 (prospective) and Studies 5008 and 5002 (retrospective). There were differences in collection of data (prospective versus retrospective) and the methods of treatment response assessment. Retrospective data </w:t>
      </w:r>
      <w:r w:rsidR="00FE788C" w:rsidRPr="007C0D91">
        <w:rPr>
          <w:rFonts w:asciiTheme="minorHAnsi" w:hAnsiTheme="minorHAnsi"/>
          <w:iCs/>
          <w:snapToGrid w:val="0"/>
        </w:rPr>
        <w:t>were</w:t>
      </w:r>
      <w:r w:rsidRPr="007C0D91">
        <w:rPr>
          <w:rFonts w:asciiTheme="minorHAnsi" w:hAnsiTheme="minorHAnsi"/>
          <w:iCs/>
          <w:snapToGrid w:val="0"/>
        </w:rPr>
        <w:t xml:space="preserve"> more likely to be incomplete and less accurate. This, in addition to the small sample size of the pooled cohorts from Studies 5008 and 5002, especially the pooled chemotherapy cohort (N=23), limited the number variables that </w:t>
      </w:r>
      <w:r w:rsidR="00FE788C" w:rsidRPr="007C0D91">
        <w:rPr>
          <w:rFonts w:asciiTheme="minorHAnsi" w:hAnsiTheme="minorHAnsi"/>
          <w:iCs/>
          <w:snapToGrid w:val="0"/>
        </w:rPr>
        <w:t>could be</w:t>
      </w:r>
      <w:r w:rsidRPr="007C0D91">
        <w:rPr>
          <w:rFonts w:asciiTheme="minorHAnsi" w:hAnsiTheme="minorHAnsi"/>
          <w:iCs/>
          <w:snapToGrid w:val="0"/>
        </w:rPr>
        <w:t xml:space="preserve"> adjusted for</w:t>
      </w:r>
      <w:r w:rsidR="00FE788C" w:rsidRPr="007C0D91">
        <w:rPr>
          <w:rFonts w:asciiTheme="minorHAnsi" w:hAnsiTheme="minorHAnsi"/>
          <w:iCs/>
          <w:snapToGrid w:val="0"/>
        </w:rPr>
        <w:t xml:space="preserve"> in the IPTW</w:t>
      </w:r>
      <w:r w:rsidRPr="007C0D91">
        <w:rPr>
          <w:rFonts w:asciiTheme="minorHAnsi" w:hAnsiTheme="minorHAnsi"/>
          <w:iCs/>
          <w:snapToGrid w:val="0"/>
        </w:rPr>
        <w:t>. The ESS of the chemotherapy cohort reduced to 15.6</w:t>
      </w:r>
      <w:r w:rsidR="00FE788C" w:rsidRPr="007C0D91">
        <w:rPr>
          <w:rFonts w:asciiTheme="minorHAnsi" w:hAnsiTheme="minorHAnsi"/>
          <w:iCs/>
          <w:snapToGrid w:val="0"/>
        </w:rPr>
        <w:t xml:space="preserve"> after IPTW</w:t>
      </w:r>
      <w:r w:rsidRPr="007C0D91">
        <w:rPr>
          <w:rFonts w:asciiTheme="minorHAnsi" w:hAnsiTheme="minorHAnsi"/>
          <w:iCs/>
          <w:snapToGrid w:val="0"/>
        </w:rPr>
        <w:t xml:space="preserve">. </w:t>
      </w:r>
    </w:p>
    <w:p w14:paraId="00587FB8" w14:textId="77777777" w:rsidR="005149D4" w:rsidRPr="007C0D91" w:rsidRDefault="005149D4" w:rsidP="001733ED">
      <w:pPr>
        <w:numPr>
          <w:ilvl w:val="0"/>
          <w:numId w:val="8"/>
        </w:numPr>
        <w:spacing w:after="120"/>
        <w:ind w:left="1080"/>
        <w:rPr>
          <w:rFonts w:asciiTheme="minorHAnsi" w:hAnsiTheme="minorHAnsi"/>
          <w:iCs/>
          <w:snapToGrid w:val="0"/>
        </w:rPr>
      </w:pPr>
      <w:r w:rsidRPr="007C0D91">
        <w:rPr>
          <w:rFonts w:asciiTheme="minorHAnsi" w:hAnsiTheme="minorHAnsi"/>
          <w:iCs/>
          <w:snapToGrid w:val="0"/>
        </w:rPr>
        <w:t>Differences remained after IPTW adjustment between the mobocertinib and chemotherapy cohorts in terms of some variables selected for weighting, such as gender and brain metastasis.</w:t>
      </w:r>
    </w:p>
    <w:p w14:paraId="5E286CD7" w14:textId="40DC54FC" w:rsidR="005149D4" w:rsidRPr="007C0D91" w:rsidRDefault="005149D4" w:rsidP="001733ED">
      <w:pPr>
        <w:numPr>
          <w:ilvl w:val="0"/>
          <w:numId w:val="8"/>
        </w:numPr>
        <w:spacing w:after="120"/>
        <w:ind w:left="1080"/>
        <w:rPr>
          <w:rFonts w:asciiTheme="minorHAnsi" w:hAnsiTheme="minorHAnsi"/>
          <w:iCs/>
          <w:snapToGrid w:val="0"/>
        </w:rPr>
      </w:pPr>
      <w:r w:rsidRPr="007C0D91">
        <w:rPr>
          <w:rFonts w:asciiTheme="minorHAnsi" w:hAnsiTheme="minorHAnsi"/>
          <w:iCs/>
          <w:snapToGrid w:val="0"/>
        </w:rPr>
        <w:t>There were large imbalances for some characteristics between Study 101 and the retrospective Studies 5002 and 5008 which could not be adjusted for (</w:t>
      </w:r>
      <w:proofErr w:type="gramStart"/>
      <w:r w:rsidRPr="007C0D91">
        <w:rPr>
          <w:rFonts w:asciiTheme="minorHAnsi" w:hAnsiTheme="minorHAnsi"/>
          <w:iCs/>
          <w:snapToGrid w:val="0"/>
        </w:rPr>
        <w:t>e.g.</w:t>
      </w:r>
      <w:proofErr w:type="gramEnd"/>
      <w:r w:rsidRPr="007C0D91">
        <w:rPr>
          <w:rFonts w:asciiTheme="minorHAnsi" w:hAnsiTheme="minorHAnsi"/>
          <w:iCs/>
          <w:snapToGrid w:val="0"/>
        </w:rPr>
        <w:t xml:space="preserve"> Asian race and number of prior lines of therapy) using IPTW in the ITCs.</w:t>
      </w:r>
    </w:p>
    <w:p w14:paraId="4FE45A62" w14:textId="5CE3F502" w:rsidR="005149D4" w:rsidRPr="007C0D91" w:rsidRDefault="005149D4" w:rsidP="001733ED">
      <w:pPr>
        <w:numPr>
          <w:ilvl w:val="0"/>
          <w:numId w:val="8"/>
        </w:numPr>
        <w:spacing w:after="120"/>
        <w:ind w:left="1080"/>
        <w:rPr>
          <w:rFonts w:asciiTheme="minorHAnsi" w:hAnsiTheme="minorHAnsi"/>
          <w:iCs/>
          <w:snapToGrid w:val="0"/>
        </w:rPr>
      </w:pPr>
      <w:r w:rsidRPr="007C0D91">
        <w:rPr>
          <w:rFonts w:asciiTheme="minorHAnsi" w:hAnsiTheme="minorHAnsi"/>
          <w:iCs/>
          <w:snapToGrid w:val="0"/>
        </w:rPr>
        <w:t>There was a high risk of residual confounding due to other unobserved/</w:t>
      </w:r>
      <w:r w:rsidR="009B3FAF">
        <w:rPr>
          <w:rFonts w:asciiTheme="minorHAnsi" w:hAnsiTheme="minorHAnsi"/>
          <w:iCs/>
          <w:snapToGrid w:val="0"/>
        </w:rPr>
        <w:t xml:space="preserve"> </w:t>
      </w:r>
      <w:r w:rsidRPr="007C0D91">
        <w:rPr>
          <w:rFonts w:asciiTheme="minorHAnsi" w:hAnsiTheme="minorHAnsi"/>
          <w:iCs/>
          <w:snapToGrid w:val="0"/>
        </w:rPr>
        <w:t xml:space="preserve">unmeasured patient and study characteristics across the mobocertinib and retrospective comparator cohort data sets. </w:t>
      </w:r>
    </w:p>
    <w:p w14:paraId="066C4782" w14:textId="3AF548BB" w:rsidR="005149D4" w:rsidRPr="007C0D91" w:rsidRDefault="005149D4" w:rsidP="007516BE">
      <w:pPr>
        <w:pStyle w:val="3-BodyText"/>
      </w:pPr>
      <w:r w:rsidRPr="007C0D91">
        <w:lastRenderedPageBreak/>
        <w:t xml:space="preserve">The resubmission claimed that mobocertinib has a different safety profile compared to chemotherapy or immunotherapy and that its safety profile is acceptable and </w:t>
      </w:r>
      <w:proofErr w:type="gramStart"/>
      <w:r w:rsidRPr="007C0D91">
        <w:t>similar to</w:t>
      </w:r>
      <w:proofErr w:type="gramEnd"/>
      <w:r w:rsidRPr="007C0D91">
        <w:t xml:space="preserve"> that of other TKIs. No formal indirect comparisons of safety were presented in the resubmission or in the original submission. When the previous submission was reviewed, the ESC considered that it is unclear but likely that mobocertinib has an acceptable safety profile that is </w:t>
      </w:r>
      <w:proofErr w:type="gramStart"/>
      <w:r w:rsidRPr="007C0D91">
        <w:t>similar to</w:t>
      </w:r>
      <w:proofErr w:type="gramEnd"/>
      <w:r w:rsidRPr="007C0D91">
        <w:t xml:space="preserve"> other TKIs. </w:t>
      </w:r>
      <w:r w:rsidRPr="007C0D91">
        <w:rPr>
          <w:rFonts w:ascii="Calibri" w:hAnsi="Calibri"/>
          <w:snapToGrid/>
        </w:rPr>
        <w:t xml:space="preserve">The PBAC </w:t>
      </w:r>
      <w:r w:rsidR="00941DC7" w:rsidRPr="007C0D91">
        <w:rPr>
          <w:rFonts w:ascii="Calibri" w:hAnsi="Calibri"/>
          <w:snapToGrid/>
        </w:rPr>
        <w:t xml:space="preserve">previously </w:t>
      </w:r>
      <w:r w:rsidRPr="007C0D91">
        <w:rPr>
          <w:rFonts w:ascii="Calibri" w:hAnsi="Calibri"/>
          <w:snapToGrid/>
        </w:rPr>
        <w:t xml:space="preserve">noted the submission did not present a safety comparison of mobocertinib against </w:t>
      </w:r>
      <w:proofErr w:type="gramStart"/>
      <w:r w:rsidRPr="007C0D91">
        <w:rPr>
          <w:rFonts w:ascii="Calibri" w:hAnsi="Calibri"/>
          <w:snapToGrid/>
        </w:rPr>
        <w:t>SOC, and</w:t>
      </w:r>
      <w:proofErr w:type="gramEnd"/>
      <w:r w:rsidRPr="007C0D91">
        <w:rPr>
          <w:rFonts w:ascii="Calibri" w:hAnsi="Calibri"/>
          <w:snapToGrid/>
        </w:rPr>
        <w:t xml:space="preserve"> considered that mobocertinib may have a “different” safety profile that is not non-inferior to SOC</w:t>
      </w:r>
      <w:r w:rsidRPr="007C0D91">
        <w:t xml:space="preserve"> (para 6.48 and 7.7, mobocertinib, PSD, November 2022 PBAC meeting).</w:t>
      </w:r>
      <w:r w:rsidR="00EA244C" w:rsidRPr="007C0D91">
        <w:t xml:space="preserve"> The ESC noted that no new safety evidence was presented</w:t>
      </w:r>
      <w:r w:rsidR="0087533F" w:rsidRPr="007C0D91">
        <w:t xml:space="preserve"> and reiterated its November 2022 advice that it is unclear but likely that mobocertinib has an acceptable safety profile that is </w:t>
      </w:r>
      <w:proofErr w:type="gramStart"/>
      <w:r w:rsidR="0087533F" w:rsidRPr="007C0D91">
        <w:t>similar to</w:t>
      </w:r>
      <w:proofErr w:type="gramEnd"/>
      <w:r w:rsidR="0087533F" w:rsidRPr="007C0D91">
        <w:t xml:space="preserve"> other TKIs</w:t>
      </w:r>
      <w:r w:rsidR="00EA244C" w:rsidRPr="007C0D91">
        <w:t xml:space="preserve">. </w:t>
      </w:r>
    </w:p>
    <w:p w14:paraId="65F38419" w14:textId="63DD2B9A" w:rsidR="001733ED" w:rsidRPr="007C0D91" w:rsidRDefault="001733ED" w:rsidP="001733ED">
      <w:pPr>
        <w:widowControl w:val="0"/>
        <w:numPr>
          <w:ilvl w:val="1"/>
          <w:numId w:val="1"/>
        </w:numPr>
        <w:spacing w:after="120"/>
        <w:rPr>
          <w:rFonts w:asciiTheme="minorHAnsi" w:hAnsiTheme="minorHAnsi"/>
          <w:snapToGrid w:val="0"/>
          <w:szCs w:val="20"/>
        </w:rPr>
      </w:pPr>
      <w:bookmarkStart w:id="60" w:name="_Hlk76376200"/>
      <w:r w:rsidRPr="007C0D91">
        <w:rPr>
          <w:rFonts w:asciiTheme="minorHAnsi" w:hAnsiTheme="minorHAnsi"/>
          <w:iCs/>
          <w:snapToGrid w:val="0"/>
        </w:rPr>
        <w:t>The</w:t>
      </w:r>
      <w:r w:rsidRPr="007C0D91">
        <w:rPr>
          <w:rFonts w:asciiTheme="minorHAnsi" w:hAnsiTheme="minorHAnsi"/>
          <w:snapToGrid w:val="0"/>
          <w:szCs w:val="20"/>
        </w:rPr>
        <w:t xml:space="preserve"> PBAC </w:t>
      </w:r>
      <w:r w:rsidR="00840EB2" w:rsidRPr="007C0D91">
        <w:rPr>
          <w:rFonts w:asciiTheme="minorHAnsi" w:hAnsiTheme="minorHAnsi"/>
          <w:snapToGrid w:val="0"/>
          <w:szCs w:val="20"/>
        </w:rPr>
        <w:t xml:space="preserve">agreed with the evaluation and the ESC, that the data presented was associated with a high risk of bias and uncertainty around the comparative treatment benefits for mobocertinib versus SOC or versus chemotherapy. However, acknowledging the data limitations, the PBAC considered </w:t>
      </w:r>
      <w:r w:rsidR="000928D3" w:rsidRPr="007C0D91">
        <w:rPr>
          <w:rFonts w:asciiTheme="minorHAnsi" w:hAnsiTheme="minorHAnsi"/>
          <w:snapToGrid w:val="0"/>
          <w:szCs w:val="20"/>
        </w:rPr>
        <w:t xml:space="preserve">the claim of superior </w:t>
      </w:r>
      <w:r w:rsidR="000928D3" w:rsidRPr="007C0D91">
        <w:rPr>
          <w:rFonts w:asciiTheme="minorHAnsi" w:hAnsiTheme="minorHAnsi"/>
          <w:snapToGrid w:val="0"/>
        </w:rPr>
        <w:t xml:space="preserve">effectiveness compared to SOC was uncertain but likely reasonable in this a rare subset of </w:t>
      </w:r>
      <w:r w:rsidR="00FB0DBF" w:rsidRPr="00FB0DBF">
        <w:rPr>
          <w:rFonts w:asciiTheme="minorHAnsi" w:hAnsiTheme="minorHAnsi"/>
          <w:i/>
          <w:snapToGrid w:val="0"/>
        </w:rPr>
        <w:t>EGFR</w:t>
      </w:r>
      <w:r w:rsidR="000928D3" w:rsidRPr="007C0D91">
        <w:rPr>
          <w:rFonts w:asciiTheme="minorHAnsi" w:hAnsiTheme="minorHAnsi"/>
          <w:snapToGrid w:val="0"/>
        </w:rPr>
        <w:t xml:space="preserve"> mutations.</w:t>
      </w:r>
    </w:p>
    <w:p w14:paraId="6EF412DC" w14:textId="303BB2F6" w:rsidR="001733ED" w:rsidRPr="007C0D91" w:rsidRDefault="001733ED" w:rsidP="001733ED">
      <w:pPr>
        <w:widowControl w:val="0"/>
        <w:numPr>
          <w:ilvl w:val="1"/>
          <w:numId w:val="1"/>
        </w:numPr>
        <w:spacing w:after="120"/>
        <w:rPr>
          <w:rFonts w:asciiTheme="minorHAnsi" w:hAnsiTheme="minorHAnsi"/>
          <w:snapToGrid w:val="0"/>
          <w:szCs w:val="20"/>
        </w:rPr>
      </w:pPr>
      <w:r w:rsidRPr="007C0D91">
        <w:rPr>
          <w:rFonts w:asciiTheme="minorHAnsi" w:hAnsiTheme="minorHAnsi"/>
          <w:snapToGrid w:val="0"/>
          <w:szCs w:val="20"/>
        </w:rPr>
        <w:t xml:space="preserve">The PBAC considered that the claim </w:t>
      </w:r>
      <w:r w:rsidR="008B2B89" w:rsidRPr="007C0D91">
        <w:rPr>
          <w:rFonts w:asciiTheme="minorHAnsi" w:hAnsiTheme="minorHAnsi"/>
          <w:snapToGrid w:val="0"/>
          <w:szCs w:val="20"/>
        </w:rPr>
        <w:t>that</w:t>
      </w:r>
      <w:r w:rsidRPr="007C0D91">
        <w:rPr>
          <w:rFonts w:asciiTheme="minorHAnsi" w:hAnsiTheme="minorHAnsi"/>
          <w:snapToGrid w:val="0"/>
          <w:szCs w:val="20"/>
        </w:rPr>
        <w:t xml:space="preserve"> </w:t>
      </w:r>
      <w:r w:rsidR="008B2B89" w:rsidRPr="007C0D91">
        <w:rPr>
          <w:rFonts w:asciiTheme="minorHAnsi" w:hAnsiTheme="minorHAnsi"/>
          <w:snapToGrid w:val="0"/>
          <w:szCs w:val="20"/>
        </w:rPr>
        <w:t xml:space="preserve">mobocertinib has a different safety profile compared to chemotherapy or immunotherapy and that its safety profile is acceptable and </w:t>
      </w:r>
      <w:proofErr w:type="gramStart"/>
      <w:r w:rsidR="008B2B89" w:rsidRPr="007C0D91">
        <w:rPr>
          <w:rFonts w:asciiTheme="minorHAnsi" w:hAnsiTheme="minorHAnsi"/>
          <w:snapToGrid w:val="0"/>
          <w:szCs w:val="20"/>
        </w:rPr>
        <w:t>similar to</w:t>
      </w:r>
      <w:proofErr w:type="gramEnd"/>
      <w:r w:rsidR="008B2B89" w:rsidRPr="007C0D91">
        <w:rPr>
          <w:rFonts w:asciiTheme="minorHAnsi" w:hAnsiTheme="minorHAnsi"/>
          <w:snapToGrid w:val="0"/>
          <w:szCs w:val="20"/>
        </w:rPr>
        <w:t xml:space="preserve"> that of other TKIs was reasonable</w:t>
      </w:r>
      <w:bookmarkEnd w:id="60"/>
      <w:r w:rsidR="008B2B89" w:rsidRPr="007C0D91">
        <w:rPr>
          <w:rFonts w:asciiTheme="minorHAnsi" w:hAnsiTheme="minorHAnsi"/>
          <w:snapToGrid w:val="0"/>
          <w:szCs w:val="20"/>
        </w:rPr>
        <w:t>.</w:t>
      </w:r>
    </w:p>
    <w:p w14:paraId="572BF9A4" w14:textId="77777777" w:rsidR="00A561CB" w:rsidRPr="007C0D91" w:rsidRDefault="00A561CB" w:rsidP="007B48A1">
      <w:pPr>
        <w:pStyle w:val="4-SubsectionHeading"/>
      </w:pPr>
      <w:bookmarkStart w:id="61" w:name="_Toc135210118"/>
      <w:r w:rsidRPr="007C0D91">
        <w:t>Economic analysis</w:t>
      </w:r>
      <w:bookmarkEnd w:id="3"/>
      <w:bookmarkEnd w:id="61"/>
      <w:r w:rsidRPr="007C0D91">
        <w:t xml:space="preserve"> </w:t>
      </w:r>
    </w:p>
    <w:p w14:paraId="0CC512F6" w14:textId="76043402" w:rsidR="0071626A" w:rsidRPr="007C0D91" w:rsidRDefault="0071626A" w:rsidP="0071626A">
      <w:pPr>
        <w:numPr>
          <w:ilvl w:val="1"/>
          <w:numId w:val="1"/>
        </w:numPr>
        <w:spacing w:after="120"/>
        <w:rPr>
          <w:rFonts w:asciiTheme="minorHAnsi" w:hAnsiTheme="minorHAnsi"/>
          <w:snapToGrid w:val="0"/>
        </w:rPr>
      </w:pPr>
      <w:bookmarkStart w:id="62" w:name="_Toc22897650"/>
      <w:bookmarkStart w:id="63" w:name="_Toc107927636"/>
      <w:r w:rsidRPr="007C0D91">
        <w:rPr>
          <w:rFonts w:asciiTheme="minorHAnsi" w:hAnsiTheme="minorHAnsi"/>
          <w:snapToGrid w:val="0"/>
        </w:rPr>
        <w:t xml:space="preserve">The resubmission presented a stepped economic evaluation comparing mobocertinib versus SOC for the treatment of patients with locally advanced or metastatic (Stage IIIB-IV) NSCLC with </w:t>
      </w:r>
      <w:r w:rsidRPr="007C0D91">
        <w:rPr>
          <w:rFonts w:asciiTheme="minorHAnsi" w:hAnsiTheme="minorHAnsi"/>
          <w:i/>
          <w:snapToGrid w:val="0"/>
        </w:rPr>
        <w:t>EGFR</w:t>
      </w:r>
      <w:r w:rsidRPr="007C0D91">
        <w:rPr>
          <w:rFonts w:asciiTheme="minorHAnsi" w:hAnsiTheme="minorHAnsi"/>
          <w:snapToGrid w:val="0"/>
        </w:rPr>
        <w:t xml:space="preserve"> ex20ins mutations who have previously received PBC based on an indirect comparison of retrospective cohort studies. A cost-effectiveness analysis and a cost-utility analysis were presented measuring outcomes in terms of life years (LYs) gained and quality-adjusted life years (QALYs) gained, respectively. The key components of the economic evaluation and justifications for the approach provided by the submission are presented in </w:t>
      </w:r>
      <w:r w:rsidRPr="007C0D91">
        <w:rPr>
          <w:rFonts w:asciiTheme="minorHAnsi" w:hAnsiTheme="minorHAnsi"/>
          <w:snapToGrid w:val="0"/>
        </w:rPr>
        <w:fldChar w:fldCharType="begin"/>
      </w:r>
      <w:r w:rsidRPr="007C0D91">
        <w:rPr>
          <w:rFonts w:asciiTheme="minorHAnsi" w:hAnsiTheme="minorHAnsi"/>
          <w:snapToGrid w:val="0"/>
        </w:rPr>
        <w:instrText xml:space="preserve"> REF _Ref134038204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117491">
        <w:rPr>
          <w:rFonts w:asciiTheme="minorHAnsi" w:hAnsiTheme="minorHAnsi"/>
          <w:snapToGrid w:val="0"/>
        </w:rPr>
        <w:t>Table 8</w:t>
      </w:r>
      <w:r w:rsidRPr="007C0D91">
        <w:rPr>
          <w:rFonts w:asciiTheme="minorHAnsi" w:hAnsiTheme="minorHAnsi"/>
          <w:snapToGrid w:val="0"/>
        </w:rPr>
        <w:fldChar w:fldCharType="end"/>
      </w:r>
      <w:r w:rsidRPr="007C0D91">
        <w:rPr>
          <w:rFonts w:asciiTheme="minorHAnsi" w:hAnsiTheme="minorHAnsi"/>
          <w:snapToGrid w:val="0"/>
        </w:rPr>
        <w:t>.</w:t>
      </w:r>
    </w:p>
    <w:p w14:paraId="7F7514B2" w14:textId="77777777" w:rsidR="0071626A" w:rsidRPr="007C0D91" w:rsidRDefault="0071626A" w:rsidP="0071626A">
      <w:pPr>
        <w:numPr>
          <w:ilvl w:val="1"/>
          <w:numId w:val="1"/>
        </w:numPr>
        <w:spacing w:after="120"/>
        <w:rPr>
          <w:rFonts w:asciiTheme="minorHAnsi" w:hAnsiTheme="minorHAnsi"/>
          <w:snapToGrid w:val="0"/>
        </w:rPr>
      </w:pPr>
      <w:r w:rsidRPr="007C0D91">
        <w:rPr>
          <w:rFonts w:asciiTheme="minorHAnsi" w:hAnsiTheme="minorHAnsi"/>
          <w:snapToGrid w:val="0"/>
        </w:rPr>
        <w:t xml:space="preserve">The key changes considered in the resubmission </w:t>
      </w:r>
      <w:proofErr w:type="gramStart"/>
      <w:r w:rsidRPr="007C0D91">
        <w:rPr>
          <w:rFonts w:asciiTheme="minorHAnsi" w:hAnsiTheme="minorHAnsi"/>
          <w:snapToGrid w:val="0"/>
        </w:rPr>
        <w:t>include;</w:t>
      </w:r>
      <w:proofErr w:type="gramEnd"/>
      <w:r w:rsidRPr="007C0D91">
        <w:rPr>
          <w:rFonts w:asciiTheme="minorHAnsi" w:hAnsiTheme="minorHAnsi"/>
          <w:snapToGrid w:val="0"/>
        </w:rPr>
        <w:t xml:space="preserve"> </w:t>
      </w:r>
    </w:p>
    <w:p w14:paraId="49A7F83F" w14:textId="77777777" w:rsidR="0071626A" w:rsidRPr="007C0D91" w:rsidRDefault="0071626A" w:rsidP="001733ED">
      <w:pPr>
        <w:numPr>
          <w:ilvl w:val="0"/>
          <w:numId w:val="10"/>
        </w:numPr>
        <w:spacing w:after="120"/>
        <w:ind w:left="1080"/>
        <w:rPr>
          <w:rFonts w:asciiTheme="minorHAnsi" w:hAnsiTheme="minorHAnsi"/>
          <w:snapToGrid w:val="0"/>
        </w:rPr>
      </w:pPr>
      <w:r w:rsidRPr="007C0D91">
        <w:rPr>
          <w:rFonts w:asciiTheme="minorHAnsi" w:hAnsiTheme="minorHAnsi"/>
          <w:snapToGrid w:val="0"/>
        </w:rPr>
        <w:t>Use of pooled KM data from studies 5002 and 5008</w:t>
      </w:r>
    </w:p>
    <w:p w14:paraId="4BEB699E" w14:textId="45115286" w:rsidR="0071626A" w:rsidRPr="007C0D91" w:rsidRDefault="0071626A" w:rsidP="001733ED">
      <w:pPr>
        <w:numPr>
          <w:ilvl w:val="0"/>
          <w:numId w:val="10"/>
        </w:numPr>
        <w:spacing w:after="120"/>
        <w:ind w:left="1080"/>
        <w:rPr>
          <w:rFonts w:asciiTheme="minorHAnsi" w:hAnsiTheme="minorHAnsi"/>
          <w:snapToGrid w:val="0"/>
        </w:rPr>
      </w:pPr>
      <w:r w:rsidRPr="007C0D91">
        <w:rPr>
          <w:rFonts w:asciiTheme="minorHAnsi" w:hAnsiTheme="minorHAnsi"/>
          <w:snapToGrid w:val="0"/>
        </w:rPr>
        <w:t>Application of only chemotherapy costs for comparator and subsequent treatments</w:t>
      </w:r>
    </w:p>
    <w:p w14:paraId="213FBF59" w14:textId="5531F5C2" w:rsidR="0071626A" w:rsidRPr="007C0D91" w:rsidRDefault="0071626A" w:rsidP="001733ED">
      <w:pPr>
        <w:numPr>
          <w:ilvl w:val="0"/>
          <w:numId w:val="10"/>
        </w:numPr>
        <w:spacing w:after="120"/>
        <w:ind w:left="1080"/>
        <w:rPr>
          <w:rFonts w:asciiTheme="minorHAnsi" w:hAnsiTheme="minorHAnsi"/>
          <w:snapToGrid w:val="0"/>
        </w:rPr>
      </w:pPr>
      <w:r w:rsidRPr="007C0D91">
        <w:rPr>
          <w:rFonts w:asciiTheme="minorHAnsi" w:hAnsiTheme="minorHAnsi"/>
          <w:snapToGrid w:val="0"/>
        </w:rPr>
        <w:t xml:space="preserve">Revised proposed price of mobocertinib (reduced by </w:t>
      </w:r>
      <w:proofErr w:type="gramStart"/>
      <w:r w:rsidR="00092A28" w:rsidRPr="00117491">
        <w:rPr>
          <w:rFonts w:asciiTheme="minorHAnsi" w:hAnsiTheme="minorHAnsi"/>
          <w:snapToGrid w:val="0"/>
          <w:color w:val="000000"/>
          <w:w w:val="15"/>
          <w:shd w:val="solid" w:color="000000" w:fill="000000"/>
          <w:fitText w:val="-20" w:id="-1167912443"/>
          <w14:textFill>
            <w14:solidFill>
              <w14:srgbClr w14:val="000000">
                <w14:alpha w14:val="100000"/>
              </w14:srgbClr>
            </w14:solidFill>
          </w14:textFill>
        </w:rPr>
        <w:t xml:space="preserve">|  </w:t>
      </w:r>
      <w:r w:rsidR="00092A28" w:rsidRPr="00117491">
        <w:rPr>
          <w:rFonts w:asciiTheme="minorHAnsi" w:hAnsiTheme="minorHAnsi"/>
          <w:snapToGrid w:val="0"/>
          <w:color w:val="000000"/>
          <w:spacing w:val="-69"/>
          <w:w w:val="15"/>
          <w:shd w:val="solid" w:color="000000" w:fill="000000"/>
          <w:fitText w:val="-20" w:id="-1167912443"/>
          <w14:textFill>
            <w14:solidFill>
              <w14:srgbClr w14:val="000000">
                <w14:alpha w14:val="100000"/>
              </w14:srgbClr>
            </w14:solidFill>
          </w14:textFill>
        </w:rPr>
        <w:t>|</w:t>
      </w:r>
      <w:proofErr w:type="gramEnd"/>
      <w:r w:rsidRPr="007C0D91">
        <w:rPr>
          <w:rFonts w:asciiTheme="minorHAnsi" w:hAnsiTheme="minorHAnsi"/>
          <w:snapToGrid w:val="0"/>
        </w:rPr>
        <w:t>%).</w:t>
      </w:r>
    </w:p>
    <w:p w14:paraId="259C70DB" w14:textId="2FC61AA2" w:rsidR="0071626A" w:rsidRPr="007C0D91" w:rsidRDefault="0071626A" w:rsidP="0071626A">
      <w:pPr>
        <w:keepNext/>
        <w:keepLines/>
        <w:rPr>
          <w:rFonts w:ascii="Arial Narrow" w:hAnsi="Arial Narrow"/>
          <w:b/>
          <w:bCs/>
          <w:sz w:val="20"/>
        </w:rPr>
      </w:pPr>
      <w:bookmarkStart w:id="64" w:name="_Ref134038204"/>
      <w:r w:rsidRPr="007C0D91">
        <w:rPr>
          <w:rFonts w:ascii="Arial Narrow" w:hAnsi="Arial Narrow"/>
          <w:b/>
          <w:bCs/>
          <w:sz w:val="20"/>
        </w:rPr>
        <w:lastRenderedPageBreak/>
        <w:t xml:space="preserve">Table </w:t>
      </w:r>
      <w:r w:rsidRPr="007C0D91">
        <w:rPr>
          <w:rFonts w:ascii="Arial Narrow" w:hAnsi="Arial Narrow"/>
          <w:b/>
          <w:bCs/>
          <w:sz w:val="20"/>
        </w:rPr>
        <w:fldChar w:fldCharType="begin"/>
      </w:r>
      <w:r w:rsidRPr="007C0D91">
        <w:rPr>
          <w:rFonts w:ascii="Arial Narrow" w:hAnsi="Arial Narrow"/>
          <w:b/>
          <w:bCs/>
          <w:sz w:val="20"/>
        </w:rPr>
        <w:instrText xml:space="preserve"> SEQ Table \* ARABIC </w:instrText>
      </w:r>
      <w:r w:rsidRPr="007C0D91">
        <w:rPr>
          <w:rFonts w:ascii="Arial Narrow" w:hAnsi="Arial Narrow"/>
          <w:b/>
          <w:bCs/>
          <w:sz w:val="20"/>
        </w:rPr>
        <w:fldChar w:fldCharType="separate"/>
      </w:r>
      <w:r w:rsidR="00117491">
        <w:rPr>
          <w:rFonts w:ascii="Arial Narrow" w:hAnsi="Arial Narrow"/>
          <w:b/>
          <w:bCs/>
          <w:noProof/>
          <w:sz w:val="20"/>
        </w:rPr>
        <w:t>8</w:t>
      </w:r>
      <w:r w:rsidRPr="007C0D91">
        <w:rPr>
          <w:rFonts w:ascii="Arial Narrow" w:hAnsi="Arial Narrow"/>
          <w:b/>
          <w:bCs/>
          <w:sz w:val="20"/>
        </w:rPr>
        <w:fldChar w:fldCharType="end"/>
      </w:r>
      <w:bookmarkEnd w:id="64"/>
      <w:r w:rsidRPr="007C0D91">
        <w:rPr>
          <w:rFonts w:ascii="Arial Narrow" w:hAnsi="Arial Narrow"/>
          <w:b/>
          <w:bCs/>
          <w:sz w:val="20"/>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6"/>
        <w:gridCol w:w="6471"/>
      </w:tblGrid>
      <w:tr w:rsidR="0071626A" w:rsidRPr="007C0D91" w14:paraId="5BF2FEAB" w14:textId="77777777" w:rsidTr="00D43793">
        <w:trPr>
          <w:tblHeader/>
        </w:trPr>
        <w:tc>
          <w:tcPr>
            <w:tcW w:w="1412" w:type="pct"/>
            <w:vAlign w:val="center"/>
          </w:tcPr>
          <w:p w14:paraId="7DA24BE2" w14:textId="77777777" w:rsidR="0071626A" w:rsidRPr="007C0D91" w:rsidRDefault="0071626A" w:rsidP="00D43793">
            <w:pPr>
              <w:keepNext/>
              <w:keepLines/>
              <w:widowControl w:val="0"/>
              <w:jc w:val="center"/>
              <w:rPr>
                <w:rFonts w:ascii="Arial Narrow" w:eastAsiaTheme="majorEastAsia" w:hAnsi="Arial Narrow" w:cs="Times New Roman"/>
                <w:b/>
                <w:sz w:val="20"/>
              </w:rPr>
            </w:pPr>
            <w:r w:rsidRPr="007C0D91">
              <w:rPr>
                <w:rFonts w:ascii="Arial Narrow" w:eastAsiaTheme="majorEastAsia" w:hAnsi="Arial Narrow" w:cs="Times New Roman"/>
                <w:b/>
                <w:sz w:val="20"/>
              </w:rPr>
              <w:t>Component</w:t>
            </w:r>
          </w:p>
        </w:tc>
        <w:tc>
          <w:tcPr>
            <w:tcW w:w="3588" w:type="pct"/>
          </w:tcPr>
          <w:p w14:paraId="5646247F" w14:textId="77777777" w:rsidR="0071626A" w:rsidRPr="007C0D91" w:rsidRDefault="0071626A" w:rsidP="00D43793">
            <w:pPr>
              <w:keepNext/>
              <w:keepLines/>
              <w:widowControl w:val="0"/>
              <w:jc w:val="center"/>
              <w:rPr>
                <w:rFonts w:ascii="Arial Narrow" w:eastAsiaTheme="majorEastAsia" w:hAnsi="Arial Narrow" w:cs="Times New Roman"/>
                <w:b/>
                <w:sz w:val="20"/>
              </w:rPr>
            </w:pPr>
            <w:r w:rsidRPr="007C0D91">
              <w:rPr>
                <w:rFonts w:ascii="Arial Narrow" w:eastAsiaTheme="majorEastAsia" w:hAnsi="Arial Narrow" w:cs="Times New Roman"/>
                <w:b/>
                <w:sz w:val="20"/>
              </w:rPr>
              <w:t>Description</w:t>
            </w:r>
          </w:p>
        </w:tc>
      </w:tr>
      <w:tr w:rsidR="0071626A" w:rsidRPr="007C0D91" w14:paraId="65B9B100" w14:textId="77777777" w:rsidTr="00D43793">
        <w:tc>
          <w:tcPr>
            <w:tcW w:w="1412" w:type="pct"/>
            <w:shd w:val="clear" w:color="auto" w:fill="B8CCE4" w:themeFill="accent1" w:themeFillTint="66"/>
            <w:vAlign w:val="center"/>
          </w:tcPr>
          <w:p w14:paraId="1420BA7E"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Type of analysis</w:t>
            </w:r>
          </w:p>
        </w:tc>
        <w:tc>
          <w:tcPr>
            <w:tcW w:w="3588" w:type="pct"/>
            <w:shd w:val="clear" w:color="auto" w:fill="B8CCE4" w:themeFill="accent1" w:themeFillTint="66"/>
          </w:tcPr>
          <w:p w14:paraId="469F3B7B"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Cost-utility analysis</w:t>
            </w:r>
          </w:p>
        </w:tc>
      </w:tr>
      <w:tr w:rsidR="0071626A" w:rsidRPr="007C0D91" w14:paraId="56B13F93" w14:textId="77777777" w:rsidTr="00D43793">
        <w:tc>
          <w:tcPr>
            <w:tcW w:w="1412" w:type="pct"/>
            <w:shd w:val="clear" w:color="auto" w:fill="B8CCE4" w:themeFill="accent1" w:themeFillTint="66"/>
            <w:vAlign w:val="center"/>
          </w:tcPr>
          <w:p w14:paraId="1FC84C9B"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Outcomes</w:t>
            </w:r>
          </w:p>
        </w:tc>
        <w:tc>
          <w:tcPr>
            <w:tcW w:w="3588" w:type="pct"/>
            <w:shd w:val="clear" w:color="auto" w:fill="B8CCE4" w:themeFill="accent1" w:themeFillTint="66"/>
          </w:tcPr>
          <w:p w14:paraId="622F9698"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Life years </w:t>
            </w:r>
            <w:proofErr w:type="gramStart"/>
            <w:r w:rsidRPr="007C0D91">
              <w:rPr>
                <w:rFonts w:ascii="Arial Narrow" w:eastAsiaTheme="majorEastAsia" w:hAnsi="Arial Narrow" w:cstheme="majorBidi"/>
                <w:bCs/>
                <w:sz w:val="20"/>
              </w:rPr>
              <w:t>gained,</w:t>
            </w:r>
            <w:proofErr w:type="gramEnd"/>
            <w:r w:rsidRPr="007C0D91">
              <w:rPr>
                <w:rFonts w:ascii="Arial Narrow" w:eastAsiaTheme="majorEastAsia" w:hAnsi="Arial Narrow" w:cstheme="majorBidi"/>
                <w:bCs/>
                <w:sz w:val="20"/>
              </w:rPr>
              <w:t xml:space="preserve"> quality-adjusted life years gained</w:t>
            </w:r>
          </w:p>
        </w:tc>
      </w:tr>
      <w:tr w:rsidR="0071626A" w:rsidRPr="007C0D91" w14:paraId="4CA386E5" w14:textId="77777777" w:rsidTr="00D43793">
        <w:tc>
          <w:tcPr>
            <w:tcW w:w="1412" w:type="pct"/>
            <w:shd w:val="clear" w:color="auto" w:fill="B8CCE4" w:themeFill="accent1" w:themeFillTint="66"/>
            <w:vAlign w:val="center"/>
          </w:tcPr>
          <w:p w14:paraId="68E0DBFE"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Time horizon</w:t>
            </w:r>
          </w:p>
        </w:tc>
        <w:tc>
          <w:tcPr>
            <w:tcW w:w="3588" w:type="pct"/>
            <w:shd w:val="clear" w:color="auto" w:fill="B8CCE4" w:themeFill="accent1" w:themeFillTint="66"/>
          </w:tcPr>
          <w:p w14:paraId="15648734"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5 years</w:t>
            </w:r>
          </w:p>
        </w:tc>
      </w:tr>
      <w:tr w:rsidR="0071626A" w:rsidRPr="007C0D91" w14:paraId="4C5403BF" w14:textId="77777777" w:rsidTr="00D43793">
        <w:tc>
          <w:tcPr>
            <w:tcW w:w="1412" w:type="pct"/>
            <w:shd w:val="clear" w:color="auto" w:fill="B8CCE4" w:themeFill="accent1" w:themeFillTint="66"/>
            <w:vAlign w:val="center"/>
          </w:tcPr>
          <w:p w14:paraId="387AD117"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Methods used to generate results</w:t>
            </w:r>
          </w:p>
        </w:tc>
        <w:tc>
          <w:tcPr>
            <w:tcW w:w="3588" w:type="pct"/>
            <w:shd w:val="clear" w:color="auto" w:fill="B8CCE4" w:themeFill="accent1" w:themeFillTint="66"/>
          </w:tcPr>
          <w:p w14:paraId="5AB42749"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Three health state partitioned survival model</w:t>
            </w:r>
          </w:p>
        </w:tc>
      </w:tr>
      <w:tr w:rsidR="0071626A" w:rsidRPr="007C0D91" w14:paraId="6F910D53" w14:textId="77777777" w:rsidTr="00D43793">
        <w:tc>
          <w:tcPr>
            <w:tcW w:w="1412" w:type="pct"/>
            <w:shd w:val="clear" w:color="auto" w:fill="B8CCE4" w:themeFill="accent1" w:themeFillTint="66"/>
            <w:vAlign w:val="center"/>
          </w:tcPr>
          <w:p w14:paraId="4E208343"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Health states</w:t>
            </w:r>
          </w:p>
        </w:tc>
        <w:tc>
          <w:tcPr>
            <w:tcW w:w="3588" w:type="pct"/>
            <w:shd w:val="clear" w:color="auto" w:fill="B8CCE4" w:themeFill="accent1" w:themeFillTint="66"/>
          </w:tcPr>
          <w:p w14:paraId="5058891D"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Progression-free; Progressed disease; Dead</w:t>
            </w:r>
          </w:p>
        </w:tc>
      </w:tr>
      <w:tr w:rsidR="0071626A" w:rsidRPr="007C0D91" w14:paraId="6FBFBBC1" w14:textId="77777777" w:rsidTr="00D43793">
        <w:tc>
          <w:tcPr>
            <w:tcW w:w="1412" w:type="pct"/>
            <w:shd w:val="clear" w:color="auto" w:fill="B8CCE4" w:themeFill="accent1" w:themeFillTint="66"/>
            <w:vAlign w:val="center"/>
          </w:tcPr>
          <w:p w14:paraId="2AB929A8"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Cycle length</w:t>
            </w:r>
          </w:p>
        </w:tc>
        <w:tc>
          <w:tcPr>
            <w:tcW w:w="3588" w:type="pct"/>
            <w:shd w:val="clear" w:color="auto" w:fill="B8CCE4" w:themeFill="accent1" w:themeFillTint="66"/>
          </w:tcPr>
          <w:p w14:paraId="1C7FD94A"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28 days - reflects the duration of treatment per pack of mobocertinib dispensed.</w:t>
            </w:r>
          </w:p>
        </w:tc>
      </w:tr>
      <w:tr w:rsidR="0071626A" w:rsidRPr="007C0D91" w14:paraId="7976A874" w14:textId="77777777" w:rsidTr="00D43793">
        <w:tc>
          <w:tcPr>
            <w:tcW w:w="1412" w:type="pct"/>
            <w:vAlign w:val="center"/>
          </w:tcPr>
          <w:p w14:paraId="2992CD15"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Health state allocation</w:t>
            </w:r>
          </w:p>
        </w:tc>
        <w:tc>
          <w:tcPr>
            <w:tcW w:w="3588" w:type="pct"/>
          </w:tcPr>
          <w:p w14:paraId="7FD25CBE" w14:textId="77777777" w:rsidR="0071626A" w:rsidRPr="007C0D91" w:rsidRDefault="0071626A" w:rsidP="00D43793">
            <w:pPr>
              <w:keepNext/>
              <w:keepLines/>
              <w:widowControl w:val="0"/>
              <w:shd w:val="clear" w:color="auto" w:fill="B8CCE4" w:themeFill="accent1" w:themeFillTint="66"/>
              <w:jc w:val="left"/>
              <w:rPr>
                <w:rFonts w:ascii="Arial Narrow" w:eastAsiaTheme="majorEastAsia" w:hAnsi="Arial Narrow" w:cstheme="majorBidi"/>
                <w:bCs/>
                <w:sz w:val="20"/>
              </w:rPr>
            </w:pPr>
            <w:r w:rsidRPr="007C0D91">
              <w:rPr>
                <w:rFonts w:ascii="Arial Narrow" w:eastAsiaTheme="majorEastAsia" w:hAnsi="Arial Narrow" w:cstheme="majorBidi"/>
                <w:bCs/>
                <w:sz w:val="20"/>
              </w:rPr>
              <w:t>Mobocertinib arm: PFS (IRC) and OS from Study 101 (PPP cohort).</w:t>
            </w:r>
          </w:p>
          <w:p w14:paraId="443CD51E" w14:textId="77777777" w:rsidR="0071626A" w:rsidRPr="007C0D91" w:rsidRDefault="0071626A" w:rsidP="00D43793">
            <w:pPr>
              <w:keepNext/>
              <w:keepLines/>
              <w:widowControl w:val="0"/>
              <w:jc w:val="left"/>
              <w:rPr>
                <w:rFonts w:ascii="Arial Narrow" w:eastAsiaTheme="majorEastAsia" w:hAnsi="Arial Narrow" w:cstheme="majorBidi"/>
                <w:bCs/>
                <w:sz w:val="20"/>
              </w:rPr>
            </w:pPr>
          </w:p>
          <w:p w14:paraId="6CC8AF8B" w14:textId="4497AC15" w:rsidR="0071626A" w:rsidRPr="007C0D91" w:rsidRDefault="0071626A" w:rsidP="00D43793">
            <w:pPr>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Comparator arm: Weighted (pooled) PFS and OS from Study 5008 and Study 5002 where SOC included all treatments (TKIs, immunotherapies or chemotherapies) in the base case. </w:t>
            </w:r>
          </w:p>
          <w:p w14:paraId="6A036AEB" w14:textId="77777777" w:rsidR="0071626A" w:rsidRPr="007C0D91" w:rsidRDefault="0071626A" w:rsidP="00D43793">
            <w:pPr>
              <w:widowControl w:val="0"/>
              <w:jc w:val="left"/>
              <w:rPr>
                <w:rFonts w:ascii="Arial Narrow" w:eastAsiaTheme="majorEastAsia" w:hAnsi="Arial Narrow" w:cstheme="majorBidi"/>
                <w:bCs/>
                <w:sz w:val="20"/>
              </w:rPr>
            </w:pPr>
          </w:p>
          <w:p w14:paraId="2029AA4A" w14:textId="561A156C"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The </w:t>
            </w:r>
            <w:r w:rsidR="00941DC7" w:rsidRPr="007C0D91">
              <w:rPr>
                <w:rFonts w:ascii="Arial Narrow" w:eastAsiaTheme="majorEastAsia" w:hAnsi="Arial Narrow" w:cstheme="majorBidi"/>
                <w:bCs/>
                <w:sz w:val="20"/>
              </w:rPr>
              <w:t>res</w:t>
            </w:r>
            <w:r w:rsidRPr="007C0D91">
              <w:rPr>
                <w:rFonts w:ascii="Arial Narrow" w:eastAsiaTheme="majorEastAsia" w:hAnsi="Arial Narrow" w:cstheme="majorBidi"/>
                <w:bCs/>
                <w:sz w:val="20"/>
              </w:rPr>
              <w:t>ubmission stated that using a chemotherapy only sub-population resulted in a small sample size with wide confidence intervals around the median OS, PFS and TTD values, therefore given the uncertainty, data from this subpopulation was restricted to use in sensitivity analyses.</w:t>
            </w:r>
          </w:p>
        </w:tc>
      </w:tr>
      <w:tr w:rsidR="0071626A" w:rsidRPr="007C0D91" w14:paraId="27C6354F" w14:textId="77777777" w:rsidTr="00D43793">
        <w:tc>
          <w:tcPr>
            <w:tcW w:w="1412" w:type="pct"/>
            <w:shd w:val="clear" w:color="auto" w:fill="B8CCE4" w:themeFill="accent1" w:themeFillTint="66"/>
            <w:vAlign w:val="center"/>
          </w:tcPr>
          <w:p w14:paraId="58296698"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Extrapolation method</w:t>
            </w:r>
          </w:p>
        </w:tc>
        <w:tc>
          <w:tcPr>
            <w:tcW w:w="3588" w:type="pct"/>
            <w:shd w:val="clear" w:color="auto" w:fill="B8CCE4" w:themeFill="accent1" w:themeFillTint="66"/>
          </w:tcPr>
          <w:p w14:paraId="4751CA2F"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In both the arms KM data are used up until study follow-up (36 months) and extrapolated out to the modelled time horizon, then there is a forced linear convergence in the mobocertinib arm from 36 months to 0% survival at the 5-year time horizon. </w:t>
            </w:r>
          </w:p>
        </w:tc>
      </w:tr>
      <w:tr w:rsidR="0071626A" w:rsidRPr="007C0D91" w14:paraId="61F42668" w14:textId="77777777" w:rsidTr="00D43793">
        <w:tc>
          <w:tcPr>
            <w:tcW w:w="1412" w:type="pct"/>
            <w:shd w:val="clear" w:color="auto" w:fill="B8CCE4" w:themeFill="accent1" w:themeFillTint="66"/>
            <w:vAlign w:val="center"/>
          </w:tcPr>
          <w:p w14:paraId="79F7CF11"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Utilities</w:t>
            </w:r>
          </w:p>
        </w:tc>
        <w:tc>
          <w:tcPr>
            <w:tcW w:w="3588" w:type="pct"/>
            <w:shd w:val="clear" w:color="auto" w:fill="B8CCE4" w:themeFill="accent1" w:themeFillTint="66"/>
          </w:tcPr>
          <w:p w14:paraId="32CFC84C"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Utilities derived from Part 3</w:t>
            </w:r>
            <w:r w:rsidRPr="007C0D91">
              <w:rPr>
                <w:rFonts w:ascii="Arial Narrow" w:eastAsiaTheme="majorEastAsia" w:hAnsi="Arial Narrow" w:cstheme="majorBidi"/>
                <w:bCs/>
                <w:sz w:val="20"/>
                <w:vertAlign w:val="superscript"/>
              </w:rPr>
              <w:t>a</w:t>
            </w:r>
            <w:r w:rsidRPr="007C0D91">
              <w:rPr>
                <w:rFonts w:ascii="Arial Narrow" w:eastAsiaTheme="majorEastAsia" w:hAnsi="Arial Narrow" w:cstheme="majorBidi"/>
                <w:bCs/>
                <w:sz w:val="20"/>
              </w:rPr>
              <w:t xml:space="preserve"> of Study 101 (EXCLAIM) were applied across both arms of the model.</w:t>
            </w:r>
          </w:p>
          <w:p w14:paraId="6843CEAB" w14:textId="77777777" w:rsidR="0071626A" w:rsidRPr="007C0D91" w:rsidRDefault="0071626A" w:rsidP="00D43793">
            <w:pPr>
              <w:keepNext/>
              <w:keepLines/>
              <w:widowControl w:val="0"/>
              <w:jc w:val="left"/>
              <w:rPr>
                <w:rFonts w:ascii="Arial Narrow" w:eastAsiaTheme="majorEastAsia" w:hAnsi="Arial Narrow" w:cstheme="majorBidi"/>
                <w:bCs/>
                <w:sz w:val="20"/>
              </w:rPr>
            </w:pPr>
          </w:p>
          <w:p w14:paraId="0C5C65C5"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HRQoL data were not collected in the retrospective cohort studies (5008 or 5002).</w:t>
            </w:r>
          </w:p>
          <w:p w14:paraId="4FB8DC68" w14:textId="77777777" w:rsidR="0071626A" w:rsidRPr="007C0D91" w:rsidRDefault="0071626A" w:rsidP="00D43793">
            <w:pPr>
              <w:keepNext/>
              <w:keepLines/>
              <w:widowControl w:val="0"/>
              <w:jc w:val="left"/>
              <w:rPr>
                <w:rFonts w:ascii="Arial Narrow" w:eastAsiaTheme="majorEastAsia" w:hAnsi="Arial Narrow" w:cstheme="majorBidi"/>
                <w:bCs/>
                <w:sz w:val="20"/>
              </w:rPr>
            </w:pPr>
          </w:p>
          <w:p w14:paraId="01EC5136" w14:textId="77777777" w:rsidR="0071626A" w:rsidRPr="007C0D91" w:rsidRDefault="0071626A" w:rsidP="00D43793">
            <w:pPr>
              <w:keepNext/>
              <w:keepLines/>
              <w:widowControl w:val="0"/>
              <w:jc w:val="left"/>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Utility decrements are applied for Grade ≥3 AEs in each treatment arm. </w:t>
            </w:r>
          </w:p>
        </w:tc>
      </w:tr>
    </w:tbl>
    <w:p w14:paraId="6E7260E9" w14:textId="77777777" w:rsidR="0071626A" w:rsidRPr="007C0D91" w:rsidRDefault="0071626A" w:rsidP="0071626A">
      <w:pPr>
        <w:keepNext/>
        <w:keepLines/>
        <w:widowControl w:val="0"/>
        <w:spacing w:after="120"/>
        <w:contextualSpacing/>
        <w:rPr>
          <w:rFonts w:ascii="Arial Narrow" w:hAnsi="Arial Narrow"/>
          <w:snapToGrid w:val="0"/>
          <w:sz w:val="18"/>
          <w:szCs w:val="22"/>
        </w:rPr>
      </w:pPr>
      <w:r w:rsidRPr="007C0D91">
        <w:rPr>
          <w:rFonts w:ascii="Arial Narrow" w:hAnsi="Arial Narrow"/>
          <w:snapToGrid w:val="0"/>
          <w:sz w:val="18"/>
          <w:szCs w:val="22"/>
        </w:rPr>
        <w:t xml:space="preserve">Source: </w:t>
      </w:r>
      <w:r w:rsidRPr="007C0D91">
        <w:rPr>
          <w:rFonts w:ascii="Arial Narrow" w:hAnsi="Arial Narrow"/>
          <w:sz w:val="18"/>
        </w:rPr>
        <w:t>constructed during the evaluation based on first submission and the resubmission</w:t>
      </w:r>
      <w:r w:rsidRPr="007C0D91">
        <w:rPr>
          <w:rFonts w:ascii="Arial Narrow" w:hAnsi="Arial Narrow"/>
          <w:snapToGrid w:val="0"/>
          <w:sz w:val="18"/>
          <w:szCs w:val="22"/>
        </w:rPr>
        <w:t xml:space="preserve"> </w:t>
      </w:r>
    </w:p>
    <w:p w14:paraId="34FCC886" w14:textId="2B1FB3FD" w:rsidR="0071626A" w:rsidRPr="007C0D91" w:rsidRDefault="0071626A" w:rsidP="0071626A">
      <w:pPr>
        <w:keepNext/>
        <w:keepLines/>
        <w:widowControl w:val="0"/>
        <w:spacing w:after="120"/>
        <w:contextualSpacing/>
        <w:rPr>
          <w:rFonts w:ascii="Arial Narrow" w:hAnsi="Arial Narrow"/>
          <w:snapToGrid w:val="0"/>
          <w:sz w:val="18"/>
          <w:szCs w:val="22"/>
        </w:rPr>
      </w:pPr>
      <w:r w:rsidRPr="007C0D91">
        <w:rPr>
          <w:rFonts w:ascii="Arial Narrow" w:hAnsi="Arial Narrow"/>
          <w:snapToGrid w:val="0"/>
          <w:sz w:val="18"/>
          <w:szCs w:val="22"/>
        </w:rPr>
        <w:t xml:space="preserve">AE = adverse event; </w:t>
      </w:r>
      <w:r w:rsidR="00FB0DBF" w:rsidRPr="00FB0DBF">
        <w:rPr>
          <w:rFonts w:ascii="Arial Narrow" w:hAnsi="Arial Narrow"/>
          <w:i/>
          <w:snapToGrid w:val="0"/>
          <w:sz w:val="18"/>
          <w:szCs w:val="22"/>
        </w:rPr>
        <w:t>EGFR</w:t>
      </w:r>
      <w:r w:rsidRPr="007C0D91">
        <w:rPr>
          <w:rFonts w:ascii="Arial Narrow" w:hAnsi="Arial Narrow"/>
          <w:snapToGrid w:val="0"/>
          <w:sz w:val="18"/>
          <w:szCs w:val="22"/>
        </w:rPr>
        <w:t xml:space="preserve"> = epidermal growth factor receptor; ex20ins = exon 20 insertion; HRQoL = health-related quality of life; IRC = independent review committee; OS = overall survival; PFS = progression free survival; PPP = pooled prior-platinum; SOC = standard of care; USA = United States of America</w:t>
      </w:r>
    </w:p>
    <w:p w14:paraId="60A59C83" w14:textId="77777777" w:rsidR="0071626A" w:rsidRPr="007C0D91" w:rsidRDefault="0071626A" w:rsidP="0071626A">
      <w:pPr>
        <w:keepNext/>
        <w:keepLines/>
        <w:widowControl w:val="0"/>
        <w:spacing w:after="120"/>
        <w:contextualSpacing/>
        <w:rPr>
          <w:rFonts w:ascii="Arial Narrow" w:hAnsi="Arial Narrow"/>
          <w:snapToGrid w:val="0"/>
          <w:sz w:val="18"/>
          <w:szCs w:val="22"/>
        </w:rPr>
      </w:pPr>
      <w:r w:rsidRPr="007C0D91">
        <w:rPr>
          <w:rFonts w:ascii="Arial Narrow" w:hAnsi="Arial Narrow"/>
          <w:snapToGrid w:val="0"/>
          <w:sz w:val="18"/>
          <w:szCs w:val="22"/>
        </w:rPr>
        <w:t>a Study 101 included three parts: Part 1 (dose escalation cohort, N=73), Part 2 (expansion cohort, N=136) and Part 3 (extension cohort, N=96). The PPP cohort of Study 101 (N=114) were mainly from Part 3 (n=86), followed by Part 2 (n=22) and Part 1 (n=6).</w:t>
      </w:r>
    </w:p>
    <w:p w14:paraId="4C7233A4" w14:textId="77777777" w:rsidR="0071626A" w:rsidRPr="007C0D91" w:rsidRDefault="0071626A" w:rsidP="009B3FAF">
      <w:pPr>
        <w:keepLines/>
        <w:spacing w:after="120"/>
        <w:rPr>
          <w:rFonts w:ascii="Arial Narrow" w:hAnsi="Arial Narrow"/>
          <w:snapToGrid w:val="0"/>
          <w:sz w:val="18"/>
          <w:szCs w:val="22"/>
        </w:rPr>
      </w:pPr>
      <w:bookmarkStart w:id="65" w:name="_Hlk134470668"/>
      <w:r w:rsidRPr="007C0D91">
        <w:rPr>
          <w:rFonts w:ascii="Arial Narrow" w:hAnsi="Arial Narrow"/>
          <w:snapToGrid w:val="0"/>
          <w:sz w:val="18"/>
          <w:szCs w:val="22"/>
          <w:shd w:val="clear" w:color="auto" w:fill="B8CCE4" w:themeFill="accent1" w:themeFillTint="66"/>
        </w:rPr>
        <w:t>Blue shading</w:t>
      </w:r>
      <w:r w:rsidRPr="007C0D91">
        <w:rPr>
          <w:rFonts w:ascii="Arial Narrow" w:hAnsi="Arial Narrow"/>
          <w:snapToGrid w:val="0"/>
          <w:sz w:val="18"/>
          <w:szCs w:val="22"/>
        </w:rPr>
        <w:t xml:space="preserve"> indicates components remaining unchanged since the previous submission. </w:t>
      </w:r>
    </w:p>
    <w:bookmarkEnd w:id="65"/>
    <w:p w14:paraId="6A79246B" w14:textId="5611B754" w:rsidR="0071626A" w:rsidRPr="007C0D91" w:rsidRDefault="0071626A" w:rsidP="0071626A">
      <w:pPr>
        <w:numPr>
          <w:ilvl w:val="1"/>
          <w:numId w:val="1"/>
        </w:numPr>
        <w:spacing w:after="120"/>
        <w:rPr>
          <w:rFonts w:asciiTheme="minorHAnsi" w:hAnsiTheme="minorHAnsi"/>
          <w:i/>
          <w:snapToGrid w:val="0"/>
        </w:rPr>
      </w:pPr>
      <w:r w:rsidRPr="007C0D91">
        <w:rPr>
          <w:rFonts w:asciiTheme="minorHAnsi" w:hAnsiTheme="minorHAnsi"/>
          <w:snapToGrid w:val="0"/>
        </w:rPr>
        <w:t xml:space="preserve">The resubmission used a partitioned survival approach where the total time spent in each health state of the model was calculated from the area under the PFS and/or OS curves. The approach taken in the resubmission remained </w:t>
      </w:r>
      <w:r w:rsidR="00CD39FF" w:rsidRPr="007C0D91">
        <w:rPr>
          <w:rFonts w:asciiTheme="minorHAnsi" w:hAnsiTheme="minorHAnsi"/>
          <w:snapToGrid w:val="0"/>
        </w:rPr>
        <w:t xml:space="preserve">the </w:t>
      </w:r>
      <w:r w:rsidRPr="007C0D91">
        <w:rPr>
          <w:rFonts w:asciiTheme="minorHAnsi" w:hAnsiTheme="minorHAnsi"/>
          <w:snapToGrid w:val="0"/>
        </w:rPr>
        <w:t xml:space="preserve">same as in the previous submission. In the base case analysis, the submission used the observed (weighted) KM data up until 36 months (39 cycles) in both the arms for OS and PFS. </w:t>
      </w:r>
      <w:r w:rsidRPr="007C0D91">
        <w:rPr>
          <w:rFonts w:asciiTheme="minorHAnsi" w:hAnsiTheme="minorHAnsi" w:cstheme="minorHAnsi"/>
          <w:snapToGrid w:val="0"/>
        </w:rPr>
        <w:t xml:space="preserve">Independent parametric survival models were fitted to available KM data for mobocertinib and comparator arms for PFS, OS and TTD curves. </w:t>
      </w:r>
      <w:r w:rsidRPr="007C0D91">
        <w:rPr>
          <w:rFonts w:asciiTheme="minorHAnsi" w:hAnsiTheme="minorHAnsi"/>
          <w:snapToGrid w:val="0"/>
        </w:rPr>
        <w:t>Observed data is reasonably mature and extrapolations had little impact on the model. The model applied a convergence function from 36 months, which partly replaces the parametric function for PFS and entirely replaces the parametric function for OS and for TTD.</w:t>
      </w:r>
    </w:p>
    <w:p w14:paraId="447701CD" w14:textId="2F671E84" w:rsidR="0071626A" w:rsidRPr="007C0D91" w:rsidRDefault="00CD39FF" w:rsidP="0071626A">
      <w:pPr>
        <w:numPr>
          <w:ilvl w:val="1"/>
          <w:numId w:val="1"/>
        </w:numPr>
        <w:spacing w:after="120"/>
        <w:rPr>
          <w:rFonts w:asciiTheme="minorHAnsi" w:hAnsiTheme="minorHAnsi"/>
          <w:snapToGrid w:val="0"/>
        </w:rPr>
      </w:pPr>
      <w:r w:rsidRPr="007C0D91">
        <w:rPr>
          <w:rFonts w:asciiTheme="minorHAnsi" w:hAnsiTheme="minorHAnsi"/>
          <w:snapToGrid w:val="0"/>
        </w:rPr>
        <w:t>In November 2022, t</w:t>
      </w:r>
      <w:r w:rsidR="0071626A" w:rsidRPr="007C0D91">
        <w:rPr>
          <w:rFonts w:asciiTheme="minorHAnsi" w:hAnsiTheme="minorHAnsi"/>
          <w:snapToGrid w:val="0"/>
        </w:rPr>
        <w:t xml:space="preserve">he ESC considered that a comparison of mobocertinib with pooled results from studies 5008 and 5002 may be more reasonable than a comparison with either study alone (paragraph 6.22, mobocertinib PSD, November 2022 PBAC meeting). Therefore, the resubmission applied the pooled results </w:t>
      </w:r>
      <w:r w:rsidR="0071626A" w:rsidRPr="007C0D91">
        <w:rPr>
          <w:rFonts w:asciiTheme="minorHAnsi" w:hAnsiTheme="minorHAnsi" w:cstheme="minorHAnsi"/>
          <w:snapToGrid w:val="0"/>
        </w:rPr>
        <w:t xml:space="preserve">from studies 5002 and 5008 (with equal weighting) </w:t>
      </w:r>
      <w:r w:rsidR="0071626A" w:rsidRPr="007C0D91">
        <w:rPr>
          <w:rFonts w:asciiTheme="minorHAnsi" w:hAnsiTheme="minorHAnsi"/>
          <w:snapToGrid w:val="0"/>
        </w:rPr>
        <w:t xml:space="preserve">to estimate PFS, OS and TTD in the comparator arm. </w:t>
      </w:r>
    </w:p>
    <w:p w14:paraId="248CE2A7" w14:textId="1309B0D9" w:rsidR="0071626A" w:rsidRPr="007C0D91" w:rsidRDefault="00CD39FF" w:rsidP="0071626A">
      <w:pPr>
        <w:numPr>
          <w:ilvl w:val="1"/>
          <w:numId w:val="1"/>
        </w:numPr>
        <w:spacing w:after="120"/>
        <w:rPr>
          <w:rFonts w:asciiTheme="minorHAnsi" w:hAnsiTheme="minorHAnsi"/>
          <w:snapToGrid w:val="0"/>
        </w:rPr>
      </w:pPr>
      <w:r w:rsidRPr="007C0D91">
        <w:rPr>
          <w:rFonts w:asciiTheme="minorHAnsi" w:hAnsiTheme="minorHAnsi"/>
          <w:snapToGrid w:val="0"/>
        </w:rPr>
        <w:lastRenderedPageBreak/>
        <w:t>In November 2022, t</w:t>
      </w:r>
      <w:r w:rsidR="0071626A" w:rsidRPr="007C0D91">
        <w:rPr>
          <w:rFonts w:asciiTheme="minorHAnsi" w:hAnsiTheme="minorHAnsi"/>
          <w:snapToGrid w:val="0"/>
        </w:rPr>
        <w:t xml:space="preserve">he ESC also acknowledged that agents currently used in Australian clinical practice in the second-line treatment setting for advanced NSCLC include docetaxel, gemcitabine, pemetrexed, carboplatin and paclitaxel (paragraph 6.22, mobocertinib PSD, November 2022 PBAC meeting). The resubmission assumed chemotherapy comprising above treatments as comparator. </w:t>
      </w:r>
      <w:r w:rsidR="0071626A" w:rsidRPr="007C0D91">
        <w:rPr>
          <w:rFonts w:asciiTheme="minorHAnsi" w:hAnsiTheme="minorHAnsi" w:cstheme="minorHAnsi"/>
          <w:snapToGrid w:val="0"/>
        </w:rPr>
        <w:t xml:space="preserve">Therefore, costs and outcomes must be specific to chemotherapy. </w:t>
      </w:r>
    </w:p>
    <w:p w14:paraId="4BDFD797" w14:textId="52564F20" w:rsidR="0071626A" w:rsidRPr="007C0D91" w:rsidRDefault="0071626A" w:rsidP="0071626A">
      <w:pPr>
        <w:numPr>
          <w:ilvl w:val="1"/>
          <w:numId w:val="1"/>
        </w:numPr>
        <w:spacing w:after="120"/>
        <w:rPr>
          <w:rFonts w:asciiTheme="minorHAnsi" w:hAnsiTheme="minorHAnsi"/>
          <w:iCs/>
          <w:snapToGrid w:val="0"/>
        </w:rPr>
      </w:pPr>
      <w:r w:rsidRPr="007C0D91">
        <w:rPr>
          <w:rFonts w:asciiTheme="minorHAnsi" w:hAnsiTheme="minorHAnsi"/>
          <w:iCs/>
          <w:snapToGrid w:val="0"/>
        </w:rPr>
        <w:t xml:space="preserve">The modelled survival outcomes based on pooled data (from studies 5002 and 5008) in the resubmission were again informed by treatments (TKIs, ICIs or chemotherapies) that likely do not reflect current Australian clinical practice. </w:t>
      </w:r>
      <w:bookmarkStart w:id="66" w:name="_Hlk140524929"/>
      <w:r w:rsidRPr="007C0D91">
        <w:rPr>
          <w:rFonts w:asciiTheme="minorHAnsi" w:hAnsiTheme="minorHAnsi"/>
          <w:iCs/>
          <w:snapToGrid w:val="0"/>
        </w:rPr>
        <w:t xml:space="preserve">The revised model is </w:t>
      </w:r>
      <w:r w:rsidRPr="007C0D91">
        <w:rPr>
          <w:rFonts w:asciiTheme="minorHAnsi" w:hAnsiTheme="minorHAnsi"/>
          <w:iCs/>
          <w:snapToGrid w:val="0"/>
          <w:u w:val="single"/>
        </w:rPr>
        <w:t>not</w:t>
      </w:r>
      <w:r w:rsidRPr="007C0D91">
        <w:rPr>
          <w:rFonts w:asciiTheme="minorHAnsi" w:hAnsiTheme="minorHAnsi"/>
          <w:iCs/>
          <w:snapToGrid w:val="0"/>
        </w:rPr>
        <w:t xml:space="preserve"> restricted to the use of only the chemotherapy patient survival data from studies 5002 and 5008. The resubmission </w:t>
      </w:r>
      <w:r w:rsidR="006D6593" w:rsidRPr="007C0D91">
        <w:rPr>
          <w:rFonts w:asciiTheme="minorHAnsi" w:hAnsiTheme="minorHAnsi"/>
          <w:iCs/>
          <w:snapToGrid w:val="0"/>
        </w:rPr>
        <w:t xml:space="preserve">and PSCR </w:t>
      </w:r>
      <w:r w:rsidRPr="007C0D91">
        <w:rPr>
          <w:rFonts w:asciiTheme="minorHAnsi" w:hAnsiTheme="minorHAnsi"/>
          <w:iCs/>
          <w:snapToGrid w:val="0"/>
        </w:rPr>
        <w:t>assumed any differences in outcomes between chemotherapy and other regimens are more likely to be artefacts of small patient numbers, chance and/or selection biases, however this is unknown.</w:t>
      </w:r>
      <w:bookmarkEnd w:id="66"/>
    </w:p>
    <w:p w14:paraId="0B056A2F" w14:textId="2E8584AA" w:rsidR="00B0675E" w:rsidRPr="007C0D91" w:rsidRDefault="0071626A" w:rsidP="00087920">
      <w:pPr>
        <w:numPr>
          <w:ilvl w:val="1"/>
          <w:numId w:val="1"/>
        </w:numPr>
        <w:spacing w:after="120"/>
        <w:rPr>
          <w:rFonts w:asciiTheme="minorHAnsi" w:hAnsiTheme="minorHAnsi"/>
          <w:iCs/>
          <w:snapToGrid w:val="0"/>
        </w:rPr>
      </w:pPr>
      <w:r w:rsidRPr="007C0D91">
        <w:rPr>
          <w:rFonts w:asciiTheme="minorHAnsi" w:hAnsiTheme="minorHAnsi"/>
          <w:iCs/>
          <w:snapToGrid w:val="0"/>
        </w:rPr>
        <w:t>Pooled KM estimates of observed OS segregated by treatment class (</w:t>
      </w:r>
      <w:r w:rsidRPr="007C0D91">
        <w:rPr>
          <w:rFonts w:asciiTheme="minorHAnsi" w:hAnsiTheme="minorHAnsi"/>
          <w:iCs/>
          <w:snapToGrid w:val="0"/>
        </w:rPr>
        <w:fldChar w:fldCharType="begin"/>
      </w:r>
      <w:r w:rsidRPr="007C0D91">
        <w:rPr>
          <w:rFonts w:asciiTheme="minorHAnsi" w:hAnsiTheme="minorHAnsi"/>
          <w:iCs/>
          <w:snapToGrid w:val="0"/>
        </w:rPr>
        <w:instrText xml:space="preserve"> REF _Ref133745693 \h  \* MERGEFORMAT </w:instrText>
      </w:r>
      <w:r w:rsidRPr="007C0D91">
        <w:rPr>
          <w:rFonts w:asciiTheme="minorHAnsi" w:hAnsiTheme="minorHAnsi"/>
          <w:iCs/>
          <w:snapToGrid w:val="0"/>
        </w:rPr>
      </w:r>
      <w:r w:rsidRPr="007C0D91">
        <w:rPr>
          <w:rFonts w:asciiTheme="minorHAnsi" w:hAnsiTheme="minorHAnsi"/>
          <w:iCs/>
          <w:snapToGrid w:val="0"/>
        </w:rPr>
        <w:fldChar w:fldCharType="separate"/>
      </w:r>
      <w:r w:rsidR="00117491" w:rsidRPr="00117491">
        <w:rPr>
          <w:rFonts w:asciiTheme="minorHAnsi" w:hAnsiTheme="minorHAnsi"/>
          <w:iCs/>
          <w:snapToGrid w:val="0"/>
        </w:rPr>
        <w:t>Figure 3</w:t>
      </w:r>
      <w:r w:rsidRPr="007C0D91">
        <w:rPr>
          <w:rFonts w:asciiTheme="minorHAnsi" w:hAnsiTheme="minorHAnsi"/>
          <w:iCs/>
          <w:snapToGrid w:val="0"/>
        </w:rPr>
        <w:fldChar w:fldCharType="end"/>
      </w:r>
      <w:r w:rsidRPr="007C0D91">
        <w:rPr>
          <w:rFonts w:asciiTheme="minorHAnsi" w:hAnsiTheme="minorHAnsi"/>
          <w:iCs/>
          <w:snapToGrid w:val="0"/>
        </w:rPr>
        <w:t xml:space="preserve"> and </w:t>
      </w:r>
      <w:r w:rsidRPr="007C0D91">
        <w:rPr>
          <w:rFonts w:asciiTheme="minorHAnsi" w:hAnsiTheme="minorHAnsi"/>
          <w:iCs/>
          <w:snapToGrid w:val="0"/>
        </w:rPr>
        <w:fldChar w:fldCharType="begin"/>
      </w:r>
      <w:r w:rsidRPr="007C0D91">
        <w:rPr>
          <w:rFonts w:asciiTheme="minorHAnsi" w:hAnsiTheme="minorHAnsi"/>
          <w:iCs/>
          <w:snapToGrid w:val="0"/>
        </w:rPr>
        <w:instrText xml:space="preserve"> REF _Ref133745726 \h  \* MERGEFORMAT </w:instrText>
      </w:r>
      <w:r w:rsidRPr="007C0D91">
        <w:rPr>
          <w:rFonts w:asciiTheme="minorHAnsi" w:hAnsiTheme="minorHAnsi"/>
          <w:iCs/>
          <w:snapToGrid w:val="0"/>
        </w:rPr>
      </w:r>
      <w:r w:rsidRPr="007C0D91">
        <w:rPr>
          <w:rFonts w:asciiTheme="minorHAnsi" w:hAnsiTheme="minorHAnsi"/>
          <w:iCs/>
          <w:snapToGrid w:val="0"/>
        </w:rPr>
        <w:fldChar w:fldCharType="separate"/>
      </w:r>
      <w:r w:rsidR="00117491" w:rsidRPr="00117491">
        <w:rPr>
          <w:rFonts w:asciiTheme="minorHAnsi" w:hAnsiTheme="minorHAnsi"/>
          <w:iCs/>
          <w:snapToGrid w:val="0"/>
        </w:rPr>
        <w:t>Table 9</w:t>
      </w:r>
      <w:r w:rsidRPr="007C0D91">
        <w:rPr>
          <w:rFonts w:asciiTheme="minorHAnsi" w:hAnsiTheme="minorHAnsi"/>
          <w:iCs/>
          <w:snapToGrid w:val="0"/>
        </w:rPr>
        <w:fldChar w:fldCharType="end"/>
      </w:r>
      <w:r w:rsidRPr="007C0D91">
        <w:rPr>
          <w:rFonts w:asciiTheme="minorHAnsi" w:hAnsiTheme="minorHAnsi"/>
          <w:iCs/>
          <w:snapToGrid w:val="0"/>
        </w:rPr>
        <w:t xml:space="preserve">) suggest patients treated with immunotherapies and TKIs had poor OS compared to patients treated with chemotherapy only. As </w:t>
      </w:r>
      <w:r w:rsidR="00CD39FF" w:rsidRPr="007C0D91">
        <w:rPr>
          <w:rFonts w:asciiTheme="minorHAnsi" w:hAnsiTheme="minorHAnsi"/>
          <w:iCs/>
          <w:snapToGrid w:val="0"/>
        </w:rPr>
        <w:t xml:space="preserve">the </w:t>
      </w:r>
      <w:r w:rsidRPr="007C0D91">
        <w:rPr>
          <w:rFonts w:asciiTheme="minorHAnsi" w:hAnsiTheme="minorHAnsi"/>
          <w:iCs/>
          <w:snapToGrid w:val="0"/>
        </w:rPr>
        <w:t>number of patients in these subgroups (n = 65) are higher than the patients treated with chemotherapy only (n = 23), survival estimates from pooled SOC (from studies 5002 and 5008 with all treatments) applied in the model are dominated by immunotherapies and TKIs. This brings down the OS in the comparator arm and overestimating the incremental benefit. Th</w:t>
      </w:r>
      <w:r w:rsidR="002D31CC" w:rsidRPr="007C0D91">
        <w:rPr>
          <w:rFonts w:asciiTheme="minorHAnsi" w:hAnsiTheme="minorHAnsi"/>
          <w:iCs/>
          <w:snapToGrid w:val="0"/>
        </w:rPr>
        <w:t>e evaluation considered this</w:t>
      </w:r>
      <w:r w:rsidRPr="007C0D91">
        <w:rPr>
          <w:rFonts w:asciiTheme="minorHAnsi" w:hAnsiTheme="minorHAnsi"/>
          <w:iCs/>
          <w:snapToGrid w:val="0"/>
        </w:rPr>
        <w:t xml:space="preserve"> favour</w:t>
      </w:r>
      <w:r w:rsidR="006D6593" w:rsidRPr="007C0D91">
        <w:rPr>
          <w:rFonts w:asciiTheme="minorHAnsi" w:hAnsiTheme="minorHAnsi"/>
          <w:iCs/>
          <w:snapToGrid w:val="0"/>
        </w:rPr>
        <w:t>ed</w:t>
      </w:r>
      <w:r w:rsidRPr="007C0D91">
        <w:rPr>
          <w:rFonts w:asciiTheme="minorHAnsi" w:hAnsiTheme="minorHAnsi"/>
          <w:iCs/>
          <w:snapToGrid w:val="0"/>
        </w:rPr>
        <w:t xml:space="preserve"> mobocertinib. Consequently, applicability of the pooled survival results from these studies based on all treatments is uncertain. </w:t>
      </w:r>
      <w:r w:rsidR="006D6593" w:rsidRPr="007C0D91">
        <w:rPr>
          <w:iCs/>
        </w:rPr>
        <w:t>The PSCR stated the base case analysis in the resubmission captured the intent of the PBAC</w:t>
      </w:r>
      <w:r w:rsidR="00A1196F" w:rsidRPr="007C0D91">
        <w:rPr>
          <w:iCs/>
        </w:rPr>
        <w:t>’</w:t>
      </w:r>
      <w:r w:rsidR="006D6593" w:rsidRPr="007C0D91">
        <w:rPr>
          <w:iCs/>
        </w:rPr>
        <w:t xml:space="preserve">s desire for a comparison against chemotherapy by assigning chemotherapy as the proxy for the cost of SOC. The PSCR argued that irrespective of the choice of survival curves, the choice of comparator costs </w:t>
      </w:r>
      <w:r w:rsidR="00A1196F" w:rsidRPr="007C0D91">
        <w:rPr>
          <w:iCs/>
        </w:rPr>
        <w:t>wa</w:t>
      </w:r>
      <w:r w:rsidR="006D6593" w:rsidRPr="007C0D91">
        <w:rPr>
          <w:iCs/>
        </w:rPr>
        <w:t xml:space="preserve">s a greater driver of the ICER. </w:t>
      </w:r>
      <w:r w:rsidR="00A1196F" w:rsidRPr="007C0D91">
        <w:rPr>
          <w:iCs/>
        </w:rPr>
        <w:t>T</w:t>
      </w:r>
      <w:r w:rsidR="006D6593" w:rsidRPr="007C0D91">
        <w:rPr>
          <w:iCs/>
        </w:rPr>
        <w:t xml:space="preserve">he PSCR </w:t>
      </w:r>
      <w:r w:rsidR="00A1196F" w:rsidRPr="007C0D91">
        <w:rPr>
          <w:iCs/>
        </w:rPr>
        <w:t>stated</w:t>
      </w:r>
      <w:r w:rsidR="006D6593" w:rsidRPr="007C0D91">
        <w:rPr>
          <w:iCs/>
        </w:rPr>
        <w:t xml:space="preserve"> that VLCR data indicated</w:t>
      </w:r>
      <w:r w:rsidR="00A1196F" w:rsidRPr="007C0D91">
        <w:rPr>
          <w:iCs/>
        </w:rPr>
        <w:t xml:space="preserve"> </w:t>
      </w:r>
      <w:r w:rsidR="006D6593" w:rsidRPr="007C0D91">
        <w:rPr>
          <w:iCs/>
        </w:rPr>
        <w:t>ICI treatment is used</w:t>
      </w:r>
      <w:r w:rsidR="00A1196F" w:rsidRPr="007C0D91">
        <w:rPr>
          <w:iCs/>
        </w:rPr>
        <w:t xml:space="preserve"> in</w:t>
      </w:r>
      <w:r w:rsidR="006D6593" w:rsidRPr="007C0D91">
        <w:rPr>
          <w:iCs/>
        </w:rPr>
        <w:t xml:space="preserve"> this patient population and </w:t>
      </w:r>
      <w:r w:rsidR="00A1196F" w:rsidRPr="007C0D91">
        <w:rPr>
          <w:iCs/>
        </w:rPr>
        <w:t>highlighted that increasing the use of immunotherapies in the cost of the comparator would reduce the ICER.</w:t>
      </w:r>
      <w:r w:rsidR="006D6593" w:rsidRPr="007C0D91">
        <w:rPr>
          <w:iCs/>
        </w:rPr>
        <w:t xml:space="preserve"> The ESC noted the November 2022 PBAC advice was not to assign chemotherapy as the proxy for the cost of SOC but to consider chemotherapy as SOC. </w:t>
      </w:r>
      <w:r w:rsidR="00A1196F" w:rsidRPr="007C0D91">
        <w:rPr>
          <w:iCs/>
        </w:rPr>
        <w:t xml:space="preserve">In addition, the ESC noted that there is limited evidence regarding the benefit of ICI monotherapy in the proposed target population and current treatment guidelines do not recommend ICI treatments in </w:t>
      </w:r>
      <w:r w:rsidR="00FB0DBF" w:rsidRPr="00FB0DBF">
        <w:rPr>
          <w:i/>
          <w:iCs/>
        </w:rPr>
        <w:t>EGFR</w:t>
      </w:r>
      <w:r w:rsidR="00A1196F" w:rsidRPr="007C0D91">
        <w:rPr>
          <w:iCs/>
        </w:rPr>
        <w:t xml:space="preserve"> positive tumours. The ESC agreed with the evaluation that use in the model of survival estimates from pooled SOC favoured mobocertinib. </w:t>
      </w:r>
      <w:r w:rsidR="006D6593" w:rsidRPr="007C0D91">
        <w:rPr>
          <w:iCs/>
        </w:rPr>
        <w:t>Therefore, the ESC considered both the survival estimates and costs in the comparator arm should be based on chemotherapy alone.</w:t>
      </w:r>
      <w:r w:rsidR="0090090C" w:rsidRPr="007C0D91">
        <w:rPr>
          <w:iCs/>
        </w:rPr>
        <w:t xml:space="preserve"> </w:t>
      </w:r>
      <w:r w:rsidR="00B0675E" w:rsidRPr="007C0D91">
        <w:rPr>
          <w:iCs/>
        </w:rPr>
        <w:t xml:space="preserve">The pre-PBAC response argued that </w:t>
      </w:r>
      <w:r w:rsidR="00B0675E" w:rsidRPr="007C0D91">
        <w:rPr>
          <w:rStyle w:val="eop"/>
          <w:color w:val="000000"/>
          <w:shd w:val="clear" w:color="auto" w:fill="FFFFFF"/>
        </w:rPr>
        <w:t xml:space="preserve">limiting the analysis to the 23/93 patients receiving chemotherapy, means that inferences are being made about the relative merits of individual treatments. The pre-PBAC response </w:t>
      </w:r>
      <w:r w:rsidR="001C48A5" w:rsidRPr="007C0D91">
        <w:rPr>
          <w:rStyle w:val="eop"/>
          <w:color w:val="000000"/>
          <w:shd w:val="clear" w:color="auto" w:fill="FFFFFF"/>
        </w:rPr>
        <w:t>stated</w:t>
      </w:r>
      <w:r w:rsidR="00B0675E" w:rsidRPr="007C0D91">
        <w:rPr>
          <w:rStyle w:val="eop"/>
          <w:color w:val="000000"/>
          <w:shd w:val="clear" w:color="auto" w:fill="FFFFFF"/>
        </w:rPr>
        <w:t xml:space="preserve"> that </w:t>
      </w:r>
      <w:r w:rsidR="00B0675E" w:rsidRPr="007C0D91">
        <w:t>relying on the underpowered subgroup analyses leads to the conclusion that chemotherapy is superior to all other non-chemotherapy agents in the SOC arm in this setting</w:t>
      </w:r>
      <w:r w:rsidR="001C48A5" w:rsidRPr="007C0D91">
        <w:t xml:space="preserve"> which the sponsor argued was untrue</w:t>
      </w:r>
      <w:r w:rsidR="00B0675E" w:rsidRPr="007C0D91">
        <w:t xml:space="preserve">. </w:t>
      </w:r>
    </w:p>
    <w:p w14:paraId="797375E4" w14:textId="2EDCD184" w:rsidR="0071626A" w:rsidRPr="007C0D91" w:rsidRDefault="0071626A" w:rsidP="0071626A">
      <w:pPr>
        <w:keepNext/>
        <w:jc w:val="left"/>
        <w:rPr>
          <w:rFonts w:ascii="Arial Narrow" w:eastAsiaTheme="majorEastAsia" w:hAnsi="Arial Narrow" w:cstheme="majorBidi"/>
          <w:bCs/>
          <w:sz w:val="20"/>
        </w:rPr>
      </w:pPr>
      <w:bookmarkStart w:id="67" w:name="_Ref133745693"/>
      <w:r w:rsidRPr="007C0D91">
        <w:rPr>
          <w:rFonts w:ascii="Arial Narrow" w:eastAsiaTheme="majorEastAsia" w:hAnsi="Arial Narrow" w:cstheme="majorBidi"/>
          <w:b/>
          <w:bCs/>
          <w:sz w:val="20"/>
        </w:rPr>
        <w:lastRenderedPageBreak/>
        <w:t xml:space="preserve">Figure </w:t>
      </w:r>
      <w:r w:rsidRPr="007C0D91">
        <w:rPr>
          <w:rFonts w:ascii="Arial Narrow" w:eastAsiaTheme="majorEastAsia" w:hAnsi="Arial Narrow" w:cstheme="majorBidi"/>
          <w:b/>
          <w:bCs/>
          <w:sz w:val="20"/>
        </w:rPr>
        <w:fldChar w:fldCharType="begin"/>
      </w:r>
      <w:r w:rsidRPr="007C0D91">
        <w:rPr>
          <w:rFonts w:ascii="Arial Narrow" w:eastAsiaTheme="majorEastAsia" w:hAnsi="Arial Narrow" w:cstheme="majorBidi"/>
          <w:b/>
          <w:bCs/>
          <w:sz w:val="20"/>
        </w:rPr>
        <w:instrText xml:space="preserve"> SEQ Figure \* ARABIC </w:instrText>
      </w:r>
      <w:r w:rsidRPr="007C0D91">
        <w:rPr>
          <w:rFonts w:ascii="Arial Narrow" w:eastAsiaTheme="majorEastAsia" w:hAnsi="Arial Narrow" w:cstheme="majorBidi"/>
          <w:b/>
          <w:bCs/>
          <w:sz w:val="20"/>
        </w:rPr>
        <w:fldChar w:fldCharType="separate"/>
      </w:r>
      <w:r w:rsidR="00117491">
        <w:rPr>
          <w:rFonts w:ascii="Arial Narrow" w:eastAsiaTheme="majorEastAsia" w:hAnsi="Arial Narrow" w:cstheme="majorBidi"/>
          <w:b/>
          <w:bCs/>
          <w:noProof/>
          <w:sz w:val="20"/>
        </w:rPr>
        <w:t>3</w:t>
      </w:r>
      <w:r w:rsidRPr="007C0D91">
        <w:rPr>
          <w:rFonts w:ascii="Arial Narrow" w:eastAsiaTheme="majorEastAsia" w:hAnsi="Arial Narrow" w:cstheme="majorBidi"/>
          <w:b/>
          <w:bCs/>
          <w:sz w:val="20"/>
        </w:rPr>
        <w:fldChar w:fldCharType="end"/>
      </w:r>
      <w:bookmarkEnd w:id="67"/>
      <w:r w:rsidRPr="007C0D91">
        <w:rPr>
          <w:rFonts w:ascii="Arial Narrow" w:eastAsiaTheme="majorEastAsia" w:hAnsi="Arial Narrow" w:cstheme="majorBidi"/>
          <w:b/>
          <w:bCs/>
          <w:sz w:val="20"/>
        </w:rPr>
        <w:t xml:space="preserve">: Pooled KM estimates of observed OS segregated by treatment </w:t>
      </w:r>
      <w:proofErr w:type="gramStart"/>
      <w:r w:rsidRPr="007C0D91">
        <w:rPr>
          <w:rFonts w:ascii="Arial Narrow" w:eastAsiaTheme="majorEastAsia" w:hAnsi="Arial Narrow" w:cstheme="majorBidi"/>
          <w:b/>
          <w:bCs/>
          <w:sz w:val="20"/>
        </w:rPr>
        <w:t>class</w:t>
      </w:r>
      <w:proofErr w:type="gramEnd"/>
    </w:p>
    <w:p w14:paraId="5D7EB1A6" w14:textId="77777777" w:rsidR="0071626A" w:rsidRPr="007C0D91" w:rsidRDefault="0071626A" w:rsidP="0071626A">
      <w:pPr>
        <w:keepNext/>
        <w:keepLines/>
        <w:rPr>
          <w:rFonts w:ascii="Arial Narrow" w:hAnsi="Arial Narrow"/>
          <w:bCs/>
          <w:sz w:val="20"/>
          <w:szCs w:val="18"/>
        </w:rPr>
      </w:pPr>
      <w:r w:rsidRPr="007C0D91">
        <w:rPr>
          <w:rFonts w:ascii="Arial Narrow" w:hAnsi="Arial Narrow"/>
          <w:b/>
          <w:bCs/>
          <w:noProof/>
          <w:sz w:val="20"/>
          <w:szCs w:val="18"/>
        </w:rPr>
        <w:drawing>
          <wp:inline distT="0" distB="0" distL="0" distR="0" wp14:anchorId="7F4B3945" wp14:editId="03E0F93E">
            <wp:extent cx="5334000" cy="3381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381375"/>
                    </a:xfrm>
                    <a:prstGeom prst="rect">
                      <a:avLst/>
                    </a:prstGeom>
                    <a:noFill/>
                    <a:ln>
                      <a:noFill/>
                    </a:ln>
                  </pic:spPr>
                </pic:pic>
              </a:graphicData>
            </a:graphic>
          </wp:inline>
        </w:drawing>
      </w:r>
    </w:p>
    <w:p w14:paraId="60721707" w14:textId="77777777" w:rsidR="0071626A" w:rsidRPr="007C0D91" w:rsidRDefault="0071626A" w:rsidP="009B3FAF">
      <w:pPr>
        <w:widowControl w:val="0"/>
        <w:spacing w:after="120"/>
        <w:rPr>
          <w:rFonts w:ascii="Arial Narrow" w:hAnsi="Arial Narrow"/>
          <w:sz w:val="18"/>
        </w:rPr>
      </w:pPr>
      <w:r w:rsidRPr="007C0D91">
        <w:rPr>
          <w:rFonts w:ascii="Arial Narrow" w:hAnsi="Arial Narrow"/>
          <w:sz w:val="18"/>
        </w:rPr>
        <w:t>Source: Attachment 1 provided with the resubmission</w:t>
      </w:r>
    </w:p>
    <w:p w14:paraId="1E8D2ABF" w14:textId="581D9E6C" w:rsidR="0071626A" w:rsidRPr="007C0D91" w:rsidRDefault="0071626A" w:rsidP="0071626A">
      <w:pPr>
        <w:keepNext/>
        <w:jc w:val="left"/>
        <w:rPr>
          <w:rFonts w:ascii="Arial Narrow" w:eastAsiaTheme="majorEastAsia" w:hAnsi="Arial Narrow" w:cstheme="majorBidi"/>
          <w:bCs/>
          <w:sz w:val="20"/>
          <w:lang w:eastAsia="en-US"/>
        </w:rPr>
      </w:pPr>
      <w:bookmarkStart w:id="68" w:name="_Ref133745726"/>
      <w:r w:rsidRPr="007C0D91">
        <w:rPr>
          <w:rFonts w:ascii="Arial Narrow" w:eastAsiaTheme="majorEastAsia" w:hAnsi="Arial Narrow" w:cstheme="majorBidi"/>
          <w:b/>
          <w:bCs/>
          <w:sz w:val="20"/>
        </w:rPr>
        <w:t xml:space="preserve">Table </w:t>
      </w:r>
      <w:r w:rsidRPr="007C0D91">
        <w:rPr>
          <w:rFonts w:ascii="Arial Narrow" w:eastAsiaTheme="majorEastAsia" w:hAnsi="Arial Narrow" w:cstheme="majorBidi"/>
          <w:b/>
          <w:bCs/>
          <w:sz w:val="20"/>
        </w:rPr>
        <w:fldChar w:fldCharType="begin"/>
      </w:r>
      <w:r w:rsidRPr="007C0D91">
        <w:rPr>
          <w:rFonts w:ascii="Arial Narrow" w:eastAsiaTheme="majorEastAsia" w:hAnsi="Arial Narrow" w:cstheme="majorBidi"/>
          <w:b/>
          <w:bCs/>
          <w:sz w:val="20"/>
        </w:rPr>
        <w:instrText xml:space="preserve"> SEQ Table \* ARABIC </w:instrText>
      </w:r>
      <w:r w:rsidRPr="007C0D91">
        <w:rPr>
          <w:rFonts w:ascii="Arial Narrow" w:eastAsiaTheme="majorEastAsia" w:hAnsi="Arial Narrow" w:cstheme="majorBidi"/>
          <w:b/>
          <w:bCs/>
          <w:sz w:val="20"/>
        </w:rPr>
        <w:fldChar w:fldCharType="separate"/>
      </w:r>
      <w:r w:rsidR="00117491">
        <w:rPr>
          <w:rFonts w:ascii="Arial Narrow" w:eastAsiaTheme="majorEastAsia" w:hAnsi="Arial Narrow" w:cstheme="majorBidi"/>
          <w:b/>
          <w:bCs/>
          <w:noProof/>
          <w:sz w:val="20"/>
        </w:rPr>
        <w:t>9</w:t>
      </w:r>
      <w:r w:rsidRPr="007C0D91">
        <w:rPr>
          <w:rFonts w:ascii="Arial Narrow" w:eastAsiaTheme="majorEastAsia" w:hAnsi="Arial Narrow" w:cstheme="majorBidi"/>
          <w:b/>
          <w:bCs/>
          <w:sz w:val="20"/>
        </w:rPr>
        <w:fldChar w:fldCharType="end"/>
      </w:r>
      <w:bookmarkEnd w:id="68"/>
      <w:r w:rsidRPr="007C0D91">
        <w:rPr>
          <w:rFonts w:ascii="Arial Narrow" w:eastAsiaTheme="majorEastAsia" w:hAnsi="Arial Narrow" w:cstheme="majorBidi"/>
          <w:b/>
          <w:bCs/>
          <w:sz w:val="20"/>
        </w:rPr>
        <w:t>: Median overall survival by treatment class</w:t>
      </w:r>
      <w:r w:rsidRPr="007C0D91">
        <w:rPr>
          <w:rFonts w:ascii="Arial Narrow" w:eastAsiaTheme="majorEastAsia" w:hAnsi="Arial Narrow" w:cstheme="majorBidi"/>
          <w:bCs/>
          <w:sz w:val="20"/>
          <w:lang w:eastAsia="en-US"/>
        </w:rPr>
        <w:t xml:space="preserve"> </w:t>
      </w:r>
    </w:p>
    <w:tbl>
      <w:tblPr>
        <w:tblStyle w:val="Table"/>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752"/>
        <w:gridCol w:w="759"/>
        <w:gridCol w:w="747"/>
        <w:gridCol w:w="1262"/>
        <w:gridCol w:w="1430"/>
        <w:gridCol w:w="1035"/>
        <w:gridCol w:w="1032"/>
      </w:tblGrid>
      <w:tr w:rsidR="0071626A" w:rsidRPr="007C0D91" w14:paraId="4FAE0D77" w14:textId="77777777" w:rsidTr="00646849">
        <w:trPr>
          <w:cnfStyle w:val="100000000000" w:firstRow="1" w:lastRow="0" w:firstColumn="0" w:lastColumn="0" w:oddVBand="0" w:evenVBand="0" w:oddHBand="0" w:evenHBand="0" w:firstRowFirstColumn="0" w:firstRowLastColumn="0" w:lastRowFirstColumn="0" w:lastRowLastColumn="0"/>
          <w:trHeight w:val="218"/>
          <w:tblHeader/>
          <w:jc w:val="center"/>
        </w:trPr>
        <w:tc>
          <w:tcPr>
            <w:tcW w:w="1526" w:type="pct"/>
            <w:shd w:val="clear" w:color="auto" w:fill="FFFFFF"/>
            <w:tcMar>
              <w:top w:w="0" w:type="dxa"/>
              <w:left w:w="0" w:type="dxa"/>
              <w:bottom w:w="0" w:type="dxa"/>
              <w:right w:w="0" w:type="dxa"/>
            </w:tcMar>
            <w:vAlign w:val="center"/>
            <w:hideMark/>
          </w:tcPr>
          <w:p w14:paraId="28ADB250" w14:textId="77777777" w:rsidR="0071626A" w:rsidRPr="007C0D91" w:rsidRDefault="0071626A" w:rsidP="00646849">
            <w:pPr>
              <w:spacing w:after="0"/>
              <w:jc w:val="left"/>
              <w:rPr>
                <w:rFonts w:ascii="Arial Narrow" w:hAnsi="Arial Narrow"/>
                <w:b/>
                <w:snapToGrid w:val="0"/>
                <w:color w:val="000000"/>
                <w:sz w:val="20"/>
                <w:szCs w:val="20"/>
                <w:lang w:val="en-AU"/>
              </w:rPr>
            </w:pPr>
            <w:r w:rsidRPr="007C0D91">
              <w:rPr>
                <w:rFonts w:ascii="Arial Narrow" w:hAnsi="Arial Narrow"/>
                <w:b/>
                <w:snapToGrid w:val="0"/>
                <w:color w:val="000000"/>
                <w:sz w:val="20"/>
                <w:szCs w:val="20"/>
                <w:lang w:val="en-AU"/>
              </w:rPr>
              <w:t>Comparison</w:t>
            </w:r>
          </w:p>
        </w:tc>
        <w:tc>
          <w:tcPr>
            <w:tcW w:w="421" w:type="pct"/>
            <w:shd w:val="clear" w:color="auto" w:fill="FFFFFF"/>
            <w:tcMar>
              <w:top w:w="0" w:type="dxa"/>
              <w:left w:w="0" w:type="dxa"/>
              <w:bottom w:w="0" w:type="dxa"/>
              <w:right w:w="0" w:type="dxa"/>
            </w:tcMar>
            <w:vAlign w:val="center"/>
            <w:hideMark/>
          </w:tcPr>
          <w:p w14:paraId="2A9E6122" w14:textId="77777777" w:rsidR="0071626A" w:rsidRPr="007C0D91" w:rsidRDefault="0071626A" w:rsidP="00646849">
            <w:pPr>
              <w:spacing w:after="0"/>
              <w:jc w:val="left"/>
              <w:rPr>
                <w:rFonts w:ascii="Arial Narrow" w:hAnsi="Arial Narrow"/>
                <w:b/>
                <w:snapToGrid w:val="0"/>
                <w:color w:val="000000"/>
                <w:sz w:val="20"/>
                <w:szCs w:val="20"/>
                <w:lang w:val="en-AU"/>
              </w:rPr>
            </w:pPr>
            <w:r w:rsidRPr="007C0D91">
              <w:rPr>
                <w:rFonts w:ascii="Arial Narrow" w:hAnsi="Arial Narrow"/>
                <w:b/>
                <w:snapToGrid w:val="0"/>
                <w:color w:val="000000"/>
                <w:sz w:val="20"/>
                <w:szCs w:val="20"/>
                <w:lang w:val="en-AU"/>
              </w:rPr>
              <w:t>Records</w:t>
            </w:r>
          </w:p>
        </w:tc>
        <w:tc>
          <w:tcPr>
            <w:tcW w:w="414" w:type="pct"/>
            <w:shd w:val="clear" w:color="auto" w:fill="FFFFFF"/>
            <w:tcMar>
              <w:top w:w="0" w:type="dxa"/>
              <w:left w:w="0" w:type="dxa"/>
              <w:bottom w:w="0" w:type="dxa"/>
              <w:right w:w="0" w:type="dxa"/>
            </w:tcMar>
            <w:vAlign w:val="center"/>
            <w:hideMark/>
          </w:tcPr>
          <w:p w14:paraId="1901266D" w14:textId="77777777" w:rsidR="0071626A" w:rsidRPr="007C0D91" w:rsidRDefault="0071626A" w:rsidP="00646849">
            <w:pPr>
              <w:spacing w:after="0"/>
              <w:jc w:val="left"/>
              <w:rPr>
                <w:rFonts w:ascii="Arial Narrow" w:hAnsi="Arial Narrow"/>
                <w:b/>
                <w:snapToGrid w:val="0"/>
                <w:color w:val="000000"/>
                <w:sz w:val="20"/>
                <w:szCs w:val="20"/>
                <w:lang w:val="en-AU"/>
              </w:rPr>
            </w:pPr>
            <w:r w:rsidRPr="007C0D91">
              <w:rPr>
                <w:rFonts w:ascii="Arial Narrow" w:hAnsi="Arial Narrow"/>
                <w:b/>
                <w:snapToGrid w:val="0"/>
                <w:color w:val="000000"/>
                <w:sz w:val="20"/>
                <w:szCs w:val="20"/>
                <w:lang w:val="en-AU"/>
              </w:rPr>
              <w:t>N. Max</w:t>
            </w:r>
          </w:p>
        </w:tc>
        <w:tc>
          <w:tcPr>
            <w:tcW w:w="700" w:type="pct"/>
            <w:shd w:val="clear" w:color="auto" w:fill="FFFFFF"/>
            <w:tcMar>
              <w:top w:w="0" w:type="dxa"/>
              <w:left w:w="0" w:type="dxa"/>
              <w:bottom w:w="0" w:type="dxa"/>
              <w:right w:w="0" w:type="dxa"/>
            </w:tcMar>
            <w:vAlign w:val="center"/>
            <w:hideMark/>
          </w:tcPr>
          <w:p w14:paraId="5C2BEB9A" w14:textId="77777777" w:rsidR="0071626A" w:rsidRPr="007C0D91" w:rsidRDefault="0071626A" w:rsidP="00646849">
            <w:pPr>
              <w:spacing w:after="0"/>
              <w:jc w:val="left"/>
              <w:rPr>
                <w:rFonts w:ascii="Arial Narrow" w:hAnsi="Arial Narrow"/>
                <w:b/>
                <w:snapToGrid w:val="0"/>
                <w:color w:val="000000"/>
                <w:sz w:val="20"/>
                <w:szCs w:val="20"/>
                <w:lang w:val="en-AU"/>
              </w:rPr>
            </w:pPr>
            <w:r w:rsidRPr="007C0D91">
              <w:rPr>
                <w:rFonts w:ascii="Arial Narrow" w:hAnsi="Arial Narrow"/>
                <w:b/>
                <w:snapToGrid w:val="0"/>
                <w:color w:val="000000"/>
                <w:sz w:val="20"/>
                <w:szCs w:val="20"/>
                <w:lang w:val="en-AU"/>
              </w:rPr>
              <w:t>Number of events</w:t>
            </w:r>
          </w:p>
        </w:tc>
        <w:tc>
          <w:tcPr>
            <w:tcW w:w="793" w:type="pct"/>
            <w:shd w:val="clear" w:color="auto" w:fill="FFFFFF"/>
            <w:tcMar>
              <w:top w:w="0" w:type="dxa"/>
              <w:left w:w="0" w:type="dxa"/>
              <w:bottom w:w="0" w:type="dxa"/>
              <w:right w:w="0" w:type="dxa"/>
            </w:tcMar>
            <w:vAlign w:val="center"/>
            <w:hideMark/>
          </w:tcPr>
          <w:p w14:paraId="1BFA6224" w14:textId="77777777" w:rsidR="0071626A" w:rsidRPr="007C0D91" w:rsidRDefault="0071626A" w:rsidP="00646849">
            <w:pPr>
              <w:spacing w:after="0"/>
              <w:jc w:val="left"/>
              <w:rPr>
                <w:rFonts w:ascii="Arial Narrow" w:hAnsi="Arial Narrow"/>
                <w:b/>
                <w:snapToGrid w:val="0"/>
                <w:color w:val="000000"/>
                <w:sz w:val="20"/>
                <w:szCs w:val="20"/>
                <w:lang w:val="en-AU"/>
              </w:rPr>
            </w:pPr>
            <w:r w:rsidRPr="007C0D91">
              <w:rPr>
                <w:rFonts w:ascii="Arial Narrow" w:hAnsi="Arial Narrow"/>
                <w:b/>
                <w:snapToGrid w:val="0"/>
                <w:color w:val="000000"/>
                <w:sz w:val="20"/>
                <w:szCs w:val="20"/>
                <w:lang w:val="en-AU"/>
              </w:rPr>
              <w:t>Median time to event</w:t>
            </w:r>
          </w:p>
        </w:tc>
        <w:tc>
          <w:tcPr>
            <w:tcW w:w="574" w:type="pct"/>
            <w:shd w:val="clear" w:color="auto" w:fill="FFFFFF"/>
            <w:tcMar>
              <w:top w:w="0" w:type="dxa"/>
              <w:left w:w="0" w:type="dxa"/>
              <w:bottom w:w="0" w:type="dxa"/>
              <w:right w:w="0" w:type="dxa"/>
            </w:tcMar>
            <w:vAlign w:val="center"/>
            <w:hideMark/>
          </w:tcPr>
          <w:p w14:paraId="6F93C7D5" w14:textId="77777777" w:rsidR="0071626A" w:rsidRPr="007C0D91" w:rsidRDefault="0071626A" w:rsidP="00646849">
            <w:pPr>
              <w:spacing w:after="0"/>
              <w:jc w:val="left"/>
              <w:rPr>
                <w:rFonts w:ascii="Arial Narrow" w:hAnsi="Arial Narrow"/>
                <w:b/>
                <w:snapToGrid w:val="0"/>
                <w:color w:val="000000"/>
                <w:sz w:val="20"/>
                <w:szCs w:val="20"/>
                <w:lang w:val="en-AU"/>
              </w:rPr>
            </w:pPr>
            <w:r w:rsidRPr="007C0D91">
              <w:rPr>
                <w:rFonts w:ascii="Arial Narrow" w:hAnsi="Arial Narrow"/>
                <w:b/>
                <w:snapToGrid w:val="0"/>
                <w:color w:val="000000"/>
                <w:sz w:val="20"/>
                <w:szCs w:val="20"/>
                <w:lang w:val="en-AU"/>
              </w:rPr>
              <w:t>Lower 95%CI</w:t>
            </w:r>
          </w:p>
        </w:tc>
        <w:tc>
          <w:tcPr>
            <w:tcW w:w="572" w:type="pct"/>
            <w:shd w:val="clear" w:color="auto" w:fill="FFFFFF"/>
            <w:tcMar>
              <w:top w:w="0" w:type="dxa"/>
              <w:left w:w="0" w:type="dxa"/>
              <w:bottom w:w="0" w:type="dxa"/>
              <w:right w:w="0" w:type="dxa"/>
            </w:tcMar>
            <w:vAlign w:val="center"/>
            <w:hideMark/>
          </w:tcPr>
          <w:p w14:paraId="13661E88" w14:textId="77777777" w:rsidR="0071626A" w:rsidRPr="007C0D91" w:rsidRDefault="0071626A" w:rsidP="00646849">
            <w:pPr>
              <w:spacing w:after="0"/>
              <w:jc w:val="left"/>
              <w:rPr>
                <w:rFonts w:ascii="Arial Narrow" w:hAnsi="Arial Narrow"/>
                <w:b/>
                <w:snapToGrid w:val="0"/>
                <w:color w:val="000000"/>
                <w:sz w:val="20"/>
                <w:szCs w:val="20"/>
                <w:lang w:val="en-AU"/>
              </w:rPr>
            </w:pPr>
            <w:r w:rsidRPr="007C0D91">
              <w:rPr>
                <w:rFonts w:ascii="Arial Narrow" w:hAnsi="Arial Narrow"/>
                <w:b/>
                <w:snapToGrid w:val="0"/>
                <w:color w:val="000000"/>
                <w:sz w:val="20"/>
                <w:szCs w:val="20"/>
                <w:lang w:val="en-AU"/>
              </w:rPr>
              <w:t>Upper 95%CI</w:t>
            </w:r>
          </w:p>
        </w:tc>
      </w:tr>
      <w:tr w:rsidR="0071626A" w:rsidRPr="007C0D91" w14:paraId="06B7BA5E" w14:textId="77777777" w:rsidTr="00D43793">
        <w:trPr>
          <w:jc w:val="center"/>
        </w:trPr>
        <w:tc>
          <w:tcPr>
            <w:tcW w:w="1526" w:type="pct"/>
            <w:shd w:val="clear" w:color="auto" w:fill="FFFFFF"/>
            <w:tcMar>
              <w:top w:w="0" w:type="dxa"/>
              <w:left w:w="0" w:type="dxa"/>
              <w:bottom w:w="0" w:type="dxa"/>
              <w:right w:w="0" w:type="dxa"/>
            </w:tcMar>
            <w:vAlign w:val="center"/>
            <w:hideMark/>
          </w:tcPr>
          <w:p w14:paraId="634761B3"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Chemo only</w:t>
            </w:r>
          </w:p>
        </w:tc>
        <w:tc>
          <w:tcPr>
            <w:tcW w:w="421" w:type="pct"/>
            <w:shd w:val="clear" w:color="auto" w:fill="FFFFFF"/>
            <w:tcMar>
              <w:top w:w="0" w:type="dxa"/>
              <w:left w:w="0" w:type="dxa"/>
              <w:bottom w:w="0" w:type="dxa"/>
              <w:right w:w="0" w:type="dxa"/>
            </w:tcMar>
            <w:vAlign w:val="center"/>
            <w:hideMark/>
          </w:tcPr>
          <w:p w14:paraId="447BF734"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23.0000</w:t>
            </w:r>
          </w:p>
        </w:tc>
        <w:tc>
          <w:tcPr>
            <w:tcW w:w="414" w:type="pct"/>
            <w:shd w:val="clear" w:color="auto" w:fill="FFFFFF"/>
            <w:tcMar>
              <w:top w:w="0" w:type="dxa"/>
              <w:left w:w="0" w:type="dxa"/>
              <w:bottom w:w="0" w:type="dxa"/>
              <w:right w:w="0" w:type="dxa"/>
            </w:tcMar>
            <w:vAlign w:val="center"/>
            <w:hideMark/>
          </w:tcPr>
          <w:p w14:paraId="62C7644C"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23.0000</w:t>
            </w:r>
          </w:p>
        </w:tc>
        <w:tc>
          <w:tcPr>
            <w:tcW w:w="700" w:type="pct"/>
            <w:shd w:val="clear" w:color="auto" w:fill="FFFFFF"/>
            <w:tcMar>
              <w:top w:w="0" w:type="dxa"/>
              <w:left w:w="0" w:type="dxa"/>
              <w:bottom w:w="0" w:type="dxa"/>
              <w:right w:w="0" w:type="dxa"/>
            </w:tcMar>
            <w:vAlign w:val="center"/>
            <w:hideMark/>
          </w:tcPr>
          <w:p w14:paraId="165FB2B8"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17.0000</w:t>
            </w:r>
          </w:p>
        </w:tc>
        <w:tc>
          <w:tcPr>
            <w:tcW w:w="793" w:type="pct"/>
            <w:shd w:val="clear" w:color="auto" w:fill="FFFFFF"/>
            <w:tcMar>
              <w:top w:w="0" w:type="dxa"/>
              <w:left w:w="0" w:type="dxa"/>
              <w:bottom w:w="0" w:type="dxa"/>
              <w:right w:w="0" w:type="dxa"/>
            </w:tcMar>
            <w:vAlign w:val="center"/>
            <w:hideMark/>
          </w:tcPr>
          <w:p w14:paraId="70580107"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13.7002</w:t>
            </w:r>
          </w:p>
        </w:tc>
        <w:tc>
          <w:tcPr>
            <w:tcW w:w="574" w:type="pct"/>
            <w:shd w:val="clear" w:color="auto" w:fill="FFFFFF"/>
            <w:tcMar>
              <w:top w:w="0" w:type="dxa"/>
              <w:left w:w="0" w:type="dxa"/>
              <w:bottom w:w="0" w:type="dxa"/>
              <w:right w:w="0" w:type="dxa"/>
            </w:tcMar>
            <w:vAlign w:val="center"/>
            <w:hideMark/>
          </w:tcPr>
          <w:p w14:paraId="7B2C4E9E"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9.3963</w:t>
            </w:r>
          </w:p>
        </w:tc>
        <w:tc>
          <w:tcPr>
            <w:tcW w:w="572" w:type="pct"/>
            <w:shd w:val="clear" w:color="auto" w:fill="FFFFFF"/>
            <w:tcMar>
              <w:top w:w="0" w:type="dxa"/>
              <w:left w:w="0" w:type="dxa"/>
              <w:bottom w:w="0" w:type="dxa"/>
              <w:right w:w="0" w:type="dxa"/>
            </w:tcMar>
            <w:vAlign w:val="center"/>
            <w:hideMark/>
          </w:tcPr>
          <w:p w14:paraId="6DD104F2"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20.5996</w:t>
            </w:r>
          </w:p>
        </w:tc>
      </w:tr>
      <w:tr w:rsidR="0071626A" w:rsidRPr="007C0D91" w14:paraId="7BE81A8D" w14:textId="77777777" w:rsidTr="00D43793">
        <w:trPr>
          <w:jc w:val="center"/>
        </w:trPr>
        <w:tc>
          <w:tcPr>
            <w:tcW w:w="1526" w:type="pct"/>
            <w:shd w:val="clear" w:color="auto" w:fill="FFFFFF"/>
            <w:tcMar>
              <w:top w:w="0" w:type="dxa"/>
              <w:left w:w="0" w:type="dxa"/>
              <w:bottom w:w="0" w:type="dxa"/>
              <w:right w:w="0" w:type="dxa"/>
            </w:tcMar>
            <w:vAlign w:val="center"/>
            <w:hideMark/>
          </w:tcPr>
          <w:p w14:paraId="517564C4"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Chemo + bevacizumab</w:t>
            </w:r>
          </w:p>
        </w:tc>
        <w:tc>
          <w:tcPr>
            <w:tcW w:w="421" w:type="pct"/>
            <w:shd w:val="clear" w:color="auto" w:fill="FFFFFF"/>
            <w:tcMar>
              <w:top w:w="0" w:type="dxa"/>
              <w:left w:w="0" w:type="dxa"/>
              <w:bottom w:w="0" w:type="dxa"/>
              <w:right w:w="0" w:type="dxa"/>
            </w:tcMar>
            <w:vAlign w:val="center"/>
            <w:hideMark/>
          </w:tcPr>
          <w:p w14:paraId="1FA78B05"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 xml:space="preserve"> 5.0000</w:t>
            </w:r>
          </w:p>
        </w:tc>
        <w:tc>
          <w:tcPr>
            <w:tcW w:w="414" w:type="pct"/>
            <w:shd w:val="clear" w:color="auto" w:fill="FFFFFF"/>
            <w:tcMar>
              <w:top w:w="0" w:type="dxa"/>
              <w:left w:w="0" w:type="dxa"/>
              <w:bottom w:w="0" w:type="dxa"/>
              <w:right w:w="0" w:type="dxa"/>
            </w:tcMar>
            <w:vAlign w:val="center"/>
            <w:hideMark/>
          </w:tcPr>
          <w:p w14:paraId="798D1428"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 xml:space="preserve"> 5.0000</w:t>
            </w:r>
          </w:p>
        </w:tc>
        <w:tc>
          <w:tcPr>
            <w:tcW w:w="700" w:type="pct"/>
            <w:shd w:val="clear" w:color="auto" w:fill="FFFFFF"/>
            <w:tcMar>
              <w:top w:w="0" w:type="dxa"/>
              <w:left w:w="0" w:type="dxa"/>
              <w:bottom w:w="0" w:type="dxa"/>
              <w:right w:w="0" w:type="dxa"/>
            </w:tcMar>
            <w:vAlign w:val="center"/>
            <w:hideMark/>
          </w:tcPr>
          <w:p w14:paraId="344B3E77"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 xml:space="preserve"> 5.0000</w:t>
            </w:r>
          </w:p>
        </w:tc>
        <w:tc>
          <w:tcPr>
            <w:tcW w:w="793" w:type="pct"/>
            <w:shd w:val="clear" w:color="auto" w:fill="FFFFFF"/>
            <w:tcMar>
              <w:top w:w="0" w:type="dxa"/>
              <w:left w:w="0" w:type="dxa"/>
              <w:bottom w:w="0" w:type="dxa"/>
              <w:right w:w="0" w:type="dxa"/>
            </w:tcMar>
            <w:vAlign w:val="center"/>
            <w:hideMark/>
          </w:tcPr>
          <w:p w14:paraId="45A81F7D"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20.0411</w:t>
            </w:r>
          </w:p>
        </w:tc>
        <w:tc>
          <w:tcPr>
            <w:tcW w:w="574" w:type="pct"/>
            <w:shd w:val="clear" w:color="auto" w:fill="FFFFFF"/>
            <w:tcMar>
              <w:top w:w="0" w:type="dxa"/>
              <w:left w:w="0" w:type="dxa"/>
              <w:bottom w:w="0" w:type="dxa"/>
              <w:right w:w="0" w:type="dxa"/>
            </w:tcMar>
            <w:vAlign w:val="center"/>
            <w:hideMark/>
          </w:tcPr>
          <w:p w14:paraId="5DCCEA75"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7.8850</w:t>
            </w:r>
          </w:p>
        </w:tc>
        <w:tc>
          <w:tcPr>
            <w:tcW w:w="572" w:type="pct"/>
            <w:shd w:val="clear" w:color="auto" w:fill="FFFFFF"/>
            <w:tcMar>
              <w:top w:w="0" w:type="dxa"/>
              <w:left w:w="0" w:type="dxa"/>
              <w:bottom w:w="0" w:type="dxa"/>
              <w:right w:w="0" w:type="dxa"/>
            </w:tcMar>
            <w:vAlign w:val="center"/>
            <w:hideMark/>
          </w:tcPr>
          <w:p w14:paraId="194B6180"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 xml:space="preserve">     NA</w:t>
            </w:r>
          </w:p>
        </w:tc>
      </w:tr>
      <w:tr w:rsidR="0071626A" w:rsidRPr="007C0D91" w14:paraId="1DBEF9BC" w14:textId="77777777" w:rsidTr="00D43793">
        <w:trPr>
          <w:jc w:val="center"/>
        </w:trPr>
        <w:tc>
          <w:tcPr>
            <w:tcW w:w="1526" w:type="pct"/>
            <w:shd w:val="clear" w:color="auto" w:fill="FFFFFF"/>
            <w:tcMar>
              <w:top w:w="0" w:type="dxa"/>
              <w:left w:w="0" w:type="dxa"/>
              <w:bottom w:w="0" w:type="dxa"/>
              <w:right w:w="0" w:type="dxa"/>
            </w:tcMar>
            <w:vAlign w:val="center"/>
            <w:hideMark/>
          </w:tcPr>
          <w:p w14:paraId="124F9620" w14:textId="28A1C85D"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 xml:space="preserve">Anything with IO, </w:t>
            </w:r>
            <w:r w:rsidR="00A676D8" w:rsidRPr="007C0D91">
              <w:rPr>
                <w:rFonts w:ascii="Arial Narrow" w:hAnsi="Arial Narrow"/>
                <w:snapToGrid w:val="0"/>
                <w:color w:val="000000"/>
                <w:sz w:val="20"/>
                <w:szCs w:val="20"/>
                <w:lang w:val="en-AU"/>
              </w:rPr>
              <w:t>ramucirumab</w:t>
            </w:r>
            <w:r w:rsidRPr="007C0D91">
              <w:rPr>
                <w:rFonts w:ascii="Arial Narrow" w:hAnsi="Arial Narrow"/>
                <w:snapToGrid w:val="0"/>
                <w:color w:val="000000"/>
                <w:sz w:val="20"/>
                <w:szCs w:val="20"/>
                <w:lang w:val="en-AU"/>
              </w:rPr>
              <w:t xml:space="preserve"> or nintedanib</w:t>
            </w:r>
          </w:p>
        </w:tc>
        <w:tc>
          <w:tcPr>
            <w:tcW w:w="421" w:type="pct"/>
            <w:shd w:val="clear" w:color="auto" w:fill="FFFFFF"/>
            <w:tcMar>
              <w:top w:w="0" w:type="dxa"/>
              <w:left w:w="0" w:type="dxa"/>
              <w:bottom w:w="0" w:type="dxa"/>
              <w:right w:w="0" w:type="dxa"/>
            </w:tcMar>
            <w:vAlign w:val="center"/>
            <w:hideMark/>
          </w:tcPr>
          <w:p w14:paraId="123F09B1"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39.0000</w:t>
            </w:r>
          </w:p>
        </w:tc>
        <w:tc>
          <w:tcPr>
            <w:tcW w:w="414" w:type="pct"/>
            <w:shd w:val="clear" w:color="auto" w:fill="FFFFFF"/>
            <w:tcMar>
              <w:top w:w="0" w:type="dxa"/>
              <w:left w:w="0" w:type="dxa"/>
              <w:bottom w:w="0" w:type="dxa"/>
              <w:right w:w="0" w:type="dxa"/>
            </w:tcMar>
            <w:vAlign w:val="center"/>
            <w:hideMark/>
          </w:tcPr>
          <w:p w14:paraId="17638A65"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39.0000</w:t>
            </w:r>
          </w:p>
        </w:tc>
        <w:tc>
          <w:tcPr>
            <w:tcW w:w="700" w:type="pct"/>
            <w:shd w:val="clear" w:color="auto" w:fill="FFFFFF"/>
            <w:tcMar>
              <w:top w:w="0" w:type="dxa"/>
              <w:left w:w="0" w:type="dxa"/>
              <w:bottom w:w="0" w:type="dxa"/>
              <w:right w:w="0" w:type="dxa"/>
            </w:tcMar>
            <w:vAlign w:val="center"/>
            <w:hideMark/>
          </w:tcPr>
          <w:p w14:paraId="60C0F5EB"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25.0000</w:t>
            </w:r>
          </w:p>
        </w:tc>
        <w:tc>
          <w:tcPr>
            <w:tcW w:w="793" w:type="pct"/>
            <w:shd w:val="clear" w:color="auto" w:fill="FFFFFF"/>
            <w:tcMar>
              <w:top w:w="0" w:type="dxa"/>
              <w:left w:w="0" w:type="dxa"/>
              <w:bottom w:w="0" w:type="dxa"/>
              <w:right w:w="0" w:type="dxa"/>
            </w:tcMar>
            <w:vAlign w:val="center"/>
            <w:hideMark/>
          </w:tcPr>
          <w:p w14:paraId="65A71F2C"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 xml:space="preserve"> 7.9179</w:t>
            </w:r>
          </w:p>
        </w:tc>
        <w:tc>
          <w:tcPr>
            <w:tcW w:w="574" w:type="pct"/>
            <w:shd w:val="clear" w:color="auto" w:fill="FFFFFF"/>
            <w:tcMar>
              <w:top w:w="0" w:type="dxa"/>
              <w:left w:w="0" w:type="dxa"/>
              <w:bottom w:w="0" w:type="dxa"/>
              <w:right w:w="0" w:type="dxa"/>
            </w:tcMar>
            <w:vAlign w:val="center"/>
            <w:hideMark/>
          </w:tcPr>
          <w:p w14:paraId="5763BCEA"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3.5483</w:t>
            </w:r>
          </w:p>
        </w:tc>
        <w:tc>
          <w:tcPr>
            <w:tcW w:w="572" w:type="pct"/>
            <w:shd w:val="clear" w:color="auto" w:fill="FFFFFF"/>
            <w:tcMar>
              <w:top w:w="0" w:type="dxa"/>
              <w:left w:w="0" w:type="dxa"/>
              <w:bottom w:w="0" w:type="dxa"/>
              <w:right w:w="0" w:type="dxa"/>
            </w:tcMar>
            <w:vAlign w:val="center"/>
            <w:hideMark/>
          </w:tcPr>
          <w:p w14:paraId="2853465C"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10.0862</w:t>
            </w:r>
          </w:p>
        </w:tc>
      </w:tr>
      <w:tr w:rsidR="0071626A" w:rsidRPr="007C0D91" w14:paraId="538F477A" w14:textId="77777777" w:rsidTr="00D43793">
        <w:trPr>
          <w:jc w:val="center"/>
        </w:trPr>
        <w:tc>
          <w:tcPr>
            <w:tcW w:w="1526" w:type="pct"/>
            <w:shd w:val="clear" w:color="auto" w:fill="FFFFFF"/>
            <w:tcMar>
              <w:top w:w="0" w:type="dxa"/>
              <w:left w:w="0" w:type="dxa"/>
              <w:bottom w:w="0" w:type="dxa"/>
              <w:right w:w="0" w:type="dxa"/>
            </w:tcMar>
            <w:vAlign w:val="center"/>
            <w:hideMark/>
          </w:tcPr>
          <w:p w14:paraId="427F719F"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TKI</w:t>
            </w:r>
          </w:p>
        </w:tc>
        <w:tc>
          <w:tcPr>
            <w:tcW w:w="421" w:type="pct"/>
            <w:shd w:val="clear" w:color="auto" w:fill="FFFFFF"/>
            <w:tcMar>
              <w:top w:w="0" w:type="dxa"/>
              <w:left w:w="0" w:type="dxa"/>
              <w:bottom w:w="0" w:type="dxa"/>
              <w:right w:w="0" w:type="dxa"/>
            </w:tcMar>
            <w:vAlign w:val="center"/>
            <w:hideMark/>
          </w:tcPr>
          <w:p w14:paraId="2E36AFD0"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26.0000</w:t>
            </w:r>
          </w:p>
        </w:tc>
        <w:tc>
          <w:tcPr>
            <w:tcW w:w="414" w:type="pct"/>
            <w:shd w:val="clear" w:color="auto" w:fill="FFFFFF"/>
            <w:tcMar>
              <w:top w:w="0" w:type="dxa"/>
              <w:left w:w="0" w:type="dxa"/>
              <w:bottom w:w="0" w:type="dxa"/>
              <w:right w:w="0" w:type="dxa"/>
            </w:tcMar>
            <w:vAlign w:val="center"/>
            <w:hideMark/>
          </w:tcPr>
          <w:p w14:paraId="03038A3E"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26.0000</w:t>
            </w:r>
          </w:p>
        </w:tc>
        <w:tc>
          <w:tcPr>
            <w:tcW w:w="700" w:type="pct"/>
            <w:shd w:val="clear" w:color="auto" w:fill="FFFFFF"/>
            <w:tcMar>
              <w:top w:w="0" w:type="dxa"/>
              <w:left w:w="0" w:type="dxa"/>
              <w:bottom w:w="0" w:type="dxa"/>
              <w:right w:w="0" w:type="dxa"/>
            </w:tcMar>
            <w:vAlign w:val="center"/>
            <w:hideMark/>
          </w:tcPr>
          <w:p w14:paraId="39DB3188"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23.0000</w:t>
            </w:r>
          </w:p>
        </w:tc>
        <w:tc>
          <w:tcPr>
            <w:tcW w:w="793" w:type="pct"/>
            <w:shd w:val="clear" w:color="auto" w:fill="FFFFFF"/>
            <w:tcMar>
              <w:top w:w="0" w:type="dxa"/>
              <w:left w:w="0" w:type="dxa"/>
              <w:bottom w:w="0" w:type="dxa"/>
              <w:right w:w="0" w:type="dxa"/>
            </w:tcMar>
            <w:vAlign w:val="center"/>
            <w:hideMark/>
          </w:tcPr>
          <w:p w14:paraId="2908136A"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12.9117</w:t>
            </w:r>
          </w:p>
        </w:tc>
        <w:tc>
          <w:tcPr>
            <w:tcW w:w="574" w:type="pct"/>
            <w:shd w:val="clear" w:color="auto" w:fill="FFFFFF"/>
            <w:tcMar>
              <w:top w:w="0" w:type="dxa"/>
              <w:left w:w="0" w:type="dxa"/>
              <w:bottom w:w="0" w:type="dxa"/>
              <w:right w:w="0" w:type="dxa"/>
            </w:tcMar>
            <w:vAlign w:val="center"/>
            <w:hideMark/>
          </w:tcPr>
          <w:p w14:paraId="35DD8E4B"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7.6879</w:t>
            </w:r>
          </w:p>
        </w:tc>
        <w:tc>
          <w:tcPr>
            <w:tcW w:w="572" w:type="pct"/>
            <w:shd w:val="clear" w:color="auto" w:fill="FFFFFF"/>
            <w:tcMar>
              <w:top w:w="0" w:type="dxa"/>
              <w:left w:w="0" w:type="dxa"/>
              <w:bottom w:w="0" w:type="dxa"/>
              <w:right w:w="0" w:type="dxa"/>
            </w:tcMar>
            <w:vAlign w:val="center"/>
            <w:hideMark/>
          </w:tcPr>
          <w:p w14:paraId="0FA8A359" w14:textId="77777777" w:rsidR="0071626A" w:rsidRPr="007C0D91" w:rsidRDefault="0071626A" w:rsidP="00D43793">
            <w:pPr>
              <w:spacing w:before="40" w:after="20"/>
              <w:jc w:val="left"/>
              <w:rPr>
                <w:rFonts w:ascii="Arial Narrow" w:hAnsi="Arial Narrow"/>
                <w:snapToGrid w:val="0"/>
                <w:color w:val="000000"/>
                <w:sz w:val="20"/>
                <w:szCs w:val="20"/>
                <w:lang w:val="en-AU"/>
              </w:rPr>
            </w:pPr>
            <w:r w:rsidRPr="007C0D91">
              <w:rPr>
                <w:rFonts w:ascii="Arial Narrow" w:hAnsi="Arial Narrow"/>
                <w:snapToGrid w:val="0"/>
                <w:color w:val="000000"/>
                <w:sz w:val="20"/>
                <w:szCs w:val="20"/>
                <w:lang w:val="en-AU"/>
              </w:rPr>
              <w:t>17.7741</w:t>
            </w:r>
          </w:p>
        </w:tc>
      </w:tr>
    </w:tbl>
    <w:p w14:paraId="3AB5EB5D" w14:textId="77777777" w:rsidR="0071626A" w:rsidRPr="007C0D91" w:rsidRDefault="0071626A" w:rsidP="0071626A">
      <w:pPr>
        <w:rPr>
          <w:rFonts w:ascii="Arial Narrow" w:hAnsi="Arial Narrow"/>
          <w:sz w:val="18"/>
        </w:rPr>
      </w:pPr>
      <w:r w:rsidRPr="007C0D91">
        <w:rPr>
          <w:rFonts w:ascii="Arial Narrow" w:hAnsi="Arial Narrow"/>
          <w:sz w:val="18"/>
        </w:rPr>
        <w:t>Source: Attachment 1 provided with the resubmission</w:t>
      </w:r>
    </w:p>
    <w:p w14:paraId="26C019B1" w14:textId="79E3BF3F" w:rsidR="0071626A" w:rsidRPr="007C0D91" w:rsidRDefault="0071626A" w:rsidP="009B3FAF">
      <w:pPr>
        <w:spacing w:after="120"/>
        <w:rPr>
          <w:rFonts w:ascii="Arial Narrow" w:hAnsi="Arial Narrow"/>
          <w:sz w:val="18"/>
        </w:rPr>
      </w:pPr>
      <w:r w:rsidRPr="007C0D91">
        <w:rPr>
          <w:rFonts w:ascii="Arial Narrow" w:hAnsi="Arial Narrow"/>
          <w:sz w:val="18"/>
        </w:rPr>
        <w:t>Chemo = chemotherapy; IO = immunotherapy; TKI = tyrosine kinase inhibitors.</w:t>
      </w:r>
    </w:p>
    <w:p w14:paraId="32A6609C" w14:textId="54035E6E" w:rsidR="0071626A" w:rsidRPr="007C0D91" w:rsidRDefault="0071626A" w:rsidP="0071626A">
      <w:pPr>
        <w:numPr>
          <w:ilvl w:val="1"/>
          <w:numId w:val="1"/>
        </w:numPr>
        <w:spacing w:after="120"/>
        <w:rPr>
          <w:rFonts w:ascii="Arial Narrow" w:hAnsi="Arial Narrow"/>
          <w:b/>
          <w:bCs/>
          <w:iCs/>
          <w:sz w:val="20"/>
        </w:rPr>
      </w:pPr>
      <w:r w:rsidRPr="007C0D91">
        <w:rPr>
          <w:rFonts w:asciiTheme="minorHAnsi" w:hAnsiTheme="minorHAnsi"/>
          <w:iCs/>
          <w:snapToGrid w:val="0"/>
        </w:rPr>
        <w:t>A comparison of the trial-based (post-IPTW for the comparator arm) and the modelled survival curves (</w:t>
      </w:r>
      <w:bookmarkStart w:id="69" w:name="_Ref112234793"/>
      <w:bookmarkStart w:id="70" w:name="_Ref113037455"/>
      <w:r w:rsidRPr="007C0D91">
        <w:rPr>
          <w:rFonts w:asciiTheme="minorHAnsi" w:hAnsiTheme="minorHAnsi"/>
          <w:iCs/>
          <w:snapToGrid w:val="0"/>
        </w:rPr>
        <w:fldChar w:fldCharType="begin"/>
      </w:r>
      <w:r w:rsidRPr="007C0D91">
        <w:rPr>
          <w:rFonts w:asciiTheme="minorHAnsi" w:hAnsiTheme="minorHAnsi"/>
          <w:iCs/>
          <w:snapToGrid w:val="0"/>
        </w:rPr>
        <w:instrText xml:space="preserve"> REF _Ref134467283 \h  \* MERGEFORMAT </w:instrText>
      </w:r>
      <w:r w:rsidRPr="007C0D91">
        <w:rPr>
          <w:rFonts w:asciiTheme="minorHAnsi" w:hAnsiTheme="minorHAnsi"/>
          <w:iCs/>
          <w:snapToGrid w:val="0"/>
        </w:rPr>
      </w:r>
      <w:r w:rsidRPr="007C0D91">
        <w:rPr>
          <w:rFonts w:asciiTheme="minorHAnsi" w:hAnsiTheme="minorHAnsi"/>
          <w:iCs/>
          <w:snapToGrid w:val="0"/>
        </w:rPr>
        <w:fldChar w:fldCharType="separate"/>
      </w:r>
      <w:r w:rsidR="00117491" w:rsidRPr="00117491">
        <w:rPr>
          <w:rFonts w:asciiTheme="minorHAnsi" w:hAnsiTheme="minorHAnsi"/>
          <w:iCs/>
          <w:snapToGrid w:val="0"/>
        </w:rPr>
        <w:t>Figure 4</w:t>
      </w:r>
      <w:r w:rsidRPr="007C0D91">
        <w:rPr>
          <w:rFonts w:asciiTheme="minorHAnsi" w:hAnsiTheme="minorHAnsi"/>
          <w:iCs/>
          <w:snapToGrid w:val="0"/>
        </w:rPr>
        <w:fldChar w:fldCharType="end"/>
      </w:r>
      <w:r w:rsidRPr="007C0D91">
        <w:rPr>
          <w:rFonts w:asciiTheme="minorHAnsi" w:hAnsiTheme="minorHAnsi"/>
          <w:iCs/>
          <w:snapToGrid w:val="0"/>
        </w:rPr>
        <w:t>) indicated that most of the observed trial data have been used to inform the modelled curves, and extrapolation and point of truncation have only a minor impact on the survival outcomes.</w:t>
      </w:r>
      <w:r w:rsidRPr="007C0D91">
        <w:rPr>
          <w:rFonts w:ascii="Arial Narrow" w:hAnsi="Arial Narrow"/>
          <w:b/>
          <w:bCs/>
          <w:iCs/>
          <w:sz w:val="20"/>
        </w:rPr>
        <w:t xml:space="preserve"> </w:t>
      </w:r>
    </w:p>
    <w:p w14:paraId="33D51B30" w14:textId="77777777" w:rsidR="0071626A" w:rsidRPr="007C0D91" w:rsidRDefault="0071626A" w:rsidP="0071626A">
      <w:bookmarkStart w:id="71" w:name="_Ref134038407"/>
    </w:p>
    <w:p w14:paraId="1180C41A" w14:textId="334E3414" w:rsidR="0071626A" w:rsidRPr="007C0D91" w:rsidRDefault="0071626A" w:rsidP="0071626A">
      <w:pPr>
        <w:keepNext/>
        <w:rPr>
          <w:rFonts w:ascii="Arial Narrow" w:hAnsi="Arial Narrow"/>
          <w:bCs/>
          <w:sz w:val="20"/>
        </w:rPr>
      </w:pPr>
      <w:bookmarkStart w:id="72" w:name="_Ref134467283"/>
      <w:r w:rsidRPr="007C0D91">
        <w:rPr>
          <w:rFonts w:ascii="Arial Narrow" w:hAnsi="Arial Narrow"/>
          <w:b/>
          <w:bCs/>
          <w:sz w:val="20"/>
        </w:rPr>
        <w:lastRenderedPageBreak/>
        <w:t xml:space="preserve">Figure </w:t>
      </w:r>
      <w:r w:rsidRPr="007C0D91">
        <w:rPr>
          <w:rFonts w:ascii="Arial Narrow" w:hAnsi="Arial Narrow"/>
          <w:b/>
          <w:bCs/>
          <w:sz w:val="20"/>
        </w:rPr>
        <w:fldChar w:fldCharType="begin"/>
      </w:r>
      <w:r w:rsidRPr="007C0D91">
        <w:rPr>
          <w:rFonts w:ascii="Arial Narrow" w:hAnsi="Arial Narrow"/>
          <w:b/>
          <w:bCs/>
          <w:sz w:val="20"/>
        </w:rPr>
        <w:instrText xml:space="preserve"> SEQ Figure \* ARABIC </w:instrText>
      </w:r>
      <w:r w:rsidRPr="007C0D91">
        <w:rPr>
          <w:rFonts w:ascii="Arial Narrow" w:hAnsi="Arial Narrow"/>
          <w:b/>
          <w:bCs/>
          <w:sz w:val="20"/>
        </w:rPr>
        <w:fldChar w:fldCharType="separate"/>
      </w:r>
      <w:r w:rsidR="00117491">
        <w:rPr>
          <w:rFonts w:ascii="Arial Narrow" w:hAnsi="Arial Narrow"/>
          <w:b/>
          <w:bCs/>
          <w:noProof/>
          <w:sz w:val="20"/>
        </w:rPr>
        <w:t>4</w:t>
      </w:r>
      <w:r w:rsidRPr="007C0D91">
        <w:rPr>
          <w:rFonts w:ascii="Arial Narrow" w:hAnsi="Arial Narrow"/>
          <w:b/>
          <w:bCs/>
          <w:sz w:val="20"/>
        </w:rPr>
        <w:fldChar w:fldCharType="end"/>
      </w:r>
      <w:bookmarkEnd w:id="69"/>
      <w:bookmarkEnd w:id="71"/>
      <w:bookmarkEnd w:id="72"/>
      <w:r w:rsidRPr="007C0D91">
        <w:rPr>
          <w:rFonts w:ascii="Arial Narrow" w:hAnsi="Arial Narrow"/>
          <w:b/>
          <w:bCs/>
          <w:sz w:val="20"/>
        </w:rPr>
        <w:t xml:space="preserve">: Comparison of modelled and trial based PFS and OS </w:t>
      </w:r>
      <w:proofErr w:type="gramStart"/>
      <w:r w:rsidRPr="007C0D91">
        <w:rPr>
          <w:rFonts w:ascii="Arial Narrow" w:hAnsi="Arial Narrow"/>
          <w:b/>
          <w:bCs/>
          <w:sz w:val="20"/>
        </w:rPr>
        <w:t>estimates</w:t>
      </w:r>
      <w:bookmarkEnd w:id="70"/>
      <w:proofErr w:type="gramEnd"/>
    </w:p>
    <w:p w14:paraId="13EFCDC0" w14:textId="77777777" w:rsidR="0071626A" w:rsidRPr="007C0D91" w:rsidRDefault="0071626A" w:rsidP="009B3FAF">
      <w:pPr>
        <w:rPr>
          <w:rFonts w:asciiTheme="minorHAnsi" w:hAnsiTheme="minorHAnsi"/>
          <w:snapToGrid w:val="0"/>
        </w:rPr>
      </w:pPr>
      <w:r w:rsidRPr="007C0D91">
        <w:rPr>
          <w:rFonts w:asciiTheme="minorHAnsi" w:hAnsiTheme="minorHAnsi"/>
          <w:noProof/>
          <w:snapToGrid w:val="0"/>
        </w:rPr>
        <w:drawing>
          <wp:inline distT="0" distB="0" distL="0" distR="0" wp14:anchorId="68C665A9" wp14:editId="1E36EFB2">
            <wp:extent cx="5617290" cy="3214048"/>
            <wp:effectExtent l="0" t="0" r="254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976" cy="3222451"/>
                    </a:xfrm>
                    <a:prstGeom prst="rect">
                      <a:avLst/>
                    </a:prstGeom>
                    <a:noFill/>
                  </pic:spPr>
                </pic:pic>
              </a:graphicData>
            </a:graphic>
          </wp:inline>
        </w:drawing>
      </w:r>
    </w:p>
    <w:p w14:paraId="71B4E9FB" w14:textId="77777777" w:rsidR="0071626A" w:rsidRPr="007C0D91" w:rsidRDefault="0071626A" w:rsidP="009B3FAF">
      <w:pPr>
        <w:widowControl w:val="0"/>
        <w:jc w:val="left"/>
        <w:rPr>
          <w:rFonts w:ascii="Arial Narrow" w:hAnsi="Arial Narrow"/>
          <w:snapToGrid w:val="0"/>
          <w:sz w:val="18"/>
          <w:szCs w:val="20"/>
          <w:lang w:eastAsia="en-US"/>
        </w:rPr>
      </w:pPr>
      <w:r w:rsidRPr="007C0D91">
        <w:rPr>
          <w:rFonts w:ascii="Arial Narrow" w:hAnsi="Arial Narrow"/>
          <w:snapToGrid w:val="0"/>
          <w:sz w:val="18"/>
          <w:szCs w:val="20"/>
          <w:lang w:eastAsia="en-US"/>
        </w:rPr>
        <w:t xml:space="preserve">Source: </w:t>
      </w:r>
      <w:r w:rsidRPr="007C0D91">
        <w:rPr>
          <w:rFonts w:ascii="Arial Narrow" w:hAnsi="Arial Narrow"/>
          <w:sz w:val="18"/>
        </w:rPr>
        <w:t>Figure constructed during the evaluation, based on</w:t>
      </w:r>
      <w:r w:rsidRPr="007C0D91">
        <w:rPr>
          <w:rFonts w:ascii="Arial Narrow" w:hAnsi="Arial Narrow"/>
          <w:snapToGrid w:val="0"/>
          <w:sz w:val="18"/>
          <w:szCs w:val="22"/>
        </w:rPr>
        <w:t xml:space="preserve"> ‘Section 3 CE Model Workbook – Takeda Australia – Mobocertinib – Resubmission – March 2023’</w:t>
      </w:r>
    </w:p>
    <w:p w14:paraId="44813AF8" w14:textId="77777777" w:rsidR="0071626A" w:rsidRPr="007C0D91" w:rsidRDefault="0071626A" w:rsidP="009B3FAF">
      <w:pPr>
        <w:widowControl w:val="0"/>
        <w:spacing w:after="120"/>
        <w:jc w:val="left"/>
        <w:rPr>
          <w:rFonts w:ascii="Arial Narrow" w:hAnsi="Arial Narrow"/>
          <w:snapToGrid w:val="0"/>
          <w:sz w:val="18"/>
          <w:szCs w:val="20"/>
          <w:lang w:eastAsia="en-US"/>
        </w:rPr>
      </w:pPr>
      <w:r w:rsidRPr="007C0D91">
        <w:rPr>
          <w:rFonts w:ascii="Arial Narrow" w:hAnsi="Arial Narrow"/>
          <w:snapToGrid w:val="0"/>
          <w:sz w:val="18"/>
          <w:szCs w:val="20"/>
          <w:lang w:eastAsia="en-US"/>
        </w:rPr>
        <w:t>KM = Kaplan-Meier; Mobo = mobocertinib; OS = overall survival; PFS = progression free survival</w:t>
      </w:r>
    </w:p>
    <w:p w14:paraId="5EF6D06D" w14:textId="541A23A1" w:rsidR="0071626A" w:rsidRPr="007C0D91" w:rsidRDefault="0071626A" w:rsidP="0071626A">
      <w:pPr>
        <w:numPr>
          <w:ilvl w:val="1"/>
          <w:numId w:val="1"/>
        </w:numPr>
        <w:spacing w:after="120"/>
        <w:rPr>
          <w:rFonts w:asciiTheme="minorHAnsi" w:hAnsiTheme="minorHAnsi"/>
          <w:iCs/>
          <w:snapToGrid w:val="0"/>
        </w:rPr>
      </w:pPr>
      <w:r w:rsidRPr="007C0D91">
        <w:rPr>
          <w:rFonts w:asciiTheme="minorHAnsi" w:hAnsiTheme="minorHAnsi" w:cstheme="minorHAnsi"/>
        </w:rPr>
        <w:t>The model applied a</w:t>
      </w:r>
      <w:r w:rsidRPr="007C0D91">
        <w:rPr>
          <w:rFonts w:asciiTheme="minorHAnsi" w:hAnsiTheme="minorHAnsi"/>
          <w:snapToGrid w:val="0"/>
          <w:color w:val="0066FF"/>
        </w:rPr>
        <w:t xml:space="preserve"> </w:t>
      </w:r>
      <w:r w:rsidRPr="007C0D91">
        <w:rPr>
          <w:rFonts w:asciiTheme="minorHAnsi" w:hAnsiTheme="minorHAnsi" w:cstheme="minorHAnsi"/>
        </w:rPr>
        <w:t xml:space="preserve">per cycle adverse event (AE) treatment cost calculated based on the rate of AEs per cycle. To determine the rate of AEs per cycle, the number of patients experiencing each AE was divided by the number of patient weeks of exposure (calculated from the median duration of treatment from the trial) and multiplied by 4 weeks (model cycle length). </w:t>
      </w:r>
      <w:r w:rsidRPr="007C0D91">
        <w:rPr>
          <w:rFonts w:asciiTheme="minorHAnsi" w:hAnsiTheme="minorHAnsi" w:cstheme="minorHAnsi"/>
          <w:iCs/>
        </w:rPr>
        <w:t xml:space="preserve">It is more appropriate to use mean duration of treatment instead of median for cost estimation purposes, and these will differ where the distribution is skewed; this was noted in the </w:t>
      </w:r>
      <w:r w:rsidR="002D31CC" w:rsidRPr="007C0D91">
        <w:rPr>
          <w:rFonts w:asciiTheme="minorHAnsi" w:hAnsiTheme="minorHAnsi" w:cstheme="minorHAnsi"/>
          <w:iCs/>
        </w:rPr>
        <w:t xml:space="preserve">evaluation of </w:t>
      </w:r>
      <w:r w:rsidRPr="007C0D91">
        <w:rPr>
          <w:rFonts w:asciiTheme="minorHAnsi" w:hAnsiTheme="minorHAnsi" w:cstheme="minorHAnsi"/>
          <w:iCs/>
        </w:rPr>
        <w:t>the original submission, however not recalculated at that time. Applying the mean treatment durations for both arms based on TTD data from the economic model workbook increase</w:t>
      </w:r>
      <w:r w:rsidR="000C21DD" w:rsidRPr="007C0D91">
        <w:rPr>
          <w:rFonts w:asciiTheme="minorHAnsi" w:hAnsiTheme="minorHAnsi" w:cstheme="minorHAnsi"/>
          <w:iCs/>
        </w:rPr>
        <w:t>d</w:t>
      </w:r>
      <w:r w:rsidRPr="007C0D91">
        <w:rPr>
          <w:rFonts w:asciiTheme="minorHAnsi" w:hAnsiTheme="minorHAnsi" w:cstheme="minorHAnsi"/>
          <w:iCs/>
        </w:rPr>
        <w:t xml:space="preserve"> the ICER by 9% to </w:t>
      </w:r>
      <w:r w:rsidR="009B3FAF" w:rsidRPr="009B3FAF">
        <w:rPr>
          <w:rFonts w:asciiTheme="minorHAnsi" w:hAnsiTheme="minorHAnsi" w:cstheme="minorHAnsi"/>
          <w:iCs/>
        </w:rPr>
        <w:t>$75,000 to &lt; $95,000</w:t>
      </w:r>
      <w:r w:rsidRPr="007C0D91">
        <w:rPr>
          <w:rFonts w:asciiTheme="minorHAnsi" w:hAnsiTheme="minorHAnsi" w:cstheme="minorHAnsi"/>
          <w:iCs/>
        </w:rPr>
        <w:t xml:space="preserve">/QALY (base case ICER - </w:t>
      </w:r>
      <w:r w:rsidR="009B3FAF" w:rsidRPr="009B3FAF">
        <w:rPr>
          <w:rFonts w:asciiTheme="minorHAnsi" w:hAnsiTheme="minorHAnsi" w:cstheme="minorHAnsi"/>
          <w:iCs/>
        </w:rPr>
        <w:t>$55,000 to &lt; $75,000</w:t>
      </w:r>
      <w:r w:rsidR="00046E34" w:rsidRPr="007C0D91">
        <w:rPr>
          <w:rFonts w:asciiTheme="minorHAnsi" w:hAnsiTheme="minorHAnsi" w:cstheme="minorHAnsi"/>
          <w:iCs/>
        </w:rPr>
        <w:t>/</w:t>
      </w:r>
      <w:r w:rsidRPr="007C0D91">
        <w:rPr>
          <w:rFonts w:asciiTheme="minorHAnsi" w:hAnsiTheme="minorHAnsi" w:cstheme="minorHAnsi"/>
          <w:iCs/>
        </w:rPr>
        <w:t>QALY).</w:t>
      </w:r>
      <w:r w:rsidR="002D31CC" w:rsidRPr="007C0D91">
        <w:rPr>
          <w:rFonts w:asciiTheme="minorHAnsi" w:hAnsiTheme="minorHAnsi" w:cstheme="minorHAnsi"/>
          <w:iCs/>
        </w:rPr>
        <w:t xml:space="preserve"> </w:t>
      </w:r>
      <w:r w:rsidR="007D1ADE" w:rsidRPr="007C0D91">
        <w:rPr>
          <w:iCs/>
        </w:rPr>
        <w:t xml:space="preserve">The ESC considered the use of mean treatment durations for AE cost estimation purposes was appropriate. </w:t>
      </w:r>
    </w:p>
    <w:p w14:paraId="7B61DA02" w14:textId="6C977031" w:rsidR="00005D4B" w:rsidRPr="007C0D91" w:rsidRDefault="0071626A" w:rsidP="002B1533">
      <w:pPr>
        <w:numPr>
          <w:ilvl w:val="1"/>
          <w:numId w:val="1"/>
        </w:numPr>
        <w:spacing w:after="120"/>
        <w:rPr>
          <w:rFonts w:asciiTheme="minorHAnsi" w:hAnsiTheme="minorHAnsi" w:cstheme="minorHAnsi"/>
          <w:iCs/>
        </w:rPr>
      </w:pPr>
      <w:r w:rsidRPr="007C0D91">
        <w:rPr>
          <w:rFonts w:asciiTheme="minorHAnsi" w:hAnsiTheme="minorHAnsi" w:cstheme="minorHAnsi"/>
          <w:iCs/>
        </w:rPr>
        <w:t>The model applied health state resource costs which were derived based on health care resource utilisation reported in Lee et al</w:t>
      </w:r>
      <w:r w:rsidRPr="007C0D91">
        <w:rPr>
          <w:rFonts w:cstheme="minorHAnsi"/>
          <w:iCs/>
          <w:vertAlign w:val="superscript"/>
        </w:rPr>
        <w:footnoteReference w:id="8"/>
      </w:r>
      <w:r w:rsidRPr="007C0D91">
        <w:rPr>
          <w:rFonts w:asciiTheme="minorHAnsi" w:hAnsiTheme="minorHAnsi" w:cstheme="minorHAnsi"/>
          <w:iCs/>
        </w:rPr>
        <w:t>. The resubmission</w:t>
      </w:r>
      <w:r w:rsidRPr="007C0D91">
        <w:rPr>
          <w:rFonts w:asciiTheme="minorHAnsi" w:hAnsiTheme="minorHAnsi"/>
          <w:iCs/>
          <w:snapToGrid w:val="0"/>
          <w:color w:val="0066FF"/>
        </w:rPr>
        <w:t xml:space="preserve"> </w:t>
      </w:r>
      <w:r w:rsidRPr="007C0D91">
        <w:rPr>
          <w:rFonts w:asciiTheme="minorHAnsi" w:hAnsiTheme="minorHAnsi" w:cstheme="minorHAnsi"/>
          <w:iCs/>
        </w:rPr>
        <w:t>adjusted rate of hospitalisation and outpatient visits reported in the Lee study to avoid double counting in PFS. This resulted in a negative outpatient visit cost (</w:t>
      </w:r>
      <w:proofErr w:type="gramStart"/>
      <w:r w:rsidRPr="007C0D91">
        <w:rPr>
          <w:rFonts w:asciiTheme="minorHAnsi" w:hAnsiTheme="minorHAnsi" w:cstheme="minorHAnsi"/>
          <w:iCs/>
        </w:rPr>
        <w:t>i.e.</w:t>
      </w:r>
      <w:proofErr w:type="gramEnd"/>
      <w:r w:rsidRPr="007C0D91">
        <w:rPr>
          <w:rFonts w:asciiTheme="minorHAnsi" w:hAnsiTheme="minorHAnsi" w:cstheme="minorHAnsi"/>
          <w:iCs/>
        </w:rPr>
        <w:t xml:space="preserve"> rebate) which is not reasonable. In addition, it is not clear why the submission adjusted the rate of</w:t>
      </w:r>
      <w:r w:rsidRPr="007C0D91">
        <w:rPr>
          <w:rFonts w:asciiTheme="minorHAnsi" w:hAnsiTheme="minorHAnsi" w:cstheme="minorHAnsi"/>
          <w:i/>
        </w:rPr>
        <w:t xml:space="preserve"> </w:t>
      </w:r>
      <w:r w:rsidRPr="007C0D91">
        <w:rPr>
          <w:rFonts w:asciiTheme="minorHAnsi" w:hAnsiTheme="minorHAnsi" w:cstheme="minorHAnsi"/>
          <w:iCs/>
        </w:rPr>
        <w:t xml:space="preserve">hospitalisation and outpatient visits in the progressed disease state using the rate of AE and anticancer administrations specific to PFS, when these costs had not been </w:t>
      </w:r>
      <w:r w:rsidRPr="007C0D91">
        <w:rPr>
          <w:rFonts w:asciiTheme="minorHAnsi" w:hAnsiTheme="minorHAnsi" w:cstheme="minorHAnsi"/>
          <w:iCs/>
        </w:rPr>
        <w:lastRenderedPageBreak/>
        <w:t xml:space="preserve">added to the subsequent treatment costs. The </w:t>
      </w:r>
      <w:r w:rsidR="00005D4B" w:rsidRPr="007C0D91">
        <w:rPr>
          <w:rFonts w:asciiTheme="minorHAnsi" w:hAnsiTheme="minorHAnsi" w:cstheme="minorHAnsi"/>
          <w:iCs/>
        </w:rPr>
        <w:t>evaluation</w:t>
      </w:r>
      <w:r w:rsidRPr="007C0D91">
        <w:rPr>
          <w:rFonts w:asciiTheme="minorHAnsi" w:hAnsiTheme="minorHAnsi" w:cstheme="minorHAnsi"/>
          <w:iCs/>
        </w:rPr>
        <w:t xml:space="preserve"> tested the impact of not making these adjustments to the estimated health state costs in a sensitivity analysis; this increases the ICER by 11% to </w:t>
      </w:r>
      <w:r w:rsidR="009B3FAF" w:rsidRPr="009B3FAF">
        <w:rPr>
          <w:rFonts w:asciiTheme="minorHAnsi" w:hAnsiTheme="minorHAnsi" w:cstheme="minorHAnsi"/>
          <w:iCs/>
        </w:rPr>
        <w:t>$75,000 to &lt; $95,000</w:t>
      </w:r>
      <w:r w:rsidRPr="007C0D91">
        <w:rPr>
          <w:rFonts w:asciiTheme="minorHAnsi" w:hAnsiTheme="minorHAnsi" w:cstheme="minorHAnsi"/>
          <w:iCs/>
        </w:rPr>
        <w:t xml:space="preserve">/QALY (base case ICER – </w:t>
      </w:r>
      <w:r w:rsidR="009B3FAF" w:rsidRPr="009B3FAF">
        <w:rPr>
          <w:rFonts w:asciiTheme="minorHAnsi" w:hAnsiTheme="minorHAnsi" w:cstheme="minorHAnsi"/>
          <w:iCs/>
        </w:rPr>
        <w:t>$55,000 to &lt; $75,000</w:t>
      </w:r>
      <w:r w:rsidRPr="007C0D91">
        <w:rPr>
          <w:rFonts w:asciiTheme="minorHAnsi" w:hAnsiTheme="minorHAnsi" w:cstheme="minorHAnsi"/>
          <w:iCs/>
        </w:rPr>
        <w:t>/QALY).</w:t>
      </w:r>
      <w:r w:rsidR="00005D4B" w:rsidRPr="007C0D91">
        <w:rPr>
          <w:rFonts w:asciiTheme="minorHAnsi" w:hAnsiTheme="minorHAnsi" w:cstheme="minorHAnsi"/>
          <w:iCs/>
        </w:rPr>
        <w:t xml:space="preserve"> The PSCR </w:t>
      </w:r>
      <w:r w:rsidR="00005D4B" w:rsidRPr="007C0D91">
        <w:rPr>
          <w:iCs/>
        </w:rPr>
        <w:t xml:space="preserve">argued the recalculations for the health state costs are not necessary and inappropriately result in the double counting not being corrected for. </w:t>
      </w:r>
      <w:r w:rsidR="00005D4B" w:rsidRPr="007C0D91">
        <w:rPr>
          <w:rFonts w:asciiTheme="minorHAnsi" w:hAnsiTheme="minorHAnsi" w:cstheme="minorHAnsi"/>
          <w:iCs/>
        </w:rPr>
        <w:t xml:space="preserve">The ESC considered </w:t>
      </w:r>
      <w:r w:rsidR="00005D4B" w:rsidRPr="007C0D91">
        <w:rPr>
          <w:iCs/>
        </w:rPr>
        <w:t>it was appropriate to adjust rate of hospitalisation and outpatient visits to avoid double counting in the progression-free state. However, the</w:t>
      </w:r>
      <w:r w:rsidR="002B1533" w:rsidRPr="007C0D91">
        <w:rPr>
          <w:iCs/>
        </w:rPr>
        <w:t xml:space="preserve"> ESC agreed with the evaluation that</w:t>
      </w:r>
      <w:r w:rsidR="00005D4B" w:rsidRPr="007C0D91">
        <w:rPr>
          <w:iCs/>
        </w:rPr>
        <w:t xml:space="preserve"> adjustment to the extent of applying a ‘negative’ outpatient visit cost (</w:t>
      </w:r>
      <w:proofErr w:type="gramStart"/>
      <w:r w:rsidR="00005D4B" w:rsidRPr="007C0D91">
        <w:rPr>
          <w:iCs/>
        </w:rPr>
        <w:t>i.e.</w:t>
      </w:r>
      <w:proofErr w:type="gramEnd"/>
      <w:r w:rsidR="00005D4B" w:rsidRPr="007C0D91">
        <w:rPr>
          <w:iCs/>
        </w:rPr>
        <w:t xml:space="preserve"> rebate) is not reasonable. The outpatient visit rate (1.163/cycle in progression-free state and 2.736/cycle in progressive disease state) in the Lee et al (2018) study suggest</w:t>
      </w:r>
      <w:r w:rsidR="002B1533" w:rsidRPr="007C0D91">
        <w:rPr>
          <w:iCs/>
        </w:rPr>
        <w:t>ed</w:t>
      </w:r>
      <w:r w:rsidR="00005D4B" w:rsidRPr="007C0D91">
        <w:rPr>
          <w:iCs/>
        </w:rPr>
        <w:t xml:space="preserve"> that those estimates were based on a more generalised patient cohort with less intensive treatment than the modelled patient cohort, but this does not mean that the modelled allocation of outpatient visits – based on administration rates specific to the treatments being evaluated – has been overestimated. The </w:t>
      </w:r>
      <w:r w:rsidR="002B1533" w:rsidRPr="007C0D91">
        <w:rPr>
          <w:iCs/>
        </w:rPr>
        <w:t xml:space="preserve">ESC considered the </w:t>
      </w:r>
      <w:r w:rsidR="00005D4B" w:rsidRPr="007C0D91">
        <w:rPr>
          <w:iCs/>
        </w:rPr>
        <w:t xml:space="preserve">outpatient visit estimate in Lee </w:t>
      </w:r>
      <w:r w:rsidR="002B1533" w:rsidRPr="007C0D91">
        <w:rPr>
          <w:iCs/>
        </w:rPr>
        <w:t xml:space="preserve">et al (2018) </w:t>
      </w:r>
      <w:r w:rsidR="00005D4B" w:rsidRPr="007C0D91">
        <w:rPr>
          <w:iCs/>
        </w:rPr>
        <w:t>can be disregarded and neither an additional health state cost nor ‘rebate’ based on outpatient use should be included in the health state resource costs.</w:t>
      </w:r>
    </w:p>
    <w:p w14:paraId="453E0CFE" w14:textId="2C57A775" w:rsidR="0071626A" w:rsidRPr="007C0D91" w:rsidRDefault="0071626A" w:rsidP="0071626A">
      <w:pPr>
        <w:numPr>
          <w:ilvl w:val="1"/>
          <w:numId w:val="1"/>
        </w:numPr>
        <w:spacing w:after="120"/>
        <w:rPr>
          <w:rFonts w:asciiTheme="minorHAnsi" w:hAnsiTheme="minorHAnsi"/>
          <w:snapToGrid w:val="0"/>
        </w:rPr>
      </w:pPr>
      <w:r w:rsidRPr="007C0D91">
        <w:rPr>
          <w:rFonts w:asciiTheme="minorHAnsi" w:hAnsiTheme="minorHAnsi"/>
          <w:snapToGrid w:val="0"/>
        </w:rPr>
        <w:t xml:space="preserve">A summary of the key drivers of the model is given in </w:t>
      </w:r>
      <w:r w:rsidRPr="007C0D91">
        <w:rPr>
          <w:rFonts w:asciiTheme="minorHAnsi" w:hAnsiTheme="minorHAnsi"/>
          <w:snapToGrid w:val="0"/>
        </w:rPr>
        <w:fldChar w:fldCharType="begin"/>
      </w:r>
      <w:r w:rsidRPr="007C0D91">
        <w:rPr>
          <w:rFonts w:asciiTheme="minorHAnsi" w:hAnsiTheme="minorHAnsi"/>
          <w:snapToGrid w:val="0"/>
        </w:rPr>
        <w:instrText xml:space="preserve"> REF _Ref134038519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117491">
        <w:rPr>
          <w:rFonts w:asciiTheme="minorHAnsi" w:hAnsiTheme="minorHAnsi"/>
          <w:snapToGrid w:val="0"/>
        </w:rPr>
        <w:t>Table 10</w:t>
      </w:r>
      <w:r w:rsidRPr="007C0D91">
        <w:rPr>
          <w:rFonts w:asciiTheme="minorHAnsi" w:hAnsiTheme="minorHAnsi"/>
          <w:snapToGrid w:val="0"/>
        </w:rPr>
        <w:fldChar w:fldCharType="end"/>
      </w:r>
      <w:r w:rsidRPr="007C0D91">
        <w:rPr>
          <w:rFonts w:asciiTheme="minorHAnsi" w:hAnsiTheme="minorHAnsi"/>
          <w:snapToGrid w:val="0"/>
        </w:rPr>
        <w:t>.</w:t>
      </w:r>
    </w:p>
    <w:p w14:paraId="78853EEB" w14:textId="0AC3A969" w:rsidR="0071626A" w:rsidRPr="007C0D91" w:rsidRDefault="0071626A" w:rsidP="0071626A">
      <w:pPr>
        <w:jc w:val="left"/>
        <w:rPr>
          <w:rFonts w:ascii="Arial Narrow" w:hAnsi="Arial Narrow"/>
          <w:b/>
          <w:bCs/>
          <w:sz w:val="20"/>
        </w:rPr>
      </w:pPr>
      <w:bookmarkStart w:id="73" w:name="_Ref134038519"/>
      <w:r w:rsidRPr="007C0D91">
        <w:rPr>
          <w:rFonts w:ascii="Arial Narrow" w:hAnsi="Arial Narrow"/>
          <w:b/>
          <w:bCs/>
          <w:sz w:val="20"/>
          <w:szCs w:val="18"/>
        </w:rPr>
        <w:t xml:space="preserve">Table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Table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10</w:t>
      </w:r>
      <w:r w:rsidRPr="007C0D91">
        <w:rPr>
          <w:rFonts w:ascii="Arial Narrow" w:hAnsi="Arial Narrow"/>
          <w:b/>
          <w:bCs/>
          <w:sz w:val="20"/>
          <w:szCs w:val="18"/>
        </w:rPr>
        <w:fldChar w:fldCharType="end"/>
      </w:r>
      <w:bookmarkEnd w:id="73"/>
      <w:r w:rsidRPr="007C0D91">
        <w:rPr>
          <w:rFonts w:ascii="Arial Narrow" w:hAnsi="Arial Narrow"/>
          <w:b/>
          <w:bCs/>
          <w:sz w:val="20"/>
          <w:szCs w:val="18"/>
        </w:rPr>
        <w:t>:</w:t>
      </w:r>
      <w:r w:rsidRPr="007C0D91">
        <w:rPr>
          <w:rFonts w:ascii="Arial Narrow" w:hAnsi="Arial Narrow"/>
          <w:b/>
          <w:bCs/>
          <w:sz w:val="20"/>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0"/>
        <w:gridCol w:w="3967"/>
        <w:gridCol w:w="3210"/>
      </w:tblGrid>
      <w:tr w:rsidR="0071626A" w:rsidRPr="007C0D91" w14:paraId="3530B33E" w14:textId="77777777" w:rsidTr="00E02373">
        <w:trPr>
          <w:tblHeader/>
        </w:trPr>
        <w:tc>
          <w:tcPr>
            <w:tcW w:w="1020" w:type="pct"/>
            <w:shd w:val="clear" w:color="auto" w:fill="auto"/>
            <w:vAlign w:val="center"/>
          </w:tcPr>
          <w:p w14:paraId="2ACBA4A0" w14:textId="77777777" w:rsidR="0071626A" w:rsidRPr="007C0D91" w:rsidRDefault="0071626A" w:rsidP="00D43793">
            <w:pPr>
              <w:jc w:val="center"/>
              <w:rPr>
                <w:rFonts w:ascii="Arial Narrow" w:eastAsiaTheme="majorEastAsia" w:hAnsi="Arial Narrow" w:cs="Times New Roman"/>
                <w:b/>
                <w:sz w:val="20"/>
              </w:rPr>
            </w:pPr>
            <w:r w:rsidRPr="007C0D91">
              <w:rPr>
                <w:rFonts w:ascii="Arial Narrow" w:eastAsiaTheme="majorEastAsia" w:hAnsi="Arial Narrow" w:cs="Times New Roman"/>
                <w:b/>
                <w:sz w:val="20"/>
              </w:rPr>
              <w:t>Description</w:t>
            </w:r>
          </w:p>
        </w:tc>
        <w:tc>
          <w:tcPr>
            <w:tcW w:w="2200" w:type="pct"/>
            <w:shd w:val="clear" w:color="auto" w:fill="auto"/>
            <w:vAlign w:val="center"/>
          </w:tcPr>
          <w:p w14:paraId="61774D4A" w14:textId="77777777" w:rsidR="0071626A" w:rsidRPr="007C0D91" w:rsidRDefault="0071626A" w:rsidP="00D43793">
            <w:pPr>
              <w:jc w:val="center"/>
              <w:rPr>
                <w:rFonts w:ascii="Arial Narrow" w:eastAsiaTheme="majorEastAsia" w:hAnsi="Arial Narrow" w:cs="Times New Roman"/>
                <w:b/>
                <w:sz w:val="20"/>
              </w:rPr>
            </w:pPr>
            <w:r w:rsidRPr="007C0D91">
              <w:rPr>
                <w:rFonts w:ascii="Arial Narrow" w:eastAsiaTheme="majorEastAsia" w:hAnsi="Arial Narrow" w:cs="Times New Roman"/>
                <w:b/>
                <w:sz w:val="20"/>
              </w:rPr>
              <w:t>Method/Value</w:t>
            </w:r>
          </w:p>
        </w:tc>
        <w:tc>
          <w:tcPr>
            <w:tcW w:w="1780" w:type="pct"/>
            <w:shd w:val="clear" w:color="auto" w:fill="auto"/>
            <w:vAlign w:val="center"/>
          </w:tcPr>
          <w:p w14:paraId="38DCEE71" w14:textId="77777777" w:rsidR="0071626A" w:rsidRPr="007C0D91" w:rsidRDefault="0071626A" w:rsidP="00D43793">
            <w:pPr>
              <w:jc w:val="center"/>
              <w:rPr>
                <w:rFonts w:ascii="Arial Narrow" w:eastAsiaTheme="majorEastAsia" w:hAnsi="Arial Narrow" w:cs="Times New Roman"/>
                <w:b/>
                <w:sz w:val="20"/>
              </w:rPr>
            </w:pPr>
            <w:r w:rsidRPr="007C0D91">
              <w:rPr>
                <w:rFonts w:ascii="Arial Narrow" w:eastAsiaTheme="majorEastAsia" w:hAnsi="Arial Narrow" w:cs="Times New Roman"/>
                <w:b/>
                <w:sz w:val="20"/>
              </w:rPr>
              <w:t>Impact</w:t>
            </w:r>
          </w:p>
          <w:p w14:paraId="0EB447BC" w14:textId="46D67B6F" w:rsidR="0071626A" w:rsidRPr="007C0D91" w:rsidRDefault="0071626A" w:rsidP="00D43793">
            <w:pPr>
              <w:jc w:val="center"/>
              <w:rPr>
                <w:rFonts w:ascii="Arial Narrow" w:eastAsiaTheme="majorEastAsia" w:hAnsi="Arial Narrow" w:cs="Times New Roman"/>
                <w:b/>
                <w:sz w:val="20"/>
              </w:rPr>
            </w:pPr>
            <w:r w:rsidRPr="007C0D91">
              <w:rPr>
                <w:rFonts w:ascii="Arial Narrow" w:eastAsiaTheme="majorEastAsia" w:hAnsi="Arial Narrow"/>
                <w:b/>
                <w:sz w:val="20"/>
                <w:szCs w:val="20"/>
              </w:rPr>
              <w:t xml:space="preserve">Base case: </w:t>
            </w:r>
            <w:r w:rsidRPr="009B3FAF">
              <w:rPr>
                <w:rFonts w:ascii="Arial Narrow" w:eastAsiaTheme="majorEastAsia" w:hAnsi="Arial Narrow"/>
                <w:b/>
                <w:sz w:val="20"/>
                <w:szCs w:val="20"/>
              </w:rPr>
              <w:t>$</w:t>
            </w:r>
            <w:r w:rsidR="00092A28" w:rsidRPr="00092A28">
              <w:rPr>
                <w:rFonts w:ascii="Arial Narrow" w:eastAsiaTheme="majorEastAsia" w:hAnsi="Arial Narrow" w:hint="eastAsia"/>
                <w:b/>
                <w:color w:val="000000"/>
                <w:w w:val="16"/>
                <w:sz w:val="20"/>
                <w:szCs w:val="20"/>
                <w:shd w:val="solid" w:color="000000" w:fill="000000"/>
                <w:fitText w:val="75" w:id="-1167912442"/>
                <w14:textFill>
                  <w14:solidFill>
                    <w14:srgbClr w14:val="000000">
                      <w14:alpha w14:val="100000"/>
                    </w14:srgbClr>
                  </w14:solidFill>
                </w14:textFill>
              </w:rPr>
              <w:t xml:space="preserve">　</w:t>
            </w:r>
            <w:r w:rsidR="00092A28" w:rsidRPr="00092A28">
              <w:rPr>
                <w:rFonts w:ascii="Arial Narrow" w:eastAsiaTheme="majorEastAsia" w:hAnsi="Arial Narrow"/>
                <w:b/>
                <w:color w:val="000000"/>
                <w:w w:val="16"/>
                <w:sz w:val="20"/>
                <w:szCs w:val="20"/>
                <w:shd w:val="solid" w:color="000000" w:fill="000000"/>
                <w:fitText w:val="75" w:id="-1167912442"/>
                <w14:textFill>
                  <w14:solidFill>
                    <w14:srgbClr w14:val="000000">
                      <w14:alpha w14:val="100000"/>
                    </w14:srgbClr>
                  </w14:solidFill>
                </w14:textFill>
              </w:rPr>
              <w:t>|</w:t>
            </w:r>
            <w:r w:rsidR="00092A28" w:rsidRPr="00092A28">
              <w:rPr>
                <w:rFonts w:ascii="Arial Narrow" w:eastAsiaTheme="majorEastAsia" w:hAnsi="Arial Narrow" w:hint="eastAsia"/>
                <w:b/>
                <w:color w:val="000000"/>
                <w:spacing w:val="5"/>
                <w:w w:val="16"/>
                <w:sz w:val="20"/>
                <w:szCs w:val="20"/>
                <w:shd w:val="solid" w:color="000000" w:fill="000000"/>
                <w:fitText w:val="75" w:id="-1167912442"/>
                <w14:textFill>
                  <w14:solidFill>
                    <w14:srgbClr w14:val="000000">
                      <w14:alpha w14:val="100000"/>
                    </w14:srgbClr>
                  </w14:solidFill>
                </w14:textFill>
              </w:rPr>
              <w:t xml:space="preserve">　</w:t>
            </w:r>
            <w:r w:rsidR="009B3FAF">
              <w:rPr>
                <w:rFonts w:ascii="Arial Narrow" w:eastAsiaTheme="majorEastAsia" w:hAnsi="Arial Narrow"/>
                <w:b/>
                <w:sz w:val="20"/>
                <w:szCs w:val="20"/>
                <w:vertAlign w:val="superscript"/>
              </w:rPr>
              <w:t>1</w:t>
            </w:r>
            <w:r w:rsidRPr="007C0D91">
              <w:rPr>
                <w:rFonts w:ascii="Arial Narrow" w:eastAsiaTheme="majorEastAsia" w:hAnsi="Arial Narrow"/>
                <w:b/>
                <w:sz w:val="20"/>
                <w:szCs w:val="20"/>
              </w:rPr>
              <w:t>/QALY gained</w:t>
            </w:r>
          </w:p>
        </w:tc>
      </w:tr>
      <w:tr w:rsidR="0071626A" w:rsidRPr="007C0D91" w14:paraId="2BA1D0ED" w14:textId="77777777" w:rsidTr="00E02373">
        <w:tc>
          <w:tcPr>
            <w:tcW w:w="1020" w:type="pct"/>
            <w:shd w:val="clear" w:color="auto" w:fill="auto"/>
            <w:vAlign w:val="center"/>
          </w:tcPr>
          <w:p w14:paraId="285910FD" w14:textId="77777777" w:rsidR="0071626A" w:rsidRPr="007C0D91" w:rsidRDefault="0071626A" w:rsidP="00D43793">
            <w:pPr>
              <w:jc w:val="left"/>
              <w:rPr>
                <w:rFonts w:ascii="Arial Narrow" w:eastAsiaTheme="majorEastAsia" w:hAnsi="Arial Narrow" w:cstheme="majorBidi"/>
                <w:bCs/>
                <w:sz w:val="20"/>
              </w:rPr>
            </w:pPr>
            <w:r w:rsidRPr="007C0D91">
              <w:rPr>
                <w:rFonts w:ascii="Arial Narrow" w:eastAsiaTheme="majorEastAsia" w:hAnsi="Arial Narrow" w:cstheme="majorBidi"/>
                <w:bCs/>
                <w:sz w:val="20"/>
              </w:rPr>
              <w:t>Choice of comparator survival estimates</w:t>
            </w:r>
          </w:p>
        </w:tc>
        <w:tc>
          <w:tcPr>
            <w:tcW w:w="2200" w:type="pct"/>
            <w:shd w:val="clear" w:color="auto" w:fill="auto"/>
            <w:vAlign w:val="center"/>
          </w:tcPr>
          <w:p w14:paraId="7BED8DFA" w14:textId="08B80084" w:rsidR="0071626A" w:rsidRPr="007C0D91" w:rsidRDefault="0071626A" w:rsidP="00D43793">
            <w:pPr>
              <w:jc w:val="left"/>
              <w:rPr>
                <w:rFonts w:ascii="Arial Narrow" w:eastAsiaTheme="majorEastAsia" w:hAnsi="Arial Narrow" w:cstheme="majorBidi"/>
                <w:bCs/>
                <w:iCs/>
                <w:sz w:val="20"/>
              </w:rPr>
            </w:pPr>
            <w:r w:rsidRPr="007C0D91">
              <w:rPr>
                <w:rFonts w:ascii="Arial Narrow" w:eastAsiaTheme="majorEastAsia" w:hAnsi="Arial Narrow" w:cstheme="majorBidi"/>
                <w:bCs/>
                <w:iCs/>
                <w:sz w:val="20"/>
              </w:rPr>
              <w:t>Using KM data from a basket of treatments (</w:t>
            </w:r>
            <w:r w:rsidR="00FB0DBF" w:rsidRPr="00FB0DBF">
              <w:rPr>
                <w:rFonts w:ascii="Arial Narrow" w:eastAsiaTheme="majorEastAsia" w:hAnsi="Arial Narrow" w:cstheme="majorBidi"/>
                <w:bCs/>
                <w:i/>
                <w:iCs/>
                <w:sz w:val="20"/>
              </w:rPr>
              <w:t>EGFR</w:t>
            </w:r>
            <w:r w:rsidRPr="007C0D91">
              <w:rPr>
                <w:rFonts w:ascii="Arial Narrow" w:eastAsiaTheme="majorEastAsia" w:hAnsi="Arial Narrow" w:cstheme="majorBidi"/>
                <w:bCs/>
                <w:iCs/>
                <w:sz w:val="20"/>
              </w:rPr>
              <w:t xml:space="preserve"> TKIs and immunotherapies) as the basis for TTD, PFS and OS estimates rather than just chemotherapy patient data.</w:t>
            </w:r>
          </w:p>
        </w:tc>
        <w:tc>
          <w:tcPr>
            <w:tcW w:w="1780" w:type="pct"/>
            <w:shd w:val="clear" w:color="auto" w:fill="auto"/>
            <w:vAlign w:val="center"/>
          </w:tcPr>
          <w:p w14:paraId="636CA861" w14:textId="77777777" w:rsidR="0071626A" w:rsidRPr="007C0D91" w:rsidRDefault="0071626A" w:rsidP="00D43793">
            <w:pPr>
              <w:jc w:val="left"/>
              <w:rPr>
                <w:rFonts w:ascii="Arial Narrow" w:eastAsiaTheme="majorEastAsia" w:hAnsi="Arial Narrow" w:cstheme="majorBidi"/>
                <w:bCs/>
                <w:iCs/>
                <w:sz w:val="20"/>
              </w:rPr>
            </w:pPr>
            <w:r w:rsidRPr="007C0D91">
              <w:rPr>
                <w:rFonts w:ascii="Arial Narrow" w:eastAsiaTheme="majorEastAsia" w:hAnsi="Arial Narrow" w:cstheme="majorBidi"/>
                <w:bCs/>
                <w:iCs/>
                <w:sz w:val="20"/>
              </w:rPr>
              <w:t>Moderate, base case favours mobocertinib</w:t>
            </w:r>
          </w:p>
          <w:p w14:paraId="5A84751E" w14:textId="77777777" w:rsidR="0071626A" w:rsidRPr="007C0D91" w:rsidRDefault="0071626A" w:rsidP="00D43793">
            <w:pPr>
              <w:jc w:val="left"/>
              <w:rPr>
                <w:rFonts w:ascii="Arial Narrow" w:eastAsiaTheme="majorEastAsia" w:hAnsi="Arial Narrow" w:cstheme="majorBidi"/>
                <w:bCs/>
                <w:iCs/>
                <w:sz w:val="20"/>
              </w:rPr>
            </w:pPr>
          </w:p>
          <w:p w14:paraId="268DDE9C" w14:textId="33341FA9" w:rsidR="0071626A" w:rsidRPr="007C0D91" w:rsidRDefault="0071626A" w:rsidP="00D43793">
            <w:pPr>
              <w:jc w:val="left"/>
              <w:rPr>
                <w:rFonts w:ascii="Arial Narrow" w:eastAsiaTheme="majorEastAsia" w:hAnsi="Arial Narrow" w:cstheme="majorBidi"/>
                <w:bCs/>
                <w:iCs/>
                <w:sz w:val="20"/>
              </w:rPr>
            </w:pPr>
            <w:r w:rsidRPr="007C0D91">
              <w:rPr>
                <w:rFonts w:ascii="Arial Narrow" w:eastAsiaTheme="majorEastAsia" w:hAnsi="Arial Narrow" w:cstheme="majorBidi"/>
                <w:bCs/>
                <w:iCs/>
                <w:sz w:val="20"/>
              </w:rPr>
              <w:t>Limiting the survival estimates to only chemotherapy regimens used in the model base case increased ICER to $</w:t>
            </w:r>
            <w:r w:rsidR="00092A28" w:rsidRPr="00092A28">
              <w:rPr>
                <w:rFonts w:ascii="Arial Narrow" w:eastAsiaTheme="majorEastAsia" w:hAnsi="Arial Narrow" w:cstheme="majorBidi"/>
                <w:bCs/>
                <w:iCs/>
                <w:color w:val="000000"/>
                <w:spacing w:val="53"/>
                <w:sz w:val="20"/>
                <w:shd w:val="solid" w:color="000000" w:fill="000000"/>
                <w:fitText w:val="330" w:id="-1167912441"/>
                <w14:textFill>
                  <w14:solidFill>
                    <w14:srgbClr w14:val="000000">
                      <w14:alpha w14:val="100000"/>
                    </w14:srgbClr>
                  </w14:solidFill>
                </w14:textFill>
              </w:rPr>
              <w:t>|||</w:t>
            </w:r>
            <w:r w:rsidR="00092A28" w:rsidRPr="00092A28">
              <w:rPr>
                <w:rFonts w:ascii="Arial Narrow" w:eastAsiaTheme="majorEastAsia" w:hAnsi="Arial Narrow" w:cstheme="majorBidi"/>
                <w:bCs/>
                <w:iCs/>
                <w:color w:val="000000"/>
                <w:spacing w:val="1"/>
                <w:sz w:val="20"/>
                <w:shd w:val="solid" w:color="000000" w:fill="000000"/>
                <w:fitText w:val="330" w:id="-1167912441"/>
                <w14:textFill>
                  <w14:solidFill>
                    <w14:srgbClr w14:val="000000">
                      <w14:alpha w14:val="100000"/>
                    </w14:srgbClr>
                  </w14:solidFill>
                </w14:textFill>
              </w:rPr>
              <w:t>|</w:t>
            </w:r>
            <w:r w:rsidR="009B3FAF">
              <w:rPr>
                <w:rFonts w:ascii="Arial Narrow" w:eastAsiaTheme="majorEastAsia" w:hAnsi="Arial Narrow" w:cstheme="majorBidi"/>
                <w:bCs/>
                <w:iCs/>
                <w:sz w:val="20"/>
                <w:vertAlign w:val="superscript"/>
              </w:rPr>
              <w:t>2</w:t>
            </w:r>
            <w:r w:rsidRPr="007C0D91">
              <w:rPr>
                <w:rFonts w:ascii="Arial Narrow" w:eastAsiaTheme="majorEastAsia" w:hAnsi="Arial Narrow" w:cstheme="majorBidi"/>
                <w:bCs/>
                <w:iCs/>
                <w:sz w:val="20"/>
              </w:rPr>
              <w:t>/QALY gained.</w:t>
            </w:r>
          </w:p>
        </w:tc>
      </w:tr>
    </w:tbl>
    <w:p w14:paraId="28E45C84" w14:textId="77777777" w:rsidR="0071626A" w:rsidRPr="007C0D91" w:rsidRDefault="0071626A" w:rsidP="0071626A">
      <w:pPr>
        <w:spacing w:after="120"/>
        <w:contextualSpacing/>
        <w:rPr>
          <w:rFonts w:ascii="Arial Narrow" w:hAnsi="Arial Narrow"/>
          <w:snapToGrid w:val="0"/>
          <w:sz w:val="18"/>
          <w:szCs w:val="22"/>
        </w:rPr>
      </w:pPr>
      <w:r w:rsidRPr="007C0D91">
        <w:rPr>
          <w:rFonts w:ascii="Arial Narrow" w:hAnsi="Arial Narrow"/>
          <w:snapToGrid w:val="0"/>
          <w:sz w:val="18"/>
          <w:szCs w:val="22"/>
        </w:rPr>
        <w:t>Source: Compiled during the evaluation based on Section 3 of the resubmission</w:t>
      </w:r>
    </w:p>
    <w:p w14:paraId="5BBE0BD8" w14:textId="15F86D0C" w:rsidR="0071626A" w:rsidRDefault="00FB0DBF" w:rsidP="0071626A">
      <w:pPr>
        <w:spacing w:after="120"/>
        <w:contextualSpacing/>
        <w:rPr>
          <w:rFonts w:ascii="Arial Narrow" w:hAnsi="Arial Narrow"/>
          <w:snapToGrid w:val="0"/>
          <w:sz w:val="18"/>
          <w:szCs w:val="22"/>
        </w:rPr>
      </w:pPr>
      <w:r w:rsidRPr="00FB0DBF">
        <w:rPr>
          <w:rFonts w:ascii="Arial Narrow" w:hAnsi="Arial Narrow"/>
          <w:i/>
          <w:snapToGrid w:val="0"/>
          <w:sz w:val="18"/>
          <w:szCs w:val="22"/>
        </w:rPr>
        <w:t>EGFR</w:t>
      </w:r>
      <w:r w:rsidR="0071626A" w:rsidRPr="007C0D91">
        <w:rPr>
          <w:rFonts w:ascii="Arial Narrow" w:hAnsi="Arial Narrow"/>
          <w:snapToGrid w:val="0"/>
          <w:sz w:val="18"/>
          <w:szCs w:val="22"/>
        </w:rPr>
        <w:t xml:space="preserve"> = epidermal growth factor receptor; ICER = incremental cost-effectiveness ratio; QALY = quality-adjusted life year.</w:t>
      </w:r>
    </w:p>
    <w:p w14:paraId="4CBE6310" w14:textId="77777777" w:rsidR="009B3FAF" w:rsidRPr="009A6D58" w:rsidRDefault="009B3FAF" w:rsidP="009B3FA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EEB41F7" w14:textId="4AC416C4" w:rsidR="009B3FAF" w:rsidRPr="009A6D58" w:rsidRDefault="009B3FAF" w:rsidP="009B3FA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B3FAF">
        <w:rPr>
          <w:rFonts w:ascii="Arial Narrow" w:hAnsi="Arial Narrow"/>
          <w:i/>
          <w:sz w:val="18"/>
          <w:szCs w:val="18"/>
        </w:rPr>
        <w:t>$55,000 to &lt; $75,000</w:t>
      </w:r>
    </w:p>
    <w:p w14:paraId="624E82CF" w14:textId="021245C5" w:rsidR="009B3FAF" w:rsidRPr="009A6D58" w:rsidRDefault="009B3FAF" w:rsidP="009B3FAF">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9B3FAF">
        <w:rPr>
          <w:rFonts w:ascii="Arial Narrow" w:hAnsi="Arial Narrow"/>
          <w:i/>
          <w:sz w:val="18"/>
          <w:szCs w:val="18"/>
        </w:rPr>
        <w:t>$95,000 to &lt; $115,000</w:t>
      </w:r>
    </w:p>
    <w:p w14:paraId="3C8A7F1B" w14:textId="0C6CF902" w:rsidR="0071626A" w:rsidRPr="007C0D91" w:rsidRDefault="0071626A" w:rsidP="0071626A">
      <w:pPr>
        <w:numPr>
          <w:ilvl w:val="1"/>
          <w:numId w:val="1"/>
        </w:numPr>
        <w:spacing w:after="120"/>
        <w:rPr>
          <w:rFonts w:asciiTheme="minorHAnsi" w:hAnsiTheme="minorHAnsi"/>
          <w:snapToGrid w:val="0"/>
          <w:color w:val="0066FF"/>
        </w:rPr>
      </w:pPr>
      <w:r w:rsidRPr="007C0D91">
        <w:rPr>
          <w:rFonts w:asciiTheme="minorHAnsi" w:hAnsiTheme="minorHAnsi"/>
          <w:snapToGrid w:val="0"/>
        </w:rPr>
        <w:t xml:space="preserve">The results of the stepped economic evaluation presented in the resubmission are summarised in </w:t>
      </w:r>
      <w:r w:rsidRPr="007C0D91">
        <w:rPr>
          <w:rFonts w:asciiTheme="minorHAnsi" w:hAnsiTheme="minorHAnsi"/>
          <w:snapToGrid w:val="0"/>
        </w:rPr>
        <w:fldChar w:fldCharType="begin"/>
      </w:r>
      <w:r w:rsidRPr="007C0D91">
        <w:rPr>
          <w:rFonts w:asciiTheme="minorHAnsi" w:hAnsiTheme="minorHAnsi"/>
          <w:snapToGrid w:val="0"/>
        </w:rPr>
        <w:instrText xml:space="preserve"> REF _Ref133749646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117491">
        <w:rPr>
          <w:rFonts w:asciiTheme="minorHAnsi" w:hAnsiTheme="minorHAnsi"/>
          <w:snapToGrid w:val="0"/>
        </w:rPr>
        <w:t>Table 11</w:t>
      </w:r>
      <w:r w:rsidRPr="007C0D91">
        <w:rPr>
          <w:rFonts w:asciiTheme="minorHAnsi" w:hAnsiTheme="minorHAnsi"/>
          <w:snapToGrid w:val="0"/>
        </w:rPr>
        <w:fldChar w:fldCharType="end"/>
      </w:r>
      <w:r w:rsidRPr="007C0D91">
        <w:rPr>
          <w:rFonts w:asciiTheme="minorHAnsi" w:hAnsiTheme="minorHAnsi"/>
          <w:snapToGrid w:val="0"/>
        </w:rPr>
        <w:t>. The steps that had the most impact on the model estimates were limiting the comparator costs to chemotherapy only (Step 3) and reduction in the price of mobocertinib (Step 6).</w:t>
      </w:r>
    </w:p>
    <w:p w14:paraId="283AF34B" w14:textId="51E5F21D" w:rsidR="0071626A" w:rsidRPr="007C0D91" w:rsidRDefault="0071626A" w:rsidP="0071626A">
      <w:pPr>
        <w:keepNext/>
        <w:keepLines/>
        <w:rPr>
          <w:rFonts w:ascii="Arial Narrow" w:hAnsi="Arial Narrow"/>
          <w:b/>
          <w:bCs/>
          <w:sz w:val="20"/>
        </w:rPr>
      </w:pPr>
      <w:bookmarkStart w:id="74" w:name="_Ref133749646"/>
      <w:r w:rsidRPr="007C0D91">
        <w:rPr>
          <w:rFonts w:ascii="Arial Narrow" w:hAnsi="Arial Narrow"/>
          <w:b/>
          <w:bCs/>
          <w:sz w:val="20"/>
          <w:szCs w:val="18"/>
        </w:rPr>
        <w:lastRenderedPageBreak/>
        <w:t xml:space="preserve">Table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Table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11</w:t>
      </w:r>
      <w:r w:rsidRPr="007C0D91">
        <w:rPr>
          <w:rFonts w:ascii="Arial Narrow" w:hAnsi="Arial Narrow"/>
          <w:b/>
          <w:bCs/>
          <w:sz w:val="20"/>
          <w:szCs w:val="18"/>
        </w:rPr>
        <w:fldChar w:fldCharType="end"/>
      </w:r>
      <w:bookmarkEnd w:id="74"/>
      <w:r w:rsidRPr="007C0D91">
        <w:rPr>
          <w:rFonts w:ascii="Arial Narrow" w:hAnsi="Arial Narrow"/>
          <w:b/>
          <w:bCs/>
          <w:sz w:val="20"/>
          <w:szCs w:val="18"/>
        </w:rPr>
        <w:t>:</w:t>
      </w:r>
      <w:r w:rsidRPr="007C0D91">
        <w:rPr>
          <w:rFonts w:ascii="Arial Narrow" w:hAnsi="Arial Narrow"/>
          <w:b/>
          <w:bCs/>
          <w:sz w:val="20"/>
        </w:rPr>
        <w:t xml:space="preserve"> Results of the stepped economic evaluation –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71626A" w:rsidRPr="007C0D91" w14:paraId="635B424B" w14:textId="77777777" w:rsidTr="00D43793">
        <w:trPr>
          <w:tblHeader/>
        </w:trPr>
        <w:tc>
          <w:tcPr>
            <w:tcW w:w="1529" w:type="pct"/>
            <w:vAlign w:val="center"/>
          </w:tcPr>
          <w:p w14:paraId="78945ED5" w14:textId="77777777" w:rsidR="0071626A" w:rsidRPr="007C0D91" w:rsidRDefault="0071626A" w:rsidP="00D43793">
            <w:pPr>
              <w:keepNext/>
              <w:jc w:val="left"/>
              <w:rPr>
                <w:rFonts w:ascii="Arial Narrow" w:eastAsiaTheme="majorEastAsia" w:hAnsi="Arial Narrow" w:cs="Times New Roman"/>
                <w:b/>
                <w:sz w:val="20"/>
              </w:rPr>
            </w:pPr>
            <w:r w:rsidRPr="007C0D91">
              <w:rPr>
                <w:rFonts w:ascii="Arial Narrow" w:eastAsiaTheme="majorEastAsia" w:hAnsi="Arial Narrow" w:cs="Times New Roman"/>
                <w:b/>
                <w:sz w:val="20"/>
              </w:rPr>
              <w:t>Step and component</w:t>
            </w:r>
          </w:p>
        </w:tc>
        <w:tc>
          <w:tcPr>
            <w:tcW w:w="1359" w:type="pct"/>
            <w:vAlign w:val="center"/>
          </w:tcPr>
          <w:p w14:paraId="6F07025E" w14:textId="77777777" w:rsidR="0071626A" w:rsidRPr="007C0D91" w:rsidRDefault="0071626A" w:rsidP="00D43793">
            <w:pPr>
              <w:keepNext/>
              <w:jc w:val="center"/>
              <w:rPr>
                <w:rFonts w:ascii="Arial Narrow" w:eastAsiaTheme="majorEastAsia" w:hAnsi="Arial Narrow" w:cs="Times New Roman"/>
                <w:b/>
                <w:sz w:val="20"/>
              </w:rPr>
            </w:pPr>
            <w:r w:rsidRPr="007C0D91">
              <w:rPr>
                <w:rFonts w:ascii="Arial Narrow" w:eastAsiaTheme="majorEastAsia" w:hAnsi="Arial Narrow" w:cs="Times New Roman"/>
                <w:b/>
                <w:sz w:val="20"/>
              </w:rPr>
              <w:t>Mobocertinib</w:t>
            </w:r>
          </w:p>
        </w:tc>
        <w:tc>
          <w:tcPr>
            <w:tcW w:w="1274" w:type="pct"/>
            <w:vAlign w:val="center"/>
          </w:tcPr>
          <w:p w14:paraId="7AF2CD0D" w14:textId="2C677435" w:rsidR="0071626A" w:rsidRPr="007C0D91" w:rsidRDefault="0071626A" w:rsidP="00D43793">
            <w:pPr>
              <w:keepNext/>
              <w:jc w:val="center"/>
              <w:rPr>
                <w:rFonts w:ascii="Arial Narrow" w:eastAsiaTheme="majorEastAsia" w:hAnsi="Arial Narrow" w:cs="Times New Roman"/>
                <w:b/>
                <w:sz w:val="20"/>
              </w:rPr>
            </w:pPr>
            <w:r w:rsidRPr="007C0D91">
              <w:rPr>
                <w:rFonts w:ascii="Arial Narrow" w:eastAsiaTheme="majorEastAsia" w:hAnsi="Arial Narrow" w:cs="Times New Roman"/>
                <w:b/>
                <w:sz w:val="20"/>
              </w:rPr>
              <w:t>Comparator</w:t>
            </w:r>
          </w:p>
        </w:tc>
        <w:tc>
          <w:tcPr>
            <w:tcW w:w="838" w:type="pct"/>
            <w:vAlign w:val="center"/>
          </w:tcPr>
          <w:p w14:paraId="4FB16422" w14:textId="77777777" w:rsidR="0071626A" w:rsidRPr="007C0D91" w:rsidRDefault="0071626A" w:rsidP="00D43793">
            <w:pPr>
              <w:keepNext/>
              <w:jc w:val="center"/>
              <w:rPr>
                <w:rFonts w:ascii="Arial Narrow" w:eastAsiaTheme="majorEastAsia" w:hAnsi="Arial Narrow" w:cs="Times New Roman"/>
                <w:b/>
                <w:sz w:val="20"/>
              </w:rPr>
            </w:pPr>
            <w:r w:rsidRPr="007C0D91">
              <w:rPr>
                <w:rFonts w:ascii="Arial Narrow" w:eastAsiaTheme="majorEastAsia" w:hAnsi="Arial Narrow" w:cs="Times New Roman"/>
                <w:b/>
                <w:sz w:val="20"/>
              </w:rPr>
              <w:t>Increment</w:t>
            </w:r>
          </w:p>
        </w:tc>
      </w:tr>
      <w:tr w:rsidR="0071626A" w:rsidRPr="007C0D91" w14:paraId="28925409" w14:textId="77777777" w:rsidTr="00D43793">
        <w:tc>
          <w:tcPr>
            <w:tcW w:w="5000" w:type="pct"/>
            <w:gridSpan w:val="4"/>
            <w:vAlign w:val="center"/>
          </w:tcPr>
          <w:p w14:paraId="3F0B1E33" w14:textId="77777777" w:rsidR="0071626A" w:rsidRPr="007C0D91" w:rsidRDefault="0071626A" w:rsidP="00D43793">
            <w:pPr>
              <w:keepNext/>
              <w:jc w:val="left"/>
              <w:rPr>
                <w:rFonts w:ascii="Arial Narrow" w:eastAsiaTheme="majorEastAsia" w:hAnsi="Arial Narrow" w:cstheme="majorBidi"/>
                <w:bCs/>
                <w:sz w:val="20"/>
              </w:rPr>
            </w:pPr>
            <w:r w:rsidRPr="007C0D91">
              <w:rPr>
                <w:rFonts w:ascii="Arial Narrow" w:eastAsiaTheme="majorEastAsia" w:hAnsi="Arial Narrow" w:cstheme="majorBidi"/>
                <w:bCs/>
                <w:sz w:val="20"/>
              </w:rPr>
              <w:t>Step 1: Base case of original submission (November 2022)</w:t>
            </w:r>
          </w:p>
        </w:tc>
      </w:tr>
      <w:tr w:rsidR="0071626A" w:rsidRPr="007C0D91" w14:paraId="5D66EE6C" w14:textId="77777777" w:rsidTr="00D43793">
        <w:tc>
          <w:tcPr>
            <w:tcW w:w="1529" w:type="pct"/>
            <w:vAlign w:val="center"/>
          </w:tcPr>
          <w:p w14:paraId="10AE9804"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Costs</w:t>
            </w:r>
          </w:p>
        </w:tc>
        <w:tc>
          <w:tcPr>
            <w:tcW w:w="1359" w:type="pct"/>
            <w:vAlign w:val="bottom"/>
          </w:tcPr>
          <w:p w14:paraId="150A9484" w14:textId="36703C9A" w:rsidR="0071626A" w:rsidRPr="007C0D91" w:rsidRDefault="0071626A" w:rsidP="00D43793">
            <w:pPr>
              <w:keepNext/>
              <w:jc w:val="center"/>
              <w:rPr>
                <w:rFonts w:ascii="Arial Narrow" w:eastAsiaTheme="majorEastAsia" w:hAnsi="Arial Narrow" w:cs="Times New Roman"/>
                <w:bCs/>
                <w:color w:val="000000"/>
                <w:sz w:val="20"/>
                <w:szCs w:val="20"/>
              </w:rPr>
            </w:pPr>
            <w:r w:rsidRPr="007C0D91">
              <w:rPr>
                <w:rFonts w:ascii="Arial Narrow" w:eastAsiaTheme="majorEastAsia" w:hAnsi="Arial Narrow" w:cstheme="majorBidi"/>
                <w:bCs/>
                <w:color w:val="000000"/>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274" w:type="pct"/>
            <w:vAlign w:val="bottom"/>
          </w:tcPr>
          <w:p w14:paraId="51F0553B" w14:textId="77777777" w:rsidR="0071626A" w:rsidRPr="007C0D91" w:rsidRDefault="0071626A" w:rsidP="00D43793">
            <w:pPr>
              <w:jc w:val="center"/>
              <w:rPr>
                <w:rFonts w:ascii="Arial Narrow" w:hAnsi="Arial Narrow" w:cs="Times New Roman"/>
                <w:color w:val="000000"/>
                <w:sz w:val="20"/>
                <w:szCs w:val="20"/>
              </w:rPr>
            </w:pPr>
            <w:r w:rsidRPr="007C0D91">
              <w:rPr>
                <w:rFonts w:ascii="Arial Narrow" w:hAnsi="Arial Narrow"/>
                <w:color w:val="000000"/>
                <w:sz w:val="20"/>
                <w:szCs w:val="20"/>
              </w:rPr>
              <w:t>$74,086.64</w:t>
            </w:r>
          </w:p>
        </w:tc>
        <w:tc>
          <w:tcPr>
            <w:tcW w:w="838" w:type="pct"/>
            <w:vAlign w:val="center"/>
          </w:tcPr>
          <w:p w14:paraId="0C02AB01" w14:textId="02B8DE64"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p>
        </w:tc>
      </w:tr>
      <w:tr w:rsidR="0071626A" w:rsidRPr="007C0D91" w14:paraId="5E09E40D" w14:textId="77777777" w:rsidTr="00D43793">
        <w:tc>
          <w:tcPr>
            <w:tcW w:w="1529" w:type="pct"/>
            <w:vAlign w:val="center"/>
          </w:tcPr>
          <w:p w14:paraId="50D593C1"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QALYs</w:t>
            </w:r>
          </w:p>
        </w:tc>
        <w:tc>
          <w:tcPr>
            <w:tcW w:w="1359" w:type="pct"/>
            <w:vAlign w:val="bottom"/>
          </w:tcPr>
          <w:p w14:paraId="2C9229E2"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1.528</w:t>
            </w:r>
          </w:p>
        </w:tc>
        <w:tc>
          <w:tcPr>
            <w:tcW w:w="1274" w:type="pct"/>
            <w:vAlign w:val="bottom"/>
          </w:tcPr>
          <w:p w14:paraId="7E5D839D"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0.797</w:t>
            </w:r>
          </w:p>
        </w:tc>
        <w:tc>
          <w:tcPr>
            <w:tcW w:w="838" w:type="pct"/>
            <w:vAlign w:val="center"/>
          </w:tcPr>
          <w:p w14:paraId="648F06EF" w14:textId="77777777"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0.7313</w:t>
            </w:r>
          </w:p>
        </w:tc>
      </w:tr>
      <w:tr w:rsidR="0071626A" w:rsidRPr="007C0D91" w14:paraId="5F10E5BD" w14:textId="77777777" w:rsidTr="00D43793">
        <w:tc>
          <w:tcPr>
            <w:tcW w:w="4162" w:type="pct"/>
            <w:gridSpan w:val="3"/>
            <w:vAlign w:val="center"/>
          </w:tcPr>
          <w:p w14:paraId="3C7EAFC6" w14:textId="77777777" w:rsidR="0071626A" w:rsidRPr="007C0D91" w:rsidRDefault="0071626A" w:rsidP="00D43793">
            <w:pPr>
              <w:keepNext/>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Incremental cost/extra LYG gained</w:t>
            </w:r>
          </w:p>
        </w:tc>
        <w:tc>
          <w:tcPr>
            <w:tcW w:w="838" w:type="pct"/>
            <w:vAlign w:val="center"/>
          </w:tcPr>
          <w:p w14:paraId="632A0BBB" w14:textId="7FFDCF29"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r w:rsidR="00F32959">
              <w:rPr>
                <w:rFonts w:ascii="Arial Narrow" w:eastAsiaTheme="majorEastAsia" w:hAnsi="Arial Narrow" w:cstheme="minorHAnsi"/>
                <w:bCs/>
                <w:sz w:val="20"/>
                <w:vertAlign w:val="superscript"/>
              </w:rPr>
              <w:t>1</w:t>
            </w:r>
          </w:p>
        </w:tc>
      </w:tr>
      <w:tr w:rsidR="0071626A" w:rsidRPr="007C0D91" w14:paraId="11DA1C2B" w14:textId="77777777" w:rsidTr="00D43793">
        <w:tc>
          <w:tcPr>
            <w:tcW w:w="5000" w:type="pct"/>
            <w:gridSpan w:val="4"/>
            <w:vAlign w:val="center"/>
          </w:tcPr>
          <w:p w14:paraId="264A7793" w14:textId="17E1DD56" w:rsidR="0071626A" w:rsidRPr="007C0D91" w:rsidRDefault="0071626A" w:rsidP="00D43793">
            <w:pPr>
              <w:keepNext/>
              <w:jc w:val="left"/>
              <w:rPr>
                <w:rFonts w:ascii="Arial Narrow" w:eastAsiaTheme="majorEastAsia" w:hAnsi="Arial Narrow" w:cs="Times New Roman"/>
                <w:b/>
                <w:sz w:val="20"/>
                <w:szCs w:val="20"/>
              </w:rPr>
            </w:pPr>
            <w:r w:rsidRPr="007C0D91">
              <w:rPr>
                <w:rFonts w:ascii="Arial Narrow" w:eastAsiaTheme="majorEastAsia" w:hAnsi="Arial Narrow" w:cs="Times New Roman"/>
                <w:b/>
                <w:sz w:val="20"/>
                <w:szCs w:val="20"/>
              </w:rPr>
              <w:t>Step 2: Use of pooled KM data from studies 5002 and 5008</w:t>
            </w:r>
          </w:p>
        </w:tc>
      </w:tr>
      <w:tr w:rsidR="0071626A" w:rsidRPr="007C0D91" w14:paraId="38C35F7F" w14:textId="77777777" w:rsidTr="00D43793">
        <w:tc>
          <w:tcPr>
            <w:tcW w:w="1529" w:type="pct"/>
            <w:vAlign w:val="center"/>
          </w:tcPr>
          <w:p w14:paraId="77776852"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Costs</w:t>
            </w:r>
          </w:p>
        </w:tc>
        <w:tc>
          <w:tcPr>
            <w:tcW w:w="1359" w:type="pct"/>
            <w:vAlign w:val="bottom"/>
          </w:tcPr>
          <w:p w14:paraId="3AEA15AA" w14:textId="548E91B1"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274" w:type="pct"/>
            <w:vAlign w:val="bottom"/>
          </w:tcPr>
          <w:p w14:paraId="414DE89C"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$82,880.50</w:t>
            </w:r>
          </w:p>
        </w:tc>
        <w:tc>
          <w:tcPr>
            <w:tcW w:w="838" w:type="pct"/>
            <w:vAlign w:val="center"/>
          </w:tcPr>
          <w:p w14:paraId="64E177F2" w14:textId="4089C34D"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p>
        </w:tc>
      </w:tr>
      <w:tr w:rsidR="0071626A" w:rsidRPr="007C0D91" w14:paraId="27846156" w14:textId="77777777" w:rsidTr="00D43793">
        <w:tc>
          <w:tcPr>
            <w:tcW w:w="1529" w:type="pct"/>
            <w:vAlign w:val="center"/>
          </w:tcPr>
          <w:p w14:paraId="3A336A25"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QALYs</w:t>
            </w:r>
          </w:p>
        </w:tc>
        <w:tc>
          <w:tcPr>
            <w:tcW w:w="1359" w:type="pct"/>
            <w:vAlign w:val="bottom"/>
          </w:tcPr>
          <w:p w14:paraId="617BF391"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1.535</w:t>
            </w:r>
          </w:p>
        </w:tc>
        <w:tc>
          <w:tcPr>
            <w:tcW w:w="1274" w:type="pct"/>
            <w:vAlign w:val="bottom"/>
          </w:tcPr>
          <w:p w14:paraId="6B3BF19E"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0.924</w:t>
            </w:r>
          </w:p>
        </w:tc>
        <w:tc>
          <w:tcPr>
            <w:tcW w:w="838" w:type="pct"/>
            <w:vAlign w:val="center"/>
          </w:tcPr>
          <w:p w14:paraId="75B12279" w14:textId="77777777"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0.6108</w:t>
            </w:r>
          </w:p>
        </w:tc>
      </w:tr>
      <w:tr w:rsidR="0071626A" w:rsidRPr="007C0D91" w14:paraId="301CF1B4" w14:textId="77777777" w:rsidTr="00D43793">
        <w:tc>
          <w:tcPr>
            <w:tcW w:w="4162" w:type="pct"/>
            <w:gridSpan w:val="3"/>
            <w:vAlign w:val="center"/>
          </w:tcPr>
          <w:p w14:paraId="1C96F0F1" w14:textId="77777777" w:rsidR="0071626A" w:rsidRPr="007C0D91" w:rsidRDefault="0071626A" w:rsidP="00D43793">
            <w:pPr>
              <w:keepNext/>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Incremental cost/extra LYG gained</w:t>
            </w:r>
          </w:p>
        </w:tc>
        <w:tc>
          <w:tcPr>
            <w:tcW w:w="838" w:type="pct"/>
            <w:vAlign w:val="center"/>
          </w:tcPr>
          <w:p w14:paraId="65A61914" w14:textId="138C8A2E" w:rsidR="0071626A" w:rsidRPr="00F32959" w:rsidRDefault="0071626A" w:rsidP="00D43793">
            <w:pPr>
              <w:keepNext/>
              <w:jc w:val="center"/>
              <w:rPr>
                <w:rFonts w:ascii="Arial Narrow" w:eastAsiaTheme="majorEastAsia" w:hAnsi="Arial Narrow" w:cstheme="majorBidi"/>
                <w:bCs/>
                <w:sz w:val="20"/>
                <w:vertAlign w:val="superscript"/>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r w:rsidR="00F32959">
              <w:rPr>
                <w:rFonts w:ascii="Arial Narrow" w:eastAsiaTheme="majorEastAsia" w:hAnsi="Arial Narrow" w:cstheme="minorHAnsi"/>
                <w:bCs/>
                <w:sz w:val="20"/>
                <w:vertAlign w:val="superscript"/>
              </w:rPr>
              <w:t>2</w:t>
            </w:r>
          </w:p>
        </w:tc>
      </w:tr>
      <w:tr w:rsidR="0071626A" w:rsidRPr="007C0D91" w14:paraId="52AE49D3" w14:textId="77777777" w:rsidTr="00D43793">
        <w:tc>
          <w:tcPr>
            <w:tcW w:w="5000" w:type="pct"/>
            <w:gridSpan w:val="4"/>
            <w:vAlign w:val="center"/>
          </w:tcPr>
          <w:p w14:paraId="61714D45" w14:textId="4EF4FC0A" w:rsidR="0071626A" w:rsidRPr="007C0D91" w:rsidRDefault="0071626A" w:rsidP="00D43793">
            <w:pPr>
              <w:keepNext/>
              <w:jc w:val="left"/>
              <w:rPr>
                <w:rFonts w:ascii="Arial Narrow" w:eastAsiaTheme="majorEastAsia" w:hAnsi="Arial Narrow" w:cs="Times New Roman"/>
                <w:b/>
                <w:sz w:val="20"/>
                <w:szCs w:val="20"/>
              </w:rPr>
            </w:pPr>
            <w:r w:rsidRPr="007C0D91">
              <w:rPr>
                <w:rFonts w:ascii="Arial Narrow" w:eastAsiaTheme="majorEastAsia" w:hAnsi="Arial Narrow" w:cs="Times New Roman"/>
                <w:b/>
                <w:sz w:val="20"/>
                <w:szCs w:val="20"/>
              </w:rPr>
              <w:t>Step 3: Chemo only comparator costs</w:t>
            </w:r>
          </w:p>
        </w:tc>
      </w:tr>
      <w:tr w:rsidR="0071626A" w:rsidRPr="007C0D91" w14:paraId="30ACEF3A" w14:textId="77777777" w:rsidTr="00D43793">
        <w:tc>
          <w:tcPr>
            <w:tcW w:w="1529" w:type="pct"/>
            <w:vAlign w:val="center"/>
          </w:tcPr>
          <w:p w14:paraId="035303DD"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Costs</w:t>
            </w:r>
          </w:p>
        </w:tc>
        <w:tc>
          <w:tcPr>
            <w:tcW w:w="1359" w:type="pct"/>
            <w:vAlign w:val="bottom"/>
          </w:tcPr>
          <w:p w14:paraId="22C7F174" w14:textId="573AE34B"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274" w:type="pct"/>
            <w:vAlign w:val="bottom"/>
          </w:tcPr>
          <w:p w14:paraId="6B86C383"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$53,728.89</w:t>
            </w:r>
          </w:p>
        </w:tc>
        <w:tc>
          <w:tcPr>
            <w:tcW w:w="838" w:type="pct"/>
            <w:vAlign w:val="center"/>
          </w:tcPr>
          <w:p w14:paraId="2C07574D" w14:textId="41E5E158"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p>
        </w:tc>
      </w:tr>
      <w:tr w:rsidR="0071626A" w:rsidRPr="007C0D91" w14:paraId="1534A8EC" w14:textId="77777777" w:rsidTr="00D43793">
        <w:tc>
          <w:tcPr>
            <w:tcW w:w="1529" w:type="pct"/>
            <w:vAlign w:val="center"/>
          </w:tcPr>
          <w:p w14:paraId="75625E22"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QALYs</w:t>
            </w:r>
          </w:p>
        </w:tc>
        <w:tc>
          <w:tcPr>
            <w:tcW w:w="1359" w:type="pct"/>
            <w:vAlign w:val="bottom"/>
          </w:tcPr>
          <w:p w14:paraId="59C224ED"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1.535</w:t>
            </w:r>
          </w:p>
        </w:tc>
        <w:tc>
          <w:tcPr>
            <w:tcW w:w="1274" w:type="pct"/>
            <w:vAlign w:val="bottom"/>
          </w:tcPr>
          <w:p w14:paraId="080F8B91"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0.924</w:t>
            </w:r>
          </w:p>
        </w:tc>
        <w:tc>
          <w:tcPr>
            <w:tcW w:w="838" w:type="pct"/>
            <w:vAlign w:val="center"/>
          </w:tcPr>
          <w:p w14:paraId="5769E9A1" w14:textId="77777777"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0.6108</w:t>
            </w:r>
          </w:p>
        </w:tc>
      </w:tr>
      <w:tr w:rsidR="0071626A" w:rsidRPr="007C0D91" w14:paraId="45121232" w14:textId="77777777" w:rsidTr="00D43793">
        <w:tc>
          <w:tcPr>
            <w:tcW w:w="4162" w:type="pct"/>
            <w:gridSpan w:val="3"/>
            <w:vAlign w:val="center"/>
          </w:tcPr>
          <w:p w14:paraId="20411AA3" w14:textId="77777777" w:rsidR="0071626A" w:rsidRPr="007C0D91" w:rsidRDefault="0071626A" w:rsidP="00D43793">
            <w:pPr>
              <w:keepNext/>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Incremental cost/extra LYG gained</w:t>
            </w:r>
          </w:p>
        </w:tc>
        <w:tc>
          <w:tcPr>
            <w:tcW w:w="838" w:type="pct"/>
            <w:vAlign w:val="center"/>
          </w:tcPr>
          <w:p w14:paraId="7CA79BD4" w14:textId="16B9ACF4" w:rsidR="0071626A" w:rsidRPr="00F32959" w:rsidRDefault="0071626A" w:rsidP="00D43793">
            <w:pPr>
              <w:keepNext/>
              <w:jc w:val="center"/>
              <w:rPr>
                <w:rFonts w:ascii="Arial Narrow" w:eastAsiaTheme="majorEastAsia" w:hAnsi="Arial Narrow" w:cstheme="majorBidi"/>
                <w:bCs/>
                <w:sz w:val="20"/>
                <w:vertAlign w:val="superscript"/>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r w:rsidR="00F32959">
              <w:rPr>
                <w:rFonts w:ascii="Arial Narrow" w:eastAsiaTheme="majorEastAsia" w:hAnsi="Arial Narrow" w:cstheme="minorHAnsi"/>
                <w:bCs/>
                <w:sz w:val="20"/>
                <w:vertAlign w:val="superscript"/>
              </w:rPr>
              <w:t>3</w:t>
            </w:r>
          </w:p>
        </w:tc>
      </w:tr>
      <w:tr w:rsidR="0071626A" w:rsidRPr="007C0D91" w14:paraId="764E99CB" w14:textId="77777777" w:rsidTr="00D43793">
        <w:tc>
          <w:tcPr>
            <w:tcW w:w="5000" w:type="pct"/>
            <w:gridSpan w:val="4"/>
            <w:vAlign w:val="center"/>
          </w:tcPr>
          <w:p w14:paraId="6150DD81" w14:textId="77777777" w:rsidR="0071626A" w:rsidRPr="007C0D91" w:rsidRDefault="0071626A" w:rsidP="00D43793">
            <w:pPr>
              <w:keepNext/>
              <w:jc w:val="left"/>
              <w:rPr>
                <w:rFonts w:ascii="Arial Narrow" w:eastAsiaTheme="majorEastAsia" w:hAnsi="Arial Narrow" w:cs="Times New Roman"/>
                <w:b/>
                <w:sz w:val="20"/>
                <w:szCs w:val="20"/>
              </w:rPr>
            </w:pPr>
            <w:r w:rsidRPr="007C0D91">
              <w:rPr>
                <w:rFonts w:ascii="Arial Narrow" w:eastAsiaTheme="majorEastAsia" w:hAnsi="Arial Narrow" w:cs="Times New Roman"/>
                <w:b/>
                <w:sz w:val="20"/>
                <w:szCs w:val="20"/>
              </w:rPr>
              <w:t>Step 4: Chemo only subsequent treatment costs</w:t>
            </w:r>
          </w:p>
        </w:tc>
      </w:tr>
      <w:tr w:rsidR="0071626A" w:rsidRPr="007C0D91" w14:paraId="454E3147" w14:textId="77777777" w:rsidTr="00D43793">
        <w:tc>
          <w:tcPr>
            <w:tcW w:w="1529" w:type="pct"/>
            <w:vAlign w:val="center"/>
          </w:tcPr>
          <w:p w14:paraId="406EEB38"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Costs</w:t>
            </w:r>
          </w:p>
        </w:tc>
        <w:tc>
          <w:tcPr>
            <w:tcW w:w="1359" w:type="pct"/>
            <w:vAlign w:val="bottom"/>
          </w:tcPr>
          <w:p w14:paraId="7A42A186" w14:textId="5C5248C6"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274" w:type="pct"/>
            <w:vAlign w:val="bottom"/>
          </w:tcPr>
          <w:p w14:paraId="693B9E3E"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$44,473.25</w:t>
            </w:r>
          </w:p>
        </w:tc>
        <w:tc>
          <w:tcPr>
            <w:tcW w:w="838" w:type="pct"/>
            <w:vAlign w:val="center"/>
          </w:tcPr>
          <w:p w14:paraId="2F32A770" w14:textId="438F7398"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p>
        </w:tc>
      </w:tr>
      <w:tr w:rsidR="0071626A" w:rsidRPr="007C0D91" w14:paraId="61F25741" w14:textId="77777777" w:rsidTr="00D43793">
        <w:tc>
          <w:tcPr>
            <w:tcW w:w="1529" w:type="pct"/>
            <w:vAlign w:val="center"/>
          </w:tcPr>
          <w:p w14:paraId="63C55678"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QALYs</w:t>
            </w:r>
          </w:p>
        </w:tc>
        <w:tc>
          <w:tcPr>
            <w:tcW w:w="1359" w:type="pct"/>
            <w:vAlign w:val="bottom"/>
          </w:tcPr>
          <w:p w14:paraId="24932618"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1.535</w:t>
            </w:r>
          </w:p>
        </w:tc>
        <w:tc>
          <w:tcPr>
            <w:tcW w:w="1274" w:type="pct"/>
            <w:vAlign w:val="bottom"/>
          </w:tcPr>
          <w:p w14:paraId="3C291ACB"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0.924</w:t>
            </w:r>
          </w:p>
        </w:tc>
        <w:tc>
          <w:tcPr>
            <w:tcW w:w="838" w:type="pct"/>
            <w:vAlign w:val="center"/>
          </w:tcPr>
          <w:p w14:paraId="0FF5C0CE" w14:textId="77777777"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0.6108</w:t>
            </w:r>
          </w:p>
        </w:tc>
      </w:tr>
      <w:tr w:rsidR="0071626A" w:rsidRPr="007C0D91" w14:paraId="01D4048D" w14:textId="77777777" w:rsidTr="00D43793">
        <w:tc>
          <w:tcPr>
            <w:tcW w:w="4162" w:type="pct"/>
            <w:gridSpan w:val="3"/>
            <w:vAlign w:val="center"/>
          </w:tcPr>
          <w:p w14:paraId="290A5033" w14:textId="77777777" w:rsidR="0071626A" w:rsidRPr="007C0D91" w:rsidRDefault="0071626A" w:rsidP="00D43793">
            <w:pPr>
              <w:keepNext/>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Incremental cost/extra LYG gained</w:t>
            </w:r>
          </w:p>
        </w:tc>
        <w:tc>
          <w:tcPr>
            <w:tcW w:w="838" w:type="pct"/>
            <w:vAlign w:val="center"/>
          </w:tcPr>
          <w:p w14:paraId="0BB38A79" w14:textId="66AF2831"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r w:rsidR="00F32959">
              <w:rPr>
                <w:rFonts w:ascii="Arial Narrow" w:eastAsiaTheme="majorEastAsia" w:hAnsi="Arial Narrow" w:cstheme="minorHAnsi"/>
                <w:bCs/>
                <w:sz w:val="20"/>
                <w:vertAlign w:val="superscript"/>
              </w:rPr>
              <w:t>4</w:t>
            </w:r>
          </w:p>
        </w:tc>
      </w:tr>
      <w:tr w:rsidR="0071626A" w:rsidRPr="007C0D91" w14:paraId="6BE228E4" w14:textId="77777777" w:rsidTr="00D43793">
        <w:tc>
          <w:tcPr>
            <w:tcW w:w="5000" w:type="pct"/>
            <w:gridSpan w:val="4"/>
            <w:vAlign w:val="center"/>
          </w:tcPr>
          <w:p w14:paraId="3DBF385D" w14:textId="77777777" w:rsidR="0071626A" w:rsidRPr="007C0D91" w:rsidRDefault="0071626A" w:rsidP="00D43793">
            <w:pPr>
              <w:keepNext/>
              <w:jc w:val="left"/>
              <w:rPr>
                <w:rFonts w:ascii="Arial Narrow" w:eastAsiaTheme="majorEastAsia" w:hAnsi="Arial Narrow" w:cs="Times New Roman"/>
                <w:b/>
                <w:sz w:val="20"/>
                <w:szCs w:val="20"/>
              </w:rPr>
            </w:pPr>
            <w:r w:rsidRPr="007C0D91">
              <w:rPr>
                <w:rFonts w:ascii="Arial Narrow" w:eastAsiaTheme="majorEastAsia" w:hAnsi="Arial Narrow" w:cs="Times New Roman"/>
                <w:b/>
                <w:sz w:val="20"/>
                <w:szCs w:val="20"/>
              </w:rPr>
              <w:t>Step 5: No half cycle correction applied to treatment costs</w:t>
            </w:r>
          </w:p>
        </w:tc>
      </w:tr>
      <w:tr w:rsidR="0071626A" w:rsidRPr="007C0D91" w14:paraId="3166967C" w14:textId="77777777" w:rsidTr="00D43793">
        <w:tc>
          <w:tcPr>
            <w:tcW w:w="1529" w:type="pct"/>
            <w:vAlign w:val="center"/>
          </w:tcPr>
          <w:p w14:paraId="5E47B341"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Costs</w:t>
            </w:r>
          </w:p>
        </w:tc>
        <w:tc>
          <w:tcPr>
            <w:tcW w:w="1359" w:type="pct"/>
            <w:vAlign w:val="bottom"/>
          </w:tcPr>
          <w:p w14:paraId="7FB4AB56" w14:textId="48E12CF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274" w:type="pct"/>
            <w:vAlign w:val="bottom"/>
          </w:tcPr>
          <w:p w14:paraId="511E0391"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$44,655.36</w:t>
            </w:r>
          </w:p>
        </w:tc>
        <w:tc>
          <w:tcPr>
            <w:tcW w:w="838" w:type="pct"/>
            <w:vAlign w:val="center"/>
          </w:tcPr>
          <w:p w14:paraId="077BBF4D" w14:textId="37CC4A36"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p>
        </w:tc>
      </w:tr>
      <w:tr w:rsidR="0071626A" w:rsidRPr="007C0D91" w14:paraId="1B3C30EA" w14:textId="77777777" w:rsidTr="00D43793">
        <w:tc>
          <w:tcPr>
            <w:tcW w:w="1529" w:type="pct"/>
            <w:vAlign w:val="center"/>
          </w:tcPr>
          <w:p w14:paraId="47A7DEA6"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QALYs</w:t>
            </w:r>
          </w:p>
        </w:tc>
        <w:tc>
          <w:tcPr>
            <w:tcW w:w="1359" w:type="pct"/>
            <w:vAlign w:val="bottom"/>
          </w:tcPr>
          <w:p w14:paraId="0E156AB6"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1.535</w:t>
            </w:r>
          </w:p>
        </w:tc>
        <w:tc>
          <w:tcPr>
            <w:tcW w:w="1274" w:type="pct"/>
            <w:vAlign w:val="bottom"/>
          </w:tcPr>
          <w:p w14:paraId="66AB8AE0"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0.924</w:t>
            </w:r>
          </w:p>
        </w:tc>
        <w:tc>
          <w:tcPr>
            <w:tcW w:w="838" w:type="pct"/>
            <w:vAlign w:val="center"/>
          </w:tcPr>
          <w:p w14:paraId="5DFBAD82" w14:textId="77777777"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0.6108</w:t>
            </w:r>
          </w:p>
        </w:tc>
      </w:tr>
      <w:tr w:rsidR="0071626A" w:rsidRPr="007C0D91" w14:paraId="23AE51B7" w14:textId="77777777" w:rsidTr="00D43793">
        <w:tc>
          <w:tcPr>
            <w:tcW w:w="4162" w:type="pct"/>
            <w:gridSpan w:val="3"/>
            <w:vAlign w:val="center"/>
          </w:tcPr>
          <w:p w14:paraId="6F2D4EEE" w14:textId="77777777" w:rsidR="0071626A" w:rsidRPr="007C0D91" w:rsidRDefault="0071626A" w:rsidP="00D43793">
            <w:pPr>
              <w:keepNext/>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Incremental cost/extra QALY gained (base case)</w:t>
            </w:r>
          </w:p>
        </w:tc>
        <w:tc>
          <w:tcPr>
            <w:tcW w:w="838" w:type="pct"/>
            <w:vAlign w:val="center"/>
          </w:tcPr>
          <w:p w14:paraId="3839FD11" w14:textId="46ACB8B9" w:rsidR="0071626A" w:rsidRPr="007C0D91" w:rsidRDefault="0071626A" w:rsidP="00D43793">
            <w:pPr>
              <w:keepNext/>
              <w:jc w:val="center"/>
              <w:rPr>
                <w:rFonts w:ascii="Arial Narrow" w:eastAsiaTheme="majorEastAsia" w:hAnsi="Arial Narrow" w:cstheme="majorBidi"/>
                <w:b/>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r w:rsidR="00F32959">
              <w:rPr>
                <w:rFonts w:ascii="Arial Narrow" w:eastAsiaTheme="majorEastAsia" w:hAnsi="Arial Narrow" w:cstheme="minorHAnsi"/>
                <w:bCs/>
                <w:sz w:val="20"/>
                <w:vertAlign w:val="superscript"/>
              </w:rPr>
              <w:t>3</w:t>
            </w:r>
          </w:p>
        </w:tc>
      </w:tr>
      <w:tr w:rsidR="0071626A" w:rsidRPr="007C0D91" w14:paraId="13E96F15" w14:textId="77777777" w:rsidTr="00D43793">
        <w:tc>
          <w:tcPr>
            <w:tcW w:w="5000" w:type="pct"/>
            <w:gridSpan w:val="4"/>
            <w:vAlign w:val="center"/>
          </w:tcPr>
          <w:p w14:paraId="71819977" w14:textId="78018EC7" w:rsidR="0071626A" w:rsidRPr="007C0D91" w:rsidRDefault="0071626A" w:rsidP="00D43793">
            <w:pPr>
              <w:keepNext/>
              <w:jc w:val="left"/>
              <w:rPr>
                <w:rFonts w:ascii="Arial Narrow" w:eastAsiaTheme="majorEastAsia" w:hAnsi="Arial Narrow" w:cs="Times New Roman"/>
                <w:b/>
                <w:sz w:val="20"/>
                <w:szCs w:val="20"/>
              </w:rPr>
            </w:pPr>
            <w:r w:rsidRPr="007C0D91">
              <w:rPr>
                <w:rFonts w:ascii="Arial Narrow" w:eastAsiaTheme="majorEastAsia" w:hAnsi="Arial Narrow" w:cs="Times New Roman"/>
                <w:b/>
                <w:sz w:val="20"/>
                <w:szCs w:val="20"/>
              </w:rPr>
              <w:t xml:space="preserve">Step 6: Update to price of mobocertinib (reduced by </w:t>
            </w:r>
            <w:r w:rsidR="00092A28" w:rsidRPr="00092A28">
              <w:rPr>
                <w:rFonts w:ascii="Arial Narrow" w:eastAsiaTheme="majorEastAsia" w:hAnsi="Arial Narrow" w:cs="Times New Roman"/>
                <w:b/>
                <w:color w:val="000000"/>
                <w:spacing w:val="53"/>
                <w:sz w:val="20"/>
                <w:szCs w:val="20"/>
                <w:shd w:val="solid" w:color="000000" w:fill="000000"/>
                <w:fitText w:val="345" w:id="-1167912440"/>
                <w14:textFill>
                  <w14:solidFill>
                    <w14:srgbClr w14:val="000000">
                      <w14:alpha w14:val="100000"/>
                    </w14:srgbClr>
                  </w14:solidFill>
                </w14:textFill>
              </w:rPr>
              <w:t>|||</w:t>
            </w:r>
            <w:r w:rsidR="00092A28" w:rsidRPr="00092A28">
              <w:rPr>
                <w:rFonts w:ascii="Arial Narrow" w:eastAsiaTheme="majorEastAsia" w:hAnsi="Arial Narrow" w:cs="Times New Roman"/>
                <w:b/>
                <w:color w:val="000000"/>
                <w:spacing w:val="3"/>
                <w:sz w:val="20"/>
                <w:szCs w:val="20"/>
                <w:shd w:val="solid" w:color="000000" w:fill="000000"/>
                <w:fitText w:val="345" w:id="-1167912440"/>
                <w14:textFill>
                  <w14:solidFill>
                    <w14:srgbClr w14:val="000000">
                      <w14:alpha w14:val="100000"/>
                    </w14:srgbClr>
                  </w14:solidFill>
                </w14:textFill>
              </w:rPr>
              <w:t>|</w:t>
            </w:r>
            <w:r w:rsidRPr="007C0D91">
              <w:rPr>
                <w:rFonts w:ascii="Arial Narrow" w:eastAsiaTheme="majorEastAsia" w:hAnsi="Arial Narrow" w:cs="Times New Roman"/>
                <w:b/>
                <w:sz w:val="20"/>
                <w:szCs w:val="20"/>
              </w:rPr>
              <w:t>%)</w:t>
            </w:r>
          </w:p>
        </w:tc>
      </w:tr>
      <w:tr w:rsidR="0071626A" w:rsidRPr="007C0D91" w14:paraId="4C740D56" w14:textId="77777777" w:rsidTr="00D43793">
        <w:tc>
          <w:tcPr>
            <w:tcW w:w="1529" w:type="pct"/>
            <w:vAlign w:val="center"/>
          </w:tcPr>
          <w:p w14:paraId="7D572E0D"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Costs</w:t>
            </w:r>
          </w:p>
        </w:tc>
        <w:tc>
          <w:tcPr>
            <w:tcW w:w="1359" w:type="pct"/>
            <w:vAlign w:val="bottom"/>
          </w:tcPr>
          <w:p w14:paraId="148E961F" w14:textId="56831BF2"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1274" w:type="pct"/>
            <w:vAlign w:val="bottom"/>
          </w:tcPr>
          <w:p w14:paraId="3D21DE3B"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$44,655.36</w:t>
            </w:r>
          </w:p>
        </w:tc>
        <w:tc>
          <w:tcPr>
            <w:tcW w:w="838" w:type="pct"/>
            <w:vAlign w:val="center"/>
          </w:tcPr>
          <w:p w14:paraId="57575566" w14:textId="1AA48C06"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p>
        </w:tc>
      </w:tr>
      <w:tr w:rsidR="0071626A" w:rsidRPr="007C0D91" w14:paraId="449AAA38" w14:textId="77777777" w:rsidTr="00D43793">
        <w:tc>
          <w:tcPr>
            <w:tcW w:w="1529" w:type="pct"/>
            <w:vAlign w:val="center"/>
          </w:tcPr>
          <w:p w14:paraId="1B306992"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QALYs</w:t>
            </w:r>
          </w:p>
        </w:tc>
        <w:tc>
          <w:tcPr>
            <w:tcW w:w="1359" w:type="pct"/>
            <w:vAlign w:val="bottom"/>
          </w:tcPr>
          <w:p w14:paraId="2B4ECAE6"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1.535</w:t>
            </w:r>
          </w:p>
        </w:tc>
        <w:tc>
          <w:tcPr>
            <w:tcW w:w="1274" w:type="pct"/>
            <w:vAlign w:val="bottom"/>
          </w:tcPr>
          <w:p w14:paraId="08CAB0A0" w14:textId="77777777" w:rsidR="0071626A" w:rsidRPr="007C0D91" w:rsidRDefault="0071626A" w:rsidP="00D43793">
            <w:pPr>
              <w:keepNext/>
              <w:jc w:val="center"/>
              <w:rPr>
                <w:rFonts w:ascii="Arial Narrow" w:eastAsiaTheme="majorEastAsia" w:hAnsi="Arial Narrow" w:cstheme="majorBidi"/>
                <w:bCs/>
                <w:sz w:val="20"/>
                <w:szCs w:val="20"/>
              </w:rPr>
            </w:pPr>
            <w:r w:rsidRPr="007C0D91">
              <w:rPr>
                <w:rFonts w:ascii="Arial Narrow" w:eastAsiaTheme="majorEastAsia" w:hAnsi="Arial Narrow" w:cstheme="majorBidi"/>
                <w:bCs/>
                <w:color w:val="000000"/>
                <w:sz w:val="20"/>
                <w:szCs w:val="20"/>
              </w:rPr>
              <w:t>0.924</w:t>
            </w:r>
          </w:p>
        </w:tc>
        <w:tc>
          <w:tcPr>
            <w:tcW w:w="838" w:type="pct"/>
            <w:vAlign w:val="center"/>
          </w:tcPr>
          <w:p w14:paraId="62E6A026" w14:textId="77777777" w:rsidR="0071626A" w:rsidRPr="007C0D91" w:rsidRDefault="0071626A" w:rsidP="00D43793">
            <w:pPr>
              <w:keepNext/>
              <w:jc w:val="center"/>
              <w:rPr>
                <w:rFonts w:ascii="Arial Narrow" w:eastAsiaTheme="majorEastAsia" w:hAnsi="Arial Narrow" w:cstheme="majorBidi"/>
                <w:bCs/>
                <w:sz w:val="20"/>
              </w:rPr>
            </w:pPr>
            <w:r w:rsidRPr="007C0D91">
              <w:rPr>
                <w:rFonts w:ascii="Arial Narrow" w:eastAsiaTheme="majorEastAsia" w:hAnsi="Arial Narrow" w:cstheme="minorHAnsi"/>
                <w:bCs/>
                <w:sz w:val="20"/>
              </w:rPr>
              <w:t>0.6108</w:t>
            </w:r>
          </w:p>
        </w:tc>
      </w:tr>
      <w:tr w:rsidR="0071626A" w:rsidRPr="007C0D91" w14:paraId="79A08A1E" w14:textId="77777777" w:rsidTr="00D43793">
        <w:tc>
          <w:tcPr>
            <w:tcW w:w="4162" w:type="pct"/>
            <w:gridSpan w:val="3"/>
            <w:vAlign w:val="center"/>
          </w:tcPr>
          <w:p w14:paraId="7C810D11" w14:textId="77777777" w:rsidR="0071626A" w:rsidRPr="007C0D91" w:rsidRDefault="0071626A" w:rsidP="00D43793">
            <w:pPr>
              <w:keepNext/>
              <w:jc w:val="left"/>
              <w:rPr>
                <w:rFonts w:ascii="Times" w:eastAsiaTheme="majorEastAsia" w:hAnsi="Times" w:cstheme="majorBidi"/>
                <w:bCs/>
                <w:sz w:val="20"/>
              </w:rPr>
            </w:pPr>
            <w:r w:rsidRPr="007C0D91">
              <w:rPr>
                <w:rFonts w:ascii="Arial Narrow" w:eastAsiaTheme="majorEastAsia" w:hAnsi="Arial Narrow" w:cstheme="majorBidi"/>
                <w:bCs/>
                <w:sz w:val="20"/>
              </w:rPr>
              <w:t>Incremental cost/extra QALY gained (base case)</w:t>
            </w:r>
          </w:p>
        </w:tc>
        <w:tc>
          <w:tcPr>
            <w:tcW w:w="838" w:type="pct"/>
            <w:vAlign w:val="center"/>
          </w:tcPr>
          <w:p w14:paraId="7DDF4680" w14:textId="1E2CF8B4" w:rsidR="0071626A" w:rsidRPr="007C0D91" w:rsidRDefault="0071626A" w:rsidP="00D43793">
            <w:pPr>
              <w:keepNext/>
              <w:jc w:val="center"/>
              <w:rPr>
                <w:rFonts w:ascii="Arial Narrow" w:eastAsiaTheme="majorEastAsia" w:hAnsi="Arial Narrow" w:cstheme="majorBidi"/>
                <w:b/>
                <w:bCs/>
                <w:sz w:val="20"/>
              </w:rPr>
            </w:pPr>
            <w:r w:rsidRPr="007C0D91">
              <w:rPr>
                <w:rFonts w:ascii="Arial Narrow" w:eastAsiaTheme="majorEastAsia" w:hAnsi="Arial Narrow" w:cstheme="minorHAnsi"/>
                <w:bCs/>
                <w:sz w:val="20"/>
              </w:rPr>
              <w:t>$</w:t>
            </w:r>
            <w:r w:rsidR="00092A28" w:rsidRPr="00092A28">
              <w:rPr>
                <w:rFonts w:ascii="Arial Narrow" w:eastAsiaTheme="majorEastAsia" w:hAnsi="Arial Narrow" w:cstheme="minorHAnsi"/>
                <w:bCs/>
                <w:color w:val="000000"/>
                <w:sz w:val="20"/>
                <w:shd w:val="solid" w:color="000000" w:fill="000000"/>
                <w14:textFill>
                  <w14:solidFill>
                    <w14:srgbClr w14:val="000000">
                      <w14:alpha w14:val="100000"/>
                    </w14:srgbClr>
                  </w14:solidFill>
                </w14:textFill>
              </w:rPr>
              <w:t>|</w:t>
            </w:r>
            <w:r w:rsidR="00F32959" w:rsidRPr="00F32959">
              <w:rPr>
                <w:rFonts w:ascii="Arial Narrow" w:eastAsiaTheme="majorEastAsia" w:hAnsi="Arial Narrow" w:cstheme="minorHAnsi"/>
                <w:bCs/>
                <w:sz w:val="20"/>
                <w:vertAlign w:val="superscript"/>
              </w:rPr>
              <w:t>5</w:t>
            </w:r>
          </w:p>
        </w:tc>
      </w:tr>
    </w:tbl>
    <w:p w14:paraId="0C32A9A3" w14:textId="77777777" w:rsidR="00092A28" w:rsidRPr="00092A28" w:rsidRDefault="0071626A" w:rsidP="0071626A">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rPr>
        <w:t xml:space="preserve">Source: Compiled during the evaluation based on </w:t>
      </w:r>
      <w:r w:rsidRPr="007C0D91">
        <w:rPr>
          <w:rFonts w:ascii="Arial Narrow" w:hAnsi="Arial Narrow"/>
          <w:iCs/>
          <w:snapToGrid w:val="0"/>
          <w:sz w:val="18"/>
          <w:szCs w:val="22"/>
        </w:rPr>
        <w:t xml:space="preserve">the </w:t>
      </w:r>
      <w:r w:rsidRPr="007C0D91">
        <w:rPr>
          <w:rFonts w:ascii="Arial Narrow" w:hAnsi="Arial Narrow"/>
          <w:snapToGrid w:val="0"/>
          <w:sz w:val="18"/>
          <w:szCs w:val="22"/>
        </w:rPr>
        <w:t>on ‘Section 3 CE Model Workbook – Takeda Australia – Mobocertinib – Resubmission – March 2023’</w:t>
      </w:r>
    </w:p>
    <w:p w14:paraId="02B8C544" w14:textId="1C47DE95" w:rsidR="0071626A" w:rsidRDefault="0071626A" w:rsidP="0071626A">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rPr>
        <w:t>LYG = life year gained; QALY = quality-adjusted life year.</w:t>
      </w:r>
    </w:p>
    <w:p w14:paraId="68EB8E1F" w14:textId="77777777" w:rsidR="00F32959" w:rsidRPr="009A6D58" w:rsidRDefault="00F32959" w:rsidP="00F3295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FB83253" w14:textId="317C60A9" w:rsidR="00F32959" w:rsidRPr="009A6D58" w:rsidRDefault="00F32959" w:rsidP="00F3295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B3FAF">
        <w:rPr>
          <w:rFonts w:ascii="Arial Narrow" w:hAnsi="Arial Narrow"/>
          <w:i/>
          <w:sz w:val="18"/>
          <w:szCs w:val="18"/>
        </w:rPr>
        <w:t>$</w:t>
      </w:r>
      <w:r>
        <w:rPr>
          <w:rFonts w:ascii="Arial Narrow" w:hAnsi="Arial Narrow"/>
          <w:i/>
          <w:sz w:val="18"/>
          <w:szCs w:val="18"/>
        </w:rPr>
        <w:t>7</w:t>
      </w:r>
      <w:r w:rsidRPr="009B3FAF">
        <w:rPr>
          <w:rFonts w:ascii="Arial Narrow" w:hAnsi="Arial Narrow"/>
          <w:i/>
          <w:sz w:val="18"/>
          <w:szCs w:val="18"/>
        </w:rPr>
        <w:t>5,000 to &lt; $</w:t>
      </w:r>
      <w:r>
        <w:rPr>
          <w:rFonts w:ascii="Arial Narrow" w:hAnsi="Arial Narrow"/>
          <w:i/>
          <w:sz w:val="18"/>
          <w:szCs w:val="18"/>
        </w:rPr>
        <w:t>9</w:t>
      </w:r>
      <w:r w:rsidRPr="009B3FAF">
        <w:rPr>
          <w:rFonts w:ascii="Arial Narrow" w:hAnsi="Arial Narrow"/>
          <w:i/>
          <w:sz w:val="18"/>
          <w:szCs w:val="18"/>
        </w:rPr>
        <w:t>5,000</w:t>
      </w:r>
    </w:p>
    <w:p w14:paraId="486F65AE" w14:textId="6519B8FD" w:rsidR="00F32959" w:rsidRDefault="00F32959" w:rsidP="00F3295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9B3FAF">
        <w:rPr>
          <w:rFonts w:ascii="Arial Narrow" w:hAnsi="Arial Narrow"/>
          <w:i/>
          <w:sz w:val="18"/>
          <w:szCs w:val="18"/>
        </w:rPr>
        <w:t>$95,000 to &lt; $115,000</w:t>
      </w:r>
    </w:p>
    <w:p w14:paraId="39589769" w14:textId="5C2F927E" w:rsidR="00F32959" w:rsidRDefault="00F32959" w:rsidP="00F32959">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32959">
        <w:rPr>
          <w:rFonts w:ascii="Arial Narrow" w:hAnsi="Arial Narrow"/>
          <w:i/>
          <w:sz w:val="18"/>
          <w:szCs w:val="18"/>
        </w:rPr>
        <w:t>$135,000 to &lt; $155,000</w:t>
      </w:r>
    </w:p>
    <w:p w14:paraId="16B56346" w14:textId="6D08E237" w:rsidR="00F32959" w:rsidRDefault="00F32959" w:rsidP="00F32959">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32959">
        <w:rPr>
          <w:rFonts w:ascii="Arial Narrow" w:hAnsi="Arial Narrow"/>
          <w:i/>
          <w:sz w:val="18"/>
          <w:szCs w:val="18"/>
        </w:rPr>
        <w:t>$1</w:t>
      </w:r>
      <w:r>
        <w:rPr>
          <w:rFonts w:ascii="Arial Narrow" w:hAnsi="Arial Narrow"/>
          <w:i/>
          <w:sz w:val="18"/>
          <w:szCs w:val="18"/>
        </w:rPr>
        <w:t>1</w:t>
      </w:r>
      <w:r w:rsidRPr="00F32959">
        <w:rPr>
          <w:rFonts w:ascii="Arial Narrow" w:hAnsi="Arial Narrow"/>
          <w:i/>
          <w:sz w:val="18"/>
          <w:szCs w:val="18"/>
        </w:rPr>
        <w:t>5,000 to &lt; $1</w:t>
      </w:r>
      <w:r>
        <w:rPr>
          <w:rFonts w:ascii="Arial Narrow" w:hAnsi="Arial Narrow"/>
          <w:i/>
          <w:sz w:val="18"/>
          <w:szCs w:val="18"/>
        </w:rPr>
        <w:t>3</w:t>
      </w:r>
      <w:r w:rsidRPr="00F32959">
        <w:rPr>
          <w:rFonts w:ascii="Arial Narrow" w:hAnsi="Arial Narrow"/>
          <w:i/>
          <w:sz w:val="18"/>
          <w:szCs w:val="18"/>
        </w:rPr>
        <w:t>5,000</w:t>
      </w:r>
    </w:p>
    <w:p w14:paraId="47AE3CE3" w14:textId="7EE8ED0A" w:rsidR="00F32959" w:rsidRDefault="00F32959" w:rsidP="00F32959">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9B3FAF">
        <w:rPr>
          <w:rFonts w:ascii="Arial Narrow" w:hAnsi="Arial Narrow"/>
          <w:i/>
          <w:sz w:val="18"/>
          <w:szCs w:val="18"/>
        </w:rPr>
        <w:t>$55,000 to &lt; $75,000</w:t>
      </w:r>
    </w:p>
    <w:p w14:paraId="61C2C03C" w14:textId="0460D755" w:rsidR="0071626A" w:rsidRPr="007C0D91" w:rsidRDefault="0071626A" w:rsidP="0071626A">
      <w:pPr>
        <w:numPr>
          <w:ilvl w:val="1"/>
          <w:numId w:val="1"/>
        </w:numPr>
        <w:spacing w:after="120"/>
        <w:rPr>
          <w:rFonts w:asciiTheme="minorHAnsi" w:hAnsiTheme="minorHAnsi"/>
          <w:iCs/>
          <w:snapToGrid w:val="0"/>
          <w:color w:val="0066FF"/>
        </w:rPr>
      </w:pPr>
      <w:r w:rsidRPr="007C0D91">
        <w:rPr>
          <w:rFonts w:asciiTheme="minorHAnsi" w:hAnsiTheme="minorHAnsi"/>
          <w:iCs/>
          <w:snapToGrid w:val="0"/>
        </w:rPr>
        <w:t xml:space="preserve">Cumulative LYs gained over the time horizon is depicted in </w:t>
      </w:r>
      <w:r w:rsidRPr="007C0D91">
        <w:rPr>
          <w:rFonts w:asciiTheme="minorHAnsi" w:hAnsiTheme="minorHAnsi"/>
          <w:iCs/>
          <w:snapToGrid w:val="0"/>
        </w:rPr>
        <w:fldChar w:fldCharType="begin"/>
      </w:r>
      <w:r w:rsidRPr="007C0D91">
        <w:rPr>
          <w:rFonts w:asciiTheme="minorHAnsi" w:hAnsiTheme="minorHAnsi"/>
          <w:iCs/>
          <w:snapToGrid w:val="0"/>
        </w:rPr>
        <w:instrText xml:space="preserve"> REF _Ref112239122 \h  \* MERGEFORMAT </w:instrText>
      </w:r>
      <w:r w:rsidRPr="007C0D91">
        <w:rPr>
          <w:rFonts w:asciiTheme="minorHAnsi" w:hAnsiTheme="minorHAnsi"/>
          <w:iCs/>
          <w:snapToGrid w:val="0"/>
        </w:rPr>
      </w:r>
      <w:r w:rsidRPr="007C0D91">
        <w:rPr>
          <w:rFonts w:asciiTheme="minorHAnsi" w:hAnsiTheme="minorHAnsi"/>
          <w:iCs/>
          <w:snapToGrid w:val="0"/>
        </w:rPr>
        <w:fldChar w:fldCharType="separate"/>
      </w:r>
      <w:r w:rsidR="00117491" w:rsidRPr="00117491">
        <w:rPr>
          <w:rFonts w:asciiTheme="minorHAnsi" w:hAnsiTheme="minorHAnsi"/>
          <w:iCs/>
          <w:snapToGrid w:val="0"/>
        </w:rPr>
        <w:t>Figure 5</w:t>
      </w:r>
      <w:r w:rsidRPr="007C0D91">
        <w:rPr>
          <w:rFonts w:asciiTheme="minorHAnsi" w:hAnsiTheme="minorHAnsi"/>
          <w:iCs/>
          <w:snapToGrid w:val="0"/>
        </w:rPr>
        <w:fldChar w:fldCharType="end"/>
      </w:r>
      <w:r w:rsidRPr="007C0D91">
        <w:rPr>
          <w:rFonts w:asciiTheme="minorHAnsi" w:hAnsiTheme="minorHAnsi"/>
          <w:iCs/>
          <w:snapToGrid w:val="0"/>
        </w:rPr>
        <w:t xml:space="preserve">. Only 21% of the incremental LYs were accrued in the extrapolation period. </w:t>
      </w:r>
    </w:p>
    <w:p w14:paraId="0755A56B" w14:textId="32E8C470" w:rsidR="0071626A" w:rsidRPr="007C0D91" w:rsidRDefault="0071626A" w:rsidP="0071626A">
      <w:pPr>
        <w:keepNext/>
        <w:keepLines/>
        <w:rPr>
          <w:rFonts w:ascii="Arial Narrow" w:hAnsi="Arial Narrow"/>
          <w:b/>
          <w:bCs/>
          <w:sz w:val="20"/>
        </w:rPr>
      </w:pPr>
      <w:bookmarkStart w:id="75" w:name="_Ref112239122"/>
      <w:r w:rsidRPr="007C0D91">
        <w:rPr>
          <w:rFonts w:ascii="Arial Narrow" w:hAnsi="Arial Narrow"/>
          <w:b/>
          <w:bCs/>
          <w:sz w:val="20"/>
        </w:rPr>
        <w:lastRenderedPageBreak/>
        <w:t xml:space="preserve">Figure </w:t>
      </w:r>
      <w:r w:rsidRPr="007C0D91">
        <w:rPr>
          <w:rFonts w:ascii="Arial Narrow" w:hAnsi="Arial Narrow"/>
          <w:b/>
          <w:bCs/>
          <w:sz w:val="20"/>
        </w:rPr>
        <w:fldChar w:fldCharType="begin"/>
      </w:r>
      <w:r w:rsidRPr="007C0D91">
        <w:rPr>
          <w:rFonts w:ascii="Arial Narrow" w:hAnsi="Arial Narrow"/>
          <w:b/>
          <w:bCs/>
          <w:sz w:val="20"/>
        </w:rPr>
        <w:instrText xml:space="preserve"> SEQ Figure \* ARABIC </w:instrText>
      </w:r>
      <w:r w:rsidRPr="007C0D91">
        <w:rPr>
          <w:rFonts w:ascii="Arial Narrow" w:hAnsi="Arial Narrow"/>
          <w:b/>
          <w:bCs/>
          <w:sz w:val="20"/>
        </w:rPr>
        <w:fldChar w:fldCharType="separate"/>
      </w:r>
      <w:r w:rsidR="00117491">
        <w:rPr>
          <w:rFonts w:ascii="Arial Narrow" w:hAnsi="Arial Narrow"/>
          <w:b/>
          <w:bCs/>
          <w:noProof/>
          <w:sz w:val="20"/>
        </w:rPr>
        <w:t>5</w:t>
      </w:r>
      <w:r w:rsidRPr="007C0D91">
        <w:rPr>
          <w:rFonts w:ascii="Arial Narrow" w:hAnsi="Arial Narrow"/>
          <w:b/>
          <w:bCs/>
          <w:sz w:val="20"/>
        </w:rPr>
        <w:fldChar w:fldCharType="end"/>
      </w:r>
      <w:bookmarkEnd w:id="75"/>
      <w:r w:rsidRPr="007C0D91">
        <w:rPr>
          <w:rFonts w:ascii="Arial Narrow" w:hAnsi="Arial Narrow"/>
          <w:b/>
          <w:bCs/>
          <w:sz w:val="20"/>
        </w:rPr>
        <w:t>: Cumulative life years gained over the time horizon of the model (discounted)</w:t>
      </w:r>
    </w:p>
    <w:p w14:paraId="7BB7A613" w14:textId="77777777" w:rsidR="0071626A" w:rsidRPr="007C0D91" w:rsidRDefault="0071626A" w:rsidP="0071626A">
      <w:r w:rsidRPr="007C0D91">
        <w:rPr>
          <w:noProof/>
        </w:rPr>
        <w:drawing>
          <wp:inline distT="0" distB="0" distL="0" distR="0" wp14:anchorId="3C963756" wp14:editId="69D5B681">
            <wp:extent cx="5686425" cy="34761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178" cy="3493682"/>
                    </a:xfrm>
                    <a:prstGeom prst="rect">
                      <a:avLst/>
                    </a:prstGeom>
                    <a:noFill/>
                  </pic:spPr>
                </pic:pic>
              </a:graphicData>
            </a:graphic>
          </wp:inline>
        </w:drawing>
      </w:r>
    </w:p>
    <w:p w14:paraId="0CDB5E5F" w14:textId="77777777" w:rsidR="00092A28" w:rsidRPr="00092A28" w:rsidRDefault="0071626A" w:rsidP="0071626A">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rPr>
        <w:t xml:space="preserve">Source: Constructed during the evaluation based on </w:t>
      </w:r>
      <w:r w:rsidRPr="007C0D91">
        <w:rPr>
          <w:rFonts w:ascii="Arial Narrow" w:hAnsi="Arial Narrow"/>
          <w:iCs/>
          <w:snapToGrid w:val="0"/>
          <w:sz w:val="18"/>
          <w:szCs w:val="22"/>
        </w:rPr>
        <w:t xml:space="preserve">the </w:t>
      </w:r>
      <w:r w:rsidRPr="007C0D91">
        <w:rPr>
          <w:rFonts w:ascii="Arial Narrow" w:hAnsi="Arial Narrow"/>
          <w:snapToGrid w:val="0"/>
          <w:sz w:val="18"/>
          <w:szCs w:val="22"/>
        </w:rPr>
        <w:t>on ‘Section 3 CE Model Workbook – Takeda Australia – Mobocertinib – Resubmission – March 2023’</w:t>
      </w:r>
      <w:r w:rsidR="00092A28" w:rsidRPr="00092A28">
        <w:rPr>
          <w:rFonts w:ascii="Arial Narrow" w:hAnsi="Arial Narrow"/>
          <w:snapToGrid w:val="0"/>
          <w:sz w:val="18"/>
          <w:szCs w:val="22"/>
        </w:rPr>
        <w:t xml:space="preserve"> </w:t>
      </w:r>
    </w:p>
    <w:p w14:paraId="5DBF3D6F" w14:textId="0EA28BD7" w:rsidR="0071626A" w:rsidRPr="007C0D91" w:rsidRDefault="0071626A" w:rsidP="006722B1">
      <w:pPr>
        <w:keepLines/>
        <w:spacing w:after="120"/>
        <w:rPr>
          <w:rFonts w:ascii="Arial Narrow" w:hAnsi="Arial Narrow"/>
          <w:snapToGrid w:val="0"/>
          <w:sz w:val="18"/>
          <w:szCs w:val="22"/>
        </w:rPr>
      </w:pPr>
      <w:r w:rsidRPr="007C0D91">
        <w:rPr>
          <w:rFonts w:ascii="Arial Narrow" w:hAnsi="Arial Narrow"/>
          <w:snapToGrid w:val="0"/>
          <w:sz w:val="18"/>
          <w:szCs w:val="22"/>
        </w:rPr>
        <w:t>LYG = life years gained.</w:t>
      </w:r>
    </w:p>
    <w:p w14:paraId="22FC7275" w14:textId="1712EE25" w:rsidR="0071626A" w:rsidRPr="007C0D91" w:rsidRDefault="0071626A" w:rsidP="0071626A">
      <w:pPr>
        <w:numPr>
          <w:ilvl w:val="1"/>
          <w:numId w:val="1"/>
        </w:numPr>
        <w:spacing w:after="120"/>
        <w:rPr>
          <w:rFonts w:asciiTheme="minorHAnsi" w:hAnsiTheme="minorHAnsi"/>
          <w:snapToGrid w:val="0"/>
        </w:rPr>
      </w:pPr>
      <w:r w:rsidRPr="007C0D91">
        <w:rPr>
          <w:rFonts w:asciiTheme="minorHAnsi" w:hAnsiTheme="minorHAnsi"/>
          <w:snapToGrid w:val="0"/>
        </w:rPr>
        <w:t xml:space="preserve">The results of key sensitivity analyses are summarised in </w:t>
      </w:r>
      <w:r w:rsidRPr="007C0D91">
        <w:rPr>
          <w:rFonts w:asciiTheme="minorHAnsi" w:hAnsiTheme="minorHAnsi"/>
          <w:snapToGrid w:val="0"/>
        </w:rPr>
        <w:fldChar w:fldCharType="begin"/>
      </w:r>
      <w:r w:rsidRPr="007C0D91">
        <w:rPr>
          <w:rFonts w:asciiTheme="minorHAnsi" w:hAnsiTheme="minorHAnsi"/>
          <w:snapToGrid w:val="0"/>
        </w:rPr>
        <w:instrText xml:space="preserve"> REF _Ref104804865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117491">
        <w:rPr>
          <w:rFonts w:asciiTheme="minorHAnsi" w:hAnsiTheme="minorHAnsi"/>
          <w:snapToGrid w:val="0"/>
        </w:rPr>
        <w:t>Table 12</w:t>
      </w:r>
      <w:r w:rsidRPr="007C0D91">
        <w:rPr>
          <w:rFonts w:asciiTheme="minorHAnsi" w:hAnsiTheme="minorHAnsi"/>
          <w:snapToGrid w:val="0"/>
        </w:rPr>
        <w:fldChar w:fldCharType="end"/>
      </w:r>
      <w:r w:rsidRPr="007C0D91">
        <w:rPr>
          <w:rFonts w:asciiTheme="minorHAnsi" w:hAnsiTheme="minorHAnsi"/>
          <w:snapToGrid w:val="0"/>
        </w:rPr>
        <w:t xml:space="preserve">. </w:t>
      </w:r>
    </w:p>
    <w:p w14:paraId="49BFC2AD" w14:textId="35A8B106" w:rsidR="0071626A" w:rsidRPr="00E02373" w:rsidRDefault="0071626A" w:rsidP="00E02373">
      <w:pPr>
        <w:pStyle w:val="3-BodyText"/>
        <w:rPr>
          <w:iCs/>
        </w:rPr>
      </w:pPr>
      <w:bookmarkStart w:id="76" w:name="_Ref137829517"/>
      <w:bookmarkStart w:id="77" w:name="_Hlk134798929"/>
      <w:r w:rsidRPr="007C0D91">
        <w:t xml:space="preserve">Additional sensitivity analyses conducted during the evaluation significantly increased the ICER; when only chemotherapy KM data is considered as the basis for survival estimates, the ICER increased to </w:t>
      </w:r>
      <w:r w:rsidR="006722B1">
        <w:t>$</w:t>
      </w:r>
      <w:r w:rsidR="006722B1" w:rsidRPr="006722B1">
        <w:t>95,000 to &lt; $115,000</w:t>
      </w:r>
      <w:r w:rsidR="006722B1">
        <w:t xml:space="preserve"> per QALY</w:t>
      </w:r>
      <w:r w:rsidRPr="007C0D91">
        <w:t>. Adjustment to the</w:t>
      </w:r>
      <w:r w:rsidR="00DB288A" w:rsidRPr="007C0D91">
        <w:t xml:space="preserve"> </w:t>
      </w:r>
      <w:r w:rsidRPr="007C0D91">
        <w:t xml:space="preserve">calculation of the AE costs based on mean treatment duration and adjustment to outpatient visit rates within the health state costs (without changing the comparator), increased the ICER to </w:t>
      </w:r>
      <w:r w:rsidR="006722B1" w:rsidRPr="006722B1">
        <w:t>$75,000 to &lt; $95,000</w:t>
      </w:r>
      <w:r w:rsidR="006722B1">
        <w:t xml:space="preserve"> per QALY</w:t>
      </w:r>
      <w:r w:rsidRPr="007C0D91">
        <w:t xml:space="preserve">. Applying </w:t>
      </w:r>
      <w:proofErr w:type="gramStart"/>
      <w:r w:rsidRPr="007C0D91">
        <w:t>all of</w:t>
      </w:r>
      <w:proofErr w:type="gramEnd"/>
      <w:r w:rsidRPr="007C0D91">
        <w:t xml:space="preserve"> these changes, simultaneously, inflated the ICER to $</w:t>
      </w:r>
      <w:r w:rsidR="006722B1" w:rsidRPr="006722B1">
        <w:t>95,000 to &lt; $115,000</w:t>
      </w:r>
      <w:r w:rsidR="006722B1">
        <w:t xml:space="preserve"> per QALY</w:t>
      </w:r>
      <w:r w:rsidRPr="007C0D91">
        <w:t xml:space="preserve">. </w:t>
      </w:r>
      <w:bookmarkEnd w:id="76"/>
      <w:r w:rsidR="00087920" w:rsidRPr="007C0D91">
        <w:t xml:space="preserve">The ESC considered the appropriate base case analysis should include the chemotherapy only subpopulation, adverse event costs and health state resource costs. The ESC noted that this increased the base case ICER by 41% from </w:t>
      </w:r>
      <w:r w:rsidR="006722B1" w:rsidRPr="006722B1">
        <w:t>$</w:t>
      </w:r>
      <w:r w:rsidR="006722B1">
        <w:t>5</w:t>
      </w:r>
      <w:r w:rsidR="006722B1" w:rsidRPr="006722B1">
        <w:t>5,000 to &lt; $</w:t>
      </w:r>
      <w:r w:rsidR="006722B1">
        <w:t>7</w:t>
      </w:r>
      <w:r w:rsidR="006722B1" w:rsidRPr="006722B1">
        <w:t>5,000</w:t>
      </w:r>
      <w:r w:rsidR="006722B1">
        <w:t xml:space="preserve"> </w:t>
      </w:r>
      <w:r w:rsidR="00087920" w:rsidRPr="007C0D91">
        <w:t xml:space="preserve">to </w:t>
      </w:r>
      <w:r w:rsidR="006722B1">
        <w:t>$</w:t>
      </w:r>
      <w:r w:rsidR="006722B1" w:rsidRPr="006722B1">
        <w:t>95,000 to &lt; $115,000</w:t>
      </w:r>
      <w:r w:rsidR="006722B1">
        <w:t xml:space="preserve"> </w:t>
      </w:r>
      <w:r w:rsidR="00087920" w:rsidRPr="007C0D91">
        <w:t>per QALY gained.</w:t>
      </w:r>
      <w:r w:rsidR="009A007D" w:rsidRPr="007C0D91">
        <w:t xml:space="preserve"> The pre-PBAC response argued that the base case estimate in the resubmission which uses the low cost of chemotherapy together with the most complete evidence for comparative OS provides the most reliable and sufficiently conservative estimate of the cost-effectiveness of mobocertinib. </w:t>
      </w:r>
    </w:p>
    <w:p w14:paraId="5C9C4E52" w14:textId="3571DF08" w:rsidR="0071626A" w:rsidRPr="007C0D91" w:rsidRDefault="0071626A" w:rsidP="00E02373">
      <w:pPr>
        <w:keepNext/>
        <w:keepLines/>
        <w:rPr>
          <w:rFonts w:ascii="Arial Narrow" w:hAnsi="Arial Narrow"/>
          <w:b/>
          <w:bCs/>
          <w:sz w:val="20"/>
        </w:rPr>
      </w:pPr>
      <w:bookmarkStart w:id="78" w:name="_Ref104804865"/>
      <w:bookmarkEnd w:id="77"/>
      <w:r w:rsidRPr="007C0D91">
        <w:rPr>
          <w:rFonts w:ascii="Arial Narrow" w:hAnsi="Arial Narrow"/>
          <w:b/>
          <w:bCs/>
          <w:sz w:val="20"/>
          <w:szCs w:val="18"/>
        </w:rPr>
        <w:lastRenderedPageBreak/>
        <w:t xml:space="preserve">Table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Table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12</w:t>
      </w:r>
      <w:r w:rsidRPr="007C0D91">
        <w:rPr>
          <w:rFonts w:ascii="Arial Narrow" w:hAnsi="Arial Narrow"/>
          <w:b/>
          <w:bCs/>
          <w:sz w:val="20"/>
          <w:szCs w:val="18"/>
        </w:rPr>
        <w:fldChar w:fldCharType="end"/>
      </w:r>
      <w:bookmarkEnd w:id="78"/>
      <w:r w:rsidRPr="007C0D91">
        <w:rPr>
          <w:rFonts w:ascii="Arial Narrow" w:hAnsi="Arial Narrow"/>
          <w:b/>
          <w:bCs/>
          <w:sz w:val="20"/>
          <w:szCs w:val="18"/>
        </w:rPr>
        <w:t>:</w:t>
      </w:r>
      <w:r w:rsidRPr="007C0D91">
        <w:rPr>
          <w:rFonts w:ascii="Arial Narrow" w:hAnsi="Arial Narrow"/>
          <w:b/>
          <w:bCs/>
          <w:sz w:val="20"/>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401"/>
        <w:gridCol w:w="1401"/>
        <w:gridCol w:w="1717"/>
        <w:gridCol w:w="1082"/>
      </w:tblGrid>
      <w:tr w:rsidR="0071626A" w:rsidRPr="007C0D91" w14:paraId="0CDA81F0" w14:textId="77777777" w:rsidTr="006722B1">
        <w:trPr>
          <w:cantSplit/>
          <w:tblHeader/>
        </w:trPr>
        <w:tc>
          <w:tcPr>
            <w:tcW w:w="1894" w:type="pct"/>
            <w:shd w:val="clear" w:color="auto" w:fill="D9D9D9" w:themeFill="background1" w:themeFillShade="D9"/>
          </w:tcPr>
          <w:p w14:paraId="73759A12" w14:textId="77777777" w:rsidR="0071626A" w:rsidRPr="007C0D91" w:rsidRDefault="0071626A" w:rsidP="00E02373">
            <w:pPr>
              <w:keepNext/>
              <w:keepLines/>
              <w:jc w:val="left"/>
              <w:rPr>
                <w:rFonts w:ascii="Arial Narrow" w:eastAsiaTheme="majorEastAsia" w:hAnsi="Arial Narrow" w:cs="Times New Roman"/>
                <w:b/>
                <w:sz w:val="20"/>
              </w:rPr>
            </w:pPr>
            <w:r w:rsidRPr="007C0D91">
              <w:rPr>
                <w:rFonts w:ascii="Arial Narrow" w:eastAsiaTheme="majorEastAsia" w:hAnsi="Arial Narrow" w:cs="Times New Roman"/>
                <w:b/>
                <w:sz w:val="20"/>
              </w:rPr>
              <w:t>Analyses</w:t>
            </w:r>
          </w:p>
        </w:tc>
        <w:tc>
          <w:tcPr>
            <w:tcW w:w="777" w:type="pct"/>
            <w:shd w:val="clear" w:color="auto" w:fill="D9D9D9" w:themeFill="background1" w:themeFillShade="D9"/>
          </w:tcPr>
          <w:p w14:paraId="01A48F2B"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Incremental cost</w:t>
            </w:r>
          </w:p>
        </w:tc>
        <w:tc>
          <w:tcPr>
            <w:tcW w:w="777" w:type="pct"/>
            <w:shd w:val="clear" w:color="auto" w:fill="D9D9D9" w:themeFill="background1" w:themeFillShade="D9"/>
          </w:tcPr>
          <w:p w14:paraId="21150405"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Incremental QALY</w:t>
            </w:r>
          </w:p>
        </w:tc>
        <w:tc>
          <w:tcPr>
            <w:tcW w:w="952" w:type="pct"/>
            <w:shd w:val="clear" w:color="auto" w:fill="D9D9D9" w:themeFill="background1" w:themeFillShade="D9"/>
          </w:tcPr>
          <w:p w14:paraId="3E47EB6A"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ICER</w:t>
            </w:r>
          </w:p>
        </w:tc>
        <w:tc>
          <w:tcPr>
            <w:tcW w:w="600" w:type="pct"/>
            <w:shd w:val="clear" w:color="auto" w:fill="D9D9D9" w:themeFill="background1" w:themeFillShade="D9"/>
          </w:tcPr>
          <w:p w14:paraId="681F1E4E"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 change to ICER</w:t>
            </w:r>
          </w:p>
        </w:tc>
      </w:tr>
      <w:tr w:rsidR="0071626A" w:rsidRPr="007C0D91" w14:paraId="7DE37151" w14:textId="77777777" w:rsidTr="00D43793">
        <w:trPr>
          <w:cantSplit/>
        </w:trPr>
        <w:tc>
          <w:tcPr>
            <w:tcW w:w="1894" w:type="pct"/>
          </w:tcPr>
          <w:p w14:paraId="35B7815F" w14:textId="77777777" w:rsidR="0071626A" w:rsidRPr="007C0D91" w:rsidRDefault="0071626A" w:rsidP="00E02373">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Base case</w:t>
            </w:r>
          </w:p>
        </w:tc>
        <w:tc>
          <w:tcPr>
            <w:tcW w:w="777" w:type="pct"/>
          </w:tcPr>
          <w:p w14:paraId="5BEAE14B" w14:textId="4DE30150" w:rsidR="0071626A" w:rsidRPr="007C0D91" w:rsidRDefault="0071626A" w:rsidP="00E02373">
            <w:pPr>
              <w:keepNext/>
              <w:keepLines/>
              <w:jc w:val="center"/>
              <w:rPr>
                <w:rFonts w:ascii="Arial Narrow" w:eastAsiaTheme="majorEastAsia" w:hAnsi="Arial Narrow" w:cstheme="majorBidi"/>
                <w:b/>
                <w:bCs/>
                <w:sz w:val="20"/>
                <w:highlight w:val="black"/>
              </w:rPr>
            </w:pPr>
            <w:r w:rsidRPr="007C0D91">
              <w:rPr>
                <w:rFonts w:ascii="Arial Narrow" w:eastAsiaTheme="majorEastAsia" w:hAnsi="Arial Narrow" w:cstheme="majorBidi"/>
                <w:b/>
                <w:bCs/>
                <w:sz w:val="20"/>
              </w:rPr>
              <w:t>$</w:t>
            </w:r>
            <w:r w:rsidR="00092A28" w:rsidRPr="00092A28">
              <w:rPr>
                <w:rFonts w:ascii="Arial Narrow" w:eastAsiaTheme="majorEastAsia" w:hAnsi="Arial Narrow" w:cstheme="majorBidi" w:hint="eastAsia"/>
                <w:b/>
                <w:bCs/>
                <w:color w:val="000000"/>
                <w:w w:val="15"/>
                <w:sz w:val="20"/>
                <w:shd w:val="solid" w:color="000000" w:fill="000000"/>
                <w:fitText w:val="30" w:id="-1167912439"/>
                <w14:textFill>
                  <w14:solidFill>
                    <w14:srgbClr w14:val="000000">
                      <w14:alpha w14:val="100000"/>
                    </w14:srgbClr>
                  </w14:solidFill>
                </w14:textFill>
              </w:rPr>
              <w:t xml:space="preserve">　</w:t>
            </w:r>
            <w:r w:rsidR="00092A28" w:rsidRPr="00092A28">
              <w:rPr>
                <w:rFonts w:ascii="Arial Narrow" w:eastAsiaTheme="majorEastAsia" w:hAnsi="Arial Narrow" w:cstheme="majorBidi"/>
                <w:b/>
                <w:bCs/>
                <w:color w:val="000000"/>
                <w:w w:val="15"/>
                <w:sz w:val="20"/>
                <w:shd w:val="solid" w:color="000000" w:fill="000000"/>
                <w:fitText w:val="30" w:id="-1167912439"/>
                <w14:textFill>
                  <w14:solidFill>
                    <w14:srgbClr w14:val="000000">
                      <w14:alpha w14:val="100000"/>
                    </w14:srgbClr>
                  </w14:solidFill>
                </w14:textFill>
              </w:rPr>
              <w:t>|</w:t>
            </w:r>
            <w:r w:rsidR="00092A28" w:rsidRPr="00092A28">
              <w:rPr>
                <w:rFonts w:ascii="Arial Narrow" w:eastAsiaTheme="majorEastAsia" w:hAnsi="Arial Narrow" w:cstheme="majorBidi" w:hint="eastAsia"/>
                <w:b/>
                <w:bCs/>
                <w:color w:val="000000"/>
                <w:spacing w:val="-36"/>
                <w:w w:val="15"/>
                <w:sz w:val="20"/>
                <w:shd w:val="solid" w:color="000000" w:fill="000000"/>
                <w:fitText w:val="30" w:id="-1167912439"/>
                <w14:textFill>
                  <w14:solidFill>
                    <w14:srgbClr w14:val="000000">
                      <w14:alpha w14:val="100000"/>
                    </w14:srgbClr>
                  </w14:solidFill>
                </w14:textFill>
              </w:rPr>
              <w:t xml:space="preserve">　</w:t>
            </w:r>
          </w:p>
        </w:tc>
        <w:tc>
          <w:tcPr>
            <w:tcW w:w="777" w:type="pct"/>
          </w:tcPr>
          <w:p w14:paraId="5CD1D489" w14:textId="77777777" w:rsidR="0071626A" w:rsidRPr="007C0D91" w:rsidRDefault="0071626A" w:rsidP="00E02373">
            <w:pPr>
              <w:keepNext/>
              <w:keepLines/>
              <w:jc w:val="center"/>
              <w:rPr>
                <w:rFonts w:ascii="Arial Narrow" w:eastAsiaTheme="majorEastAsia" w:hAnsi="Arial Narrow" w:cstheme="majorBidi"/>
                <w:b/>
                <w:bCs/>
                <w:sz w:val="20"/>
              </w:rPr>
            </w:pPr>
            <w:r w:rsidRPr="007C0D91">
              <w:rPr>
                <w:rFonts w:ascii="Arial Narrow" w:eastAsiaTheme="majorEastAsia" w:hAnsi="Arial Narrow" w:cstheme="majorBidi"/>
                <w:b/>
                <w:bCs/>
                <w:sz w:val="20"/>
              </w:rPr>
              <w:t>0.6108</w:t>
            </w:r>
          </w:p>
        </w:tc>
        <w:tc>
          <w:tcPr>
            <w:tcW w:w="952" w:type="pct"/>
          </w:tcPr>
          <w:p w14:paraId="78D360E3" w14:textId="41D4062E" w:rsidR="0071626A" w:rsidRPr="006722B1" w:rsidRDefault="00092A28" w:rsidP="00E02373">
            <w:pPr>
              <w:keepNext/>
              <w:keepLines/>
              <w:jc w:val="center"/>
              <w:rPr>
                <w:rFonts w:ascii="Arial Narrow" w:eastAsiaTheme="majorEastAsia" w:hAnsi="Arial Narrow" w:cstheme="majorBidi"/>
                <w:b/>
                <w:bCs/>
                <w:sz w:val="20"/>
                <w:highlight w:val="black"/>
                <w:vertAlign w:val="superscript"/>
              </w:rPr>
            </w:pPr>
            <w:r w:rsidRPr="00092A28">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006722B1" w:rsidRPr="006722B1">
              <w:rPr>
                <w:rFonts w:ascii="Arial Narrow" w:eastAsiaTheme="majorEastAsia" w:hAnsi="Arial Narrow" w:cstheme="majorBidi"/>
                <w:b/>
                <w:bCs/>
                <w:sz w:val="20"/>
                <w:vertAlign w:val="superscript"/>
              </w:rPr>
              <w:t>1</w:t>
            </w:r>
          </w:p>
        </w:tc>
        <w:tc>
          <w:tcPr>
            <w:tcW w:w="600" w:type="pct"/>
          </w:tcPr>
          <w:p w14:paraId="6038CB7D" w14:textId="1DC8FF96" w:rsidR="0071626A" w:rsidRPr="007C0D91" w:rsidRDefault="00646849" w:rsidP="00E02373">
            <w:pPr>
              <w:keepNext/>
              <w:keepLines/>
              <w:jc w:val="center"/>
              <w:rPr>
                <w:rFonts w:ascii="Arial Narrow" w:eastAsia="Calibri" w:hAnsi="Arial Narrow" w:cstheme="majorBidi"/>
                <w:b/>
                <w:bCs/>
                <w:sz w:val="20"/>
                <w:szCs w:val="20"/>
              </w:rPr>
            </w:pPr>
            <w:r w:rsidRPr="007C0D91">
              <w:rPr>
                <w:rFonts w:ascii="Arial Narrow" w:eastAsia="Calibri" w:hAnsi="Arial Narrow" w:cstheme="majorBidi"/>
                <w:b/>
                <w:bCs/>
                <w:sz w:val="20"/>
                <w:szCs w:val="20"/>
              </w:rPr>
              <w:t>-</w:t>
            </w:r>
          </w:p>
        </w:tc>
      </w:tr>
      <w:tr w:rsidR="0071626A" w:rsidRPr="007C0D91" w14:paraId="55DF2F44" w14:textId="77777777" w:rsidTr="00D43793">
        <w:trPr>
          <w:cantSplit/>
        </w:trPr>
        <w:tc>
          <w:tcPr>
            <w:tcW w:w="4400" w:type="pct"/>
            <w:gridSpan w:val="4"/>
          </w:tcPr>
          <w:p w14:paraId="197F3ABF" w14:textId="77777777" w:rsidR="0071626A" w:rsidRPr="007C0D91" w:rsidRDefault="0071626A" w:rsidP="00E02373">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
                <w:bCs/>
                <w:sz w:val="20"/>
              </w:rPr>
              <w:t>KM data used - Chemotherapy alone</w:t>
            </w:r>
          </w:p>
        </w:tc>
        <w:tc>
          <w:tcPr>
            <w:tcW w:w="600" w:type="pct"/>
          </w:tcPr>
          <w:p w14:paraId="40FD70DA" w14:textId="77777777" w:rsidR="0071626A" w:rsidRPr="007C0D91" w:rsidRDefault="0071626A" w:rsidP="00E02373">
            <w:pPr>
              <w:keepNext/>
              <w:keepLines/>
              <w:jc w:val="left"/>
              <w:rPr>
                <w:rFonts w:ascii="Arial Narrow" w:eastAsiaTheme="majorEastAsia" w:hAnsi="Arial Narrow" w:cstheme="majorBidi"/>
                <w:bCs/>
                <w:sz w:val="20"/>
              </w:rPr>
            </w:pPr>
          </w:p>
        </w:tc>
      </w:tr>
      <w:tr w:rsidR="0071626A" w:rsidRPr="007C0D91" w14:paraId="1E25BA3C" w14:textId="77777777" w:rsidTr="00AD4B73">
        <w:trPr>
          <w:cantSplit/>
        </w:trPr>
        <w:tc>
          <w:tcPr>
            <w:tcW w:w="1894" w:type="pct"/>
          </w:tcPr>
          <w:p w14:paraId="6E2515E6" w14:textId="77777777" w:rsidR="0071626A" w:rsidRPr="007C0D91" w:rsidRDefault="0071626A" w:rsidP="00E02373">
            <w:pPr>
              <w:keepNext/>
              <w:keepLines/>
              <w:numPr>
                <w:ilvl w:val="0"/>
                <w:numId w:val="9"/>
              </w:numPr>
              <w:ind w:left="452"/>
              <w:jc w:val="left"/>
              <w:rPr>
                <w:rFonts w:ascii="Arial Narrow" w:eastAsiaTheme="majorEastAsia" w:hAnsi="Arial Narrow" w:cstheme="majorBidi"/>
                <w:bCs/>
                <w:sz w:val="20"/>
              </w:rPr>
            </w:pPr>
            <w:r w:rsidRPr="007C0D91">
              <w:rPr>
                <w:rFonts w:ascii="Arial Narrow" w:eastAsiaTheme="majorEastAsia" w:hAnsi="Arial Narrow" w:cstheme="majorBidi"/>
                <w:bCs/>
                <w:sz w:val="20"/>
              </w:rPr>
              <w:t>Weighted</w:t>
            </w:r>
          </w:p>
        </w:tc>
        <w:tc>
          <w:tcPr>
            <w:tcW w:w="777" w:type="pct"/>
            <w:vAlign w:val="center"/>
          </w:tcPr>
          <w:p w14:paraId="1FC5FC5D" w14:textId="739CA98C" w:rsidR="0071626A" w:rsidRPr="007C0D91" w:rsidRDefault="0071626A" w:rsidP="00E02373">
            <w:pPr>
              <w:keepNext/>
              <w:keepLines/>
              <w:jc w:val="center"/>
              <w:rPr>
                <w:rFonts w:ascii="Arial Narrow" w:eastAsiaTheme="majorEastAsia" w:hAnsi="Arial Narrow" w:cstheme="majorBidi"/>
                <w:bCs/>
                <w:sz w:val="20"/>
                <w:highlight w:val="black"/>
              </w:rPr>
            </w:pPr>
            <w:r w:rsidRPr="007C0D91">
              <w:rPr>
                <w:rFonts w:ascii="Arial Narrow" w:eastAsiaTheme="majorEastAsia" w:hAnsi="Arial Narrow" w:cstheme="majorBidi"/>
                <w:bCs/>
                <w:sz w:val="20"/>
              </w:rPr>
              <w:t>$</w:t>
            </w:r>
            <w:r w:rsidR="00092A28" w:rsidRPr="00092A2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777" w:type="pct"/>
            <w:vAlign w:val="center"/>
          </w:tcPr>
          <w:p w14:paraId="096F2D2B"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0.2395</w:t>
            </w:r>
          </w:p>
        </w:tc>
        <w:tc>
          <w:tcPr>
            <w:tcW w:w="952" w:type="pct"/>
            <w:vAlign w:val="center"/>
          </w:tcPr>
          <w:p w14:paraId="092472A3" w14:textId="27835850" w:rsidR="0071626A" w:rsidRPr="007C0D91" w:rsidRDefault="00092A28" w:rsidP="00E02373">
            <w:pPr>
              <w:keepNext/>
              <w:keepLines/>
              <w:jc w:val="center"/>
              <w:rPr>
                <w:rFonts w:ascii="Arial Narrow" w:eastAsiaTheme="majorEastAsia" w:hAnsi="Arial Narrow" w:cstheme="majorBidi"/>
                <w:bCs/>
                <w:sz w:val="20"/>
                <w:highlight w:val="black"/>
              </w:rPr>
            </w:pPr>
            <w:r w:rsidRPr="00092A2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3E08BD" w:rsidRPr="00B1286D">
              <w:rPr>
                <w:rFonts w:ascii="Arial Narrow" w:eastAsiaTheme="majorEastAsia" w:hAnsi="Arial Narrow" w:cstheme="majorBidi"/>
                <w:bCs/>
                <w:sz w:val="20"/>
                <w:vertAlign w:val="superscript"/>
              </w:rPr>
              <w:t>3</w:t>
            </w:r>
          </w:p>
        </w:tc>
        <w:tc>
          <w:tcPr>
            <w:tcW w:w="600" w:type="pct"/>
            <w:vAlign w:val="center"/>
          </w:tcPr>
          <w:p w14:paraId="564E8A8A" w14:textId="77777777" w:rsidR="0071626A" w:rsidRPr="007C0D91" w:rsidRDefault="0071626A" w:rsidP="00E02373">
            <w:pPr>
              <w:keepNext/>
              <w:keepLines/>
              <w:jc w:val="center"/>
              <w:rPr>
                <w:rFonts w:ascii="Arial Narrow" w:eastAsia="Calibri" w:hAnsi="Arial Narrow" w:cstheme="majorBidi"/>
                <w:bCs/>
                <w:sz w:val="20"/>
                <w:szCs w:val="20"/>
              </w:rPr>
            </w:pPr>
            <w:r w:rsidRPr="007C0D91">
              <w:rPr>
                <w:rFonts w:ascii="Arial Narrow" w:eastAsia="Calibri" w:hAnsi="Arial Narrow" w:cstheme="majorBidi"/>
                <w:bCs/>
                <w:sz w:val="20"/>
                <w:szCs w:val="20"/>
              </w:rPr>
              <w:t>38%</w:t>
            </w:r>
          </w:p>
        </w:tc>
      </w:tr>
      <w:tr w:rsidR="0071626A" w:rsidRPr="007C0D91" w14:paraId="775A98A6" w14:textId="77777777" w:rsidTr="00AD4B73">
        <w:trPr>
          <w:cantSplit/>
        </w:trPr>
        <w:tc>
          <w:tcPr>
            <w:tcW w:w="5000" w:type="pct"/>
            <w:gridSpan w:val="5"/>
            <w:vAlign w:val="center"/>
          </w:tcPr>
          <w:p w14:paraId="28664B11" w14:textId="77777777" w:rsidR="0071626A" w:rsidRPr="007C0D91" w:rsidRDefault="0071626A" w:rsidP="00E02373">
            <w:pPr>
              <w:keepNext/>
              <w:keepLines/>
              <w:jc w:val="left"/>
              <w:rPr>
                <w:rFonts w:ascii="Arial Narrow" w:eastAsia="Calibri" w:hAnsi="Arial Narrow" w:cstheme="majorBidi"/>
                <w:b/>
                <w:bCs/>
                <w:sz w:val="20"/>
                <w:szCs w:val="20"/>
              </w:rPr>
            </w:pPr>
            <w:r w:rsidRPr="007C0D91">
              <w:rPr>
                <w:rFonts w:ascii="Arial Narrow" w:eastAsiaTheme="majorEastAsia" w:hAnsi="Arial Narrow" w:cstheme="majorBidi"/>
                <w:b/>
                <w:bCs/>
                <w:sz w:val="20"/>
                <w:szCs w:val="20"/>
              </w:rPr>
              <w:t>Discount rate (base case 5% costs and outcomes)</w:t>
            </w:r>
          </w:p>
        </w:tc>
      </w:tr>
      <w:tr w:rsidR="0071626A" w:rsidRPr="007C0D91" w14:paraId="73F9B36C" w14:textId="77777777" w:rsidTr="00AD4B73">
        <w:trPr>
          <w:cantSplit/>
        </w:trPr>
        <w:tc>
          <w:tcPr>
            <w:tcW w:w="1894" w:type="pct"/>
          </w:tcPr>
          <w:p w14:paraId="699F1176" w14:textId="77777777" w:rsidR="0071626A" w:rsidRPr="007C0D91" w:rsidRDefault="0071626A" w:rsidP="00E02373">
            <w:pPr>
              <w:keepNext/>
              <w:keepLines/>
              <w:numPr>
                <w:ilvl w:val="0"/>
                <w:numId w:val="9"/>
              </w:numPr>
              <w:ind w:left="452"/>
              <w:jc w:val="left"/>
              <w:rPr>
                <w:rFonts w:ascii="Arial Narrow" w:eastAsiaTheme="majorEastAsia" w:hAnsi="Arial Narrow" w:cstheme="majorBidi"/>
                <w:bCs/>
                <w:sz w:val="20"/>
              </w:rPr>
            </w:pPr>
            <w:r w:rsidRPr="007C0D91">
              <w:rPr>
                <w:rFonts w:ascii="Arial Narrow" w:eastAsiaTheme="majorEastAsia" w:hAnsi="Arial Narrow" w:cstheme="majorBidi"/>
                <w:bCs/>
                <w:sz w:val="20"/>
              </w:rPr>
              <w:t>0%</w:t>
            </w:r>
          </w:p>
          <w:p w14:paraId="166DD122" w14:textId="77777777" w:rsidR="0071626A" w:rsidRPr="007C0D91" w:rsidRDefault="0071626A" w:rsidP="00E02373">
            <w:pPr>
              <w:keepNext/>
              <w:keepLines/>
              <w:numPr>
                <w:ilvl w:val="0"/>
                <w:numId w:val="9"/>
              </w:numPr>
              <w:ind w:left="452"/>
              <w:jc w:val="left"/>
              <w:rPr>
                <w:rFonts w:ascii="Arial Narrow" w:eastAsiaTheme="majorEastAsia" w:hAnsi="Arial Narrow" w:cstheme="majorBidi"/>
                <w:bCs/>
                <w:sz w:val="20"/>
              </w:rPr>
            </w:pPr>
            <w:r w:rsidRPr="007C0D91">
              <w:rPr>
                <w:rFonts w:ascii="Arial Narrow" w:eastAsiaTheme="majorEastAsia" w:hAnsi="Arial Narrow" w:cstheme="majorBidi"/>
                <w:bCs/>
                <w:sz w:val="20"/>
              </w:rPr>
              <w:t>3.5%</w:t>
            </w:r>
          </w:p>
        </w:tc>
        <w:tc>
          <w:tcPr>
            <w:tcW w:w="777" w:type="pct"/>
            <w:vAlign w:val="center"/>
          </w:tcPr>
          <w:p w14:paraId="0DFCC319" w14:textId="1F40B525"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p w14:paraId="34D53CF9" w14:textId="7024231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777" w:type="pct"/>
            <w:vAlign w:val="center"/>
          </w:tcPr>
          <w:p w14:paraId="7390DA58" w14:textId="77777777"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0.675</w:t>
            </w:r>
          </w:p>
          <w:p w14:paraId="17156386"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szCs w:val="20"/>
              </w:rPr>
              <w:t>0.629</w:t>
            </w:r>
          </w:p>
        </w:tc>
        <w:tc>
          <w:tcPr>
            <w:tcW w:w="952" w:type="pct"/>
            <w:vAlign w:val="center"/>
          </w:tcPr>
          <w:p w14:paraId="2A97C168" w14:textId="4646DEEC" w:rsidR="0071626A" w:rsidRPr="007C0D91" w:rsidRDefault="00092A28" w:rsidP="00E02373">
            <w:pPr>
              <w:keepNext/>
              <w:keepLines/>
              <w:jc w:val="center"/>
              <w:rPr>
                <w:rFonts w:ascii="Arial Narrow" w:eastAsiaTheme="majorEastAsia" w:hAnsi="Arial Narrow" w:cstheme="majorBidi"/>
                <w:bCs/>
                <w:sz w:val="20"/>
                <w:szCs w:val="20"/>
              </w:rPr>
            </w:pPr>
            <w:r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6722B1" w:rsidRPr="006722B1">
              <w:rPr>
                <w:rFonts w:ascii="Arial Narrow" w:eastAsiaTheme="majorEastAsia" w:hAnsi="Arial Narrow" w:cstheme="majorBidi"/>
                <w:b/>
                <w:bCs/>
                <w:sz w:val="20"/>
                <w:vertAlign w:val="superscript"/>
              </w:rPr>
              <w:t>1</w:t>
            </w:r>
          </w:p>
          <w:p w14:paraId="1AE36F53" w14:textId="6CC5C71A" w:rsidR="0071626A" w:rsidRPr="007C0D91" w:rsidRDefault="00092A28" w:rsidP="00E02373">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6722B1" w:rsidRPr="006722B1">
              <w:rPr>
                <w:rFonts w:ascii="Arial Narrow" w:eastAsiaTheme="majorEastAsia" w:hAnsi="Arial Narrow" w:cstheme="majorBidi"/>
                <w:b/>
                <w:bCs/>
                <w:sz w:val="20"/>
                <w:vertAlign w:val="superscript"/>
              </w:rPr>
              <w:t>1</w:t>
            </w:r>
          </w:p>
        </w:tc>
        <w:tc>
          <w:tcPr>
            <w:tcW w:w="600" w:type="pct"/>
            <w:vAlign w:val="center"/>
          </w:tcPr>
          <w:p w14:paraId="22329401" w14:textId="77777777"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-0.65%</w:t>
            </w:r>
          </w:p>
          <w:p w14:paraId="09649D78" w14:textId="77777777" w:rsidR="0071626A" w:rsidRPr="007C0D91" w:rsidRDefault="0071626A" w:rsidP="00E02373">
            <w:pPr>
              <w:keepNext/>
              <w:keepLines/>
              <w:jc w:val="center"/>
              <w:rPr>
                <w:rFonts w:ascii="Arial Narrow" w:eastAsia="Calibri" w:hAnsi="Arial Narrow" w:cstheme="majorBidi"/>
                <w:bCs/>
                <w:sz w:val="20"/>
                <w:szCs w:val="20"/>
              </w:rPr>
            </w:pPr>
            <w:r w:rsidRPr="007C0D91">
              <w:rPr>
                <w:rFonts w:ascii="Arial Narrow" w:eastAsiaTheme="majorEastAsia" w:hAnsi="Arial Narrow" w:cstheme="majorBidi"/>
                <w:bCs/>
                <w:sz w:val="20"/>
                <w:szCs w:val="20"/>
              </w:rPr>
              <w:t>-0.20%</w:t>
            </w:r>
          </w:p>
        </w:tc>
      </w:tr>
      <w:tr w:rsidR="0071626A" w:rsidRPr="007C0D91" w14:paraId="1E9BAB9C" w14:textId="77777777" w:rsidTr="00AD4B73">
        <w:trPr>
          <w:cantSplit/>
        </w:trPr>
        <w:tc>
          <w:tcPr>
            <w:tcW w:w="5000" w:type="pct"/>
            <w:gridSpan w:val="5"/>
            <w:vAlign w:val="center"/>
          </w:tcPr>
          <w:p w14:paraId="29F45CDF" w14:textId="77777777" w:rsidR="0071626A" w:rsidRPr="007C0D91" w:rsidRDefault="0071626A" w:rsidP="00E02373">
            <w:pPr>
              <w:keepNext/>
              <w:keepLines/>
              <w:jc w:val="left"/>
              <w:rPr>
                <w:rFonts w:ascii="Arial Narrow" w:eastAsiaTheme="majorEastAsia" w:hAnsi="Arial Narrow" w:cstheme="majorBidi"/>
                <w:b/>
                <w:bCs/>
                <w:sz w:val="20"/>
                <w:szCs w:val="20"/>
              </w:rPr>
            </w:pPr>
            <w:r w:rsidRPr="007C0D91">
              <w:rPr>
                <w:rFonts w:ascii="Arial Narrow" w:eastAsiaTheme="majorEastAsia" w:hAnsi="Arial Narrow" w:cstheme="majorBidi"/>
                <w:b/>
                <w:bCs/>
                <w:sz w:val="20"/>
                <w:szCs w:val="20"/>
              </w:rPr>
              <w:t>Adverse event costs (base case: included with median Tx durations)</w:t>
            </w:r>
          </w:p>
        </w:tc>
      </w:tr>
      <w:tr w:rsidR="0071626A" w:rsidRPr="007C0D91" w14:paraId="1A4DE2BA" w14:textId="77777777" w:rsidTr="00AD4B73">
        <w:trPr>
          <w:cantSplit/>
        </w:trPr>
        <w:tc>
          <w:tcPr>
            <w:tcW w:w="1894" w:type="pct"/>
          </w:tcPr>
          <w:p w14:paraId="551335EB" w14:textId="77777777" w:rsidR="0071626A" w:rsidRPr="007C0D91" w:rsidRDefault="0071626A" w:rsidP="00E02373">
            <w:pPr>
              <w:keepNext/>
              <w:keepLines/>
              <w:numPr>
                <w:ilvl w:val="0"/>
                <w:numId w:val="9"/>
              </w:numPr>
              <w:ind w:left="452"/>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Applying mean Tx durations</w:t>
            </w:r>
          </w:p>
        </w:tc>
        <w:tc>
          <w:tcPr>
            <w:tcW w:w="777" w:type="pct"/>
            <w:vAlign w:val="center"/>
          </w:tcPr>
          <w:p w14:paraId="5D0865B1" w14:textId="65DCEE72"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w:t>
            </w:r>
            <w:r w:rsidR="00092A28"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p>
        </w:tc>
        <w:tc>
          <w:tcPr>
            <w:tcW w:w="777" w:type="pct"/>
            <w:vAlign w:val="center"/>
          </w:tcPr>
          <w:p w14:paraId="263211AB" w14:textId="77777777"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0.611</w:t>
            </w:r>
          </w:p>
        </w:tc>
        <w:tc>
          <w:tcPr>
            <w:tcW w:w="952" w:type="pct"/>
            <w:vAlign w:val="center"/>
          </w:tcPr>
          <w:p w14:paraId="69DC82D8" w14:textId="61F4C7A3" w:rsidR="0071626A" w:rsidRPr="007C0D91" w:rsidRDefault="00092A28" w:rsidP="00E02373">
            <w:pPr>
              <w:keepNext/>
              <w:keepLines/>
              <w:jc w:val="center"/>
              <w:rPr>
                <w:rFonts w:ascii="Arial Narrow" w:eastAsiaTheme="majorEastAsia" w:hAnsi="Arial Narrow" w:cstheme="majorBidi"/>
                <w:bCs/>
                <w:sz w:val="20"/>
                <w:szCs w:val="20"/>
              </w:rPr>
            </w:pPr>
            <w:r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E08BD" w:rsidRPr="003E08BD">
              <w:rPr>
                <w:rFonts w:ascii="Arial Narrow" w:eastAsiaTheme="majorEastAsia" w:hAnsi="Arial Narrow" w:cstheme="majorBidi"/>
                <w:sz w:val="20"/>
                <w:vertAlign w:val="superscript"/>
              </w:rPr>
              <w:t>2</w:t>
            </w:r>
          </w:p>
        </w:tc>
        <w:tc>
          <w:tcPr>
            <w:tcW w:w="600" w:type="pct"/>
            <w:vAlign w:val="center"/>
          </w:tcPr>
          <w:p w14:paraId="4B947B60" w14:textId="77777777"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9%</w:t>
            </w:r>
          </w:p>
        </w:tc>
      </w:tr>
      <w:tr w:rsidR="0071626A" w:rsidRPr="007C0D91" w14:paraId="439017AE" w14:textId="77777777" w:rsidTr="00AD4B73">
        <w:trPr>
          <w:cantSplit/>
        </w:trPr>
        <w:tc>
          <w:tcPr>
            <w:tcW w:w="5000" w:type="pct"/>
            <w:gridSpan w:val="5"/>
            <w:vAlign w:val="center"/>
          </w:tcPr>
          <w:p w14:paraId="38FFACAC" w14:textId="77777777" w:rsidR="0071626A" w:rsidRPr="007C0D91" w:rsidRDefault="0071626A" w:rsidP="00E02373">
            <w:pPr>
              <w:keepNext/>
              <w:keepLines/>
              <w:jc w:val="left"/>
              <w:rPr>
                <w:rFonts w:ascii="Arial Narrow" w:eastAsiaTheme="majorEastAsia" w:hAnsi="Arial Narrow" w:cstheme="majorBidi"/>
                <w:b/>
                <w:bCs/>
                <w:sz w:val="20"/>
                <w:szCs w:val="20"/>
              </w:rPr>
            </w:pPr>
            <w:r w:rsidRPr="007C0D91">
              <w:rPr>
                <w:rFonts w:ascii="Arial Narrow" w:eastAsiaTheme="majorEastAsia" w:hAnsi="Arial Narrow" w:cstheme="majorBidi"/>
                <w:b/>
                <w:bCs/>
                <w:sz w:val="20"/>
                <w:szCs w:val="20"/>
              </w:rPr>
              <w:t>Health state resource costs (base case: Rate of hospitalisation and outpatient visits adjusted in both health states)</w:t>
            </w:r>
          </w:p>
        </w:tc>
      </w:tr>
      <w:tr w:rsidR="0071626A" w:rsidRPr="007C0D91" w14:paraId="6801B2C6" w14:textId="77777777" w:rsidTr="00AD4B73">
        <w:trPr>
          <w:cantSplit/>
        </w:trPr>
        <w:tc>
          <w:tcPr>
            <w:tcW w:w="1894" w:type="pct"/>
          </w:tcPr>
          <w:p w14:paraId="09E935D9" w14:textId="77777777" w:rsidR="0071626A" w:rsidRPr="007C0D91" w:rsidRDefault="0071626A" w:rsidP="00E02373">
            <w:pPr>
              <w:keepNext/>
              <w:keepLines/>
              <w:numPr>
                <w:ilvl w:val="0"/>
                <w:numId w:val="9"/>
              </w:numPr>
              <w:ind w:left="452"/>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Without adjusting rate of hospitalisation and outpatient visits in PFS and progressed disease state</w:t>
            </w:r>
          </w:p>
        </w:tc>
        <w:tc>
          <w:tcPr>
            <w:tcW w:w="777" w:type="pct"/>
            <w:vAlign w:val="center"/>
          </w:tcPr>
          <w:p w14:paraId="52C36BD2" w14:textId="256CF543" w:rsidR="0071626A" w:rsidRPr="007C0D91" w:rsidRDefault="0071626A" w:rsidP="00E02373">
            <w:pPr>
              <w:keepNext/>
              <w:keepLines/>
              <w:jc w:val="center"/>
              <w:rPr>
                <w:rFonts w:ascii="Arial Narrow" w:eastAsiaTheme="majorEastAsia" w:hAnsi="Arial Narrow" w:cstheme="majorBidi"/>
                <w:bCs/>
                <w:sz w:val="20"/>
                <w:szCs w:val="20"/>
                <w:vertAlign w:val="superscript"/>
              </w:rPr>
            </w:pPr>
            <w:r w:rsidRPr="007C0D91">
              <w:rPr>
                <w:rFonts w:ascii="Arial Narrow" w:eastAsiaTheme="majorEastAsia" w:hAnsi="Arial Narrow" w:cstheme="majorBidi"/>
                <w:bCs/>
                <w:sz w:val="20"/>
                <w:szCs w:val="20"/>
              </w:rPr>
              <w:t>$</w:t>
            </w:r>
            <w:r w:rsidR="00092A28" w:rsidRPr="00092A28">
              <w:rPr>
                <w:rFonts w:ascii="Arial Narrow" w:eastAsiaTheme="majorEastAsia" w:hAnsi="Arial Narrow" w:cstheme="majorBidi" w:hint="eastAsia"/>
                <w:bCs/>
                <w:color w:val="000000"/>
                <w:w w:val="15"/>
                <w:sz w:val="20"/>
                <w:szCs w:val="20"/>
                <w:shd w:val="solid" w:color="000000" w:fill="000000"/>
                <w:fitText w:val="60" w:id="-1167912438"/>
                <w14:textFill>
                  <w14:solidFill>
                    <w14:srgbClr w14:val="000000">
                      <w14:alpha w14:val="100000"/>
                    </w14:srgbClr>
                  </w14:solidFill>
                </w14:textFill>
              </w:rPr>
              <w:t xml:space="preserve">　</w:t>
            </w:r>
            <w:proofErr w:type="gramStart"/>
            <w:r w:rsidR="00092A28" w:rsidRPr="00092A28">
              <w:rPr>
                <w:rFonts w:ascii="Arial Narrow" w:eastAsiaTheme="majorEastAsia" w:hAnsi="Arial Narrow" w:cstheme="majorBidi"/>
                <w:bCs/>
                <w:color w:val="000000"/>
                <w:w w:val="15"/>
                <w:sz w:val="20"/>
                <w:szCs w:val="20"/>
                <w:shd w:val="solid" w:color="000000" w:fill="000000"/>
                <w:fitText w:val="60" w:id="-1167912438"/>
                <w14:textFill>
                  <w14:solidFill>
                    <w14:srgbClr w14:val="000000">
                      <w14:alpha w14:val="100000"/>
                    </w14:srgbClr>
                  </w14:solidFill>
                </w14:textFill>
              </w:rPr>
              <w:t>|</w:t>
            </w:r>
            <w:r w:rsidR="00092A28" w:rsidRPr="00092A28">
              <w:rPr>
                <w:rFonts w:ascii="Arial Narrow" w:eastAsiaTheme="majorEastAsia" w:hAnsi="Arial Narrow" w:cstheme="majorBidi" w:hint="eastAsia"/>
                <w:bCs/>
                <w:color w:val="000000"/>
                <w:spacing w:val="-5"/>
                <w:w w:val="15"/>
                <w:sz w:val="20"/>
                <w:szCs w:val="20"/>
                <w:shd w:val="solid" w:color="000000" w:fill="000000"/>
                <w:fitText w:val="60" w:id="-1167912438"/>
                <w14:textFill>
                  <w14:solidFill>
                    <w14:srgbClr w14:val="000000">
                      <w14:alpha w14:val="100000"/>
                    </w14:srgbClr>
                  </w14:solidFill>
                </w14:textFill>
              </w:rPr>
              <w:t xml:space="preserve">　</w:t>
            </w:r>
            <w:r w:rsidR="002D31CC" w:rsidRPr="007C0D91">
              <w:rPr>
                <w:rFonts w:ascii="Arial Narrow" w:eastAsiaTheme="majorEastAsia" w:hAnsi="Arial Narrow" w:cstheme="majorBidi"/>
                <w:bCs/>
                <w:sz w:val="20"/>
                <w:szCs w:val="20"/>
              </w:rPr>
              <w:t xml:space="preserve"> </w:t>
            </w:r>
            <w:r w:rsidR="002D31CC" w:rsidRPr="007C0D91">
              <w:rPr>
                <w:rFonts w:ascii="Arial Narrow" w:eastAsiaTheme="majorEastAsia" w:hAnsi="Arial Narrow" w:cstheme="majorBidi"/>
                <w:bCs/>
                <w:sz w:val="20"/>
                <w:szCs w:val="20"/>
                <w:vertAlign w:val="superscript"/>
              </w:rPr>
              <w:t>a</w:t>
            </w:r>
            <w:proofErr w:type="gramEnd"/>
          </w:p>
        </w:tc>
        <w:tc>
          <w:tcPr>
            <w:tcW w:w="777" w:type="pct"/>
            <w:vAlign w:val="center"/>
          </w:tcPr>
          <w:p w14:paraId="2E0C34A7" w14:textId="77777777"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0.611</w:t>
            </w:r>
          </w:p>
        </w:tc>
        <w:tc>
          <w:tcPr>
            <w:tcW w:w="952" w:type="pct"/>
            <w:vAlign w:val="center"/>
          </w:tcPr>
          <w:p w14:paraId="254CAA95" w14:textId="50E582CE" w:rsidR="0071626A" w:rsidRPr="007C0D91" w:rsidRDefault="00092A28" w:rsidP="00E02373">
            <w:pPr>
              <w:keepNext/>
              <w:keepLines/>
              <w:jc w:val="center"/>
              <w:rPr>
                <w:rFonts w:ascii="Arial Narrow" w:eastAsiaTheme="majorEastAsia" w:hAnsi="Arial Narrow" w:cstheme="majorBidi"/>
                <w:bCs/>
                <w:sz w:val="20"/>
                <w:szCs w:val="20"/>
              </w:rPr>
            </w:pPr>
            <w:r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E08BD" w:rsidRPr="003E08BD">
              <w:rPr>
                <w:rFonts w:ascii="Arial Narrow" w:eastAsiaTheme="majorEastAsia" w:hAnsi="Arial Narrow" w:cstheme="majorBidi"/>
                <w:sz w:val="20"/>
                <w:vertAlign w:val="superscript"/>
              </w:rPr>
              <w:t>2</w:t>
            </w:r>
          </w:p>
        </w:tc>
        <w:tc>
          <w:tcPr>
            <w:tcW w:w="600" w:type="pct"/>
            <w:vAlign w:val="center"/>
          </w:tcPr>
          <w:p w14:paraId="0938EDA6" w14:textId="26907D2A" w:rsidR="0071626A" w:rsidRPr="007C0D91" w:rsidRDefault="009118D1"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11</w:t>
            </w:r>
            <w:r w:rsidR="0071626A" w:rsidRPr="007C0D91">
              <w:rPr>
                <w:rFonts w:ascii="Arial Narrow" w:eastAsiaTheme="majorEastAsia" w:hAnsi="Arial Narrow" w:cstheme="majorBidi"/>
                <w:bCs/>
                <w:sz w:val="20"/>
                <w:szCs w:val="20"/>
              </w:rPr>
              <w:t>%</w:t>
            </w:r>
          </w:p>
        </w:tc>
      </w:tr>
      <w:tr w:rsidR="0071626A" w:rsidRPr="007C0D91" w14:paraId="02EDF52A" w14:textId="77777777" w:rsidTr="00AD4B73">
        <w:trPr>
          <w:cantSplit/>
        </w:trPr>
        <w:tc>
          <w:tcPr>
            <w:tcW w:w="5000" w:type="pct"/>
            <w:gridSpan w:val="5"/>
            <w:vAlign w:val="center"/>
          </w:tcPr>
          <w:p w14:paraId="24343BFC" w14:textId="77777777" w:rsidR="0071626A" w:rsidRPr="007C0D91" w:rsidRDefault="0071626A" w:rsidP="00E02373">
            <w:pPr>
              <w:keepNext/>
              <w:keepLines/>
              <w:jc w:val="left"/>
              <w:rPr>
                <w:rFonts w:ascii="Arial Narrow" w:eastAsiaTheme="majorEastAsia" w:hAnsi="Arial Narrow" w:cstheme="majorBidi"/>
                <w:bCs/>
                <w:sz w:val="20"/>
                <w:szCs w:val="20"/>
              </w:rPr>
            </w:pPr>
            <w:r w:rsidRPr="007C0D91">
              <w:rPr>
                <w:rFonts w:ascii="Arial Narrow" w:eastAsiaTheme="majorEastAsia" w:hAnsi="Arial Narrow" w:cstheme="majorBidi"/>
                <w:b/>
                <w:bCs/>
                <w:sz w:val="20"/>
                <w:szCs w:val="20"/>
              </w:rPr>
              <w:t>Multivariate Analysis – Potential base case re-specification</w:t>
            </w:r>
          </w:p>
        </w:tc>
      </w:tr>
      <w:tr w:rsidR="0071626A" w:rsidRPr="007C0D91" w14:paraId="1BF52C49" w14:textId="77777777" w:rsidTr="00AD4B73">
        <w:trPr>
          <w:cantSplit/>
        </w:trPr>
        <w:tc>
          <w:tcPr>
            <w:tcW w:w="1894" w:type="pct"/>
          </w:tcPr>
          <w:p w14:paraId="7DE2EBB9" w14:textId="10796894" w:rsidR="0071626A" w:rsidRPr="007C0D91" w:rsidRDefault="0071626A" w:rsidP="00E02373">
            <w:pPr>
              <w:keepNext/>
              <w:keepLines/>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Inputs adjustments as per analyses 4,5</w:t>
            </w:r>
          </w:p>
        </w:tc>
        <w:tc>
          <w:tcPr>
            <w:tcW w:w="777" w:type="pct"/>
            <w:vAlign w:val="center"/>
          </w:tcPr>
          <w:p w14:paraId="057A2381" w14:textId="4780F6BA" w:rsidR="0071626A" w:rsidRPr="007C0D91" w:rsidRDefault="0071626A" w:rsidP="00E02373">
            <w:pPr>
              <w:keepNext/>
              <w:keepLines/>
              <w:jc w:val="center"/>
              <w:rPr>
                <w:rFonts w:ascii="Arial Narrow" w:eastAsiaTheme="majorEastAsia" w:hAnsi="Arial Narrow" w:cstheme="majorBidi"/>
                <w:bCs/>
                <w:sz w:val="20"/>
                <w:szCs w:val="20"/>
                <w:vertAlign w:val="superscript"/>
              </w:rPr>
            </w:pPr>
            <w:r w:rsidRPr="007C0D91">
              <w:rPr>
                <w:rFonts w:ascii="Arial Narrow" w:eastAsiaTheme="majorEastAsia" w:hAnsi="Arial Narrow" w:cstheme="majorBidi"/>
                <w:bCs/>
                <w:sz w:val="20"/>
                <w:szCs w:val="20"/>
              </w:rPr>
              <w:t>$</w:t>
            </w:r>
            <w:r w:rsidR="00092A28" w:rsidRPr="00092A28">
              <w:rPr>
                <w:rFonts w:ascii="Arial Narrow" w:eastAsiaTheme="majorEastAsia" w:hAnsi="Arial Narrow" w:cstheme="majorBidi" w:hint="eastAsia"/>
                <w:bCs/>
                <w:color w:val="000000"/>
                <w:w w:val="15"/>
                <w:sz w:val="20"/>
                <w:szCs w:val="20"/>
                <w:shd w:val="solid" w:color="000000" w:fill="000000"/>
                <w:fitText w:val="60" w:id="-1167912437"/>
                <w14:textFill>
                  <w14:solidFill>
                    <w14:srgbClr w14:val="000000">
                      <w14:alpha w14:val="100000"/>
                    </w14:srgbClr>
                  </w14:solidFill>
                </w14:textFill>
              </w:rPr>
              <w:t xml:space="preserve">　</w:t>
            </w:r>
            <w:proofErr w:type="gramStart"/>
            <w:r w:rsidR="00092A28" w:rsidRPr="00092A28">
              <w:rPr>
                <w:rFonts w:ascii="Arial Narrow" w:eastAsiaTheme="majorEastAsia" w:hAnsi="Arial Narrow" w:cstheme="majorBidi"/>
                <w:bCs/>
                <w:color w:val="000000"/>
                <w:w w:val="15"/>
                <w:sz w:val="20"/>
                <w:szCs w:val="20"/>
                <w:shd w:val="solid" w:color="000000" w:fill="000000"/>
                <w:fitText w:val="60" w:id="-1167912437"/>
                <w14:textFill>
                  <w14:solidFill>
                    <w14:srgbClr w14:val="000000">
                      <w14:alpha w14:val="100000"/>
                    </w14:srgbClr>
                  </w14:solidFill>
                </w14:textFill>
              </w:rPr>
              <w:t>|</w:t>
            </w:r>
            <w:r w:rsidR="00092A28" w:rsidRPr="00092A28">
              <w:rPr>
                <w:rFonts w:ascii="Arial Narrow" w:eastAsiaTheme="majorEastAsia" w:hAnsi="Arial Narrow" w:cstheme="majorBidi" w:hint="eastAsia"/>
                <w:bCs/>
                <w:color w:val="000000"/>
                <w:spacing w:val="-5"/>
                <w:w w:val="15"/>
                <w:sz w:val="20"/>
                <w:szCs w:val="20"/>
                <w:shd w:val="solid" w:color="000000" w:fill="000000"/>
                <w:fitText w:val="60" w:id="-1167912437"/>
                <w14:textFill>
                  <w14:solidFill>
                    <w14:srgbClr w14:val="000000">
                      <w14:alpha w14:val="100000"/>
                    </w14:srgbClr>
                  </w14:solidFill>
                </w14:textFill>
              </w:rPr>
              <w:t xml:space="preserve">　</w:t>
            </w:r>
            <w:r w:rsidR="002D31CC" w:rsidRPr="007C0D91">
              <w:rPr>
                <w:rFonts w:ascii="Arial Narrow" w:eastAsiaTheme="majorEastAsia" w:hAnsi="Arial Narrow" w:cstheme="majorBidi"/>
                <w:bCs/>
                <w:sz w:val="20"/>
                <w:szCs w:val="20"/>
              </w:rPr>
              <w:t xml:space="preserve"> </w:t>
            </w:r>
            <w:r w:rsidR="002D31CC" w:rsidRPr="007C0D91">
              <w:rPr>
                <w:rFonts w:ascii="Arial Narrow" w:eastAsiaTheme="majorEastAsia" w:hAnsi="Arial Narrow" w:cstheme="majorBidi"/>
                <w:bCs/>
                <w:sz w:val="20"/>
                <w:szCs w:val="20"/>
                <w:vertAlign w:val="superscript"/>
              </w:rPr>
              <w:t>a</w:t>
            </w:r>
            <w:proofErr w:type="gramEnd"/>
          </w:p>
        </w:tc>
        <w:tc>
          <w:tcPr>
            <w:tcW w:w="777" w:type="pct"/>
            <w:vAlign w:val="center"/>
          </w:tcPr>
          <w:p w14:paraId="39B0C9AE" w14:textId="29FAD534" w:rsidR="0071626A" w:rsidRPr="007C0D91" w:rsidRDefault="0071626A" w:rsidP="00E02373">
            <w:pPr>
              <w:keepNext/>
              <w:keepLines/>
              <w:jc w:val="center"/>
              <w:rPr>
                <w:rFonts w:ascii="Arial Narrow" w:eastAsiaTheme="majorEastAsia" w:hAnsi="Arial Narrow" w:cstheme="majorBidi"/>
                <w:bCs/>
                <w:sz w:val="20"/>
                <w:szCs w:val="20"/>
                <w:vertAlign w:val="superscript"/>
              </w:rPr>
            </w:pPr>
            <w:r w:rsidRPr="007C0D91">
              <w:rPr>
                <w:rFonts w:ascii="Arial Narrow" w:eastAsiaTheme="majorEastAsia" w:hAnsi="Arial Narrow" w:cstheme="majorBidi"/>
                <w:bCs/>
                <w:sz w:val="20"/>
                <w:szCs w:val="20"/>
              </w:rPr>
              <w:t>0</w:t>
            </w:r>
            <w:r w:rsidR="002D31CC" w:rsidRPr="007C0D91">
              <w:rPr>
                <w:rFonts w:ascii="Arial Narrow" w:eastAsiaTheme="majorEastAsia" w:hAnsi="Arial Narrow" w:cstheme="majorBidi"/>
                <w:bCs/>
                <w:sz w:val="20"/>
                <w:szCs w:val="20"/>
              </w:rPr>
              <w:t xml:space="preserve">.611 </w:t>
            </w:r>
            <w:r w:rsidR="002D31CC" w:rsidRPr="007C0D91">
              <w:rPr>
                <w:rFonts w:ascii="Arial Narrow" w:eastAsiaTheme="majorEastAsia" w:hAnsi="Arial Narrow" w:cstheme="majorBidi"/>
                <w:bCs/>
                <w:sz w:val="20"/>
                <w:szCs w:val="20"/>
                <w:vertAlign w:val="superscript"/>
              </w:rPr>
              <w:t>a</w:t>
            </w:r>
          </w:p>
        </w:tc>
        <w:tc>
          <w:tcPr>
            <w:tcW w:w="952" w:type="pct"/>
            <w:vAlign w:val="center"/>
          </w:tcPr>
          <w:p w14:paraId="4E35EC6E" w14:textId="666885B2" w:rsidR="0071626A" w:rsidRPr="007C0D91" w:rsidRDefault="00092A28" w:rsidP="00E02373">
            <w:pPr>
              <w:keepNext/>
              <w:keepLines/>
              <w:jc w:val="center"/>
              <w:rPr>
                <w:rFonts w:ascii="Arial Narrow" w:eastAsiaTheme="majorEastAsia" w:hAnsi="Arial Narrow" w:cstheme="majorBidi"/>
                <w:bCs/>
                <w:sz w:val="20"/>
                <w:szCs w:val="20"/>
              </w:rPr>
            </w:pPr>
            <w:r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E08BD" w:rsidRPr="003E08BD">
              <w:rPr>
                <w:rFonts w:ascii="Arial Narrow" w:eastAsiaTheme="majorEastAsia" w:hAnsi="Arial Narrow" w:cstheme="majorBidi"/>
                <w:sz w:val="20"/>
                <w:vertAlign w:val="superscript"/>
              </w:rPr>
              <w:t>2</w:t>
            </w:r>
          </w:p>
        </w:tc>
        <w:tc>
          <w:tcPr>
            <w:tcW w:w="600" w:type="pct"/>
            <w:vAlign w:val="center"/>
          </w:tcPr>
          <w:p w14:paraId="05BC1819" w14:textId="64E5892A"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18%</w:t>
            </w:r>
          </w:p>
        </w:tc>
      </w:tr>
      <w:tr w:rsidR="0071626A" w:rsidRPr="007C0D91" w14:paraId="38866381" w14:textId="77777777" w:rsidTr="00AD4B73">
        <w:trPr>
          <w:cantSplit/>
        </w:trPr>
        <w:tc>
          <w:tcPr>
            <w:tcW w:w="1894" w:type="pct"/>
          </w:tcPr>
          <w:p w14:paraId="27B09EA6" w14:textId="303F1778" w:rsidR="0071626A" w:rsidRPr="007C0D91" w:rsidRDefault="0071626A" w:rsidP="00E02373">
            <w:pPr>
              <w:keepNext/>
              <w:keepLines/>
              <w:jc w:val="left"/>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Use of chemotherapy patient KM data only in the comparator arm and adjustments 4,5</w:t>
            </w:r>
          </w:p>
        </w:tc>
        <w:tc>
          <w:tcPr>
            <w:tcW w:w="777" w:type="pct"/>
            <w:vAlign w:val="center"/>
          </w:tcPr>
          <w:p w14:paraId="3DC30DA3" w14:textId="23CB7E4F" w:rsidR="0071626A" w:rsidRPr="007C0D91" w:rsidRDefault="0071626A" w:rsidP="00E02373">
            <w:pPr>
              <w:keepNext/>
              <w:keepLines/>
              <w:jc w:val="center"/>
              <w:rPr>
                <w:rFonts w:ascii="Arial Narrow" w:eastAsiaTheme="majorEastAsia" w:hAnsi="Arial Narrow" w:cstheme="majorBidi"/>
                <w:bCs/>
                <w:sz w:val="20"/>
                <w:szCs w:val="20"/>
                <w:vertAlign w:val="superscript"/>
              </w:rPr>
            </w:pPr>
            <w:r w:rsidRPr="007C0D91">
              <w:rPr>
                <w:rFonts w:ascii="Arial Narrow" w:eastAsiaTheme="majorEastAsia" w:hAnsi="Arial Narrow" w:cstheme="majorBidi"/>
                <w:bCs/>
                <w:sz w:val="20"/>
                <w:szCs w:val="20"/>
              </w:rPr>
              <w:t>$</w:t>
            </w:r>
            <w:r w:rsidR="00092A28" w:rsidRPr="00092A28">
              <w:rPr>
                <w:rFonts w:ascii="Arial Narrow" w:eastAsiaTheme="majorEastAsia" w:hAnsi="Arial Narrow" w:cstheme="majorBidi" w:hint="eastAsia"/>
                <w:bCs/>
                <w:color w:val="000000"/>
                <w:w w:val="15"/>
                <w:sz w:val="20"/>
                <w:szCs w:val="20"/>
                <w:shd w:val="solid" w:color="000000" w:fill="000000"/>
                <w:fitText w:val="60" w:id="-1167912436"/>
                <w14:textFill>
                  <w14:solidFill>
                    <w14:srgbClr w14:val="000000">
                      <w14:alpha w14:val="100000"/>
                    </w14:srgbClr>
                  </w14:solidFill>
                </w14:textFill>
              </w:rPr>
              <w:t xml:space="preserve">　</w:t>
            </w:r>
            <w:proofErr w:type="gramStart"/>
            <w:r w:rsidR="00092A28" w:rsidRPr="00092A28">
              <w:rPr>
                <w:rFonts w:ascii="Arial Narrow" w:eastAsiaTheme="majorEastAsia" w:hAnsi="Arial Narrow" w:cstheme="majorBidi"/>
                <w:bCs/>
                <w:color w:val="000000"/>
                <w:w w:val="15"/>
                <w:sz w:val="20"/>
                <w:szCs w:val="20"/>
                <w:shd w:val="solid" w:color="000000" w:fill="000000"/>
                <w:fitText w:val="60" w:id="-1167912436"/>
                <w14:textFill>
                  <w14:solidFill>
                    <w14:srgbClr w14:val="000000">
                      <w14:alpha w14:val="100000"/>
                    </w14:srgbClr>
                  </w14:solidFill>
                </w14:textFill>
              </w:rPr>
              <w:t>|</w:t>
            </w:r>
            <w:r w:rsidR="00092A28" w:rsidRPr="00092A28">
              <w:rPr>
                <w:rFonts w:ascii="Arial Narrow" w:eastAsiaTheme="majorEastAsia" w:hAnsi="Arial Narrow" w:cstheme="majorBidi" w:hint="eastAsia"/>
                <w:bCs/>
                <w:color w:val="000000"/>
                <w:spacing w:val="-5"/>
                <w:w w:val="15"/>
                <w:sz w:val="20"/>
                <w:szCs w:val="20"/>
                <w:shd w:val="solid" w:color="000000" w:fill="000000"/>
                <w:fitText w:val="60" w:id="-1167912436"/>
                <w14:textFill>
                  <w14:solidFill>
                    <w14:srgbClr w14:val="000000">
                      <w14:alpha w14:val="100000"/>
                    </w14:srgbClr>
                  </w14:solidFill>
                </w14:textFill>
              </w:rPr>
              <w:t xml:space="preserve">　</w:t>
            </w:r>
            <w:r w:rsidR="002D31CC" w:rsidRPr="007C0D91">
              <w:rPr>
                <w:rFonts w:ascii="Arial Narrow" w:eastAsiaTheme="majorEastAsia" w:hAnsi="Arial Narrow" w:cstheme="majorBidi"/>
                <w:bCs/>
                <w:sz w:val="20"/>
                <w:szCs w:val="20"/>
              </w:rPr>
              <w:t xml:space="preserve"> </w:t>
            </w:r>
            <w:r w:rsidR="002D31CC" w:rsidRPr="007C0D91">
              <w:rPr>
                <w:rFonts w:ascii="Arial Narrow" w:eastAsiaTheme="majorEastAsia" w:hAnsi="Arial Narrow" w:cstheme="majorBidi"/>
                <w:bCs/>
                <w:sz w:val="20"/>
                <w:szCs w:val="20"/>
                <w:vertAlign w:val="superscript"/>
              </w:rPr>
              <w:t>a</w:t>
            </w:r>
            <w:proofErr w:type="gramEnd"/>
          </w:p>
        </w:tc>
        <w:tc>
          <w:tcPr>
            <w:tcW w:w="777" w:type="pct"/>
            <w:vAlign w:val="center"/>
          </w:tcPr>
          <w:p w14:paraId="7EEEFD0E" w14:textId="0DBA9C15" w:rsidR="0071626A" w:rsidRPr="007C0D91" w:rsidRDefault="0071626A" w:rsidP="00E02373">
            <w:pPr>
              <w:keepNext/>
              <w:keepLines/>
              <w:jc w:val="center"/>
              <w:rPr>
                <w:rFonts w:ascii="Arial Narrow" w:eastAsiaTheme="majorEastAsia" w:hAnsi="Arial Narrow" w:cstheme="majorBidi"/>
                <w:bCs/>
                <w:sz w:val="20"/>
                <w:szCs w:val="20"/>
                <w:vertAlign w:val="superscript"/>
              </w:rPr>
            </w:pPr>
            <w:r w:rsidRPr="007C0D91">
              <w:rPr>
                <w:rFonts w:ascii="Arial Narrow" w:eastAsiaTheme="majorEastAsia" w:hAnsi="Arial Narrow" w:cstheme="majorBidi"/>
                <w:bCs/>
                <w:sz w:val="20"/>
                <w:szCs w:val="20"/>
              </w:rPr>
              <w:t>0.2</w:t>
            </w:r>
            <w:r w:rsidR="002D31CC" w:rsidRPr="007C0D91">
              <w:rPr>
                <w:rFonts w:ascii="Arial Narrow" w:eastAsiaTheme="majorEastAsia" w:hAnsi="Arial Narrow" w:cstheme="majorBidi"/>
                <w:bCs/>
                <w:sz w:val="20"/>
                <w:szCs w:val="20"/>
              </w:rPr>
              <w:t xml:space="preserve">40 </w:t>
            </w:r>
            <w:r w:rsidR="002D31CC" w:rsidRPr="007C0D91">
              <w:rPr>
                <w:rFonts w:ascii="Arial Narrow" w:eastAsiaTheme="majorEastAsia" w:hAnsi="Arial Narrow" w:cstheme="majorBidi"/>
                <w:bCs/>
                <w:sz w:val="20"/>
                <w:szCs w:val="20"/>
                <w:vertAlign w:val="superscript"/>
              </w:rPr>
              <w:t>a</w:t>
            </w:r>
          </w:p>
        </w:tc>
        <w:tc>
          <w:tcPr>
            <w:tcW w:w="952" w:type="pct"/>
            <w:vAlign w:val="center"/>
          </w:tcPr>
          <w:p w14:paraId="316EEFEF" w14:textId="418D03D8" w:rsidR="0071626A" w:rsidRPr="007C0D91" w:rsidRDefault="00092A28" w:rsidP="00E02373">
            <w:pPr>
              <w:keepNext/>
              <w:keepLines/>
              <w:jc w:val="center"/>
              <w:rPr>
                <w:rFonts w:ascii="Arial Narrow" w:eastAsiaTheme="majorEastAsia" w:hAnsi="Arial Narrow" w:cstheme="majorBidi"/>
                <w:bCs/>
                <w:sz w:val="20"/>
                <w:szCs w:val="20"/>
              </w:rPr>
            </w:pPr>
            <w:r w:rsidRPr="00092A28">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E08BD" w:rsidRPr="003E08BD">
              <w:rPr>
                <w:rFonts w:ascii="Arial Narrow" w:eastAsiaTheme="majorEastAsia" w:hAnsi="Arial Narrow" w:cstheme="majorBidi"/>
                <w:sz w:val="20"/>
                <w:vertAlign w:val="superscript"/>
              </w:rPr>
              <w:t>3</w:t>
            </w:r>
          </w:p>
        </w:tc>
        <w:tc>
          <w:tcPr>
            <w:tcW w:w="600" w:type="pct"/>
            <w:vAlign w:val="center"/>
          </w:tcPr>
          <w:p w14:paraId="07F76265" w14:textId="238D70E0" w:rsidR="0071626A" w:rsidRPr="007C0D91" w:rsidRDefault="0071626A" w:rsidP="00E02373">
            <w:pPr>
              <w:keepNext/>
              <w:keepLines/>
              <w:jc w:val="center"/>
              <w:rPr>
                <w:rFonts w:ascii="Arial Narrow" w:eastAsiaTheme="majorEastAsia" w:hAnsi="Arial Narrow" w:cstheme="majorBidi"/>
                <w:bCs/>
                <w:sz w:val="20"/>
                <w:szCs w:val="20"/>
              </w:rPr>
            </w:pPr>
            <w:r w:rsidRPr="007C0D91">
              <w:rPr>
                <w:rFonts w:ascii="Arial Narrow" w:eastAsiaTheme="majorEastAsia" w:hAnsi="Arial Narrow" w:cstheme="majorBidi"/>
                <w:bCs/>
                <w:sz w:val="20"/>
                <w:szCs w:val="20"/>
              </w:rPr>
              <w:t>41%</w:t>
            </w:r>
          </w:p>
        </w:tc>
      </w:tr>
    </w:tbl>
    <w:p w14:paraId="16A42927"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rPr>
        <w:t xml:space="preserve">Source: </w:t>
      </w:r>
      <w:r w:rsidRPr="007C0D91">
        <w:rPr>
          <w:rFonts w:ascii="Arial Narrow" w:hAnsi="Arial Narrow"/>
          <w:sz w:val="18"/>
        </w:rPr>
        <w:t xml:space="preserve">Analyses conducted during the evaluation </w:t>
      </w:r>
      <w:r w:rsidRPr="007C0D91">
        <w:rPr>
          <w:rFonts w:ascii="Arial Narrow" w:hAnsi="Arial Narrow"/>
          <w:snapToGrid w:val="0"/>
          <w:sz w:val="18"/>
          <w:szCs w:val="22"/>
        </w:rPr>
        <w:t xml:space="preserve">based on </w:t>
      </w:r>
      <w:r w:rsidRPr="007C0D91">
        <w:rPr>
          <w:rFonts w:ascii="Arial Narrow" w:hAnsi="Arial Narrow"/>
          <w:iCs/>
          <w:snapToGrid w:val="0"/>
          <w:sz w:val="18"/>
          <w:szCs w:val="22"/>
        </w:rPr>
        <w:t xml:space="preserve">the </w:t>
      </w:r>
      <w:r w:rsidRPr="007C0D91">
        <w:rPr>
          <w:rFonts w:ascii="Arial Narrow" w:hAnsi="Arial Narrow"/>
          <w:snapToGrid w:val="0"/>
          <w:sz w:val="18"/>
          <w:szCs w:val="22"/>
        </w:rPr>
        <w:t>on ‘Section 3 CE Model Workbook – Takeda Australia – Mobocertinib – Resubmission – March 2023’</w:t>
      </w:r>
    </w:p>
    <w:p w14:paraId="32CB761D" w14:textId="4B027B3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rPr>
        <w:t xml:space="preserve">KM = Kaplan-Meier; </w:t>
      </w:r>
      <w:r w:rsidRPr="007C0D91">
        <w:rPr>
          <w:rFonts w:ascii="Arial Narrow" w:hAnsi="Arial Narrow"/>
          <w:sz w:val="18"/>
        </w:rPr>
        <w:t>PFS = progression free state;</w:t>
      </w:r>
      <w:r w:rsidRPr="007C0D91">
        <w:rPr>
          <w:rFonts w:ascii="Arial Narrow" w:hAnsi="Arial Narrow"/>
          <w:snapToGrid w:val="0"/>
          <w:sz w:val="18"/>
          <w:szCs w:val="22"/>
        </w:rPr>
        <w:t xml:space="preserve"> QALY = quality adjusted life year, ICER = incremental cost=effectiveness ratio</w:t>
      </w:r>
    </w:p>
    <w:p w14:paraId="3A86A9B8" w14:textId="77777777" w:rsidR="006722B1" w:rsidRDefault="002D31CC" w:rsidP="00E02373">
      <w:pPr>
        <w:keepNext/>
        <w:keepLines/>
        <w:spacing w:after="120"/>
        <w:contextualSpacing/>
        <w:rPr>
          <w:rFonts w:ascii="Arial Narrow" w:hAnsi="Arial Narrow"/>
          <w:snapToGrid w:val="0"/>
          <w:sz w:val="18"/>
          <w:szCs w:val="22"/>
        </w:rPr>
      </w:pPr>
      <w:r w:rsidRPr="007C0D91">
        <w:rPr>
          <w:rFonts w:ascii="Arial Narrow" w:hAnsi="Arial Narrow"/>
          <w:i/>
          <w:iCs/>
          <w:snapToGrid w:val="0"/>
          <w:sz w:val="18"/>
          <w:szCs w:val="22"/>
          <w:vertAlign w:val="superscript"/>
        </w:rPr>
        <w:t xml:space="preserve">a </w:t>
      </w:r>
      <w:r w:rsidRPr="007C0D91">
        <w:rPr>
          <w:rFonts w:ascii="Arial Narrow" w:hAnsi="Arial Narrow"/>
          <w:snapToGrid w:val="0"/>
          <w:sz w:val="18"/>
          <w:szCs w:val="22"/>
        </w:rPr>
        <w:t>Corrected during the preparation of the ESC Advice.</w:t>
      </w:r>
    </w:p>
    <w:p w14:paraId="31E99738" w14:textId="77777777" w:rsidR="006722B1" w:rsidRPr="009A6D58" w:rsidRDefault="006722B1" w:rsidP="00E02373">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95B1F53" w14:textId="0E4EF99D" w:rsidR="006722B1" w:rsidRPr="009A6D58" w:rsidRDefault="006722B1" w:rsidP="00E02373">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B3FAF">
        <w:rPr>
          <w:rFonts w:ascii="Arial Narrow" w:hAnsi="Arial Narrow"/>
          <w:i/>
          <w:sz w:val="18"/>
          <w:szCs w:val="18"/>
        </w:rPr>
        <w:t>$55,000 to &lt; $75,000</w:t>
      </w:r>
    </w:p>
    <w:p w14:paraId="67CDA724" w14:textId="5B63BFD6" w:rsidR="006722B1" w:rsidRDefault="006722B1" w:rsidP="00E02373">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9B3FAF">
        <w:rPr>
          <w:rFonts w:ascii="Arial Narrow" w:hAnsi="Arial Narrow"/>
          <w:i/>
          <w:sz w:val="18"/>
          <w:szCs w:val="18"/>
        </w:rPr>
        <w:t>$</w:t>
      </w:r>
      <w:r>
        <w:rPr>
          <w:rFonts w:ascii="Arial Narrow" w:hAnsi="Arial Narrow"/>
          <w:i/>
          <w:sz w:val="18"/>
          <w:szCs w:val="18"/>
        </w:rPr>
        <w:t>7</w:t>
      </w:r>
      <w:r w:rsidRPr="009B3FAF">
        <w:rPr>
          <w:rFonts w:ascii="Arial Narrow" w:hAnsi="Arial Narrow"/>
          <w:i/>
          <w:sz w:val="18"/>
          <w:szCs w:val="18"/>
        </w:rPr>
        <w:t>5,000 to &lt; $</w:t>
      </w:r>
      <w:r>
        <w:rPr>
          <w:rFonts w:ascii="Arial Narrow" w:hAnsi="Arial Narrow"/>
          <w:i/>
          <w:sz w:val="18"/>
          <w:szCs w:val="18"/>
        </w:rPr>
        <w:t>9</w:t>
      </w:r>
      <w:r w:rsidRPr="009B3FAF">
        <w:rPr>
          <w:rFonts w:ascii="Arial Narrow" w:hAnsi="Arial Narrow"/>
          <w:i/>
          <w:sz w:val="18"/>
          <w:szCs w:val="18"/>
        </w:rPr>
        <w:t>5,000</w:t>
      </w:r>
    </w:p>
    <w:p w14:paraId="0FBAC354" w14:textId="01F56515" w:rsidR="006722B1" w:rsidRDefault="006722B1" w:rsidP="006722B1">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B3FAF">
        <w:rPr>
          <w:rFonts w:ascii="Arial Narrow" w:hAnsi="Arial Narrow"/>
          <w:i/>
          <w:sz w:val="18"/>
          <w:szCs w:val="18"/>
        </w:rPr>
        <w:t>$95,000 to &lt; $115,000</w:t>
      </w:r>
    </w:p>
    <w:p w14:paraId="1FE90172" w14:textId="2815E8F1" w:rsidR="0071626A" w:rsidRPr="007C0D91" w:rsidRDefault="002D31CC" w:rsidP="0071626A">
      <w:pPr>
        <w:pStyle w:val="4-SubsectionHeading"/>
      </w:pPr>
      <w:r w:rsidRPr="007C0D91">
        <w:rPr>
          <w:rFonts w:ascii="Arial Narrow" w:hAnsi="Arial Narrow"/>
          <w:iCs/>
          <w:snapToGrid w:val="0"/>
          <w:sz w:val="18"/>
          <w:szCs w:val="22"/>
        </w:rPr>
        <w:t xml:space="preserve"> </w:t>
      </w:r>
      <w:bookmarkStart w:id="79" w:name="_Toc22897646"/>
      <w:bookmarkStart w:id="80" w:name="_Toc107927632"/>
      <w:bookmarkStart w:id="81" w:name="_Toc135210119"/>
      <w:r w:rsidR="0071626A" w:rsidRPr="007C0D91">
        <w:t>Drug cost/patient/course</w:t>
      </w:r>
      <w:bookmarkEnd w:id="79"/>
      <w:bookmarkEnd w:id="80"/>
      <w:bookmarkEnd w:id="81"/>
    </w:p>
    <w:p w14:paraId="48E935A0" w14:textId="34AAE519" w:rsidR="0071626A" w:rsidRPr="007C0D91" w:rsidRDefault="0071626A" w:rsidP="0071626A">
      <w:pPr>
        <w:numPr>
          <w:ilvl w:val="1"/>
          <w:numId w:val="1"/>
        </w:numPr>
        <w:spacing w:after="120"/>
        <w:rPr>
          <w:rFonts w:asciiTheme="minorHAnsi" w:hAnsiTheme="minorHAnsi"/>
          <w:snapToGrid w:val="0"/>
        </w:rPr>
      </w:pPr>
      <w:bookmarkStart w:id="82" w:name="_Ref104805102"/>
      <w:r w:rsidRPr="007C0D91">
        <w:rPr>
          <w:rFonts w:asciiTheme="minorHAnsi" w:hAnsiTheme="minorHAnsi"/>
          <w:snapToGrid w:val="0"/>
        </w:rPr>
        <w:t xml:space="preserve">A comparison of the drug costs of mobocertinib and chemotherapy estimated based on the trial data, the economic evaluation and the financial analysis is presented in </w:t>
      </w:r>
      <w:r w:rsidRPr="007C0D91">
        <w:rPr>
          <w:rFonts w:asciiTheme="minorHAnsi" w:hAnsiTheme="minorHAnsi"/>
          <w:snapToGrid w:val="0"/>
        </w:rPr>
        <w:fldChar w:fldCharType="begin"/>
      </w:r>
      <w:r w:rsidRPr="007C0D91">
        <w:rPr>
          <w:rFonts w:asciiTheme="minorHAnsi" w:hAnsiTheme="minorHAnsi"/>
          <w:snapToGrid w:val="0"/>
        </w:rPr>
        <w:instrText xml:space="preserve"> REF _Ref133755781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117491">
        <w:rPr>
          <w:rFonts w:asciiTheme="minorHAnsi" w:hAnsiTheme="minorHAnsi"/>
          <w:snapToGrid w:val="0"/>
        </w:rPr>
        <w:t>Table 13</w:t>
      </w:r>
      <w:r w:rsidRPr="007C0D91">
        <w:rPr>
          <w:rFonts w:asciiTheme="minorHAnsi" w:hAnsiTheme="minorHAnsi"/>
          <w:snapToGrid w:val="0"/>
        </w:rPr>
        <w:fldChar w:fldCharType="end"/>
      </w:r>
      <w:r w:rsidRPr="007C0D91">
        <w:rPr>
          <w:rFonts w:asciiTheme="minorHAnsi" w:hAnsiTheme="minorHAnsi"/>
          <w:snapToGrid w:val="0"/>
        </w:rPr>
        <w:t>.</w:t>
      </w:r>
    </w:p>
    <w:p w14:paraId="35BB1258" w14:textId="4C033494" w:rsidR="0071626A" w:rsidRPr="007C0D91" w:rsidRDefault="0071626A" w:rsidP="00E02373">
      <w:pPr>
        <w:keepNext/>
        <w:keepLines/>
        <w:rPr>
          <w:rFonts w:ascii="Arial Narrow" w:hAnsi="Arial Narrow"/>
          <w:b/>
          <w:bCs/>
          <w:sz w:val="20"/>
          <w:szCs w:val="20"/>
        </w:rPr>
      </w:pPr>
      <w:bookmarkStart w:id="83" w:name="_Ref133755781"/>
      <w:r w:rsidRPr="007C0D91">
        <w:rPr>
          <w:rFonts w:ascii="Arial Narrow" w:hAnsi="Arial Narrow"/>
          <w:b/>
          <w:bCs/>
          <w:sz w:val="20"/>
          <w:szCs w:val="20"/>
        </w:rPr>
        <w:lastRenderedPageBreak/>
        <w:t xml:space="preserve">Table </w:t>
      </w:r>
      <w:r w:rsidRPr="007C0D91">
        <w:rPr>
          <w:rFonts w:ascii="Arial Narrow" w:hAnsi="Arial Narrow"/>
          <w:b/>
          <w:bCs/>
          <w:sz w:val="20"/>
          <w:szCs w:val="20"/>
        </w:rPr>
        <w:fldChar w:fldCharType="begin"/>
      </w:r>
      <w:r w:rsidRPr="007C0D91">
        <w:rPr>
          <w:rFonts w:ascii="Arial Narrow" w:hAnsi="Arial Narrow"/>
          <w:b/>
          <w:bCs/>
          <w:sz w:val="20"/>
          <w:szCs w:val="20"/>
        </w:rPr>
        <w:instrText xml:space="preserve"> SEQ Table \* ARABIC </w:instrText>
      </w:r>
      <w:r w:rsidRPr="007C0D91">
        <w:rPr>
          <w:rFonts w:ascii="Arial Narrow" w:hAnsi="Arial Narrow"/>
          <w:b/>
          <w:bCs/>
          <w:sz w:val="20"/>
          <w:szCs w:val="20"/>
        </w:rPr>
        <w:fldChar w:fldCharType="separate"/>
      </w:r>
      <w:r w:rsidR="00117491">
        <w:rPr>
          <w:rFonts w:ascii="Arial Narrow" w:hAnsi="Arial Narrow"/>
          <w:b/>
          <w:bCs/>
          <w:noProof/>
          <w:sz w:val="20"/>
          <w:szCs w:val="20"/>
        </w:rPr>
        <w:t>13</w:t>
      </w:r>
      <w:r w:rsidRPr="007C0D91">
        <w:rPr>
          <w:rFonts w:ascii="Arial Narrow" w:hAnsi="Arial Narrow"/>
          <w:b/>
          <w:bCs/>
          <w:sz w:val="20"/>
          <w:szCs w:val="20"/>
        </w:rPr>
        <w:fldChar w:fldCharType="end"/>
      </w:r>
      <w:bookmarkEnd w:id="82"/>
      <w:bookmarkEnd w:id="83"/>
      <w:r w:rsidRPr="007C0D91">
        <w:rPr>
          <w:rFonts w:ascii="Arial Narrow" w:hAnsi="Arial Narrow"/>
          <w:b/>
          <w:bCs/>
          <w:sz w:val="20"/>
          <w:szCs w:val="20"/>
        </w:rPr>
        <w:t>: Drug cost per patient for mobocertinib and standard of care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71626A" w:rsidRPr="007C0D91" w14:paraId="1DE25B70" w14:textId="77777777" w:rsidTr="00D43793">
        <w:trPr>
          <w:cantSplit/>
          <w:tblHeader/>
          <w:jc w:val="center"/>
        </w:trPr>
        <w:tc>
          <w:tcPr>
            <w:tcW w:w="815" w:type="pct"/>
            <w:shd w:val="clear" w:color="auto" w:fill="auto"/>
            <w:vAlign w:val="center"/>
          </w:tcPr>
          <w:p w14:paraId="64BB7DED" w14:textId="77777777" w:rsidR="0071626A" w:rsidRPr="007C0D91" w:rsidRDefault="0071626A" w:rsidP="00E02373">
            <w:pPr>
              <w:keepNext/>
              <w:keepLines/>
              <w:jc w:val="center"/>
              <w:rPr>
                <w:rFonts w:ascii="Arial Narrow" w:eastAsiaTheme="majorEastAsia" w:hAnsi="Arial Narrow" w:cs="Times New Roman"/>
                <w:b/>
                <w:sz w:val="20"/>
              </w:rPr>
            </w:pPr>
          </w:p>
        </w:tc>
        <w:tc>
          <w:tcPr>
            <w:tcW w:w="2091" w:type="pct"/>
            <w:gridSpan w:val="3"/>
            <w:shd w:val="clear" w:color="auto" w:fill="auto"/>
            <w:vAlign w:val="center"/>
          </w:tcPr>
          <w:p w14:paraId="07DAE3A3"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Mobocertinib</w:t>
            </w:r>
          </w:p>
        </w:tc>
        <w:tc>
          <w:tcPr>
            <w:tcW w:w="2094" w:type="pct"/>
            <w:gridSpan w:val="3"/>
            <w:shd w:val="clear" w:color="auto" w:fill="auto"/>
            <w:vAlign w:val="center"/>
          </w:tcPr>
          <w:p w14:paraId="735BA553" w14:textId="40580F4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Chemotherapy alone</w:t>
            </w:r>
          </w:p>
        </w:tc>
      </w:tr>
      <w:tr w:rsidR="0071626A" w:rsidRPr="007C0D91" w14:paraId="42E80D00" w14:textId="77777777" w:rsidTr="00D43793">
        <w:trPr>
          <w:cantSplit/>
          <w:tblHeader/>
          <w:jc w:val="center"/>
        </w:trPr>
        <w:tc>
          <w:tcPr>
            <w:tcW w:w="815" w:type="pct"/>
            <w:shd w:val="clear" w:color="auto" w:fill="auto"/>
            <w:vAlign w:val="center"/>
          </w:tcPr>
          <w:p w14:paraId="0FDA9BF3" w14:textId="77777777" w:rsidR="0071626A" w:rsidRPr="007C0D91" w:rsidRDefault="0071626A" w:rsidP="00E02373">
            <w:pPr>
              <w:keepNext/>
              <w:keepLines/>
              <w:jc w:val="center"/>
              <w:rPr>
                <w:rFonts w:ascii="Arial Narrow" w:eastAsiaTheme="majorEastAsia" w:hAnsi="Arial Narrow" w:cs="Times New Roman"/>
                <w:b/>
                <w:sz w:val="20"/>
              </w:rPr>
            </w:pPr>
          </w:p>
        </w:tc>
        <w:tc>
          <w:tcPr>
            <w:tcW w:w="697" w:type="pct"/>
            <w:shd w:val="clear" w:color="auto" w:fill="auto"/>
            <w:vAlign w:val="center"/>
          </w:tcPr>
          <w:p w14:paraId="451C7A5C"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Trial dose and duration</w:t>
            </w:r>
          </w:p>
        </w:tc>
        <w:tc>
          <w:tcPr>
            <w:tcW w:w="696" w:type="pct"/>
            <w:shd w:val="clear" w:color="auto" w:fill="auto"/>
            <w:vAlign w:val="center"/>
          </w:tcPr>
          <w:p w14:paraId="36BA44A5"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Model</w:t>
            </w:r>
          </w:p>
        </w:tc>
        <w:tc>
          <w:tcPr>
            <w:tcW w:w="698" w:type="pct"/>
            <w:shd w:val="clear" w:color="auto" w:fill="auto"/>
            <w:vAlign w:val="center"/>
          </w:tcPr>
          <w:p w14:paraId="4039C1D1"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Financial estimates</w:t>
            </w:r>
          </w:p>
        </w:tc>
        <w:tc>
          <w:tcPr>
            <w:tcW w:w="696" w:type="pct"/>
            <w:shd w:val="clear" w:color="auto" w:fill="auto"/>
            <w:vAlign w:val="center"/>
          </w:tcPr>
          <w:p w14:paraId="18171CC2"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Trial dose and duration</w:t>
            </w:r>
          </w:p>
        </w:tc>
        <w:tc>
          <w:tcPr>
            <w:tcW w:w="699" w:type="pct"/>
            <w:shd w:val="clear" w:color="auto" w:fill="auto"/>
            <w:vAlign w:val="center"/>
          </w:tcPr>
          <w:p w14:paraId="0BA3785A"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Model</w:t>
            </w:r>
          </w:p>
        </w:tc>
        <w:tc>
          <w:tcPr>
            <w:tcW w:w="699" w:type="pct"/>
          </w:tcPr>
          <w:p w14:paraId="328567B3" w14:textId="77777777" w:rsidR="0071626A" w:rsidRPr="007C0D91" w:rsidRDefault="0071626A" w:rsidP="00E02373">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rPr>
              <w:t>Financial estimates</w:t>
            </w:r>
          </w:p>
        </w:tc>
      </w:tr>
      <w:tr w:rsidR="0071626A" w:rsidRPr="007C0D91" w14:paraId="37B4EE5B" w14:textId="77777777" w:rsidTr="00D43793">
        <w:trPr>
          <w:cantSplit/>
          <w:jc w:val="center"/>
        </w:trPr>
        <w:tc>
          <w:tcPr>
            <w:tcW w:w="815" w:type="pct"/>
            <w:shd w:val="clear" w:color="auto" w:fill="auto"/>
            <w:vAlign w:val="center"/>
          </w:tcPr>
          <w:p w14:paraId="5B47A412" w14:textId="77777777" w:rsidR="0071626A" w:rsidRPr="007C0D91" w:rsidRDefault="0071626A" w:rsidP="00E02373">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Mean dose</w:t>
            </w:r>
          </w:p>
        </w:tc>
        <w:tc>
          <w:tcPr>
            <w:tcW w:w="697" w:type="pct"/>
            <w:shd w:val="clear" w:color="auto" w:fill="auto"/>
            <w:vAlign w:val="center"/>
          </w:tcPr>
          <w:p w14:paraId="666E3608"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160 mg/day</w:t>
            </w:r>
          </w:p>
        </w:tc>
        <w:tc>
          <w:tcPr>
            <w:tcW w:w="696" w:type="pct"/>
            <w:shd w:val="clear" w:color="auto" w:fill="auto"/>
            <w:vAlign w:val="center"/>
          </w:tcPr>
          <w:p w14:paraId="2D1BB589"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160 mg/day</w:t>
            </w:r>
          </w:p>
        </w:tc>
        <w:tc>
          <w:tcPr>
            <w:tcW w:w="698" w:type="pct"/>
            <w:shd w:val="clear" w:color="auto" w:fill="auto"/>
            <w:vAlign w:val="center"/>
          </w:tcPr>
          <w:p w14:paraId="1B102070"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160 mg/day</w:t>
            </w:r>
          </w:p>
        </w:tc>
        <w:tc>
          <w:tcPr>
            <w:tcW w:w="696" w:type="pct"/>
            <w:shd w:val="clear" w:color="auto" w:fill="auto"/>
            <w:vAlign w:val="center"/>
          </w:tcPr>
          <w:p w14:paraId="54B93018"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color w:val="000000"/>
                <w:sz w:val="20"/>
                <w:szCs w:val="20"/>
              </w:rPr>
              <w:t>NR</w:t>
            </w:r>
          </w:p>
        </w:tc>
        <w:tc>
          <w:tcPr>
            <w:tcW w:w="699" w:type="pct"/>
            <w:shd w:val="clear" w:color="auto" w:fill="auto"/>
            <w:vAlign w:val="center"/>
          </w:tcPr>
          <w:p w14:paraId="5F76E687"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color w:val="000000"/>
                <w:sz w:val="20"/>
                <w:szCs w:val="20"/>
              </w:rPr>
              <w:t>NR</w:t>
            </w:r>
          </w:p>
        </w:tc>
        <w:tc>
          <w:tcPr>
            <w:tcW w:w="699" w:type="pct"/>
            <w:vAlign w:val="center"/>
          </w:tcPr>
          <w:p w14:paraId="6F76B2C4"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color w:val="000000"/>
                <w:sz w:val="20"/>
                <w:szCs w:val="20"/>
              </w:rPr>
              <w:t>NR</w:t>
            </w:r>
          </w:p>
        </w:tc>
      </w:tr>
      <w:tr w:rsidR="0071626A" w:rsidRPr="007C0D91" w14:paraId="4F1CBBBC" w14:textId="77777777" w:rsidTr="00D43793">
        <w:trPr>
          <w:cantSplit/>
          <w:jc w:val="center"/>
        </w:trPr>
        <w:tc>
          <w:tcPr>
            <w:tcW w:w="815" w:type="pct"/>
            <w:shd w:val="clear" w:color="auto" w:fill="auto"/>
            <w:vAlign w:val="center"/>
          </w:tcPr>
          <w:p w14:paraId="3328FB4A" w14:textId="77777777" w:rsidR="0071626A" w:rsidRPr="007C0D91" w:rsidRDefault="0071626A" w:rsidP="00E02373">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Dose intensity</w:t>
            </w:r>
          </w:p>
        </w:tc>
        <w:tc>
          <w:tcPr>
            <w:tcW w:w="697" w:type="pct"/>
            <w:shd w:val="clear" w:color="auto" w:fill="auto"/>
            <w:vAlign w:val="center"/>
          </w:tcPr>
          <w:p w14:paraId="463D24BE"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theme="majorBidi"/>
                <w:bCs/>
                <w:sz w:val="20"/>
              </w:rPr>
              <w:t>91.81%</w:t>
            </w:r>
            <w:r w:rsidRPr="007C0D91">
              <w:rPr>
                <w:rFonts w:ascii="Arial Narrow" w:eastAsiaTheme="majorEastAsia" w:hAnsi="Arial Narrow" w:cstheme="majorBidi"/>
                <w:bCs/>
                <w:sz w:val="20"/>
                <w:vertAlign w:val="superscript"/>
              </w:rPr>
              <w:t>a</w:t>
            </w:r>
          </w:p>
        </w:tc>
        <w:tc>
          <w:tcPr>
            <w:tcW w:w="696" w:type="pct"/>
            <w:shd w:val="clear" w:color="auto" w:fill="auto"/>
            <w:vAlign w:val="center"/>
          </w:tcPr>
          <w:p w14:paraId="32B76537"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theme="majorBidi"/>
                <w:bCs/>
                <w:sz w:val="20"/>
              </w:rPr>
              <w:t>93%</w:t>
            </w:r>
            <w:r w:rsidRPr="007C0D91">
              <w:rPr>
                <w:rFonts w:ascii="Arial Narrow" w:eastAsiaTheme="majorEastAsia" w:hAnsi="Arial Narrow" w:cstheme="majorBidi"/>
                <w:bCs/>
                <w:sz w:val="20"/>
                <w:vertAlign w:val="superscript"/>
              </w:rPr>
              <w:t>c</w:t>
            </w:r>
          </w:p>
        </w:tc>
        <w:tc>
          <w:tcPr>
            <w:tcW w:w="698" w:type="pct"/>
            <w:shd w:val="clear" w:color="auto" w:fill="auto"/>
            <w:vAlign w:val="center"/>
          </w:tcPr>
          <w:p w14:paraId="40B2C0CD"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theme="majorBidi"/>
                <w:bCs/>
                <w:sz w:val="20"/>
              </w:rPr>
              <w:t>93%</w:t>
            </w:r>
            <w:r w:rsidRPr="007C0D91">
              <w:rPr>
                <w:rFonts w:ascii="Arial Narrow" w:eastAsiaTheme="majorEastAsia" w:hAnsi="Arial Narrow" w:cstheme="majorBidi"/>
                <w:bCs/>
                <w:sz w:val="20"/>
                <w:vertAlign w:val="superscript"/>
              </w:rPr>
              <w:t>c</w:t>
            </w:r>
          </w:p>
        </w:tc>
        <w:tc>
          <w:tcPr>
            <w:tcW w:w="696" w:type="pct"/>
            <w:shd w:val="clear" w:color="auto" w:fill="auto"/>
            <w:vAlign w:val="center"/>
          </w:tcPr>
          <w:p w14:paraId="249B5FCD"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Calibri"/>
                <w:color w:val="000000"/>
                <w:sz w:val="20"/>
                <w:szCs w:val="20"/>
              </w:rPr>
              <w:t>93%</w:t>
            </w:r>
            <w:r w:rsidRPr="007C0D91">
              <w:rPr>
                <w:rFonts w:ascii="Arial Narrow" w:eastAsiaTheme="majorEastAsia" w:hAnsi="Arial Narrow" w:cs="Calibri"/>
                <w:color w:val="000000"/>
                <w:sz w:val="20"/>
                <w:szCs w:val="20"/>
                <w:vertAlign w:val="superscript"/>
              </w:rPr>
              <w:t>c</w:t>
            </w:r>
          </w:p>
        </w:tc>
        <w:tc>
          <w:tcPr>
            <w:tcW w:w="699" w:type="pct"/>
            <w:shd w:val="clear" w:color="auto" w:fill="auto"/>
            <w:vAlign w:val="center"/>
          </w:tcPr>
          <w:p w14:paraId="77B70174"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Calibri"/>
                <w:color w:val="000000"/>
                <w:sz w:val="20"/>
                <w:szCs w:val="20"/>
              </w:rPr>
              <w:t>93%</w:t>
            </w:r>
            <w:r w:rsidRPr="007C0D91">
              <w:rPr>
                <w:rFonts w:ascii="Arial Narrow" w:eastAsiaTheme="majorEastAsia" w:hAnsi="Arial Narrow" w:cs="Calibri"/>
                <w:color w:val="000000"/>
                <w:sz w:val="20"/>
                <w:szCs w:val="20"/>
                <w:vertAlign w:val="superscript"/>
              </w:rPr>
              <w:t>c</w:t>
            </w:r>
          </w:p>
        </w:tc>
        <w:tc>
          <w:tcPr>
            <w:tcW w:w="699" w:type="pct"/>
            <w:vAlign w:val="center"/>
          </w:tcPr>
          <w:p w14:paraId="42BFB202"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Calibri"/>
                <w:color w:val="000000"/>
                <w:sz w:val="20"/>
                <w:szCs w:val="20"/>
              </w:rPr>
              <w:t>93%</w:t>
            </w:r>
            <w:r w:rsidRPr="007C0D91">
              <w:rPr>
                <w:rFonts w:ascii="Arial Narrow" w:eastAsiaTheme="majorEastAsia" w:hAnsi="Arial Narrow" w:cs="Calibri"/>
                <w:color w:val="000000"/>
                <w:sz w:val="20"/>
                <w:szCs w:val="20"/>
                <w:vertAlign w:val="superscript"/>
              </w:rPr>
              <w:t>c</w:t>
            </w:r>
          </w:p>
        </w:tc>
      </w:tr>
      <w:tr w:rsidR="0071626A" w:rsidRPr="007C0D91" w14:paraId="1AD56590" w14:textId="77777777" w:rsidTr="00D43793">
        <w:trPr>
          <w:cantSplit/>
          <w:jc w:val="center"/>
        </w:trPr>
        <w:tc>
          <w:tcPr>
            <w:tcW w:w="815" w:type="pct"/>
            <w:shd w:val="clear" w:color="auto" w:fill="auto"/>
            <w:vAlign w:val="center"/>
          </w:tcPr>
          <w:p w14:paraId="1C5B004D" w14:textId="77777777" w:rsidR="0071626A" w:rsidRPr="007C0D91" w:rsidRDefault="0071626A" w:rsidP="00E02373">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Mean duration (28-day cycles)</w:t>
            </w:r>
          </w:p>
        </w:tc>
        <w:tc>
          <w:tcPr>
            <w:tcW w:w="697" w:type="pct"/>
            <w:shd w:val="clear" w:color="auto" w:fill="auto"/>
            <w:vAlign w:val="center"/>
          </w:tcPr>
          <w:p w14:paraId="6A275E1D"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Calibri"/>
                <w:color w:val="000000"/>
                <w:sz w:val="20"/>
                <w:szCs w:val="20"/>
              </w:rPr>
              <w:t>7.995 (median)</w:t>
            </w:r>
            <w:r w:rsidRPr="007C0D91">
              <w:rPr>
                <w:rFonts w:ascii="Arial Narrow" w:eastAsiaTheme="majorEastAsia" w:hAnsi="Arial Narrow" w:cs="Calibri"/>
                <w:color w:val="000000"/>
                <w:sz w:val="20"/>
                <w:szCs w:val="20"/>
                <w:vertAlign w:val="superscript"/>
              </w:rPr>
              <w:t>b</w:t>
            </w:r>
          </w:p>
        </w:tc>
        <w:tc>
          <w:tcPr>
            <w:tcW w:w="696" w:type="pct"/>
            <w:shd w:val="clear" w:color="auto" w:fill="auto"/>
            <w:vAlign w:val="center"/>
          </w:tcPr>
          <w:p w14:paraId="03527E11"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Calibri"/>
                <w:color w:val="000000"/>
                <w:sz w:val="20"/>
                <w:szCs w:val="20"/>
              </w:rPr>
              <w:t>13.34</w:t>
            </w:r>
            <w:r w:rsidRPr="007C0D91">
              <w:rPr>
                <w:rFonts w:ascii="Arial Narrow" w:eastAsiaTheme="majorEastAsia" w:hAnsi="Arial Narrow" w:cs="Calibri"/>
                <w:color w:val="000000"/>
                <w:sz w:val="20"/>
                <w:szCs w:val="20"/>
                <w:vertAlign w:val="superscript"/>
              </w:rPr>
              <w:t>d</w:t>
            </w:r>
          </w:p>
        </w:tc>
        <w:tc>
          <w:tcPr>
            <w:tcW w:w="698" w:type="pct"/>
            <w:shd w:val="clear" w:color="auto" w:fill="auto"/>
            <w:vAlign w:val="center"/>
          </w:tcPr>
          <w:p w14:paraId="0EBB0B80"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Calibri"/>
                <w:color w:val="000000"/>
                <w:sz w:val="20"/>
                <w:szCs w:val="20"/>
              </w:rPr>
              <w:t>12.79</w:t>
            </w:r>
            <w:r w:rsidRPr="007C0D91">
              <w:rPr>
                <w:rFonts w:ascii="Arial Narrow" w:eastAsiaTheme="majorEastAsia" w:hAnsi="Arial Narrow" w:cs="Calibri"/>
                <w:color w:val="000000"/>
                <w:sz w:val="20"/>
                <w:szCs w:val="20"/>
                <w:vertAlign w:val="superscript"/>
              </w:rPr>
              <w:t>e</w:t>
            </w:r>
          </w:p>
        </w:tc>
        <w:tc>
          <w:tcPr>
            <w:tcW w:w="696" w:type="pct"/>
            <w:shd w:val="clear" w:color="auto" w:fill="auto"/>
            <w:vAlign w:val="center"/>
          </w:tcPr>
          <w:p w14:paraId="38B4DF41"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Calibri"/>
                <w:color w:val="000000"/>
                <w:sz w:val="20"/>
                <w:szCs w:val="20"/>
              </w:rPr>
              <w:t>NR</w:t>
            </w:r>
          </w:p>
        </w:tc>
        <w:tc>
          <w:tcPr>
            <w:tcW w:w="699" w:type="pct"/>
            <w:shd w:val="clear" w:color="auto" w:fill="auto"/>
            <w:vAlign w:val="center"/>
          </w:tcPr>
          <w:p w14:paraId="0DE5A279"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Calibri"/>
                <w:color w:val="000000"/>
                <w:sz w:val="20"/>
                <w:szCs w:val="20"/>
              </w:rPr>
              <w:t>5.43</w:t>
            </w:r>
            <w:r w:rsidRPr="007C0D91">
              <w:rPr>
                <w:rFonts w:ascii="Arial Narrow" w:eastAsiaTheme="majorEastAsia" w:hAnsi="Arial Narrow" w:cs="Calibri"/>
                <w:color w:val="000000"/>
                <w:sz w:val="20"/>
                <w:szCs w:val="20"/>
                <w:vertAlign w:val="superscript"/>
              </w:rPr>
              <w:t>d</w:t>
            </w:r>
          </w:p>
        </w:tc>
        <w:tc>
          <w:tcPr>
            <w:tcW w:w="699" w:type="pct"/>
            <w:vAlign w:val="center"/>
          </w:tcPr>
          <w:p w14:paraId="3D96B7FA" w14:textId="77777777" w:rsidR="0071626A" w:rsidRPr="007C0D91" w:rsidRDefault="0071626A" w:rsidP="00E02373">
            <w:pPr>
              <w:keepNext/>
              <w:keepLines/>
              <w:jc w:val="center"/>
              <w:rPr>
                <w:rFonts w:ascii="Arial Narrow" w:eastAsiaTheme="majorEastAsia" w:hAnsi="Arial Narrow" w:cs="Calibri"/>
                <w:color w:val="000000"/>
                <w:sz w:val="20"/>
                <w:szCs w:val="20"/>
                <w:vertAlign w:val="superscript"/>
              </w:rPr>
            </w:pPr>
            <w:r w:rsidRPr="007C0D91">
              <w:rPr>
                <w:rFonts w:ascii="Arial Narrow" w:eastAsiaTheme="majorEastAsia" w:hAnsi="Arial Narrow" w:cs="Calibri"/>
                <w:color w:val="000000"/>
                <w:sz w:val="20"/>
                <w:szCs w:val="20"/>
              </w:rPr>
              <w:t>4.93</w:t>
            </w:r>
            <w:r w:rsidRPr="007C0D91">
              <w:rPr>
                <w:rFonts w:ascii="Arial Narrow" w:eastAsiaTheme="majorEastAsia" w:hAnsi="Arial Narrow" w:cs="Calibri"/>
                <w:color w:val="000000"/>
                <w:sz w:val="20"/>
                <w:szCs w:val="20"/>
                <w:vertAlign w:val="superscript"/>
              </w:rPr>
              <w:t>e</w:t>
            </w:r>
          </w:p>
          <w:p w14:paraId="5A1CB840" w14:textId="77777777" w:rsidR="0071626A" w:rsidRPr="007C0D91" w:rsidRDefault="0071626A" w:rsidP="00E02373">
            <w:pPr>
              <w:keepNext/>
              <w:keepLines/>
              <w:jc w:val="center"/>
              <w:rPr>
                <w:rFonts w:ascii="Arial Narrow" w:eastAsiaTheme="majorEastAsia" w:hAnsi="Arial Narrow" w:cstheme="majorBidi"/>
                <w:bCs/>
                <w:sz w:val="20"/>
                <w:vertAlign w:val="superscript"/>
              </w:rPr>
            </w:pPr>
            <w:r w:rsidRPr="007C0D91">
              <w:rPr>
                <w:rFonts w:ascii="Arial Narrow" w:eastAsiaTheme="majorEastAsia" w:hAnsi="Arial Narrow" w:cstheme="majorBidi"/>
                <w:bCs/>
                <w:sz w:val="20"/>
              </w:rPr>
              <w:t>(</w:t>
            </w:r>
            <w:proofErr w:type="gramStart"/>
            <w:r w:rsidRPr="007C0D91">
              <w:rPr>
                <w:rFonts w:ascii="Arial Narrow" w:eastAsiaTheme="majorEastAsia" w:hAnsi="Arial Narrow" w:cstheme="majorBidi"/>
                <w:bCs/>
                <w:sz w:val="20"/>
              </w:rPr>
              <w:t>4.84)</w:t>
            </w:r>
            <w:r w:rsidRPr="007C0D91">
              <w:rPr>
                <w:rFonts w:ascii="Arial Narrow" w:eastAsiaTheme="majorEastAsia" w:hAnsi="Arial Narrow" w:cstheme="majorBidi"/>
                <w:bCs/>
                <w:sz w:val="20"/>
                <w:vertAlign w:val="superscript"/>
              </w:rPr>
              <w:t>g</w:t>
            </w:r>
            <w:proofErr w:type="gramEnd"/>
          </w:p>
        </w:tc>
      </w:tr>
      <w:tr w:rsidR="0071626A" w:rsidRPr="007C0D91" w14:paraId="595F389A" w14:textId="77777777" w:rsidTr="00D43793">
        <w:trPr>
          <w:cantSplit/>
          <w:jc w:val="center"/>
        </w:trPr>
        <w:tc>
          <w:tcPr>
            <w:tcW w:w="815" w:type="pct"/>
            <w:shd w:val="clear" w:color="auto" w:fill="auto"/>
            <w:vAlign w:val="center"/>
          </w:tcPr>
          <w:p w14:paraId="07A617E3" w14:textId="77777777" w:rsidR="0071626A" w:rsidRPr="007C0D91" w:rsidRDefault="0071626A" w:rsidP="00E02373">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Cost/patient/cycle</w:t>
            </w:r>
          </w:p>
        </w:tc>
        <w:tc>
          <w:tcPr>
            <w:tcW w:w="697" w:type="pct"/>
            <w:shd w:val="clear" w:color="auto" w:fill="auto"/>
            <w:vAlign w:val="center"/>
          </w:tcPr>
          <w:p w14:paraId="09EF1963" w14:textId="2399CF44"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bCs/>
                <w:color w:val="000000"/>
                <w:sz w:val="20"/>
                <w:szCs w:val="20"/>
              </w:rPr>
              <w:t>$</w:t>
            </w:r>
            <w:r w:rsidR="00092A28" w:rsidRPr="00092A28">
              <w:rPr>
                <w:rFonts w:ascii="Arial Narrow" w:eastAsiaTheme="majorEastAsia" w:hAnsi="Arial Narrow" w:cs="Calibri"/>
                <w:bCs/>
                <w:color w:val="000000"/>
                <w:sz w:val="20"/>
                <w:szCs w:val="20"/>
                <w:shd w:val="solid" w:color="000000" w:fill="000000"/>
                <w14:textFill>
                  <w14:solidFill>
                    <w14:srgbClr w14:val="000000">
                      <w14:alpha w14:val="100000"/>
                    </w14:srgbClr>
                  </w14:solidFill>
                </w14:textFill>
              </w:rPr>
              <w:t>|</w:t>
            </w:r>
          </w:p>
        </w:tc>
        <w:tc>
          <w:tcPr>
            <w:tcW w:w="696" w:type="pct"/>
            <w:shd w:val="clear" w:color="auto" w:fill="auto"/>
            <w:vAlign w:val="center"/>
          </w:tcPr>
          <w:p w14:paraId="34ADAE1A" w14:textId="52F228A5"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bCs/>
                <w:color w:val="000000"/>
                <w:sz w:val="20"/>
                <w:szCs w:val="20"/>
              </w:rPr>
              <w:t>$</w:t>
            </w:r>
            <w:r w:rsidR="00092A28" w:rsidRPr="00092A28">
              <w:rPr>
                <w:rFonts w:ascii="Arial Narrow" w:eastAsiaTheme="majorEastAsia" w:hAnsi="Arial Narrow" w:cs="Calibri"/>
                <w:bCs/>
                <w:color w:val="000000"/>
                <w:sz w:val="20"/>
                <w:szCs w:val="20"/>
                <w:shd w:val="solid" w:color="000000" w:fill="000000"/>
                <w14:textFill>
                  <w14:solidFill>
                    <w14:srgbClr w14:val="000000">
                      <w14:alpha w14:val="100000"/>
                    </w14:srgbClr>
                  </w14:solidFill>
                </w14:textFill>
              </w:rPr>
              <w:t>|</w:t>
            </w:r>
          </w:p>
        </w:tc>
        <w:tc>
          <w:tcPr>
            <w:tcW w:w="698" w:type="pct"/>
            <w:shd w:val="clear" w:color="auto" w:fill="auto"/>
            <w:vAlign w:val="center"/>
          </w:tcPr>
          <w:p w14:paraId="05FCEBB3" w14:textId="359843A0"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bCs/>
                <w:color w:val="000000"/>
                <w:sz w:val="20"/>
                <w:szCs w:val="20"/>
              </w:rPr>
              <w:t>$</w:t>
            </w:r>
            <w:r w:rsidR="00092A28" w:rsidRPr="00092A28">
              <w:rPr>
                <w:rFonts w:ascii="Arial Narrow" w:eastAsiaTheme="majorEastAsia" w:hAnsi="Arial Narrow" w:cs="Calibri"/>
                <w:bCs/>
                <w:color w:val="000000"/>
                <w:sz w:val="20"/>
                <w:szCs w:val="20"/>
                <w:shd w:val="solid" w:color="000000" w:fill="000000"/>
                <w14:textFill>
                  <w14:solidFill>
                    <w14:srgbClr w14:val="000000">
                      <w14:alpha w14:val="100000"/>
                    </w14:srgbClr>
                  </w14:solidFill>
                </w14:textFill>
              </w:rPr>
              <w:t>|</w:t>
            </w:r>
          </w:p>
        </w:tc>
        <w:tc>
          <w:tcPr>
            <w:tcW w:w="696" w:type="pct"/>
            <w:shd w:val="clear" w:color="auto" w:fill="auto"/>
            <w:vAlign w:val="center"/>
          </w:tcPr>
          <w:p w14:paraId="52EAD3BF"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NA</w:t>
            </w:r>
          </w:p>
        </w:tc>
        <w:tc>
          <w:tcPr>
            <w:tcW w:w="699" w:type="pct"/>
            <w:shd w:val="clear" w:color="auto" w:fill="auto"/>
            <w:vAlign w:val="center"/>
          </w:tcPr>
          <w:p w14:paraId="15CA1630"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$364 </w:t>
            </w:r>
          </w:p>
          <w:p w14:paraId="04C1F413"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($327.</w:t>
            </w:r>
            <w:proofErr w:type="gramStart"/>
            <w:r w:rsidRPr="007C0D91">
              <w:rPr>
                <w:rFonts w:ascii="Arial Narrow" w:eastAsiaTheme="majorEastAsia" w:hAnsi="Arial Narrow" w:cstheme="majorBidi"/>
                <w:bCs/>
                <w:sz w:val="20"/>
              </w:rPr>
              <w:t>93)</w:t>
            </w:r>
            <w:r w:rsidRPr="007C0D91">
              <w:rPr>
                <w:rFonts w:ascii="Arial Narrow" w:eastAsiaTheme="majorEastAsia" w:hAnsi="Arial Narrow" w:cstheme="majorBidi"/>
                <w:bCs/>
                <w:sz w:val="20"/>
                <w:vertAlign w:val="superscript"/>
              </w:rPr>
              <w:t>f</w:t>
            </w:r>
            <w:proofErr w:type="gramEnd"/>
          </w:p>
        </w:tc>
        <w:tc>
          <w:tcPr>
            <w:tcW w:w="699" w:type="pct"/>
            <w:vAlign w:val="center"/>
          </w:tcPr>
          <w:p w14:paraId="1FBD3F11" w14:textId="77777777" w:rsidR="0071626A" w:rsidRPr="007C0D91" w:rsidRDefault="0071626A" w:rsidP="00E02373">
            <w:pPr>
              <w:keepNext/>
              <w:keepLines/>
              <w:jc w:val="center"/>
              <w:rPr>
                <w:rFonts w:ascii="Arial Narrow" w:eastAsiaTheme="majorEastAsia" w:hAnsi="Arial Narrow" w:cs="Calibri"/>
                <w:color w:val="000000"/>
                <w:sz w:val="20"/>
                <w:szCs w:val="20"/>
                <w:vertAlign w:val="superscript"/>
              </w:rPr>
            </w:pPr>
            <w:r w:rsidRPr="007C0D91">
              <w:rPr>
                <w:rFonts w:ascii="Arial Narrow" w:eastAsiaTheme="majorEastAsia" w:hAnsi="Arial Narrow" w:cs="Calibri"/>
                <w:color w:val="000000"/>
                <w:sz w:val="20"/>
                <w:szCs w:val="20"/>
              </w:rPr>
              <w:t>$178</w:t>
            </w:r>
            <w:r w:rsidRPr="007C0D91">
              <w:rPr>
                <w:rFonts w:ascii="Arial Narrow" w:eastAsiaTheme="majorEastAsia" w:hAnsi="Arial Narrow" w:cs="Calibri"/>
                <w:color w:val="000000"/>
                <w:sz w:val="20"/>
                <w:szCs w:val="20"/>
                <w:vertAlign w:val="superscript"/>
              </w:rPr>
              <w:t>h</w:t>
            </w:r>
          </w:p>
          <w:p w14:paraId="3A293190" w14:textId="77777777" w:rsidR="0071626A" w:rsidRPr="007C0D91" w:rsidRDefault="0071626A" w:rsidP="00E02373">
            <w:pPr>
              <w:keepNext/>
              <w:keepLines/>
              <w:jc w:val="center"/>
              <w:rPr>
                <w:rFonts w:ascii="Arial Narrow" w:eastAsiaTheme="majorEastAsia" w:hAnsi="Arial Narrow" w:cs="Calibri"/>
                <w:color w:val="000000"/>
                <w:sz w:val="20"/>
                <w:szCs w:val="20"/>
                <w:vertAlign w:val="superscript"/>
              </w:rPr>
            </w:pPr>
            <w:r w:rsidRPr="007C0D91">
              <w:rPr>
                <w:rFonts w:ascii="Arial Narrow" w:eastAsiaTheme="majorEastAsia" w:hAnsi="Arial Narrow" w:cstheme="majorBidi"/>
                <w:bCs/>
                <w:sz w:val="20"/>
              </w:rPr>
              <w:t>($350.</w:t>
            </w:r>
            <w:proofErr w:type="gramStart"/>
            <w:r w:rsidRPr="007C0D91">
              <w:rPr>
                <w:rFonts w:ascii="Arial Narrow" w:eastAsiaTheme="majorEastAsia" w:hAnsi="Arial Narrow" w:cstheme="majorBidi"/>
                <w:bCs/>
                <w:sz w:val="20"/>
              </w:rPr>
              <w:t>62)</w:t>
            </w:r>
            <w:r w:rsidRPr="007C0D91">
              <w:rPr>
                <w:rFonts w:ascii="Arial Narrow" w:eastAsiaTheme="majorEastAsia" w:hAnsi="Arial Narrow" w:cstheme="majorBidi"/>
                <w:bCs/>
                <w:sz w:val="20"/>
                <w:vertAlign w:val="superscript"/>
              </w:rPr>
              <w:t>h</w:t>
            </w:r>
            <w:proofErr w:type="gramEnd"/>
          </w:p>
        </w:tc>
      </w:tr>
      <w:tr w:rsidR="0071626A" w:rsidRPr="007C0D91" w14:paraId="3531A07F" w14:textId="77777777" w:rsidTr="00D43793">
        <w:trPr>
          <w:cantSplit/>
          <w:jc w:val="center"/>
        </w:trPr>
        <w:tc>
          <w:tcPr>
            <w:tcW w:w="815" w:type="pct"/>
            <w:shd w:val="clear" w:color="auto" w:fill="auto"/>
            <w:vAlign w:val="center"/>
          </w:tcPr>
          <w:p w14:paraId="350B5D3D" w14:textId="77777777" w:rsidR="0071626A" w:rsidRPr="007C0D91" w:rsidRDefault="0071626A" w:rsidP="00E02373">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Cost/patient/ /course</w:t>
            </w:r>
          </w:p>
        </w:tc>
        <w:tc>
          <w:tcPr>
            <w:tcW w:w="697" w:type="pct"/>
            <w:shd w:val="clear" w:color="auto" w:fill="auto"/>
            <w:vAlign w:val="center"/>
          </w:tcPr>
          <w:p w14:paraId="1004B937" w14:textId="1BE2510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bCs/>
                <w:color w:val="000000"/>
                <w:sz w:val="20"/>
                <w:szCs w:val="20"/>
              </w:rPr>
              <w:t>$</w:t>
            </w:r>
            <w:r w:rsidR="00092A28" w:rsidRPr="00092A28">
              <w:rPr>
                <w:rFonts w:ascii="Arial Narrow" w:eastAsiaTheme="majorEastAsia" w:hAnsi="Arial Narrow" w:cs="Calibri"/>
                <w:bCs/>
                <w:color w:val="000000"/>
                <w:sz w:val="20"/>
                <w:szCs w:val="20"/>
                <w:shd w:val="solid" w:color="000000" w:fill="000000"/>
                <w14:textFill>
                  <w14:solidFill>
                    <w14:srgbClr w14:val="000000">
                      <w14:alpha w14:val="100000"/>
                    </w14:srgbClr>
                  </w14:solidFill>
                </w14:textFill>
              </w:rPr>
              <w:t>|</w:t>
            </w:r>
          </w:p>
        </w:tc>
        <w:tc>
          <w:tcPr>
            <w:tcW w:w="696" w:type="pct"/>
            <w:shd w:val="clear" w:color="auto" w:fill="auto"/>
            <w:vAlign w:val="center"/>
          </w:tcPr>
          <w:p w14:paraId="20423478" w14:textId="3464116D"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bCs/>
                <w:color w:val="000000"/>
                <w:sz w:val="20"/>
                <w:szCs w:val="20"/>
              </w:rPr>
              <w:t>$</w:t>
            </w:r>
            <w:r w:rsidR="00092A28" w:rsidRPr="00092A28">
              <w:rPr>
                <w:rFonts w:ascii="Arial Narrow" w:eastAsiaTheme="majorEastAsia" w:hAnsi="Arial Narrow" w:cs="Calibri"/>
                <w:bCs/>
                <w:color w:val="000000"/>
                <w:sz w:val="20"/>
                <w:szCs w:val="20"/>
                <w:shd w:val="solid" w:color="000000" w:fill="000000"/>
                <w14:textFill>
                  <w14:solidFill>
                    <w14:srgbClr w14:val="000000">
                      <w14:alpha w14:val="100000"/>
                    </w14:srgbClr>
                  </w14:solidFill>
                </w14:textFill>
              </w:rPr>
              <w:t>|</w:t>
            </w:r>
          </w:p>
        </w:tc>
        <w:tc>
          <w:tcPr>
            <w:tcW w:w="698" w:type="pct"/>
            <w:shd w:val="clear" w:color="auto" w:fill="auto"/>
            <w:vAlign w:val="center"/>
          </w:tcPr>
          <w:p w14:paraId="26E3AFFE" w14:textId="6B913C8D"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Calibri"/>
                <w:bCs/>
                <w:color w:val="000000"/>
                <w:sz w:val="20"/>
                <w:szCs w:val="20"/>
              </w:rPr>
              <w:t>$</w:t>
            </w:r>
            <w:r w:rsidR="00092A28" w:rsidRPr="00092A28">
              <w:rPr>
                <w:rFonts w:ascii="Arial Narrow" w:eastAsiaTheme="majorEastAsia" w:hAnsi="Arial Narrow" w:cs="Calibri"/>
                <w:bCs/>
                <w:color w:val="000000"/>
                <w:sz w:val="20"/>
                <w:szCs w:val="20"/>
                <w:shd w:val="solid" w:color="000000" w:fill="000000"/>
                <w14:textFill>
                  <w14:solidFill>
                    <w14:srgbClr w14:val="000000">
                      <w14:alpha w14:val="100000"/>
                    </w14:srgbClr>
                  </w14:solidFill>
                </w14:textFill>
              </w:rPr>
              <w:t>|</w:t>
            </w:r>
          </w:p>
        </w:tc>
        <w:tc>
          <w:tcPr>
            <w:tcW w:w="696" w:type="pct"/>
            <w:shd w:val="clear" w:color="auto" w:fill="auto"/>
            <w:vAlign w:val="center"/>
          </w:tcPr>
          <w:p w14:paraId="07E3794B"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NA</w:t>
            </w:r>
          </w:p>
        </w:tc>
        <w:tc>
          <w:tcPr>
            <w:tcW w:w="699" w:type="pct"/>
            <w:shd w:val="clear" w:color="auto" w:fill="auto"/>
            <w:vAlign w:val="center"/>
          </w:tcPr>
          <w:p w14:paraId="3CB0F9CE"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$1,976</w:t>
            </w:r>
          </w:p>
          <w:p w14:paraId="6C6C1938" w14:textId="77777777" w:rsidR="0071626A" w:rsidRPr="007C0D91" w:rsidRDefault="0071626A" w:rsidP="00E02373">
            <w:pPr>
              <w:keepNext/>
              <w:keepLines/>
              <w:jc w:val="center"/>
              <w:rPr>
                <w:rFonts w:ascii="Arial Narrow" w:eastAsiaTheme="majorEastAsia" w:hAnsi="Arial Narrow" w:cstheme="majorBidi"/>
                <w:bCs/>
                <w:sz w:val="20"/>
              </w:rPr>
            </w:pPr>
            <w:r w:rsidRPr="007C0D91">
              <w:rPr>
                <w:rFonts w:ascii="Arial Narrow" w:eastAsiaTheme="majorEastAsia" w:hAnsi="Arial Narrow" w:cstheme="majorBidi"/>
                <w:bCs/>
                <w:sz w:val="20"/>
              </w:rPr>
              <w:t>($</w:t>
            </w:r>
            <w:proofErr w:type="gramStart"/>
            <w:r w:rsidRPr="007C0D91">
              <w:rPr>
                <w:rFonts w:ascii="Arial Narrow" w:eastAsiaTheme="majorEastAsia" w:hAnsi="Arial Narrow" w:cstheme="majorBidi"/>
                <w:bCs/>
                <w:sz w:val="20"/>
              </w:rPr>
              <w:t>1,780)</w:t>
            </w:r>
            <w:r w:rsidRPr="007C0D91">
              <w:rPr>
                <w:rFonts w:ascii="Arial Narrow" w:eastAsiaTheme="majorEastAsia" w:hAnsi="Arial Narrow" w:cstheme="majorBidi"/>
                <w:bCs/>
                <w:sz w:val="20"/>
                <w:vertAlign w:val="superscript"/>
              </w:rPr>
              <w:t>f</w:t>
            </w:r>
            <w:proofErr w:type="gramEnd"/>
          </w:p>
        </w:tc>
        <w:tc>
          <w:tcPr>
            <w:tcW w:w="699" w:type="pct"/>
            <w:vAlign w:val="center"/>
          </w:tcPr>
          <w:p w14:paraId="0A105AD4" w14:textId="77777777" w:rsidR="0071626A" w:rsidRPr="007C0D91" w:rsidRDefault="0071626A" w:rsidP="00E02373">
            <w:pPr>
              <w:keepNext/>
              <w:keepLines/>
              <w:jc w:val="center"/>
              <w:rPr>
                <w:rFonts w:ascii="Arial Narrow" w:eastAsiaTheme="majorEastAsia" w:hAnsi="Arial Narrow" w:cs="Calibri"/>
                <w:color w:val="000000"/>
                <w:sz w:val="20"/>
                <w:szCs w:val="20"/>
                <w:vertAlign w:val="superscript"/>
              </w:rPr>
            </w:pPr>
            <w:r w:rsidRPr="007C0D91">
              <w:rPr>
                <w:rFonts w:ascii="Arial Narrow" w:eastAsiaTheme="majorEastAsia" w:hAnsi="Arial Narrow" w:cs="Calibri"/>
                <w:color w:val="000000"/>
                <w:sz w:val="20"/>
                <w:szCs w:val="20"/>
              </w:rPr>
              <w:t>$786</w:t>
            </w:r>
            <w:r w:rsidRPr="007C0D91">
              <w:rPr>
                <w:rFonts w:ascii="Arial Narrow" w:eastAsiaTheme="majorEastAsia" w:hAnsi="Arial Narrow" w:cs="Calibri"/>
                <w:color w:val="000000"/>
                <w:sz w:val="20"/>
                <w:szCs w:val="20"/>
                <w:vertAlign w:val="superscript"/>
              </w:rPr>
              <w:t>i</w:t>
            </w:r>
          </w:p>
          <w:p w14:paraId="307936A2" w14:textId="77777777" w:rsidR="0071626A" w:rsidRPr="007C0D91" w:rsidRDefault="0071626A" w:rsidP="00E02373">
            <w:pPr>
              <w:keepNext/>
              <w:keepLines/>
              <w:jc w:val="center"/>
              <w:rPr>
                <w:rFonts w:ascii="Arial Narrow" w:eastAsiaTheme="majorEastAsia" w:hAnsi="Arial Narrow" w:cs="Calibri"/>
                <w:color w:val="000000"/>
                <w:sz w:val="20"/>
                <w:szCs w:val="20"/>
                <w:vertAlign w:val="superscript"/>
              </w:rPr>
            </w:pPr>
            <w:r w:rsidRPr="007C0D91">
              <w:rPr>
                <w:rFonts w:ascii="Arial Narrow" w:eastAsiaTheme="majorEastAsia" w:hAnsi="Arial Narrow" w:cs="Calibri"/>
                <w:color w:val="000000"/>
                <w:sz w:val="20"/>
                <w:szCs w:val="20"/>
              </w:rPr>
              <w:t>($</w:t>
            </w:r>
            <w:proofErr w:type="gramStart"/>
            <w:r w:rsidRPr="007C0D91">
              <w:rPr>
                <w:rFonts w:ascii="Arial Narrow" w:eastAsiaTheme="majorEastAsia" w:hAnsi="Arial Narrow" w:cs="Calibri"/>
                <w:color w:val="000000"/>
                <w:sz w:val="20"/>
                <w:szCs w:val="20"/>
              </w:rPr>
              <w:t>1,697)</w:t>
            </w:r>
            <w:r w:rsidRPr="007C0D91">
              <w:rPr>
                <w:rFonts w:ascii="Arial Narrow" w:eastAsiaTheme="majorEastAsia" w:hAnsi="Arial Narrow" w:cs="Calibri"/>
                <w:color w:val="000000"/>
                <w:sz w:val="20"/>
                <w:szCs w:val="20"/>
                <w:vertAlign w:val="superscript"/>
              </w:rPr>
              <w:t>j</w:t>
            </w:r>
            <w:proofErr w:type="gramEnd"/>
          </w:p>
        </w:tc>
      </w:tr>
    </w:tbl>
    <w:p w14:paraId="4BE6F217"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rPr>
        <w:t>Source: Compiled based on ‘Section 3 CE Model Workbook – Takeda Australia – Mobocertinib – Resubmission – March 2023’’ and ‘Section 4 UCM Workbook – Takeda – Australia – Mobocertinib – Resubmission – March 2023’.xlsx’</w:t>
      </w:r>
    </w:p>
    <w:p w14:paraId="75E240E8"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rPr>
        <w:t xml:space="preserve">NR=not reported in the submission, NA = not available </w:t>
      </w:r>
    </w:p>
    <w:p w14:paraId="03E0FB59"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 xml:space="preserve">a </w:t>
      </w:r>
      <w:r w:rsidRPr="007C0D91">
        <w:rPr>
          <w:rFonts w:ascii="Arial Narrow" w:hAnsi="Arial Narrow"/>
          <w:snapToGrid w:val="0"/>
          <w:sz w:val="18"/>
          <w:szCs w:val="22"/>
        </w:rPr>
        <w:t>Mean relative dose intensity in the pooled prior platinum cohort in Study 101 (N=114), sourced from Section 4.3.1 of ‘2.3 AP32788-15-101 CSR Addendum 2’</w:t>
      </w:r>
    </w:p>
    <w:p w14:paraId="69172A92"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 xml:space="preserve">b </w:t>
      </w:r>
      <w:proofErr w:type="gramStart"/>
      <w:r w:rsidRPr="007C0D91">
        <w:rPr>
          <w:rFonts w:ascii="Arial Narrow" w:hAnsi="Arial Narrow"/>
          <w:snapToGrid w:val="0"/>
          <w:sz w:val="18"/>
          <w:szCs w:val="22"/>
        </w:rPr>
        <w:t>The</w:t>
      </w:r>
      <w:proofErr w:type="gramEnd"/>
      <w:r w:rsidRPr="007C0D91">
        <w:rPr>
          <w:rFonts w:ascii="Arial Narrow" w:hAnsi="Arial Narrow"/>
          <w:snapToGrid w:val="0"/>
          <w:sz w:val="18"/>
          <w:szCs w:val="22"/>
        </w:rPr>
        <w:t xml:space="preserve"> submission provided median duration (7.8 months) only. Sourced from Section 4.3.1 of ‘2.3 AP32788-15-101 CSR Addendum 2’</w:t>
      </w:r>
    </w:p>
    <w:p w14:paraId="38C90772"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 xml:space="preserve">c </w:t>
      </w:r>
      <w:proofErr w:type="gramStart"/>
      <w:r w:rsidRPr="007C0D91">
        <w:rPr>
          <w:rFonts w:ascii="Arial Narrow" w:hAnsi="Arial Narrow"/>
          <w:snapToGrid w:val="0"/>
          <w:sz w:val="18"/>
          <w:szCs w:val="22"/>
        </w:rPr>
        <w:t>The</w:t>
      </w:r>
      <w:proofErr w:type="gramEnd"/>
      <w:r w:rsidRPr="007C0D91">
        <w:rPr>
          <w:rFonts w:ascii="Arial Narrow" w:hAnsi="Arial Narrow"/>
          <w:snapToGrid w:val="0"/>
          <w:sz w:val="18"/>
          <w:szCs w:val="22"/>
        </w:rPr>
        <w:t xml:space="preserve"> economic evaluation and the financial analysis used the mean relative dose intensity for mobocertinib in Part 3 of Study 101 (N=96). The submission assumed the same relative dose intensity for the comparator treatments.</w:t>
      </w:r>
    </w:p>
    <w:p w14:paraId="132F632E"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 xml:space="preserve">d </w:t>
      </w:r>
      <w:r w:rsidRPr="007C0D91">
        <w:rPr>
          <w:rFonts w:ascii="Arial Narrow" w:hAnsi="Arial Narrow"/>
          <w:snapToGrid w:val="0"/>
          <w:sz w:val="18"/>
          <w:szCs w:val="22"/>
        </w:rPr>
        <w:t xml:space="preserve">Sourced from ‘Section 3 CE Model Workbook – Takeda Australia – </w:t>
      </w:r>
      <w:proofErr w:type="gramStart"/>
      <w:r w:rsidRPr="007C0D91">
        <w:rPr>
          <w:rFonts w:ascii="Arial Narrow" w:hAnsi="Arial Narrow"/>
          <w:snapToGrid w:val="0"/>
          <w:sz w:val="18"/>
          <w:szCs w:val="22"/>
        </w:rPr>
        <w:t>Mobocertinib’</w:t>
      </w:r>
      <w:proofErr w:type="gramEnd"/>
    </w:p>
    <w:p w14:paraId="1BFC891F"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 xml:space="preserve">e </w:t>
      </w:r>
      <w:r w:rsidRPr="007C0D91">
        <w:rPr>
          <w:rFonts w:ascii="Arial Narrow" w:hAnsi="Arial Narrow"/>
          <w:snapToGrid w:val="0"/>
          <w:sz w:val="18"/>
          <w:szCs w:val="22"/>
        </w:rPr>
        <w:t>Sourced from ‘Section 4 UCM Workbook – Takeda – Australia – Mobocertinib.xlsx’</w:t>
      </w:r>
    </w:p>
    <w:p w14:paraId="42252096" w14:textId="77777777" w:rsidR="0071626A" w:rsidRPr="007C0D91" w:rsidRDefault="0071626A" w:rsidP="00E02373">
      <w:pPr>
        <w:keepNext/>
        <w:keepLines/>
        <w:spacing w:after="120"/>
        <w:contextualSpacing/>
        <w:rPr>
          <w:rFonts w:ascii="Arial Narrow" w:hAnsi="Arial Narrow"/>
          <w:sz w:val="18"/>
        </w:rPr>
      </w:pPr>
      <w:r w:rsidRPr="007C0D91">
        <w:rPr>
          <w:rFonts w:ascii="Arial Narrow" w:hAnsi="Arial Narrow"/>
          <w:sz w:val="18"/>
          <w:vertAlign w:val="superscript"/>
        </w:rPr>
        <w:t xml:space="preserve">f </w:t>
      </w:r>
      <w:r w:rsidRPr="007C0D91">
        <w:rPr>
          <w:rFonts w:ascii="Arial Narrow" w:hAnsi="Arial Narrow"/>
          <w:sz w:val="18"/>
        </w:rPr>
        <w:t>After correcting for dosage and duration of Paclitaxel</w:t>
      </w:r>
    </w:p>
    <w:p w14:paraId="255FE86B"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 xml:space="preserve">g </w:t>
      </w:r>
      <w:r w:rsidRPr="007C0D91">
        <w:rPr>
          <w:rFonts w:ascii="Arial Narrow" w:hAnsi="Arial Narrow"/>
          <w:snapToGrid w:val="0"/>
          <w:sz w:val="18"/>
          <w:szCs w:val="22"/>
        </w:rPr>
        <w:t>Based on chemotherapy only TTD from studies 5002 and 5008</w:t>
      </w:r>
    </w:p>
    <w:p w14:paraId="6B64271C" w14:textId="77777777" w:rsidR="0071626A" w:rsidRPr="007C0D91" w:rsidRDefault="0071626A" w:rsidP="00E02373">
      <w:pPr>
        <w:keepNext/>
        <w:keepLines/>
        <w:spacing w:after="120"/>
        <w:contextualSpacing/>
        <w:rPr>
          <w:rFonts w:ascii="Arial Narrow" w:hAnsi="Arial Narrow"/>
          <w:snapToGrid w:val="0"/>
          <w:sz w:val="18"/>
          <w:szCs w:val="22"/>
          <w:vertAlign w:val="superscript"/>
        </w:rPr>
      </w:pPr>
      <w:r w:rsidRPr="007C0D91">
        <w:rPr>
          <w:rFonts w:ascii="Arial Narrow" w:hAnsi="Arial Narrow"/>
          <w:snapToGrid w:val="0"/>
          <w:sz w:val="18"/>
          <w:szCs w:val="22"/>
          <w:vertAlign w:val="superscript"/>
        </w:rPr>
        <w:t xml:space="preserve">h </w:t>
      </w:r>
      <w:r w:rsidRPr="007C0D91">
        <w:rPr>
          <w:rFonts w:ascii="Arial Narrow" w:hAnsi="Arial Narrow"/>
          <w:snapToGrid w:val="0"/>
          <w:sz w:val="18"/>
          <w:szCs w:val="22"/>
        </w:rPr>
        <w:t>Calculated by dividing cost/patient/course with mean duration.</w:t>
      </w:r>
    </w:p>
    <w:p w14:paraId="7C3D5FFE" w14:textId="77777777" w:rsidR="0071626A" w:rsidRPr="007C0D91" w:rsidRDefault="0071626A" w:rsidP="00E02373">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 xml:space="preserve">i </w:t>
      </w:r>
      <w:r w:rsidRPr="007C0D91">
        <w:rPr>
          <w:rFonts w:ascii="Arial Narrow" w:hAnsi="Arial Narrow"/>
          <w:snapToGrid w:val="0"/>
          <w:sz w:val="18"/>
          <w:szCs w:val="22"/>
        </w:rPr>
        <w:t>Calculated by changing number of patients on treatment in one of the years to ‘1’ and other years to ‘0’.</w:t>
      </w:r>
    </w:p>
    <w:p w14:paraId="5998992B" w14:textId="4EA08300" w:rsidR="0071626A" w:rsidRPr="007C0D91" w:rsidRDefault="0071626A" w:rsidP="00E02373">
      <w:pPr>
        <w:keepLines/>
        <w:spacing w:after="120"/>
        <w:rPr>
          <w:rFonts w:ascii="Arial Narrow" w:hAnsi="Arial Narrow"/>
          <w:snapToGrid w:val="0"/>
          <w:sz w:val="18"/>
          <w:szCs w:val="22"/>
        </w:rPr>
      </w:pPr>
      <w:r w:rsidRPr="007C0D91">
        <w:rPr>
          <w:rFonts w:ascii="Arial Narrow" w:hAnsi="Arial Narrow"/>
          <w:snapToGrid w:val="0"/>
          <w:sz w:val="18"/>
          <w:szCs w:val="22"/>
          <w:vertAlign w:val="superscript"/>
        </w:rPr>
        <w:t xml:space="preserve">j </w:t>
      </w:r>
      <w:r w:rsidRPr="007C0D91">
        <w:rPr>
          <w:rFonts w:ascii="Arial Narrow" w:hAnsi="Arial Narrow"/>
          <w:snapToGrid w:val="0"/>
          <w:sz w:val="18"/>
          <w:szCs w:val="22"/>
        </w:rPr>
        <w:t>Revised result after correcting the resubmission’s errors in referencing adjusting for distribution of individual drugs and duration of treatments</w:t>
      </w:r>
      <w:r w:rsidR="007C0D91">
        <w:rPr>
          <w:rFonts w:ascii="Arial Narrow" w:hAnsi="Arial Narrow"/>
          <w:snapToGrid w:val="0"/>
          <w:sz w:val="18"/>
          <w:szCs w:val="22"/>
        </w:rPr>
        <w:t xml:space="preserve">. </w:t>
      </w:r>
    </w:p>
    <w:p w14:paraId="7A71B939" w14:textId="77777777" w:rsidR="0071626A" w:rsidRPr="007C0D91" w:rsidRDefault="0071626A" w:rsidP="0071626A">
      <w:pPr>
        <w:pStyle w:val="4-SubsectionHeading"/>
      </w:pPr>
      <w:bookmarkStart w:id="84" w:name="_Toc22897647"/>
      <w:bookmarkStart w:id="85" w:name="_Toc107927633"/>
      <w:bookmarkStart w:id="86" w:name="_Toc135210120"/>
      <w:r w:rsidRPr="007C0D91">
        <w:t xml:space="preserve">Estimated PBS usage &amp; financial </w:t>
      </w:r>
      <w:proofErr w:type="gramStart"/>
      <w:r w:rsidRPr="007C0D91">
        <w:t>implications</w:t>
      </w:r>
      <w:bookmarkEnd w:id="84"/>
      <w:bookmarkEnd w:id="85"/>
      <w:bookmarkEnd w:id="86"/>
      <w:proofErr w:type="gramEnd"/>
    </w:p>
    <w:p w14:paraId="77DBA648" w14:textId="0D8673FF" w:rsidR="0071626A" w:rsidRPr="007C0D91" w:rsidRDefault="0071626A" w:rsidP="0071626A">
      <w:pPr>
        <w:numPr>
          <w:ilvl w:val="1"/>
          <w:numId w:val="1"/>
        </w:numPr>
        <w:spacing w:after="120"/>
        <w:rPr>
          <w:rFonts w:asciiTheme="minorHAnsi" w:hAnsiTheme="minorHAnsi"/>
          <w:snapToGrid w:val="0"/>
          <w:color w:val="0066FF"/>
        </w:rPr>
      </w:pPr>
      <w:r w:rsidRPr="007C0D91">
        <w:rPr>
          <w:rFonts w:asciiTheme="minorHAnsi" w:hAnsiTheme="minorHAnsi"/>
          <w:snapToGrid w:val="0"/>
        </w:rPr>
        <w:t>This submission w</w:t>
      </w:r>
      <w:r w:rsidR="00D50E8E" w:rsidRPr="007C0D91">
        <w:rPr>
          <w:rFonts w:asciiTheme="minorHAnsi" w:hAnsiTheme="minorHAnsi"/>
          <w:snapToGrid w:val="0"/>
        </w:rPr>
        <w:t xml:space="preserve">as </w:t>
      </w:r>
      <w:r w:rsidRPr="007C0D91">
        <w:rPr>
          <w:rFonts w:asciiTheme="minorHAnsi" w:hAnsiTheme="minorHAnsi"/>
          <w:snapToGrid w:val="0"/>
        </w:rPr>
        <w:t>not considered by DUSC</w:t>
      </w:r>
      <w:r w:rsidRPr="007C0D91">
        <w:rPr>
          <w:rFonts w:asciiTheme="minorHAnsi" w:hAnsiTheme="minorHAnsi"/>
          <w:snapToGrid w:val="0"/>
          <w:color w:val="000000" w:themeColor="text1"/>
        </w:rPr>
        <w:t xml:space="preserve">. </w:t>
      </w:r>
    </w:p>
    <w:p w14:paraId="40870B9F" w14:textId="2C9DBAE3" w:rsidR="0071626A" w:rsidRPr="007C0D91" w:rsidRDefault="0071626A" w:rsidP="0071626A">
      <w:pPr>
        <w:numPr>
          <w:ilvl w:val="1"/>
          <w:numId w:val="1"/>
        </w:numPr>
        <w:spacing w:after="120"/>
        <w:rPr>
          <w:rFonts w:asciiTheme="minorHAnsi" w:hAnsiTheme="minorHAnsi"/>
          <w:iCs/>
          <w:snapToGrid w:val="0"/>
        </w:rPr>
      </w:pPr>
      <w:r w:rsidRPr="007C0D91">
        <w:rPr>
          <w:rFonts w:asciiTheme="minorHAnsi" w:hAnsiTheme="minorHAnsi"/>
          <w:snapToGrid w:val="0"/>
        </w:rPr>
        <w:t xml:space="preserve">The submission used an epidemiological approach to estimate the number of patients eligible for treatment with mobocertinib. A summary of the data sources and parameter values used to estimate the utilisation and financial implications associated with the listing of mobocertinib is provided in the </w:t>
      </w:r>
      <w:r w:rsidRPr="007C0D91">
        <w:rPr>
          <w:rFonts w:asciiTheme="minorHAnsi" w:hAnsiTheme="minorHAnsi"/>
          <w:snapToGrid w:val="0"/>
        </w:rPr>
        <w:fldChar w:fldCharType="begin"/>
      </w:r>
      <w:r w:rsidRPr="007C0D91">
        <w:rPr>
          <w:rFonts w:asciiTheme="minorHAnsi" w:hAnsiTheme="minorHAnsi"/>
          <w:snapToGrid w:val="0"/>
        </w:rPr>
        <w:instrText xml:space="preserve"> REF _Ref104805262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117491">
        <w:rPr>
          <w:rFonts w:asciiTheme="minorHAnsi" w:hAnsiTheme="minorHAnsi"/>
          <w:snapToGrid w:val="0"/>
        </w:rPr>
        <w:t>Table 14</w:t>
      </w:r>
      <w:r w:rsidRPr="007C0D91">
        <w:rPr>
          <w:rFonts w:asciiTheme="minorHAnsi" w:hAnsiTheme="minorHAnsi"/>
          <w:snapToGrid w:val="0"/>
        </w:rPr>
        <w:fldChar w:fldCharType="end"/>
      </w:r>
      <w:r w:rsidRPr="007C0D91">
        <w:rPr>
          <w:rFonts w:asciiTheme="minorHAnsi" w:hAnsiTheme="minorHAnsi"/>
          <w:snapToGrid w:val="0"/>
        </w:rPr>
        <w:t>.</w:t>
      </w:r>
      <w:r w:rsidRPr="007C0D91">
        <w:rPr>
          <w:rFonts w:asciiTheme="minorHAnsi" w:hAnsiTheme="minorHAnsi"/>
          <w:snapToGrid w:val="0"/>
          <w:color w:val="0066FF"/>
        </w:rPr>
        <w:t xml:space="preserve"> </w:t>
      </w:r>
      <w:r w:rsidRPr="007C0D91">
        <w:rPr>
          <w:rFonts w:asciiTheme="minorHAnsi" w:hAnsiTheme="minorHAnsi"/>
          <w:iCs/>
          <w:snapToGrid w:val="0"/>
        </w:rPr>
        <w:t xml:space="preserve">In its </w:t>
      </w:r>
      <w:r w:rsidR="00E02373" w:rsidRPr="007C0D91">
        <w:rPr>
          <w:rFonts w:asciiTheme="minorHAnsi" w:hAnsiTheme="minorHAnsi"/>
          <w:iCs/>
          <w:snapToGrid w:val="0"/>
        </w:rPr>
        <w:t>November</w:t>
      </w:r>
      <w:r w:rsidR="00E02373">
        <w:rPr>
          <w:rFonts w:asciiTheme="minorHAnsi" w:hAnsiTheme="minorHAnsi"/>
          <w:iCs/>
          <w:snapToGrid w:val="0"/>
        </w:rPr>
        <w:t> </w:t>
      </w:r>
      <w:r w:rsidRPr="007C0D91">
        <w:rPr>
          <w:rFonts w:asciiTheme="minorHAnsi" w:hAnsiTheme="minorHAnsi"/>
          <w:iCs/>
          <w:snapToGrid w:val="0"/>
        </w:rPr>
        <w:t xml:space="preserve">2022 meeting, the PBAC considered that a resubmission for mobocertinib </w:t>
      </w:r>
      <w:r w:rsidR="00B91F8F" w:rsidRPr="007C0D91">
        <w:rPr>
          <w:rFonts w:asciiTheme="minorHAnsi" w:hAnsiTheme="minorHAnsi"/>
          <w:iCs/>
          <w:snapToGrid w:val="0"/>
        </w:rPr>
        <w:t>sh</w:t>
      </w:r>
      <w:r w:rsidRPr="007C0D91">
        <w:rPr>
          <w:rFonts w:asciiTheme="minorHAnsi" w:hAnsiTheme="minorHAnsi"/>
          <w:iCs/>
          <w:snapToGrid w:val="0"/>
        </w:rPr>
        <w:t xml:space="preserve">ould present revised financial estimates consistent with DUSC advice for:  </w:t>
      </w:r>
    </w:p>
    <w:p w14:paraId="7AC72790" w14:textId="77777777" w:rsidR="0071626A" w:rsidRPr="007C0D91" w:rsidRDefault="0071626A" w:rsidP="001733ED">
      <w:pPr>
        <w:numPr>
          <w:ilvl w:val="0"/>
          <w:numId w:val="11"/>
        </w:numPr>
        <w:spacing w:after="120"/>
        <w:rPr>
          <w:rFonts w:asciiTheme="minorHAnsi" w:hAnsiTheme="minorHAnsi"/>
          <w:iCs/>
          <w:snapToGrid w:val="0"/>
        </w:rPr>
      </w:pPr>
      <w:r w:rsidRPr="007C0D91">
        <w:rPr>
          <w:rFonts w:asciiTheme="minorHAnsi" w:hAnsiTheme="minorHAnsi"/>
          <w:iCs/>
          <w:snapToGrid w:val="0"/>
        </w:rPr>
        <w:t>the proportion of patients with Stage IIIB/IV NSCLC</w:t>
      </w:r>
    </w:p>
    <w:p w14:paraId="4545BCD1" w14:textId="2B90F509" w:rsidR="0071626A" w:rsidRPr="007C0D91" w:rsidRDefault="0071626A" w:rsidP="001733ED">
      <w:pPr>
        <w:numPr>
          <w:ilvl w:val="0"/>
          <w:numId w:val="11"/>
        </w:numPr>
        <w:spacing w:after="120"/>
        <w:rPr>
          <w:rFonts w:asciiTheme="minorHAnsi" w:hAnsiTheme="minorHAnsi"/>
          <w:iCs/>
          <w:snapToGrid w:val="0"/>
        </w:rPr>
      </w:pPr>
      <w:r w:rsidRPr="007C0D91">
        <w:rPr>
          <w:rFonts w:asciiTheme="minorHAnsi" w:hAnsiTheme="minorHAnsi"/>
          <w:iCs/>
          <w:snapToGrid w:val="0"/>
        </w:rPr>
        <w:t xml:space="preserve">the prevalence of </w:t>
      </w:r>
      <w:r w:rsidR="00FB0DBF" w:rsidRPr="00FB0DBF">
        <w:rPr>
          <w:rFonts w:asciiTheme="minorHAnsi" w:hAnsiTheme="minorHAnsi"/>
          <w:i/>
          <w:iCs/>
          <w:snapToGrid w:val="0"/>
        </w:rPr>
        <w:t>EGFR</w:t>
      </w:r>
      <w:r w:rsidRPr="007C0D91">
        <w:rPr>
          <w:rFonts w:asciiTheme="minorHAnsi" w:hAnsiTheme="minorHAnsi"/>
          <w:iCs/>
          <w:snapToGrid w:val="0"/>
        </w:rPr>
        <w:t xml:space="preserve"> ex20ins</w:t>
      </w:r>
    </w:p>
    <w:p w14:paraId="1F69815C" w14:textId="38ADF4F6" w:rsidR="0071626A" w:rsidRPr="007C0D91" w:rsidRDefault="0071626A" w:rsidP="001733ED">
      <w:pPr>
        <w:numPr>
          <w:ilvl w:val="0"/>
          <w:numId w:val="11"/>
        </w:numPr>
        <w:spacing w:after="120"/>
        <w:rPr>
          <w:rFonts w:asciiTheme="minorHAnsi" w:hAnsiTheme="minorHAnsi"/>
          <w:iCs/>
          <w:snapToGrid w:val="0"/>
        </w:rPr>
      </w:pPr>
      <w:r w:rsidRPr="007C0D91">
        <w:rPr>
          <w:rFonts w:asciiTheme="minorHAnsi" w:hAnsiTheme="minorHAnsi"/>
          <w:iCs/>
          <w:snapToGrid w:val="0"/>
        </w:rPr>
        <w:t xml:space="preserve">the number of prevalent patients (para 6.81, Mobocertinib PSD, </w:t>
      </w:r>
      <w:r w:rsidR="00E02373" w:rsidRPr="007C0D91">
        <w:rPr>
          <w:rFonts w:asciiTheme="minorHAnsi" w:hAnsiTheme="minorHAnsi"/>
          <w:iCs/>
          <w:snapToGrid w:val="0"/>
        </w:rPr>
        <w:t>November</w:t>
      </w:r>
      <w:r w:rsidR="00E02373">
        <w:rPr>
          <w:rFonts w:asciiTheme="minorHAnsi" w:hAnsiTheme="minorHAnsi"/>
          <w:iCs/>
          <w:snapToGrid w:val="0"/>
        </w:rPr>
        <w:t> </w:t>
      </w:r>
      <w:r w:rsidRPr="007C0D91">
        <w:rPr>
          <w:rFonts w:asciiTheme="minorHAnsi" w:hAnsiTheme="minorHAnsi"/>
          <w:iCs/>
          <w:snapToGrid w:val="0"/>
        </w:rPr>
        <w:t>2022 PBAC meeting).</w:t>
      </w:r>
    </w:p>
    <w:p w14:paraId="2D945B53" w14:textId="5995ED44" w:rsidR="0071626A" w:rsidRPr="007C0D91" w:rsidRDefault="0071626A" w:rsidP="0071626A">
      <w:pPr>
        <w:spacing w:after="120"/>
        <w:ind w:left="720"/>
        <w:rPr>
          <w:rFonts w:asciiTheme="minorHAnsi" w:hAnsiTheme="minorHAnsi"/>
          <w:iCs/>
          <w:snapToGrid w:val="0"/>
        </w:rPr>
      </w:pPr>
      <w:r w:rsidRPr="007C0D91">
        <w:rPr>
          <w:rFonts w:asciiTheme="minorHAnsi" w:hAnsiTheme="minorHAnsi"/>
          <w:iCs/>
          <w:snapToGrid w:val="0"/>
        </w:rPr>
        <w:t>In addition to this</w:t>
      </w:r>
      <w:r w:rsidR="007C0D91">
        <w:rPr>
          <w:rFonts w:asciiTheme="minorHAnsi" w:hAnsiTheme="minorHAnsi"/>
          <w:iCs/>
          <w:snapToGrid w:val="0"/>
        </w:rPr>
        <w:t>,</w:t>
      </w:r>
      <w:r w:rsidRPr="007C0D91">
        <w:rPr>
          <w:rFonts w:asciiTheme="minorHAnsi" w:hAnsiTheme="minorHAnsi"/>
          <w:iCs/>
          <w:snapToGrid w:val="0"/>
        </w:rPr>
        <w:t xml:space="preserve"> </w:t>
      </w:r>
      <w:r w:rsidR="00AD4B73" w:rsidRPr="007C0D91">
        <w:rPr>
          <w:rFonts w:asciiTheme="minorHAnsi" w:hAnsiTheme="minorHAnsi"/>
          <w:iCs/>
          <w:snapToGrid w:val="0"/>
        </w:rPr>
        <w:t xml:space="preserve">in November 2022 the </w:t>
      </w:r>
      <w:r w:rsidRPr="007C0D91">
        <w:rPr>
          <w:rFonts w:asciiTheme="minorHAnsi" w:hAnsiTheme="minorHAnsi"/>
          <w:iCs/>
          <w:snapToGrid w:val="0"/>
        </w:rPr>
        <w:t>PBAC noted the estimated cost offsets to PBS/RPBS are likely to have been overestimated (paragraph 6.82, Mobocertinib PSD, November 2022 PBAC meeting) and the</w:t>
      </w:r>
      <w:r w:rsidRPr="007C0D91">
        <w:rPr>
          <w:iCs/>
        </w:rPr>
        <w:t xml:space="preserve"> revised financial estimates should exclude </w:t>
      </w:r>
      <w:r w:rsidRPr="007C0D91">
        <w:rPr>
          <w:bCs/>
          <w:iCs/>
        </w:rPr>
        <w:t xml:space="preserve">the use of </w:t>
      </w:r>
      <w:r w:rsidR="00FB0DBF" w:rsidRPr="00FB0DBF">
        <w:rPr>
          <w:bCs/>
          <w:i/>
          <w:iCs/>
        </w:rPr>
        <w:t>EGFR</w:t>
      </w:r>
      <w:r w:rsidRPr="007C0D91">
        <w:rPr>
          <w:bCs/>
          <w:iCs/>
        </w:rPr>
        <w:t xml:space="preserve"> TKIs and ICI monotherapy</w:t>
      </w:r>
      <w:r w:rsidRPr="007C0D91">
        <w:rPr>
          <w:rFonts w:asciiTheme="minorHAnsi" w:hAnsiTheme="minorHAnsi"/>
          <w:iCs/>
          <w:snapToGrid w:val="0"/>
        </w:rPr>
        <w:t>.</w:t>
      </w:r>
    </w:p>
    <w:p w14:paraId="2F803BC5" w14:textId="78E75147" w:rsidR="0071626A" w:rsidRPr="007C0D91" w:rsidRDefault="0071626A" w:rsidP="0071626A">
      <w:pPr>
        <w:numPr>
          <w:ilvl w:val="1"/>
          <w:numId w:val="1"/>
        </w:numPr>
        <w:spacing w:after="120"/>
        <w:rPr>
          <w:rFonts w:asciiTheme="minorHAnsi" w:hAnsiTheme="minorHAnsi"/>
          <w:iCs/>
          <w:snapToGrid w:val="0"/>
        </w:rPr>
      </w:pPr>
      <w:r w:rsidRPr="007C0D91">
        <w:rPr>
          <w:rFonts w:asciiTheme="minorHAnsi" w:hAnsiTheme="minorHAnsi"/>
          <w:iCs/>
          <w:snapToGrid w:val="0"/>
        </w:rPr>
        <w:t xml:space="preserve">The resubmission addressed these concerns and reviewed the inputs which </w:t>
      </w:r>
      <w:r w:rsidR="008A2801" w:rsidRPr="007C0D91">
        <w:rPr>
          <w:rFonts w:asciiTheme="minorHAnsi" w:hAnsiTheme="minorHAnsi"/>
          <w:iCs/>
          <w:snapToGrid w:val="0"/>
        </w:rPr>
        <w:t xml:space="preserve">the evaluation considered </w:t>
      </w:r>
      <w:r w:rsidRPr="007C0D91">
        <w:rPr>
          <w:rFonts w:asciiTheme="minorHAnsi" w:hAnsiTheme="minorHAnsi"/>
          <w:iCs/>
          <w:snapToGrid w:val="0"/>
        </w:rPr>
        <w:t xml:space="preserve">were well supported by reasonable sources of information. </w:t>
      </w:r>
    </w:p>
    <w:p w14:paraId="6581CC61" w14:textId="4147341B" w:rsidR="0071626A" w:rsidRPr="007C0D91" w:rsidRDefault="0071626A" w:rsidP="0071626A">
      <w:pPr>
        <w:keepNext/>
        <w:keepLines/>
        <w:rPr>
          <w:rFonts w:ascii="Arial Narrow" w:hAnsi="Arial Narrow"/>
          <w:b/>
          <w:bCs/>
          <w:sz w:val="20"/>
        </w:rPr>
      </w:pPr>
      <w:bookmarkStart w:id="87" w:name="_Ref104805262"/>
      <w:r w:rsidRPr="007C0D91">
        <w:rPr>
          <w:rFonts w:ascii="Arial Narrow" w:hAnsi="Arial Narrow"/>
          <w:b/>
          <w:bCs/>
          <w:sz w:val="20"/>
          <w:szCs w:val="18"/>
        </w:rPr>
        <w:lastRenderedPageBreak/>
        <w:t xml:space="preserve">Table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Table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14</w:t>
      </w:r>
      <w:r w:rsidRPr="007C0D91">
        <w:rPr>
          <w:rFonts w:ascii="Arial Narrow" w:hAnsi="Arial Narrow"/>
          <w:b/>
          <w:bCs/>
          <w:sz w:val="20"/>
          <w:szCs w:val="18"/>
        </w:rPr>
        <w:fldChar w:fldCharType="end"/>
      </w:r>
      <w:bookmarkEnd w:id="87"/>
      <w:r w:rsidRPr="007C0D91">
        <w:rPr>
          <w:rFonts w:ascii="Arial Narrow" w:hAnsi="Arial Narrow"/>
          <w:b/>
          <w:bCs/>
          <w:sz w:val="20"/>
          <w:szCs w:val="18"/>
        </w:rPr>
        <w:t>:</w:t>
      </w:r>
      <w:r w:rsidRPr="007C0D91">
        <w:rPr>
          <w:rFonts w:ascii="Arial Narrow" w:hAnsi="Arial Narrow"/>
          <w:b/>
          <w:bCs/>
          <w:sz w:val="20"/>
        </w:rPr>
        <w:t xml:space="preserve"> Key inputs for financial estimates</w:t>
      </w:r>
    </w:p>
    <w:tbl>
      <w:tblPr>
        <w:tblStyle w:val="TableGrid"/>
        <w:tblW w:w="5000" w:type="pct"/>
        <w:tblLook w:val="04A0" w:firstRow="1" w:lastRow="0" w:firstColumn="1" w:lastColumn="0" w:noHBand="0" w:noVBand="1"/>
      </w:tblPr>
      <w:tblGrid>
        <w:gridCol w:w="1689"/>
        <w:gridCol w:w="1560"/>
        <w:gridCol w:w="2114"/>
        <w:gridCol w:w="3654"/>
      </w:tblGrid>
      <w:tr w:rsidR="0071626A" w:rsidRPr="007C0D91" w14:paraId="3A035CD0" w14:textId="77777777" w:rsidTr="00646849">
        <w:trPr>
          <w:cantSplit/>
          <w:tblHeader/>
        </w:trPr>
        <w:tc>
          <w:tcPr>
            <w:tcW w:w="1689" w:type="dxa"/>
            <w:tcBorders>
              <w:bottom w:val="single" w:sz="4" w:space="0" w:color="auto"/>
            </w:tcBorders>
            <w:shd w:val="clear" w:color="auto" w:fill="auto"/>
            <w:tcMar>
              <w:left w:w="20" w:type="dxa"/>
              <w:right w:w="20" w:type="dxa"/>
            </w:tcMar>
          </w:tcPr>
          <w:p w14:paraId="3F8AA0F2" w14:textId="77777777" w:rsidR="0071626A" w:rsidRPr="007C0D91" w:rsidRDefault="0071626A" w:rsidP="00646849">
            <w:pPr>
              <w:jc w:val="left"/>
              <w:rPr>
                <w:rFonts w:ascii="Arial Narrow" w:hAnsi="Arial Narrow" w:cs="Times New Roman"/>
                <w:b/>
                <w:bCs/>
                <w:snapToGrid w:val="0"/>
                <w:sz w:val="20"/>
                <w:szCs w:val="20"/>
              </w:rPr>
            </w:pPr>
            <w:r w:rsidRPr="007C0D91">
              <w:rPr>
                <w:rFonts w:ascii="Arial Narrow" w:hAnsi="Arial Narrow" w:cs="Times New Roman"/>
                <w:b/>
                <w:bCs/>
                <w:snapToGrid w:val="0"/>
                <w:sz w:val="20"/>
                <w:szCs w:val="20"/>
              </w:rPr>
              <w:t>Data</w:t>
            </w:r>
          </w:p>
        </w:tc>
        <w:tc>
          <w:tcPr>
            <w:tcW w:w="1560" w:type="dxa"/>
            <w:tcBorders>
              <w:bottom w:val="single" w:sz="4" w:space="0" w:color="auto"/>
            </w:tcBorders>
            <w:shd w:val="clear" w:color="auto" w:fill="auto"/>
            <w:tcMar>
              <w:left w:w="20" w:type="dxa"/>
              <w:right w:w="20" w:type="dxa"/>
            </w:tcMar>
          </w:tcPr>
          <w:p w14:paraId="444D397B" w14:textId="77777777" w:rsidR="0071626A" w:rsidRPr="007C0D91" w:rsidRDefault="0071626A" w:rsidP="00646849">
            <w:pPr>
              <w:jc w:val="left"/>
              <w:rPr>
                <w:rFonts w:ascii="Arial Narrow" w:hAnsi="Arial Narrow" w:cs="Times New Roman"/>
                <w:b/>
                <w:bCs/>
                <w:snapToGrid w:val="0"/>
                <w:sz w:val="20"/>
                <w:szCs w:val="20"/>
              </w:rPr>
            </w:pPr>
            <w:r w:rsidRPr="007C0D91">
              <w:rPr>
                <w:rFonts w:ascii="Arial Narrow" w:hAnsi="Arial Narrow" w:cs="Times New Roman"/>
                <w:b/>
                <w:bCs/>
                <w:snapToGrid w:val="0"/>
                <w:sz w:val="20"/>
                <w:szCs w:val="20"/>
              </w:rPr>
              <w:t>Value</w:t>
            </w:r>
          </w:p>
        </w:tc>
        <w:tc>
          <w:tcPr>
            <w:tcW w:w="2114" w:type="dxa"/>
            <w:tcBorders>
              <w:bottom w:val="single" w:sz="4" w:space="0" w:color="auto"/>
            </w:tcBorders>
            <w:shd w:val="clear" w:color="auto" w:fill="auto"/>
            <w:tcMar>
              <w:left w:w="20" w:type="dxa"/>
              <w:right w:w="20" w:type="dxa"/>
            </w:tcMar>
          </w:tcPr>
          <w:p w14:paraId="61A30E28" w14:textId="77777777" w:rsidR="0071626A" w:rsidRPr="007C0D91" w:rsidRDefault="0071626A" w:rsidP="00646849">
            <w:pPr>
              <w:jc w:val="left"/>
              <w:rPr>
                <w:rFonts w:ascii="Arial Narrow" w:hAnsi="Arial Narrow" w:cs="Times New Roman"/>
                <w:b/>
                <w:bCs/>
                <w:snapToGrid w:val="0"/>
                <w:sz w:val="20"/>
                <w:szCs w:val="20"/>
              </w:rPr>
            </w:pPr>
            <w:r w:rsidRPr="007C0D91">
              <w:rPr>
                <w:rFonts w:ascii="Arial Narrow" w:hAnsi="Arial Narrow" w:cs="Times New Roman"/>
                <w:b/>
                <w:bCs/>
                <w:snapToGrid w:val="0"/>
                <w:sz w:val="20"/>
                <w:szCs w:val="20"/>
              </w:rPr>
              <w:t>Source</w:t>
            </w:r>
          </w:p>
        </w:tc>
        <w:tc>
          <w:tcPr>
            <w:tcW w:w="3654" w:type="dxa"/>
            <w:tcBorders>
              <w:bottom w:val="single" w:sz="4" w:space="0" w:color="auto"/>
            </w:tcBorders>
            <w:shd w:val="clear" w:color="auto" w:fill="auto"/>
            <w:tcMar>
              <w:left w:w="20" w:type="dxa"/>
              <w:right w:w="20" w:type="dxa"/>
            </w:tcMar>
          </w:tcPr>
          <w:p w14:paraId="4762F2A4" w14:textId="77777777" w:rsidR="0071626A" w:rsidRPr="007C0D91" w:rsidRDefault="0071626A" w:rsidP="00646849">
            <w:pPr>
              <w:jc w:val="left"/>
              <w:rPr>
                <w:rFonts w:ascii="Arial Narrow" w:hAnsi="Arial Narrow" w:cs="Times New Roman"/>
                <w:b/>
                <w:bCs/>
                <w:snapToGrid w:val="0"/>
                <w:sz w:val="20"/>
                <w:szCs w:val="20"/>
              </w:rPr>
            </w:pPr>
            <w:r w:rsidRPr="007C0D91">
              <w:rPr>
                <w:rFonts w:ascii="Arial Narrow" w:hAnsi="Arial Narrow" w:cs="Times New Roman"/>
                <w:b/>
                <w:bCs/>
                <w:snapToGrid w:val="0"/>
                <w:sz w:val="20"/>
                <w:szCs w:val="20"/>
              </w:rPr>
              <w:t>Comment</w:t>
            </w:r>
          </w:p>
        </w:tc>
      </w:tr>
      <w:tr w:rsidR="0071626A" w:rsidRPr="007C0D91" w14:paraId="2DA0F704" w14:textId="77777777" w:rsidTr="00646849">
        <w:trPr>
          <w:cantSplit/>
        </w:trPr>
        <w:tc>
          <w:tcPr>
            <w:tcW w:w="9017" w:type="dxa"/>
            <w:gridSpan w:val="4"/>
            <w:tcBorders>
              <w:bottom w:val="single" w:sz="4" w:space="0" w:color="auto"/>
            </w:tcBorders>
            <w:shd w:val="clear" w:color="auto" w:fill="auto"/>
            <w:tcMar>
              <w:left w:w="20" w:type="dxa"/>
              <w:right w:w="20" w:type="dxa"/>
            </w:tcMar>
          </w:tcPr>
          <w:p w14:paraId="2E0C6C3C" w14:textId="77777777" w:rsidR="0071626A" w:rsidRPr="007C0D91" w:rsidRDefault="0071626A" w:rsidP="00646849">
            <w:pPr>
              <w:jc w:val="left"/>
              <w:rPr>
                <w:rFonts w:ascii="Arial Narrow" w:hAnsi="Arial Narrow" w:cs="Times New Roman"/>
                <w:b/>
                <w:bCs/>
                <w:snapToGrid w:val="0"/>
                <w:sz w:val="20"/>
                <w:szCs w:val="20"/>
              </w:rPr>
            </w:pPr>
            <w:r w:rsidRPr="007C0D91">
              <w:rPr>
                <w:rFonts w:ascii="Arial Narrow" w:hAnsi="Arial Narrow" w:cs="Times New Roman"/>
                <w:b/>
                <w:snapToGrid w:val="0"/>
                <w:sz w:val="20"/>
                <w:szCs w:val="20"/>
              </w:rPr>
              <w:t>Eligible population</w:t>
            </w:r>
          </w:p>
        </w:tc>
      </w:tr>
      <w:tr w:rsidR="0071626A" w:rsidRPr="007C0D91" w14:paraId="191900B9" w14:textId="77777777" w:rsidTr="00646849">
        <w:trPr>
          <w:cantSplit/>
        </w:trPr>
        <w:tc>
          <w:tcPr>
            <w:tcW w:w="1689" w:type="dxa"/>
            <w:tcMar>
              <w:left w:w="20" w:type="dxa"/>
              <w:right w:w="20" w:type="dxa"/>
            </w:tcMar>
          </w:tcPr>
          <w:p w14:paraId="1331174B"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Incidence of Lung cancer</w:t>
            </w:r>
          </w:p>
        </w:tc>
        <w:tc>
          <w:tcPr>
            <w:tcW w:w="1560" w:type="dxa"/>
            <w:shd w:val="clear" w:color="auto" w:fill="auto"/>
            <w:tcMar>
              <w:left w:w="20" w:type="dxa"/>
              <w:right w:w="20" w:type="dxa"/>
            </w:tcMar>
          </w:tcPr>
          <w:p w14:paraId="5D574C9F"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14,724 in Year 1 of listing (2024), increasing to 16,385 in Year 6 (2028)</w:t>
            </w:r>
          </w:p>
        </w:tc>
        <w:tc>
          <w:tcPr>
            <w:tcW w:w="2114" w:type="dxa"/>
            <w:shd w:val="clear" w:color="auto" w:fill="B8CCE4" w:themeFill="accent1" w:themeFillTint="66"/>
            <w:tcMar>
              <w:left w:w="20" w:type="dxa"/>
              <w:right w:w="20" w:type="dxa"/>
            </w:tcMar>
          </w:tcPr>
          <w:p w14:paraId="79234853"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AIHW - Cancer report 2021 (for incidence data in 2021: 13,810) and Osimertinib PSD, July 2020 PBAC meeting (for an annual growth rate of 2.16%</w:t>
            </w:r>
          </w:p>
        </w:tc>
        <w:tc>
          <w:tcPr>
            <w:tcW w:w="3654" w:type="dxa"/>
            <w:shd w:val="clear" w:color="auto" w:fill="B8CCE4" w:themeFill="accent1" w:themeFillTint="66"/>
            <w:tcMar>
              <w:left w:w="20" w:type="dxa"/>
              <w:right w:w="20" w:type="dxa"/>
            </w:tcMar>
          </w:tcPr>
          <w:p w14:paraId="599A8CD1"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 data sources</w:t>
            </w:r>
          </w:p>
        </w:tc>
      </w:tr>
      <w:tr w:rsidR="0071626A" w:rsidRPr="007C0D91" w14:paraId="5F4584F3" w14:textId="77777777" w:rsidTr="00646849">
        <w:trPr>
          <w:cantSplit/>
        </w:trPr>
        <w:tc>
          <w:tcPr>
            <w:tcW w:w="1689" w:type="dxa"/>
            <w:tcMar>
              <w:left w:w="20" w:type="dxa"/>
              <w:right w:w="20" w:type="dxa"/>
            </w:tcMar>
          </w:tcPr>
          <w:p w14:paraId="6F3D8807"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Proportion of lung cancer reported as NSCLC</w:t>
            </w:r>
          </w:p>
        </w:tc>
        <w:tc>
          <w:tcPr>
            <w:tcW w:w="1560" w:type="dxa"/>
            <w:shd w:val="clear" w:color="auto" w:fill="auto"/>
            <w:tcMar>
              <w:left w:w="20" w:type="dxa"/>
              <w:right w:w="20" w:type="dxa"/>
            </w:tcMar>
          </w:tcPr>
          <w:p w14:paraId="2698780B"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86.6%</w:t>
            </w:r>
          </w:p>
        </w:tc>
        <w:tc>
          <w:tcPr>
            <w:tcW w:w="2114" w:type="dxa"/>
            <w:shd w:val="clear" w:color="auto" w:fill="auto"/>
            <w:tcMar>
              <w:left w:w="20" w:type="dxa"/>
              <w:right w:w="20" w:type="dxa"/>
            </w:tcMar>
          </w:tcPr>
          <w:p w14:paraId="42420F71"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Mitchell 2013</w:t>
            </w:r>
          </w:p>
        </w:tc>
        <w:tc>
          <w:tcPr>
            <w:tcW w:w="3654" w:type="dxa"/>
            <w:shd w:val="clear" w:color="auto" w:fill="B8CCE4" w:themeFill="accent1" w:themeFillTint="66"/>
            <w:tcMar>
              <w:left w:w="20" w:type="dxa"/>
              <w:right w:w="20" w:type="dxa"/>
            </w:tcMar>
          </w:tcPr>
          <w:p w14:paraId="7B574CE5"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p w14:paraId="5F2DEE24" w14:textId="77777777" w:rsidR="0071626A" w:rsidRPr="007C0D91" w:rsidRDefault="0071626A" w:rsidP="00646849">
            <w:pPr>
              <w:jc w:val="left"/>
              <w:rPr>
                <w:rFonts w:ascii="Arial Narrow" w:hAnsi="Arial Narrow" w:cs="Times New Roman"/>
                <w:iCs/>
                <w:snapToGrid w:val="0"/>
                <w:sz w:val="20"/>
                <w:szCs w:val="20"/>
              </w:rPr>
            </w:pPr>
          </w:p>
          <w:p w14:paraId="0015CC26" w14:textId="7ECE7D93"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 xml:space="preserve">The PBAC previously accepted a proportion of 86.6% in the </w:t>
            </w:r>
            <w:r w:rsidR="007C0D91" w:rsidRPr="007C0D91">
              <w:rPr>
                <w:rFonts w:ascii="Arial Narrow" w:hAnsi="Arial Narrow" w:cs="Times New Roman"/>
                <w:iCs/>
                <w:snapToGrid w:val="0"/>
                <w:sz w:val="20"/>
                <w:szCs w:val="20"/>
              </w:rPr>
              <w:t>entrectinib</w:t>
            </w:r>
            <w:r w:rsidRPr="007C0D91">
              <w:rPr>
                <w:rFonts w:ascii="Arial Narrow" w:hAnsi="Arial Narrow" w:cs="Times New Roman"/>
                <w:iCs/>
                <w:snapToGrid w:val="0"/>
                <w:sz w:val="20"/>
                <w:szCs w:val="20"/>
              </w:rPr>
              <w:t xml:space="preserve"> submission (Entrectinib PSD, March 2020 PBAC Meeting).</w:t>
            </w:r>
          </w:p>
        </w:tc>
      </w:tr>
      <w:tr w:rsidR="0071626A" w:rsidRPr="007C0D91" w14:paraId="766C37D9" w14:textId="77777777" w:rsidTr="00646849">
        <w:trPr>
          <w:cantSplit/>
        </w:trPr>
        <w:tc>
          <w:tcPr>
            <w:tcW w:w="1689" w:type="dxa"/>
            <w:tcMar>
              <w:left w:w="20" w:type="dxa"/>
              <w:right w:w="20" w:type="dxa"/>
            </w:tcMar>
          </w:tcPr>
          <w:p w14:paraId="090A527F"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Proportion with Stage IIIB-IV disease</w:t>
            </w:r>
          </w:p>
        </w:tc>
        <w:tc>
          <w:tcPr>
            <w:tcW w:w="1560" w:type="dxa"/>
            <w:shd w:val="clear" w:color="auto" w:fill="auto"/>
            <w:tcMar>
              <w:left w:w="20" w:type="dxa"/>
              <w:right w:w="20" w:type="dxa"/>
            </w:tcMar>
          </w:tcPr>
          <w:p w14:paraId="6C0B88AF"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65.5%</w:t>
            </w:r>
          </w:p>
        </w:tc>
        <w:tc>
          <w:tcPr>
            <w:tcW w:w="2114" w:type="dxa"/>
            <w:shd w:val="clear" w:color="auto" w:fill="auto"/>
            <w:tcMar>
              <w:left w:w="20" w:type="dxa"/>
              <w:right w:w="20" w:type="dxa"/>
            </w:tcMar>
          </w:tcPr>
          <w:p w14:paraId="11878468"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Mitchell 2013</w:t>
            </w:r>
          </w:p>
        </w:tc>
        <w:tc>
          <w:tcPr>
            <w:tcW w:w="3654" w:type="dxa"/>
            <w:shd w:val="clear" w:color="auto" w:fill="auto"/>
            <w:tcMar>
              <w:left w:w="20" w:type="dxa"/>
              <w:right w:w="20" w:type="dxa"/>
            </w:tcMar>
          </w:tcPr>
          <w:p w14:paraId="16EF53BD"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 data source</w:t>
            </w:r>
          </w:p>
        </w:tc>
      </w:tr>
      <w:tr w:rsidR="0071626A" w:rsidRPr="007C0D91" w14:paraId="75DD223A" w14:textId="77777777" w:rsidTr="00646849">
        <w:trPr>
          <w:cantSplit/>
        </w:trPr>
        <w:tc>
          <w:tcPr>
            <w:tcW w:w="1689" w:type="dxa"/>
            <w:shd w:val="clear" w:color="auto" w:fill="auto"/>
            <w:tcMar>
              <w:left w:w="20" w:type="dxa"/>
              <w:right w:w="20" w:type="dxa"/>
            </w:tcMar>
          </w:tcPr>
          <w:p w14:paraId="30A776E5"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Proportion of patients diagnosed at stage IIIA disease</w:t>
            </w:r>
          </w:p>
        </w:tc>
        <w:tc>
          <w:tcPr>
            <w:tcW w:w="1560" w:type="dxa"/>
            <w:shd w:val="clear" w:color="auto" w:fill="auto"/>
            <w:tcMar>
              <w:left w:w="20" w:type="dxa"/>
              <w:right w:w="20" w:type="dxa"/>
            </w:tcMar>
          </w:tcPr>
          <w:p w14:paraId="2388FACC"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11.8%</w:t>
            </w:r>
          </w:p>
        </w:tc>
        <w:tc>
          <w:tcPr>
            <w:tcW w:w="2114" w:type="dxa"/>
            <w:shd w:val="clear" w:color="auto" w:fill="auto"/>
            <w:tcMar>
              <w:left w:w="20" w:type="dxa"/>
              <w:right w:w="20" w:type="dxa"/>
            </w:tcMar>
          </w:tcPr>
          <w:p w14:paraId="590A2226"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Mitchell 2013</w:t>
            </w:r>
          </w:p>
        </w:tc>
        <w:tc>
          <w:tcPr>
            <w:tcW w:w="3654" w:type="dxa"/>
            <w:shd w:val="clear" w:color="auto" w:fill="auto"/>
            <w:tcMar>
              <w:left w:w="20" w:type="dxa"/>
              <w:right w:w="20" w:type="dxa"/>
            </w:tcMar>
          </w:tcPr>
          <w:p w14:paraId="74CCF4ED"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 data source</w:t>
            </w:r>
          </w:p>
        </w:tc>
      </w:tr>
      <w:tr w:rsidR="0071626A" w:rsidRPr="007C0D91" w14:paraId="7E3BA3CE" w14:textId="77777777" w:rsidTr="00646849">
        <w:trPr>
          <w:cantSplit/>
        </w:trPr>
        <w:tc>
          <w:tcPr>
            <w:tcW w:w="1689" w:type="dxa"/>
            <w:shd w:val="clear" w:color="auto" w:fill="auto"/>
            <w:tcMar>
              <w:left w:w="20" w:type="dxa"/>
              <w:right w:w="20" w:type="dxa"/>
            </w:tcMar>
          </w:tcPr>
          <w:p w14:paraId="3F770E45"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Proportion of Stage IIIA disease that progresses to Stage IIIB or Stage IV over one year</w:t>
            </w:r>
          </w:p>
        </w:tc>
        <w:tc>
          <w:tcPr>
            <w:tcW w:w="1560" w:type="dxa"/>
            <w:shd w:val="clear" w:color="auto" w:fill="auto"/>
            <w:tcMar>
              <w:left w:w="20" w:type="dxa"/>
              <w:right w:w="20" w:type="dxa"/>
            </w:tcMar>
          </w:tcPr>
          <w:p w14:paraId="556B4901"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60%</w:t>
            </w:r>
          </w:p>
        </w:tc>
        <w:tc>
          <w:tcPr>
            <w:tcW w:w="2114" w:type="dxa"/>
            <w:shd w:val="clear" w:color="auto" w:fill="auto"/>
            <w:tcMar>
              <w:left w:w="20" w:type="dxa"/>
              <w:right w:w="20" w:type="dxa"/>
            </w:tcMar>
          </w:tcPr>
          <w:p w14:paraId="0FDC8056"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Table 17, Pembrolizumab PSD, November 2018 PBAC meeting</w:t>
            </w:r>
          </w:p>
        </w:tc>
        <w:tc>
          <w:tcPr>
            <w:tcW w:w="3654" w:type="dxa"/>
            <w:shd w:val="clear" w:color="auto" w:fill="auto"/>
            <w:tcMar>
              <w:left w:w="20" w:type="dxa"/>
              <w:right w:w="20" w:type="dxa"/>
            </w:tcMar>
          </w:tcPr>
          <w:p w14:paraId="193415F9"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 data source</w:t>
            </w:r>
          </w:p>
        </w:tc>
      </w:tr>
      <w:tr w:rsidR="0071626A" w:rsidRPr="007C0D91" w14:paraId="16738EE0" w14:textId="77777777" w:rsidTr="00646849">
        <w:trPr>
          <w:cantSplit/>
        </w:trPr>
        <w:tc>
          <w:tcPr>
            <w:tcW w:w="1689" w:type="dxa"/>
            <w:tcMar>
              <w:left w:w="20" w:type="dxa"/>
              <w:right w:w="20" w:type="dxa"/>
            </w:tcMar>
          </w:tcPr>
          <w:p w14:paraId="5108186F"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Patients with successful biopsy and biomarker testing</w:t>
            </w:r>
          </w:p>
        </w:tc>
        <w:tc>
          <w:tcPr>
            <w:tcW w:w="1560" w:type="dxa"/>
            <w:shd w:val="clear" w:color="auto" w:fill="B8CCE4" w:themeFill="accent1" w:themeFillTint="66"/>
            <w:tcMar>
              <w:left w:w="20" w:type="dxa"/>
              <w:right w:w="20" w:type="dxa"/>
            </w:tcMar>
          </w:tcPr>
          <w:p w14:paraId="3E9E4B3E"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90%</w:t>
            </w:r>
          </w:p>
        </w:tc>
        <w:tc>
          <w:tcPr>
            <w:tcW w:w="2114" w:type="dxa"/>
            <w:shd w:val="clear" w:color="auto" w:fill="B8CCE4" w:themeFill="accent1" w:themeFillTint="66"/>
            <w:tcMar>
              <w:left w:w="20" w:type="dxa"/>
              <w:right w:w="20" w:type="dxa"/>
            </w:tcMar>
          </w:tcPr>
          <w:p w14:paraId="59B95919"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MSAC application 1173 PSD, August 2012 (Moore 2018)</w:t>
            </w:r>
          </w:p>
        </w:tc>
        <w:tc>
          <w:tcPr>
            <w:tcW w:w="3654" w:type="dxa"/>
            <w:shd w:val="clear" w:color="auto" w:fill="B8CCE4" w:themeFill="accent1" w:themeFillTint="66"/>
            <w:tcMar>
              <w:left w:w="20" w:type="dxa"/>
              <w:right w:w="20" w:type="dxa"/>
            </w:tcMar>
          </w:tcPr>
          <w:p w14:paraId="369BEA2D"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tc>
      </w:tr>
      <w:tr w:rsidR="0071626A" w:rsidRPr="007C0D91" w14:paraId="53EB7C92" w14:textId="77777777" w:rsidTr="00646849">
        <w:trPr>
          <w:cantSplit/>
        </w:trPr>
        <w:tc>
          <w:tcPr>
            <w:tcW w:w="1689" w:type="dxa"/>
            <w:tcBorders>
              <w:bottom w:val="single" w:sz="4" w:space="0" w:color="auto"/>
            </w:tcBorders>
            <w:tcMar>
              <w:left w:w="20" w:type="dxa"/>
              <w:right w:w="20" w:type="dxa"/>
            </w:tcMar>
          </w:tcPr>
          <w:p w14:paraId="6A3CE8A3"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 xml:space="preserve">Patients with </w:t>
            </w:r>
            <w:r w:rsidRPr="007C0D91">
              <w:rPr>
                <w:rFonts w:ascii="Arial Narrow" w:hAnsi="Arial Narrow" w:cs="Times New Roman"/>
                <w:i/>
                <w:snapToGrid w:val="0"/>
                <w:sz w:val="20"/>
                <w:szCs w:val="20"/>
              </w:rPr>
              <w:t xml:space="preserve">EGFR </w:t>
            </w:r>
            <w:r w:rsidRPr="007C0D91">
              <w:rPr>
                <w:rFonts w:ascii="Arial Narrow" w:hAnsi="Arial Narrow" w:cs="Times New Roman"/>
                <w:snapToGrid w:val="0"/>
                <w:sz w:val="20"/>
                <w:szCs w:val="20"/>
              </w:rPr>
              <w:t>mutations</w:t>
            </w:r>
          </w:p>
        </w:tc>
        <w:tc>
          <w:tcPr>
            <w:tcW w:w="1560" w:type="dxa"/>
            <w:tcBorders>
              <w:bottom w:val="single" w:sz="4" w:space="0" w:color="auto"/>
            </w:tcBorders>
            <w:shd w:val="clear" w:color="auto" w:fill="B8CCE4" w:themeFill="accent1" w:themeFillTint="66"/>
            <w:tcMar>
              <w:left w:w="20" w:type="dxa"/>
              <w:right w:w="20" w:type="dxa"/>
            </w:tcMar>
          </w:tcPr>
          <w:p w14:paraId="3DB59712"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17.90%</w:t>
            </w:r>
          </w:p>
        </w:tc>
        <w:tc>
          <w:tcPr>
            <w:tcW w:w="2114" w:type="dxa"/>
            <w:tcBorders>
              <w:bottom w:val="single" w:sz="4" w:space="0" w:color="auto"/>
            </w:tcBorders>
            <w:shd w:val="clear" w:color="auto" w:fill="B8CCE4" w:themeFill="accent1" w:themeFillTint="66"/>
            <w:tcMar>
              <w:left w:w="20" w:type="dxa"/>
              <w:right w:w="20" w:type="dxa"/>
            </w:tcMar>
          </w:tcPr>
          <w:p w14:paraId="7A716FEB"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DUSC review on erlotinib and gefitinib (2017)</w:t>
            </w:r>
          </w:p>
        </w:tc>
        <w:tc>
          <w:tcPr>
            <w:tcW w:w="3654" w:type="dxa"/>
            <w:tcBorders>
              <w:bottom w:val="single" w:sz="4" w:space="0" w:color="auto"/>
            </w:tcBorders>
            <w:shd w:val="clear" w:color="auto" w:fill="B8CCE4" w:themeFill="accent1" w:themeFillTint="66"/>
            <w:tcMar>
              <w:left w:w="20" w:type="dxa"/>
              <w:right w:w="20" w:type="dxa"/>
            </w:tcMar>
          </w:tcPr>
          <w:p w14:paraId="6CDF772A"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tc>
      </w:tr>
      <w:tr w:rsidR="0071626A" w:rsidRPr="007C0D91" w14:paraId="11406FF8" w14:textId="77777777" w:rsidTr="00646849">
        <w:trPr>
          <w:cantSplit/>
        </w:trPr>
        <w:tc>
          <w:tcPr>
            <w:tcW w:w="1689"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0C16BFB0"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 xml:space="preserve">Proportion of </w:t>
            </w:r>
            <w:r w:rsidRPr="007C0D91">
              <w:rPr>
                <w:rFonts w:ascii="Arial Narrow" w:hAnsi="Arial Narrow" w:cs="Times New Roman"/>
                <w:i/>
                <w:snapToGrid w:val="0"/>
                <w:sz w:val="20"/>
                <w:szCs w:val="20"/>
              </w:rPr>
              <w:t>EGFR-</w:t>
            </w:r>
            <w:r w:rsidRPr="007C0D91">
              <w:rPr>
                <w:rFonts w:ascii="Arial Narrow" w:hAnsi="Arial Narrow" w:cs="Times New Roman"/>
                <w:snapToGrid w:val="0"/>
                <w:sz w:val="20"/>
                <w:szCs w:val="20"/>
              </w:rPr>
              <w:t>positive NSCLC patients with Ex20ins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5FC483D3"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8.96%</w:t>
            </w:r>
          </w:p>
        </w:tc>
        <w:tc>
          <w:tcPr>
            <w:tcW w:w="2114"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11021B09"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Moore 2018</w:t>
            </w:r>
          </w:p>
        </w:tc>
        <w:tc>
          <w:tcPr>
            <w:tcW w:w="3654"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22D8154D"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p w14:paraId="18D3D288" w14:textId="3DBFE37A" w:rsidR="008506A3" w:rsidRPr="007C0D91" w:rsidRDefault="008506A3"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 xml:space="preserve">The ESC agreed with the evaluation that, </w:t>
            </w:r>
            <w:r w:rsidR="00CF2A39" w:rsidRPr="007C0D91">
              <w:rPr>
                <w:rFonts w:ascii="Arial Narrow" w:hAnsi="Arial Narrow" w:cs="Times New Roman"/>
                <w:iCs/>
                <w:snapToGrid w:val="0"/>
                <w:sz w:val="20"/>
                <w:szCs w:val="20"/>
              </w:rPr>
              <w:t>although</w:t>
            </w:r>
            <w:r w:rsidRPr="007C0D91">
              <w:rPr>
                <w:rFonts w:ascii="Arial Narrow" w:hAnsi="Arial Narrow" w:cs="Times New Roman"/>
                <w:iCs/>
                <w:snapToGrid w:val="0"/>
                <w:sz w:val="20"/>
                <w:szCs w:val="20"/>
              </w:rPr>
              <w:t xml:space="preserve"> the revised estimate is at </w:t>
            </w:r>
            <w:r w:rsidR="000D2328" w:rsidRPr="007C0D91">
              <w:rPr>
                <w:rFonts w:ascii="Arial Narrow" w:hAnsi="Arial Narrow" w:cs="Times New Roman"/>
                <w:iCs/>
                <w:snapToGrid w:val="0"/>
                <w:sz w:val="20"/>
                <w:szCs w:val="20"/>
              </w:rPr>
              <w:t>the</w:t>
            </w:r>
            <w:r w:rsidRPr="007C0D91">
              <w:rPr>
                <w:rFonts w:ascii="Arial Narrow" w:hAnsi="Arial Narrow" w:cs="Times New Roman"/>
                <w:iCs/>
                <w:snapToGrid w:val="0"/>
                <w:sz w:val="20"/>
                <w:szCs w:val="20"/>
              </w:rPr>
              <w:t xml:space="preserve"> higher end</w:t>
            </w:r>
            <w:r w:rsidR="00CF2A39" w:rsidRPr="007C0D91">
              <w:rPr>
                <w:rFonts w:ascii="Arial Narrow" w:hAnsi="Arial Narrow" w:cs="Times New Roman"/>
                <w:iCs/>
                <w:snapToGrid w:val="0"/>
                <w:sz w:val="20"/>
                <w:szCs w:val="20"/>
              </w:rPr>
              <w:t xml:space="preserve"> of the range noted by DUSC (see </w:t>
            </w:r>
            <w:r w:rsidR="00CF2A39" w:rsidRPr="007C0D91">
              <w:rPr>
                <w:rFonts w:ascii="Arial Narrow" w:hAnsi="Arial Narrow" w:cs="Times New Roman"/>
                <w:iCs/>
                <w:snapToGrid w:val="0"/>
                <w:sz w:val="20"/>
                <w:szCs w:val="20"/>
              </w:rPr>
              <w:fldChar w:fldCharType="begin"/>
            </w:r>
            <w:r w:rsidR="00CF2A39" w:rsidRPr="007C0D91">
              <w:rPr>
                <w:rFonts w:ascii="Arial Narrow" w:hAnsi="Arial Narrow" w:cs="Times New Roman"/>
                <w:iCs/>
                <w:snapToGrid w:val="0"/>
                <w:sz w:val="20"/>
                <w:szCs w:val="20"/>
              </w:rPr>
              <w:instrText xml:space="preserve"> REF _Ref133748638 \h  \* MERGEFORMAT </w:instrText>
            </w:r>
            <w:r w:rsidR="00CF2A39" w:rsidRPr="007C0D91">
              <w:rPr>
                <w:rFonts w:ascii="Arial Narrow" w:hAnsi="Arial Narrow" w:cs="Times New Roman"/>
                <w:iCs/>
                <w:snapToGrid w:val="0"/>
                <w:sz w:val="20"/>
                <w:szCs w:val="20"/>
              </w:rPr>
            </w:r>
            <w:r w:rsidR="00CF2A39" w:rsidRPr="007C0D91">
              <w:rPr>
                <w:rFonts w:ascii="Arial Narrow" w:hAnsi="Arial Narrow" w:cs="Times New Roman"/>
                <w:iCs/>
                <w:snapToGrid w:val="0"/>
                <w:sz w:val="20"/>
                <w:szCs w:val="20"/>
              </w:rPr>
              <w:fldChar w:fldCharType="separate"/>
            </w:r>
            <w:r w:rsidR="00117491" w:rsidRPr="00117491">
              <w:rPr>
                <w:rFonts w:ascii="Arial Narrow" w:hAnsi="Arial Narrow" w:cs="Times New Roman"/>
                <w:iCs/>
                <w:snapToGrid w:val="0"/>
                <w:sz w:val="20"/>
                <w:szCs w:val="20"/>
              </w:rPr>
              <w:t>Table 2</w:t>
            </w:r>
            <w:r w:rsidR="00CF2A39" w:rsidRPr="007C0D91">
              <w:rPr>
                <w:rFonts w:ascii="Arial Narrow" w:hAnsi="Arial Narrow" w:cs="Times New Roman"/>
                <w:iCs/>
                <w:snapToGrid w:val="0"/>
                <w:sz w:val="20"/>
                <w:szCs w:val="20"/>
              </w:rPr>
              <w:fldChar w:fldCharType="end"/>
            </w:r>
            <w:r w:rsidR="00CF2A39" w:rsidRPr="007C0D91">
              <w:rPr>
                <w:rFonts w:ascii="Arial Narrow" w:hAnsi="Arial Narrow" w:cs="Times New Roman"/>
                <w:iCs/>
                <w:snapToGrid w:val="0"/>
                <w:sz w:val="20"/>
                <w:szCs w:val="20"/>
              </w:rPr>
              <w:t>)</w:t>
            </w:r>
            <w:r w:rsidRPr="007C0D91">
              <w:rPr>
                <w:rFonts w:ascii="Arial Narrow" w:hAnsi="Arial Narrow" w:cs="Times New Roman"/>
                <w:iCs/>
                <w:snapToGrid w:val="0"/>
                <w:sz w:val="20"/>
                <w:szCs w:val="20"/>
              </w:rPr>
              <w:t xml:space="preserve">, it can be considered reliable as the study used </w:t>
            </w:r>
            <w:r w:rsidR="000D2328" w:rsidRPr="007C0D91">
              <w:rPr>
                <w:rFonts w:ascii="Arial Narrow" w:hAnsi="Arial Narrow" w:cs="Times New Roman"/>
                <w:iCs/>
                <w:snapToGrid w:val="0"/>
                <w:sz w:val="20"/>
                <w:szCs w:val="20"/>
              </w:rPr>
              <w:t xml:space="preserve">a </w:t>
            </w:r>
            <w:r w:rsidRPr="007C0D91">
              <w:rPr>
                <w:rFonts w:ascii="Arial Narrow" w:hAnsi="Arial Narrow" w:cs="Times New Roman"/>
                <w:iCs/>
                <w:snapToGrid w:val="0"/>
                <w:sz w:val="20"/>
                <w:szCs w:val="20"/>
              </w:rPr>
              <w:t>more robust testing method which remains important in this regard.</w:t>
            </w:r>
          </w:p>
        </w:tc>
      </w:tr>
      <w:tr w:rsidR="0071626A" w:rsidRPr="007C0D91" w14:paraId="6497C4CA" w14:textId="77777777" w:rsidTr="00646849">
        <w:trPr>
          <w:cantSplit/>
        </w:trPr>
        <w:tc>
          <w:tcPr>
            <w:tcW w:w="1689" w:type="dxa"/>
            <w:tcBorders>
              <w:top w:val="single" w:sz="4" w:space="0" w:color="auto"/>
            </w:tcBorders>
            <w:shd w:val="clear" w:color="auto" w:fill="auto"/>
            <w:tcMar>
              <w:left w:w="20" w:type="dxa"/>
              <w:right w:w="20" w:type="dxa"/>
            </w:tcMar>
          </w:tcPr>
          <w:p w14:paraId="70143849"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Proportion with ECOG performance status of 0-2</w:t>
            </w:r>
          </w:p>
        </w:tc>
        <w:tc>
          <w:tcPr>
            <w:tcW w:w="1560" w:type="dxa"/>
            <w:tcBorders>
              <w:top w:val="single" w:sz="4" w:space="0" w:color="auto"/>
            </w:tcBorders>
            <w:shd w:val="clear" w:color="auto" w:fill="auto"/>
            <w:tcMar>
              <w:left w:w="20" w:type="dxa"/>
              <w:right w:w="20" w:type="dxa"/>
            </w:tcMar>
          </w:tcPr>
          <w:p w14:paraId="52C03564"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80.1%</w:t>
            </w:r>
          </w:p>
        </w:tc>
        <w:tc>
          <w:tcPr>
            <w:tcW w:w="2114" w:type="dxa"/>
            <w:tcBorders>
              <w:top w:val="single" w:sz="4" w:space="0" w:color="auto"/>
            </w:tcBorders>
            <w:shd w:val="clear" w:color="auto" w:fill="auto"/>
            <w:tcMar>
              <w:left w:w="20" w:type="dxa"/>
              <w:right w:w="20" w:type="dxa"/>
            </w:tcMar>
          </w:tcPr>
          <w:p w14:paraId="32CD1452"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Mitchell 2013</w:t>
            </w:r>
          </w:p>
        </w:tc>
        <w:tc>
          <w:tcPr>
            <w:tcW w:w="3654" w:type="dxa"/>
            <w:tcBorders>
              <w:top w:val="single" w:sz="4" w:space="0" w:color="auto"/>
            </w:tcBorders>
            <w:shd w:val="clear" w:color="auto" w:fill="auto"/>
            <w:tcMar>
              <w:left w:w="20" w:type="dxa"/>
              <w:right w:w="20" w:type="dxa"/>
            </w:tcMar>
          </w:tcPr>
          <w:p w14:paraId="00916336"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tc>
      </w:tr>
      <w:tr w:rsidR="0071626A" w:rsidRPr="007C0D91" w14:paraId="1BB19CE2" w14:textId="77777777" w:rsidTr="00646849">
        <w:trPr>
          <w:cantSplit/>
        </w:trPr>
        <w:tc>
          <w:tcPr>
            <w:tcW w:w="1689" w:type="dxa"/>
            <w:shd w:val="clear" w:color="auto" w:fill="auto"/>
            <w:tcMar>
              <w:left w:w="20" w:type="dxa"/>
              <w:right w:w="20" w:type="dxa"/>
            </w:tcMar>
          </w:tcPr>
          <w:p w14:paraId="2D655FBD"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 xml:space="preserve">Proportion who </w:t>
            </w:r>
            <w:proofErr w:type="gramStart"/>
            <w:r w:rsidRPr="007C0D91">
              <w:rPr>
                <w:rFonts w:ascii="Arial Narrow" w:hAnsi="Arial Narrow" w:cs="Times New Roman"/>
                <w:snapToGrid w:val="0"/>
                <w:sz w:val="20"/>
                <w:szCs w:val="20"/>
              </w:rPr>
              <w:t>elect</w:t>
            </w:r>
            <w:proofErr w:type="gramEnd"/>
            <w:r w:rsidRPr="007C0D91">
              <w:rPr>
                <w:rFonts w:ascii="Arial Narrow" w:hAnsi="Arial Narrow" w:cs="Times New Roman"/>
                <w:snapToGrid w:val="0"/>
                <w:sz w:val="20"/>
                <w:szCs w:val="20"/>
              </w:rPr>
              <w:t xml:space="preserve"> 1L PBC</w:t>
            </w:r>
          </w:p>
        </w:tc>
        <w:tc>
          <w:tcPr>
            <w:tcW w:w="1560" w:type="dxa"/>
            <w:shd w:val="clear" w:color="auto" w:fill="auto"/>
            <w:tcMar>
              <w:left w:w="20" w:type="dxa"/>
              <w:right w:w="20" w:type="dxa"/>
            </w:tcMar>
          </w:tcPr>
          <w:p w14:paraId="2516993F"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85%</w:t>
            </w:r>
          </w:p>
        </w:tc>
        <w:tc>
          <w:tcPr>
            <w:tcW w:w="2114" w:type="dxa"/>
            <w:shd w:val="clear" w:color="auto" w:fill="auto"/>
            <w:tcMar>
              <w:left w:w="20" w:type="dxa"/>
              <w:right w:w="20" w:type="dxa"/>
            </w:tcMar>
          </w:tcPr>
          <w:p w14:paraId="6F01D994"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Table 2, PD-L1 Stakeholder Meeting, Feb 2019</w:t>
            </w:r>
          </w:p>
        </w:tc>
        <w:tc>
          <w:tcPr>
            <w:tcW w:w="3654" w:type="dxa"/>
            <w:shd w:val="clear" w:color="auto" w:fill="auto"/>
            <w:tcMar>
              <w:left w:w="20" w:type="dxa"/>
              <w:right w:w="20" w:type="dxa"/>
            </w:tcMar>
          </w:tcPr>
          <w:p w14:paraId="3504FED9"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tc>
      </w:tr>
      <w:tr w:rsidR="0071626A" w:rsidRPr="007C0D91" w14:paraId="251C89F9" w14:textId="77777777" w:rsidTr="00646849">
        <w:trPr>
          <w:cantSplit/>
        </w:trPr>
        <w:tc>
          <w:tcPr>
            <w:tcW w:w="1689" w:type="dxa"/>
            <w:tcBorders>
              <w:top w:val="single" w:sz="4" w:space="0" w:color="auto"/>
              <w:left w:val="single" w:sz="4" w:space="0" w:color="auto"/>
              <w:bottom w:val="single" w:sz="4" w:space="0" w:color="auto"/>
              <w:right w:val="single" w:sz="4" w:space="0" w:color="auto"/>
            </w:tcBorders>
            <w:tcMar>
              <w:left w:w="20" w:type="dxa"/>
              <w:right w:w="20" w:type="dxa"/>
            </w:tcMar>
          </w:tcPr>
          <w:p w14:paraId="07DC399C"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 xml:space="preserve">Proportion who </w:t>
            </w:r>
            <w:proofErr w:type="gramStart"/>
            <w:r w:rsidRPr="007C0D91">
              <w:rPr>
                <w:rFonts w:ascii="Arial Narrow" w:hAnsi="Arial Narrow" w:cs="Times New Roman"/>
                <w:snapToGrid w:val="0"/>
                <w:sz w:val="20"/>
                <w:szCs w:val="20"/>
              </w:rPr>
              <w:t>progress</w:t>
            </w:r>
            <w:proofErr w:type="gramEnd"/>
            <w:r w:rsidRPr="007C0D91">
              <w:rPr>
                <w:rFonts w:ascii="Arial Narrow" w:hAnsi="Arial Narrow" w:cs="Times New Roman"/>
                <w:snapToGrid w:val="0"/>
                <w:sz w:val="20"/>
                <w:szCs w:val="20"/>
              </w:rPr>
              <w:t xml:space="preserve"> following 1L PBC</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Mar>
              <w:left w:w="20" w:type="dxa"/>
              <w:right w:w="20" w:type="dxa"/>
            </w:tcMar>
          </w:tcPr>
          <w:p w14:paraId="269ACF4B"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70%</w:t>
            </w:r>
          </w:p>
        </w:tc>
        <w:tc>
          <w:tcPr>
            <w:tcW w:w="2114" w:type="dxa"/>
            <w:tcBorders>
              <w:top w:val="single" w:sz="4" w:space="0" w:color="auto"/>
              <w:left w:val="single" w:sz="4" w:space="0" w:color="auto"/>
              <w:bottom w:val="single" w:sz="4" w:space="0" w:color="auto"/>
            </w:tcBorders>
            <w:shd w:val="clear" w:color="auto" w:fill="B8CCE4" w:themeFill="accent1" w:themeFillTint="66"/>
            <w:tcMar>
              <w:left w:w="20" w:type="dxa"/>
              <w:right w:w="20" w:type="dxa"/>
            </w:tcMar>
          </w:tcPr>
          <w:p w14:paraId="1C0F3DE0"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Expert opinion from the clinical advisory board</w:t>
            </w:r>
          </w:p>
        </w:tc>
        <w:tc>
          <w:tcPr>
            <w:tcW w:w="3654" w:type="dxa"/>
            <w:tcBorders>
              <w:bottom w:val="single" w:sz="4" w:space="0" w:color="auto"/>
            </w:tcBorders>
            <w:shd w:val="clear" w:color="auto" w:fill="B8CCE4" w:themeFill="accent1" w:themeFillTint="66"/>
            <w:tcMar>
              <w:left w:w="20" w:type="dxa"/>
              <w:right w:w="20" w:type="dxa"/>
            </w:tcMar>
          </w:tcPr>
          <w:p w14:paraId="0FC574BF"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rPr>
              <w:t>Reasonable</w:t>
            </w:r>
          </w:p>
        </w:tc>
      </w:tr>
      <w:tr w:rsidR="0071626A" w:rsidRPr="007C0D91" w14:paraId="2512F0BF" w14:textId="77777777" w:rsidTr="00646849">
        <w:trPr>
          <w:cantSplit/>
        </w:trPr>
        <w:tc>
          <w:tcPr>
            <w:tcW w:w="1689" w:type="dxa"/>
            <w:tcBorders>
              <w:top w:val="single" w:sz="4" w:space="0" w:color="auto"/>
              <w:left w:val="single" w:sz="4" w:space="0" w:color="auto"/>
              <w:bottom w:val="single" w:sz="4" w:space="0" w:color="auto"/>
              <w:right w:val="single" w:sz="4" w:space="0" w:color="auto"/>
            </w:tcBorders>
            <w:tcMar>
              <w:left w:w="20" w:type="dxa"/>
              <w:right w:w="20" w:type="dxa"/>
            </w:tcMar>
          </w:tcPr>
          <w:p w14:paraId="52E5CCFA"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Prevalent cases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54F58383"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81</w:t>
            </w:r>
          </w:p>
        </w:tc>
        <w:tc>
          <w:tcPr>
            <w:tcW w:w="2114"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69C3199F"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1.31 years (duration of illness since diagnosis of advanced disease in Study 101) x incident population in previous years</w:t>
            </w:r>
          </w:p>
        </w:tc>
        <w:tc>
          <w:tcPr>
            <w:tcW w:w="3654"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7CBACB37"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tc>
      </w:tr>
      <w:tr w:rsidR="0071626A" w:rsidRPr="007C0D91" w14:paraId="46143FCC" w14:textId="77777777" w:rsidTr="00646849">
        <w:trPr>
          <w:cantSplit/>
        </w:trPr>
        <w:tc>
          <w:tcPr>
            <w:tcW w:w="9017" w:type="dxa"/>
            <w:gridSpan w:val="4"/>
            <w:tcBorders>
              <w:top w:val="single" w:sz="4" w:space="0" w:color="auto"/>
              <w:left w:val="single" w:sz="4" w:space="0" w:color="auto"/>
              <w:bottom w:val="single" w:sz="4" w:space="0" w:color="auto"/>
              <w:right w:val="single" w:sz="4" w:space="0" w:color="auto"/>
            </w:tcBorders>
            <w:tcMar>
              <w:left w:w="20" w:type="dxa"/>
              <w:right w:w="20" w:type="dxa"/>
            </w:tcMar>
          </w:tcPr>
          <w:p w14:paraId="62AA9B4A" w14:textId="77777777" w:rsidR="0071626A" w:rsidRPr="007C0D91" w:rsidRDefault="0071626A" w:rsidP="00767449">
            <w:pPr>
              <w:keepNext/>
              <w:keepLines/>
              <w:jc w:val="left"/>
              <w:rPr>
                <w:rFonts w:ascii="Arial Narrow" w:hAnsi="Arial Narrow" w:cs="Times New Roman"/>
                <w:b/>
                <w:iCs/>
                <w:snapToGrid w:val="0"/>
                <w:sz w:val="20"/>
                <w:szCs w:val="20"/>
              </w:rPr>
            </w:pPr>
            <w:r w:rsidRPr="007C0D91">
              <w:rPr>
                <w:rFonts w:ascii="Arial Narrow" w:hAnsi="Arial Narrow" w:cs="Times New Roman"/>
                <w:b/>
                <w:iCs/>
                <w:snapToGrid w:val="0"/>
                <w:sz w:val="20"/>
                <w:szCs w:val="20"/>
              </w:rPr>
              <w:lastRenderedPageBreak/>
              <w:t>Utilisation</w:t>
            </w:r>
          </w:p>
        </w:tc>
      </w:tr>
      <w:tr w:rsidR="0071626A" w:rsidRPr="007C0D91" w14:paraId="2E0B122F" w14:textId="77777777" w:rsidTr="00646849">
        <w:trPr>
          <w:cantSplit/>
        </w:trPr>
        <w:tc>
          <w:tcPr>
            <w:tcW w:w="1689" w:type="dxa"/>
            <w:tcMar>
              <w:left w:w="20" w:type="dxa"/>
              <w:right w:w="20" w:type="dxa"/>
            </w:tcMar>
          </w:tcPr>
          <w:p w14:paraId="11E04DC1" w14:textId="77777777" w:rsidR="0071626A" w:rsidRPr="007C0D91" w:rsidRDefault="0071626A" w:rsidP="00767449">
            <w:pPr>
              <w:keepNext/>
              <w:keepLines/>
              <w:jc w:val="left"/>
              <w:rPr>
                <w:rFonts w:ascii="Arial Narrow" w:hAnsi="Arial Narrow" w:cs="Times New Roman"/>
                <w:snapToGrid w:val="0"/>
                <w:sz w:val="20"/>
                <w:szCs w:val="20"/>
              </w:rPr>
            </w:pPr>
            <w:r w:rsidRPr="007C0D91">
              <w:rPr>
                <w:rFonts w:ascii="Arial Narrow" w:hAnsi="Arial Narrow" w:cs="Times New Roman"/>
                <w:snapToGrid w:val="0"/>
                <w:sz w:val="20"/>
                <w:szCs w:val="20"/>
              </w:rPr>
              <w:t>Uptake of mobocertinib</w:t>
            </w:r>
          </w:p>
        </w:tc>
        <w:tc>
          <w:tcPr>
            <w:tcW w:w="1560" w:type="dxa"/>
            <w:shd w:val="clear" w:color="auto" w:fill="auto"/>
            <w:tcMar>
              <w:left w:w="20" w:type="dxa"/>
              <w:right w:w="20" w:type="dxa"/>
            </w:tcMar>
          </w:tcPr>
          <w:p w14:paraId="65139404" w14:textId="2E3071D0" w:rsidR="0071626A" w:rsidRPr="007C0D91" w:rsidRDefault="00092A28" w:rsidP="00767449">
            <w:pPr>
              <w:keepNext/>
              <w:keepLines/>
              <w:jc w:val="left"/>
              <w:rPr>
                <w:rFonts w:ascii="Arial Narrow" w:hAnsi="Arial Narrow" w:cs="Times New Roman"/>
                <w:snapToGrid w:val="0"/>
                <w:sz w:val="20"/>
                <w:szCs w:val="20"/>
              </w:rPr>
            </w:pPr>
            <w:r w:rsidRPr="00092A28">
              <w:rPr>
                <w:rFonts w:ascii="Arial Narrow" w:hAnsi="Arial Narrow" w:cs="Times New Roman"/>
                <w:snapToGrid w:val="0"/>
                <w:color w:val="000000"/>
                <w:spacing w:val="53"/>
                <w:sz w:val="20"/>
                <w:szCs w:val="20"/>
                <w:shd w:val="solid" w:color="000000" w:fill="000000"/>
                <w:fitText w:val="330" w:id="-1167912435"/>
                <w14:textFill>
                  <w14:solidFill>
                    <w14:srgbClr w14:val="000000">
                      <w14:alpha w14:val="100000"/>
                    </w14:srgbClr>
                  </w14:solidFill>
                </w14:textFill>
              </w:rPr>
              <w:t>|||</w:t>
            </w:r>
            <w:r w:rsidRPr="00092A28">
              <w:rPr>
                <w:rFonts w:ascii="Arial Narrow" w:hAnsi="Arial Narrow" w:cs="Times New Roman"/>
                <w:snapToGrid w:val="0"/>
                <w:color w:val="000000"/>
                <w:spacing w:val="1"/>
                <w:sz w:val="20"/>
                <w:szCs w:val="20"/>
                <w:shd w:val="solid" w:color="000000" w:fill="000000"/>
                <w:fitText w:val="330" w:id="-1167912435"/>
                <w14:textFill>
                  <w14:solidFill>
                    <w14:srgbClr w14:val="000000">
                      <w14:alpha w14:val="100000"/>
                    </w14:srgbClr>
                  </w14:solidFill>
                </w14:textFill>
              </w:rPr>
              <w:t>|</w:t>
            </w:r>
            <w:r w:rsidR="0071626A" w:rsidRPr="007C0D91">
              <w:rPr>
                <w:rFonts w:ascii="Arial Narrow" w:hAnsi="Arial Narrow" w:cs="Times New Roman"/>
                <w:snapToGrid w:val="0"/>
                <w:sz w:val="20"/>
                <w:szCs w:val="20"/>
              </w:rPr>
              <w:t>%</w:t>
            </w:r>
          </w:p>
        </w:tc>
        <w:tc>
          <w:tcPr>
            <w:tcW w:w="2114" w:type="dxa"/>
            <w:shd w:val="clear" w:color="auto" w:fill="auto"/>
            <w:tcMar>
              <w:left w:w="20" w:type="dxa"/>
              <w:right w:w="20" w:type="dxa"/>
            </w:tcMar>
          </w:tcPr>
          <w:p w14:paraId="196C90A0" w14:textId="77777777" w:rsidR="0071626A" w:rsidRPr="007C0D91" w:rsidRDefault="0071626A" w:rsidP="00767449">
            <w:pPr>
              <w:keepNext/>
              <w:keepLines/>
              <w:jc w:val="left"/>
              <w:rPr>
                <w:rFonts w:ascii="Arial Narrow" w:hAnsi="Arial Narrow" w:cs="Times New Roman"/>
                <w:snapToGrid w:val="0"/>
                <w:sz w:val="20"/>
                <w:szCs w:val="20"/>
              </w:rPr>
            </w:pPr>
            <w:r w:rsidRPr="007C0D91">
              <w:rPr>
                <w:rFonts w:ascii="Arial Narrow" w:hAnsi="Arial Narrow" w:cs="Times New Roman"/>
                <w:snapToGrid w:val="0"/>
                <w:sz w:val="20"/>
                <w:szCs w:val="20"/>
              </w:rPr>
              <w:t>Assumption</w:t>
            </w:r>
          </w:p>
          <w:p w14:paraId="3B22526B" w14:textId="02B8FA55" w:rsidR="003616A1" w:rsidRPr="007C0D91" w:rsidRDefault="003616A1" w:rsidP="00767449">
            <w:pPr>
              <w:keepNext/>
              <w:keepLines/>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 xml:space="preserve">The November 2022 submission had assumed a </w:t>
            </w:r>
            <w:r w:rsidR="00092A28" w:rsidRPr="00092A28">
              <w:rPr>
                <w:rFonts w:ascii="Arial Narrow" w:hAnsi="Arial Narrow" w:cs="Times New Roman"/>
                <w:iCs/>
                <w:snapToGrid w:val="0"/>
                <w:color w:val="000000"/>
                <w:spacing w:val="53"/>
                <w:sz w:val="20"/>
                <w:szCs w:val="20"/>
                <w:shd w:val="solid" w:color="000000" w:fill="000000"/>
                <w:fitText w:val="330" w:id="-1167912434"/>
                <w14:textFill>
                  <w14:solidFill>
                    <w14:srgbClr w14:val="000000">
                      <w14:alpha w14:val="100000"/>
                    </w14:srgbClr>
                  </w14:solidFill>
                </w14:textFill>
              </w:rPr>
              <w:t>|||</w:t>
            </w:r>
            <w:r w:rsidR="00092A28" w:rsidRPr="00092A28">
              <w:rPr>
                <w:rFonts w:ascii="Arial Narrow" w:hAnsi="Arial Narrow" w:cs="Times New Roman"/>
                <w:iCs/>
                <w:snapToGrid w:val="0"/>
                <w:color w:val="000000"/>
                <w:spacing w:val="1"/>
                <w:sz w:val="20"/>
                <w:szCs w:val="20"/>
                <w:shd w:val="solid" w:color="000000" w:fill="000000"/>
                <w:fitText w:val="330" w:id="-1167912434"/>
                <w14:textFill>
                  <w14:solidFill>
                    <w14:srgbClr w14:val="000000">
                      <w14:alpha w14:val="100000"/>
                    </w14:srgbClr>
                  </w14:solidFill>
                </w14:textFill>
              </w:rPr>
              <w:t>|</w:t>
            </w:r>
            <w:r w:rsidRPr="007C0D91">
              <w:rPr>
                <w:rFonts w:ascii="Arial Narrow" w:hAnsi="Arial Narrow" w:cs="Times New Roman"/>
                <w:iCs/>
                <w:snapToGrid w:val="0"/>
                <w:sz w:val="20"/>
                <w:szCs w:val="20"/>
              </w:rPr>
              <w:t xml:space="preserve">% uptake in Years 1 and 2, increasing to </w:t>
            </w:r>
            <w:r w:rsidR="00092A28" w:rsidRPr="00092A28">
              <w:rPr>
                <w:rFonts w:ascii="Arial Narrow" w:hAnsi="Arial Narrow" w:cs="Times New Roman"/>
                <w:iCs/>
                <w:snapToGrid w:val="0"/>
                <w:color w:val="000000"/>
                <w:spacing w:val="53"/>
                <w:sz w:val="20"/>
                <w:szCs w:val="20"/>
                <w:shd w:val="solid" w:color="000000" w:fill="000000"/>
                <w:fitText w:val="330" w:id="-1167912433"/>
                <w14:textFill>
                  <w14:solidFill>
                    <w14:srgbClr w14:val="000000">
                      <w14:alpha w14:val="100000"/>
                    </w14:srgbClr>
                  </w14:solidFill>
                </w14:textFill>
              </w:rPr>
              <w:t>|||</w:t>
            </w:r>
            <w:r w:rsidR="00092A28" w:rsidRPr="00092A28">
              <w:rPr>
                <w:rFonts w:ascii="Arial Narrow" w:hAnsi="Arial Narrow" w:cs="Times New Roman"/>
                <w:iCs/>
                <w:snapToGrid w:val="0"/>
                <w:color w:val="000000"/>
                <w:spacing w:val="1"/>
                <w:sz w:val="20"/>
                <w:szCs w:val="20"/>
                <w:shd w:val="solid" w:color="000000" w:fill="000000"/>
                <w:fitText w:val="330" w:id="-1167912433"/>
                <w14:textFill>
                  <w14:solidFill>
                    <w14:srgbClr w14:val="000000">
                      <w14:alpha w14:val="100000"/>
                    </w14:srgbClr>
                  </w14:solidFill>
                </w14:textFill>
              </w:rPr>
              <w:t>|</w:t>
            </w:r>
            <w:r w:rsidRPr="007C0D91">
              <w:rPr>
                <w:rFonts w:ascii="Arial Narrow" w:hAnsi="Arial Narrow" w:cs="Times New Roman"/>
                <w:iCs/>
                <w:snapToGrid w:val="0"/>
                <w:sz w:val="20"/>
                <w:szCs w:val="20"/>
              </w:rPr>
              <w:t>% in Year 3 and onward.</w:t>
            </w:r>
          </w:p>
        </w:tc>
        <w:tc>
          <w:tcPr>
            <w:tcW w:w="3654" w:type="dxa"/>
            <w:shd w:val="clear" w:color="auto" w:fill="auto"/>
            <w:tcMar>
              <w:left w:w="20" w:type="dxa"/>
              <w:right w:w="20" w:type="dxa"/>
            </w:tcMar>
          </w:tcPr>
          <w:p w14:paraId="2EC09B1A" w14:textId="76AD4ADF" w:rsidR="0071626A" w:rsidRPr="007C0D91" w:rsidRDefault="0071626A" w:rsidP="00767449">
            <w:pPr>
              <w:keepNext/>
              <w:keepLines/>
              <w:jc w:val="left"/>
              <w:rPr>
                <w:rFonts w:ascii="Arial Narrow" w:hAnsi="Arial Narrow" w:cs="Times New Roman"/>
                <w:i/>
                <w:snapToGrid w:val="0"/>
                <w:sz w:val="20"/>
                <w:szCs w:val="20"/>
              </w:rPr>
            </w:pPr>
            <w:r w:rsidRPr="007C0D91">
              <w:rPr>
                <w:rFonts w:ascii="Arial Narrow" w:hAnsi="Arial Narrow" w:cs="Times New Roman"/>
                <w:iCs/>
                <w:snapToGrid w:val="0"/>
                <w:sz w:val="20"/>
                <w:szCs w:val="20"/>
              </w:rPr>
              <w:t>This is an area of uncertainty.</w:t>
            </w:r>
            <w:r w:rsidR="003616A1" w:rsidRPr="007C0D91">
              <w:rPr>
                <w:rFonts w:ascii="Arial Narrow" w:hAnsi="Arial Narrow" w:cs="Times New Roman"/>
                <w:iCs/>
                <w:snapToGrid w:val="0"/>
                <w:sz w:val="20"/>
                <w:szCs w:val="20"/>
              </w:rPr>
              <w:t xml:space="preserve"> </w:t>
            </w:r>
            <w:r w:rsidRPr="007C0D91">
              <w:rPr>
                <w:rFonts w:ascii="Arial Narrow" w:hAnsi="Arial Narrow" w:cs="Times New Roman"/>
                <w:iCs/>
                <w:snapToGrid w:val="0"/>
                <w:sz w:val="20"/>
                <w:szCs w:val="20"/>
              </w:rPr>
              <w:t>However,</w:t>
            </w:r>
            <w:r w:rsidR="003616A1" w:rsidRPr="007C0D91">
              <w:rPr>
                <w:rFonts w:ascii="Arial Narrow" w:hAnsi="Arial Narrow" w:cs="Times New Roman"/>
                <w:iCs/>
                <w:snapToGrid w:val="0"/>
                <w:sz w:val="20"/>
                <w:szCs w:val="20"/>
              </w:rPr>
              <w:t xml:space="preserve"> </w:t>
            </w:r>
            <w:r w:rsidRPr="007C0D91">
              <w:rPr>
                <w:rFonts w:ascii="Arial Narrow" w:hAnsi="Arial Narrow" w:cs="Times New Roman"/>
                <w:iCs/>
                <w:snapToGrid w:val="0"/>
                <w:sz w:val="20"/>
                <w:szCs w:val="20"/>
              </w:rPr>
              <w:t>a high uptake rate of mobocertinib is expected if the risk-benefit balance of mobocertinib is favourable in clinical practice.</w:t>
            </w:r>
          </w:p>
        </w:tc>
      </w:tr>
      <w:tr w:rsidR="0071626A" w:rsidRPr="007C0D91" w14:paraId="6888D5C5" w14:textId="77777777" w:rsidTr="00646849">
        <w:trPr>
          <w:cantSplit/>
        </w:trPr>
        <w:tc>
          <w:tcPr>
            <w:tcW w:w="1689" w:type="dxa"/>
            <w:tcMar>
              <w:left w:w="20" w:type="dxa"/>
              <w:right w:w="20" w:type="dxa"/>
            </w:tcMar>
          </w:tcPr>
          <w:p w14:paraId="79C55177"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Treatment duration of mobocertinib</w:t>
            </w:r>
          </w:p>
        </w:tc>
        <w:tc>
          <w:tcPr>
            <w:tcW w:w="1560" w:type="dxa"/>
            <w:shd w:val="clear" w:color="auto" w:fill="B8CCE4" w:themeFill="accent1" w:themeFillTint="66"/>
            <w:tcMar>
              <w:left w:w="20" w:type="dxa"/>
              <w:right w:w="20" w:type="dxa"/>
            </w:tcMar>
          </w:tcPr>
          <w:p w14:paraId="21D32B82"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Mean duration (cycles) in each treatment year:</w:t>
            </w:r>
          </w:p>
          <w:p w14:paraId="3D38D5A5" w14:textId="77777777" w:rsidR="0071626A" w:rsidRPr="007C0D91" w:rsidRDefault="0071626A" w:rsidP="00646849">
            <w:pPr>
              <w:jc w:val="left"/>
              <w:rPr>
                <w:rFonts w:ascii="Arial Narrow" w:hAnsi="Arial Narrow" w:cs="Times New Roman"/>
                <w:snapToGrid w:val="0"/>
                <w:sz w:val="20"/>
              </w:rPr>
            </w:pPr>
          </w:p>
          <w:p w14:paraId="4868F65B"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1</w:t>
            </w:r>
            <w:r w:rsidRPr="007C0D91">
              <w:rPr>
                <w:rFonts w:ascii="Arial Narrow" w:hAnsi="Arial Narrow" w:cs="Times New Roman"/>
                <w:snapToGrid w:val="0"/>
                <w:sz w:val="20"/>
                <w:vertAlign w:val="superscript"/>
              </w:rPr>
              <w:t>st</w:t>
            </w:r>
            <w:r w:rsidRPr="007C0D91">
              <w:rPr>
                <w:rFonts w:ascii="Arial Narrow" w:hAnsi="Arial Narrow" w:cs="Times New Roman"/>
                <w:snapToGrid w:val="0"/>
                <w:sz w:val="20"/>
              </w:rPr>
              <w:t xml:space="preserve"> treatment year: 7.94 cycles</w:t>
            </w:r>
          </w:p>
          <w:p w14:paraId="7DBFCB9C"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2</w:t>
            </w:r>
            <w:r w:rsidRPr="007C0D91">
              <w:rPr>
                <w:rFonts w:ascii="Arial Narrow" w:hAnsi="Arial Narrow" w:cs="Times New Roman"/>
                <w:snapToGrid w:val="0"/>
                <w:sz w:val="20"/>
                <w:vertAlign w:val="superscript"/>
              </w:rPr>
              <w:t>nd</w:t>
            </w:r>
            <w:r w:rsidRPr="007C0D91">
              <w:rPr>
                <w:rFonts w:ascii="Arial Narrow" w:hAnsi="Arial Narrow" w:cs="Times New Roman"/>
                <w:snapToGrid w:val="0"/>
                <w:sz w:val="20"/>
              </w:rPr>
              <w:t xml:space="preserve"> treatment year: 2.93 cycles</w:t>
            </w:r>
          </w:p>
          <w:p w14:paraId="41F3159C"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3</w:t>
            </w:r>
            <w:r w:rsidRPr="007C0D91">
              <w:rPr>
                <w:rFonts w:ascii="Arial Narrow" w:hAnsi="Arial Narrow" w:cs="Times New Roman"/>
                <w:snapToGrid w:val="0"/>
                <w:sz w:val="20"/>
                <w:vertAlign w:val="superscript"/>
              </w:rPr>
              <w:t>rd</w:t>
            </w:r>
            <w:r w:rsidRPr="007C0D91">
              <w:rPr>
                <w:rFonts w:ascii="Arial Narrow" w:hAnsi="Arial Narrow" w:cs="Times New Roman"/>
                <w:snapToGrid w:val="0"/>
                <w:sz w:val="20"/>
              </w:rPr>
              <w:t xml:space="preserve"> treatment year: 1.29 cycles</w:t>
            </w:r>
          </w:p>
          <w:p w14:paraId="2590D7EB"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4</w:t>
            </w:r>
            <w:r w:rsidRPr="007C0D91">
              <w:rPr>
                <w:rFonts w:ascii="Arial Narrow" w:hAnsi="Arial Narrow" w:cs="Times New Roman"/>
                <w:snapToGrid w:val="0"/>
                <w:sz w:val="20"/>
                <w:vertAlign w:val="superscript"/>
              </w:rPr>
              <w:t>th</w:t>
            </w:r>
            <w:r w:rsidRPr="007C0D91">
              <w:rPr>
                <w:rFonts w:ascii="Arial Narrow" w:hAnsi="Arial Narrow" w:cs="Times New Roman"/>
                <w:snapToGrid w:val="0"/>
                <w:sz w:val="20"/>
              </w:rPr>
              <w:t xml:space="preserve"> treatment year: 0.43 cycles</w:t>
            </w:r>
          </w:p>
          <w:p w14:paraId="40B80878"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5</w:t>
            </w:r>
            <w:r w:rsidRPr="007C0D91">
              <w:rPr>
                <w:rFonts w:ascii="Arial Narrow" w:hAnsi="Arial Narrow" w:cs="Times New Roman"/>
                <w:snapToGrid w:val="0"/>
                <w:sz w:val="20"/>
                <w:vertAlign w:val="superscript"/>
              </w:rPr>
              <w:t>th</w:t>
            </w:r>
            <w:r w:rsidRPr="007C0D91">
              <w:rPr>
                <w:rFonts w:ascii="Arial Narrow" w:hAnsi="Arial Narrow" w:cs="Times New Roman"/>
                <w:snapToGrid w:val="0"/>
                <w:sz w:val="20"/>
              </w:rPr>
              <w:t xml:space="preserve"> treatment year: 0.15 cycles</w:t>
            </w:r>
          </w:p>
          <w:p w14:paraId="6F29C2FA"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6</w:t>
            </w:r>
            <w:r w:rsidRPr="007C0D91">
              <w:rPr>
                <w:rFonts w:ascii="Arial Narrow" w:hAnsi="Arial Narrow" w:cs="Times New Roman"/>
                <w:snapToGrid w:val="0"/>
                <w:sz w:val="20"/>
                <w:vertAlign w:val="superscript"/>
              </w:rPr>
              <w:t>th</w:t>
            </w:r>
            <w:r w:rsidRPr="007C0D91">
              <w:rPr>
                <w:rFonts w:ascii="Arial Narrow" w:hAnsi="Arial Narrow" w:cs="Times New Roman"/>
                <w:snapToGrid w:val="0"/>
                <w:sz w:val="20"/>
              </w:rPr>
              <w:t xml:space="preserve"> treatment year: 0.05 cycles</w:t>
            </w:r>
          </w:p>
        </w:tc>
        <w:tc>
          <w:tcPr>
            <w:tcW w:w="2114" w:type="dxa"/>
            <w:shd w:val="clear" w:color="auto" w:fill="B8CCE4" w:themeFill="accent1" w:themeFillTint="66"/>
            <w:tcMar>
              <w:left w:w="20" w:type="dxa"/>
              <w:right w:w="20" w:type="dxa"/>
            </w:tcMar>
          </w:tcPr>
          <w:p w14:paraId="3029D36D"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Based on modelled TTD (Study 101)</w:t>
            </w:r>
          </w:p>
        </w:tc>
        <w:tc>
          <w:tcPr>
            <w:tcW w:w="3654" w:type="dxa"/>
            <w:shd w:val="clear" w:color="auto" w:fill="B8CCE4" w:themeFill="accent1" w:themeFillTint="66"/>
            <w:tcMar>
              <w:left w:w="20" w:type="dxa"/>
              <w:right w:w="20" w:type="dxa"/>
            </w:tcMar>
          </w:tcPr>
          <w:p w14:paraId="4FA0D7EF"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tc>
      </w:tr>
      <w:tr w:rsidR="0071626A" w:rsidRPr="007C0D91" w14:paraId="23AA82E6" w14:textId="77777777" w:rsidTr="00646849">
        <w:trPr>
          <w:cantSplit/>
        </w:trPr>
        <w:tc>
          <w:tcPr>
            <w:tcW w:w="1689" w:type="dxa"/>
            <w:tcMar>
              <w:left w:w="20" w:type="dxa"/>
              <w:right w:w="20" w:type="dxa"/>
            </w:tcMar>
          </w:tcPr>
          <w:p w14:paraId="647DE09F" w14:textId="77777777" w:rsidR="0071626A" w:rsidRPr="007C0D91" w:rsidRDefault="0071626A" w:rsidP="00646849">
            <w:pPr>
              <w:jc w:val="left"/>
              <w:rPr>
                <w:rFonts w:ascii="Arial Narrow" w:hAnsi="Arial Narrow" w:cs="Times New Roman"/>
                <w:snapToGrid w:val="0"/>
                <w:sz w:val="20"/>
                <w:szCs w:val="20"/>
                <w:vertAlign w:val="superscript"/>
              </w:rPr>
            </w:pPr>
            <w:r w:rsidRPr="007C0D91">
              <w:rPr>
                <w:rFonts w:ascii="Arial Narrow" w:hAnsi="Arial Narrow" w:cs="Times New Roman"/>
                <w:snapToGrid w:val="0"/>
                <w:sz w:val="20"/>
                <w:szCs w:val="20"/>
              </w:rPr>
              <w:t>Distribution of standard of care treatments in current clinical practice</w:t>
            </w:r>
          </w:p>
        </w:tc>
        <w:tc>
          <w:tcPr>
            <w:tcW w:w="1560" w:type="dxa"/>
            <w:shd w:val="clear" w:color="auto" w:fill="auto"/>
            <w:tcMar>
              <w:left w:w="20" w:type="dxa"/>
              <w:right w:w="20" w:type="dxa"/>
            </w:tcMar>
          </w:tcPr>
          <w:p w14:paraId="4C1F2FD8"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Docetaxel: 21.8%</w:t>
            </w:r>
          </w:p>
          <w:p w14:paraId="637B4383"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Gemcitabine: 8.2%</w:t>
            </w:r>
          </w:p>
          <w:p w14:paraId="0AD9F4D3"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Pemetrexed: 45.4%</w:t>
            </w:r>
          </w:p>
          <w:p w14:paraId="6691FC45"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Carboplatin: 22.7%</w:t>
            </w:r>
          </w:p>
          <w:p w14:paraId="0987D70F"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Paclitaxel: 1.8%</w:t>
            </w:r>
          </w:p>
        </w:tc>
        <w:tc>
          <w:tcPr>
            <w:tcW w:w="2114" w:type="dxa"/>
            <w:shd w:val="clear" w:color="auto" w:fill="auto"/>
            <w:tcMar>
              <w:left w:w="20" w:type="dxa"/>
              <w:right w:w="20" w:type="dxa"/>
            </w:tcMar>
          </w:tcPr>
          <w:p w14:paraId="3B5214D2"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Pooled data from Study 5008 and Study 5002</w:t>
            </w:r>
          </w:p>
        </w:tc>
        <w:tc>
          <w:tcPr>
            <w:tcW w:w="3654" w:type="dxa"/>
            <w:shd w:val="clear" w:color="auto" w:fill="auto"/>
            <w:tcMar>
              <w:left w:w="20" w:type="dxa"/>
              <w:right w:w="20" w:type="dxa"/>
            </w:tcMar>
          </w:tcPr>
          <w:p w14:paraId="56F582DF"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tc>
      </w:tr>
      <w:tr w:rsidR="0071626A" w:rsidRPr="007C0D91" w14:paraId="733140AE" w14:textId="77777777" w:rsidTr="00646849">
        <w:trPr>
          <w:cantSplit/>
        </w:trPr>
        <w:tc>
          <w:tcPr>
            <w:tcW w:w="1689" w:type="dxa"/>
            <w:tcMar>
              <w:left w:w="20" w:type="dxa"/>
              <w:right w:w="20" w:type="dxa"/>
            </w:tcMar>
          </w:tcPr>
          <w:p w14:paraId="5F6C7BE2"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Treatment duration for standard of care</w:t>
            </w:r>
          </w:p>
        </w:tc>
        <w:tc>
          <w:tcPr>
            <w:tcW w:w="1560" w:type="dxa"/>
            <w:tcMar>
              <w:left w:w="20" w:type="dxa"/>
              <w:right w:w="20" w:type="dxa"/>
            </w:tcMar>
          </w:tcPr>
          <w:p w14:paraId="5FD96E22"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Mean duration (cycles) in each treatment year:</w:t>
            </w:r>
          </w:p>
          <w:p w14:paraId="3362F0CF" w14:textId="77777777" w:rsidR="0071626A" w:rsidRPr="007C0D91" w:rsidRDefault="0071626A" w:rsidP="00646849">
            <w:pPr>
              <w:jc w:val="left"/>
              <w:rPr>
                <w:rFonts w:ascii="Arial Narrow" w:hAnsi="Arial Narrow" w:cs="Times New Roman"/>
                <w:snapToGrid w:val="0"/>
                <w:sz w:val="20"/>
              </w:rPr>
            </w:pPr>
          </w:p>
          <w:p w14:paraId="75BD0299"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1</w:t>
            </w:r>
            <w:r w:rsidRPr="007C0D91">
              <w:rPr>
                <w:rFonts w:ascii="Arial Narrow" w:hAnsi="Arial Narrow" w:cs="Times New Roman"/>
                <w:snapToGrid w:val="0"/>
                <w:sz w:val="20"/>
                <w:vertAlign w:val="superscript"/>
              </w:rPr>
              <w:t>st</w:t>
            </w:r>
            <w:r w:rsidRPr="007C0D91">
              <w:rPr>
                <w:rFonts w:ascii="Arial Narrow" w:hAnsi="Arial Narrow" w:cs="Times New Roman"/>
                <w:snapToGrid w:val="0"/>
                <w:sz w:val="20"/>
              </w:rPr>
              <w:t xml:space="preserve"> treatment year: 4.41 cycles </w:t>
            </w:r>
          </w:p>
          <w:p w14:paraId="6F1999C5"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2</w:t>
            </w:r>
            <w:r w:rsidRPr="007C0D91">
              <w:rPr>
                <w:rFonts w:ascii="Arial Narrow" w:hAnsi="Arial Narrow" w:cs="Times New Roman"/>
                <w:snapToGrid w:val="0"/>
                <w:sz w:val="20"/>
                <w:vertAlign w:val="superscript"/>
              </w:rPr>
              <w:t>nd</w:t>
            </w:r>
            <w:r w:rsidRPr="007C0D91">
              <w:rPr>
                <w:rFonts w:ascii="Arial Narrow" w:hAnsi="Arial Narrow" w:cs="Times New Roman"/>
                <w:snapToGrid w:val="0"/>
                <w:sz w:val="20"/>
              </w:rPr>
              <w:t xml:space="preserve"> treatment year: 0.86 cycles</w:t>
            </w:r>
          </w:p>
          <w:p w14:paraId="442D13E0" w14:textId="77777777" w:rsidR="0071626A" w:rsidRPr="007C0D91" w:rsidRDefault="0071626A" w:rsidP="00646849">
            <w:pPr>
              <w:jc w:val="left"/>
              <w:rPr>
                <w:rFonts w:ascii="Arial Narrow" w:hAnsi="Arial Narrow" w:cs="Times New Roman"/>
                <w:snapToGrid w:val="0"/>
                <w:sz w:val="20"/>
                <w:highlight w:val="yellow"/>
              </w:rPr>
            </w:pPr>
            <w:r w:rsidRPr="007C0D91">
              <w:rPr>
                <w:rFonts w:ascii="Arial Narrow" w:hAnsi="Arial Narrow" w:cs="Times New Roman"/>
                <w:snapToGrid w:val="0"/>
                <w:sz w:val="20"/>
              </w:rPr>
              <w:t>3</w:t>
            </w:r>
            <w:r w:rsidRPr="007C0D91">
              <w:rPr>
                <w:rFonts w:ascii="Arial Narrow" w:hAnsi="Arial Narrow" w:cs="Times New Roman"/>
                <w:snapToGrid w:val="0"/>
                <w:sz w:val="20"/>
                <w:vertAlign w:val="superscript"/>
              </w:rPr>
              <w:t>rd</w:t>
            </w:r>
            <w:r w:rsidRPr="007C0D91">
              <w:rPr>
                <w:rFonts w:ascii="Arial Narrow" w:hAnsi="Arial Narrow" w:cs="Times New Roman"/>
                <w:snapToGrid w:val="0"/>
                <w:sz w:val="20"/>
              </w:rPr>
              <w:t xml:space="preserve"> treatment year onward: 0 cycle</w:t>
            </w:r>
          </w:p>
        </w:tc>
        <w:tc>
          <w:tcPr>
            <w:tcW w:w="2114" w:type="dxa"/>
            <w:tcMar>
              <w:left w:w="20" w:type="dxa"/>
              <w:right w:w="20" w:type="dxa"/>
            </w:tcMar>
          </w:tcPr>
          <w:p w14:paraId="10605537" w14:textId="1A5C793E" w:rsidR="0071626A" w:rsidRPr="007C0D91" w:rsidRDefault="0071626A" w:rsidP="00646849">
            <w:pPr>
              <w:jc w:val="left"/>
              <w:rPr>
                <w:rFonts w:ascii="Arial Narrow" w:hAnsi="Arial Narrow" w:cs="Times New Roman"/>
                <w:snapToGrid w:val="0"/>
                <w:sz w:val="20"/>
                <w:szCs w:val="20"/>
                <w:highlight w:val="yellow"/>
              </w:rPr>
            </w:pPr>
            <w:r w:rsidRPr="007C0D91">
              <w:rPr>
                <w:rFonts w:ascii="Arial Narrow" w:hAnsi="Arial Narrow" w:cs="Times New Roman"/>
                <w:snapToGrid w:val="0"/>
                <w:sz w:val="20"/>
              </w:rPr>
              <w:t>Based on modelled TTD (po</w:t>
            </w:r>
            <w:r w:rsidR="00A61E5C">
              <w:rPr>
                <w:rFonts w:ascii="Arial Narrow" w:hAnsi="Arial Narrow" w:cs="Times New Roman"/>
                <w:snapToGrid w:val="0"/>
                <w:sz w:val="20"/>
              </w:rPr>
              <w:t>o</w:t>
            </w:r>
            <w:r w:rsidRPr="007C0D91">
              <w:rPr>
                <w:rFonts w:ascii="Arial Narrow" w:hAnsi="Arial Narrow" w:cs="Times New Roman"/>
                <w:snapToGrid w:val="0"/>
                <w:sz w:val="20"/>
              </w:rPr>
              <w:t>led data from Study 5002 and 5008)</w:t>
            </w:r>
          </w:p>
        </w:tc>
        <w:tc>
          <w:tcPr>
            <w:tcW w:w="3654" w:type="dxa"/>
            <w:tcMar>
              <w:left w:w="20" w:type="dxa"/>
              <w:right w:w="20" w:type="dxa"/>
            </w:tcMar>
          </w:tcPr>
          <w:p w14:paraId="5AB1D47A"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w:t>
            </w:r>
          </w:p>
        </w:tc>
      </w:tr>
      <w:tr w:rsidR="0071626A" w:rsidRPr="007C0D91" w14:paraId="1028E9EB" w14:textId="77777777" w:rsidTr="00646849">
        <w:trPr>
          <w:cantSplit/>
        </w:trPr>
        <w:tc>
          <w:tcPr>
            <w:tcW w:w="1689" w:type="dxa"/>
            <w:tcMar>
              <w:left w:w="20" w:type="dxa"/>
              <w:right w:w="20" w:type="dxa"/>
            </w:tcMar>
          </w:tcPr>
          <w:p w14:paraId="438B56C9"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rPr>
              <w:t>Relative dose intensity</w:t>
            </w:r>
          </w:p>
        </w:tc>
        <w:tc>
          <w:tcPr>
            <w:tcW w:w="1560" w:type="dxa"/>
            <w:shd w:val="clear" w:color="auto" w:fill="B8CCE4" w:themeFill="accent1" w:themeFillTint="66"/>
            <w:tcMar>
              <w:left w:w="20" w:type="dxa"/>
              <w:right w:w="20" w:type="dxa"/>
            </w:tcMar>
          </w:tcPr>
          <w:p w14:paraId="538D355C"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93% - for both mobocertinib and standard of care</w:t>
            </w:r>
          </w:p>
        </w:tc>
        <w:tc>
          <w:tcPr>
            <w:tcW w:w="2114" w:type="dxa"/>
            <w:shd w:val="clear" w:color="auto" w:fill="B8CCE4" w:themeFill="accent1" w:themeFillTint="66"/>
            <w:tcMar>
              <w:left w:w="20" w:type="dxa"/>
              <w:right w:w="20" w:type="dxa"/>
            </w:tcMar>
          </w:tcPr>
          <w:p w14:paraId="6B44EA2E" w14:textId="77777777" w:rsidR="0071626A" w:rsidRPr="007C0D91" w:rsidRDefault="0071626A" w:rsidP="00646849">
            <w:pPr>
              <w:jc w:val="left"/>
              <w:rPr>
                <w:rFonts w:ascii="Arial Narrow" w:hAnsi="Arial Narrow" w:cs="Times New Roman"/>
                <w:snapToGrid w:val="0"/>
                <w:sz w:val="20"/>
              </w:rPr>
            </w:pPr>
            <w:r w:rsidRPr="007C0D91">
              <w:rPr>
                <w:rFonts w:ascii="Arial Narrow" w:hAnsi="Arial Narrow" w:cs="Times New Roman"/>
                <w:snapToGrid w:val="0"/>
                <w:sz w:val="20"/>
              </w:rPr>
              <w:t>Study 101</w:t>
            </w:r>
          </w:p>
        </w:tc>
        <w:tc>
          <w:tcPr>
            <w:tcW w:w="3654" w:type="dxa"/>
            <w:shd w:val="clear" w:color="auto" w:fill="B8CCE4" w:themeFill="accent1" w:themeFillTint="66"/>
            <w:tcMar>
              <w:left w:w="20" w:type="dxa"/>
              <w:right w:w="20" w:type="dxa"/>
            </w:tcMar>
          </w:tcPr>
          <w:p w14:paraId="4DD8C5CB"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rPr>
              <w:t>Reasonable</w:t>
            </w:r>
          </w:p>
        </w:tc>
      </w:tr>
      <w:tr w:rsidR="0071626A" w:rsidRPr="007C0D91" w14:paraId="57327E70" w14:textId="77777777" w:rsidTr="00646849">
        <w:trPr>
          <w:cantSplit/>
        </w:trPr>
        <w:tc>
          <w:tcPr>
            <w:tcW w:w="9017" w:type="dxa"/>
            <w:gridSpan w:val="4"/>
            <w:tcMar>
              <w:left w:w="20" w:type="dxa"/>
              <w:right w:w="20" w:type="dxa"/>
            </w:tcMar>
          </w:tcPr>
          <w:p w14:paraId="0CA2A8CD" w14:textId="77777777" w:rsidR="0071626A" w:rsidRPr="007C0D91" w:rsidRDefault="0071626A" w:rsidP="00646849">
            <w:pPr>
              <w:keepNext/>
              <w:keepLines/>
              <w:jc w:val="left"/>
              <w:rPr>
                <w:rFonts w:ascii="Arial Narrow" w:hAnsi="Arial Narrow" w:cs="Times New Roman"/>
                <w:b/>
                <w:iCs/>
                <w:snapToGrid w:val="0"/>
                <w:sz w:val="20"/>
                <w:szCs w:val="20"/>
              </w:rPr>
            </w:pPr>
            <w:r w:rsidRPr="007C0D91">
              <w:rPr>
                <w:rFonts w:ascii="Arial Narrow" w:hAnsi="Arial Narrow" w:cs="Times New Roman"/>
                <w:b/>
                <w:iCs/>
                <w:snapToGrid w:val="0"/>
                <w:sz w:val="20"/>
                <w:szCs w:val="20"/>
              </w:rPr>
              <w:t>Drug costs</w:t>
            </w:r>
          </w:p>
        </w:tc>
      </w:tr>
      <w:tr w:rsidR="0071626A" w:rsidRPr="007C0D91" w14:paraId="3E4E57DF" w14:textId="77777777" w:rsidTr="00646849">
        <w:trPr>
          <w:cantSplit/>
        </w:trPr>
        <w:tc>
          <w:tcPr>
            <w:tcW w:w="1689" w:type="dxa"/>
            <w:tcMar>
              <w:left w:w="20" w:type="dxa"/>
              <w:right w:w="20" w:type="dxa"/>
            </w:tcMar>
          </w:tcPr>
          <w:p w14:paraId="472970D8"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Mobocertinib</w:t>
            </w:r>
          </w:p>
        </w:tc>
        <w:tc>
          <w:tcPr>
            <w:tcW w:w="1560" w:type="dxa"/>
            <w:shd w:val="clear" w:color="auto" w:fill="auto"/>
            <w:tcMar>
              <w:left w:w="20" w:type="dxa"/>
              <w:right w:w="20" w:type="dxa"/>
            </w:tcMar>
          </w:tcPr>
          <w:p w14:paraId="1BDAE65D" w14:textId="32BAA8F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Effective DPMQ of $</w:t>
            </w:r>
            <w:r w:rsidR="00092A28" w:rsidRPr="00092A28">
              <w:rPr>
                <w:rFonts w:ascii="Arial Narrow" w:hAnsi="Arial Narrow" w:cs="Times New Roman"/>
                <w:snapToGrid w:val="0"/>
                <w:color w:val="000000"/>
                <w:spacing w:val="53"/>
                <w:sz w:val="20"/>
                <w:szCs w:val="20"/>
                <w:shd w:val="solid" w:color="000000" w:fill="000000"/>
                <w:fitText w:val="330" w:id="-1167912432"/>
                <w14:textFill>
                  <w14:solidFill>
                    <w14:srgbClr w14:val="000000">
                      <w14:alpha w14:val="100000"/>
                    </w14:srgbClr>
                  </w14:solidFill>
                </w14:textFill>
              </w:rPr>
              <w:t>|||</w:t>
            </w:r>
            <w:r w:rsidR="00092A28" w:rsidRPr="00092A28">
              <w:rPr>
                <w:rFonts w:ascii="Arial Narrow" w:hAnsi="Arial Narrow" w:cs="Times New Roman"/>
                <w:snapToGrid w:val="0"/>
                <w:color w:val="000000"/>
                <w:spacing w:val="1"/>
                <w:sz w:val="20"/>
                <w:szCs w:val="20"/>
                <w:shd w:val="solid" w:color="000000" w:fill="000000"/>
                <w:fitText w:val="330" w:id="-1167912432"/>
                <w14:textFill>
                  <w14:solidFill>
                    <w14:srgbClr w14:val="000000">
                      <w14:alpha w14:val="100000"/>
                    </w14:srgbClr>
                  </w14:solidFill>
                </w14:textFill>
              </w:rPr>
              <w:t>|</w:t>
            </w:r>
          </w:p>
        </w:tc>
        <w:tc>
          <w:tcPr>
            <w:tcW w:w="2114" w:type="dxa"/>
            <w:shd w:val="clear" w:color="auto" w:fill="auto"/>
            <w:tcMar>
              <w:left w:w="20" w:type="dxa"/>
              <w:right w:w="20" w:type="dxa"/>
            </w:tcMar>
          </w:tcPr>
          <w:p w14:paraId="37C433BC" w14:textId="77777777" w:rsidR="0071626A" w:rsidRPr="007C0D91" w:rsidRDefault="0071626A" w:rsidP="00646849">
            <w:pPr>
              <w:keepNext/>
              <w:keepLines/>
              <w:jc w:val="left"/>
              <w:rPr>
                <w:rFonts w:ascii="Arial Narrow" w:hAnsi="Arial Narrow" w:cs="Times New Roman"/>
                <w:snapToGrid w:val="0"/>
                <w:sz w:val="20"/>
                <w:szCs w:val="20"/>
              </w:rPr>
            </w:pPr>
            <w:r w:rsidRPr="007C0D91">
              <w:rPr>
                <w:rFonts w:ascii="Arial Narrow" w:hAnsi="Arial Narrow" w:cs="Times New Roman"/>
                <w:snapToGrid w:val="0"/>
                <w:sz w:val="20"/>
                <w:szCs w:val="20"/>
              </w:rPr>
              <w:t>Proposed effective price</w:t>
            </w:r>
          </w:p>
        </w:tc>
        <w:tc>
          <w:tcPr>
            <w:tcW w:w="3654" w:type="dxa"/>
            <w:shd w:val="clear" w:color="auto" w:fill="auto"/>
            <w:tcMar>
              <w:left w:w="20" w:type="dxa"/>
              <w:right w:w="20" w:type="dxa"/>
            </w:tcMar>
          </w:tcPr>
          <w:p w14:paraId="7D0184BE" w14:textId="77777777" w:rsidR="0071626A" w:rsidRPr="007C0D91" w:rsidRDefault="0071626A" w:rsidP="00646849">
            <w:pPr>
              <w:keepNext/>
              <w:keepLines/>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Appropriate</w:t>
            </w:r>
          </w:p>
        </w:tc>
      </w:tr>
      <w:tr w:rsidR="0071626A" w:rsidRPr="007C0D91" w14:paraId="76CA0663" w14:textId="77777777" w:rsidTr="00646849">
        <w:trPr>
          <w:cantSplit/>
        </w:trPr>
        <w:tc>
          <w:tcPr>
            <w:tcW w:w="1689" w:type="dxa"/>
            <w:tcMar>
              <w:left w:w="20" w:type="dxa"/>
              <w:right w:w="20" w:type="dxa"/>
            </w:tcMar>
          </w:tcPr>
          <w:p w14:paraId="5E8DE0C0"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Standard of care</w:t>
            </w:r>
          </w:p>
        </w:tc>
        <w:tc>
          <w:tcPr>
            <w:tcW w:w="1560" w:type="dxa"/>
            <w:shd w:val="clear" w:color="auto" w:fill="B8CCE4" w:themeFill="accent1" w:themeFillTint="66"/>
            <w:tcMar>
              <w:left w:w="20" w:type="dxa"/>
              <w:right w:w="20" w:type="dxa"/>
            </w:tcMar>
          </w:tcPr>
          <w:p w14:paraId="03F3FE52"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 xml:space="preserve">Weighted dispensed price for each item based on the public/private split </w:t>
            </w:r>
          </w:p>
        </w:tc>
        <w:tc>
          <w:tcPr>
            <w:tcW w:w="2114" w:type="dxa"/>
            <w:shd w:val="clear" w:color="auto" w:fill="B8CCE4" w:themeFill="accent1" w:themeFillTint="66"/>
            <w:tcMar>
              <w:left w:w="20" w:type="dxa"/>
              <w:right w:w="20" w:type="dxa"/>
            </w:tcMar>
          </w:tcPr>
          <w:p w14:paraId="427037BA"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Published price</w:t>
            </w:r>
          </w:p>
        </w:tc>
        <w:tc>
          <w:tcPr>
            <w:tcW w:w="3654" w:type="dxa"/>
            <w:shd w:val="clear" w:color="auto" w:fill="auto"/>
            <w:tcMar>
              <w:left w:w="20" w:type="dxa"/>
              <w:right w:w="20" w:type="dxa"/>
            </w:tcMar>
          </w:tcPr>
          <w:p w14:paraId="6616AD4A"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Reasonable data source.</w:t>
            </w:r>
          </w:p>
          <w:p w14:paraId="0F02DE1B" w14:textId="77777777" w:rsidR="0071626A" w:rsidRPr="007C0D91" w:rsidRDefault="0071626A" w:rsidP="00646849">
            <w:pPr>
              <w:jc w:val="left"/>
              <w:rPr>
                <w:rFonts w:ascii="Arial Narrow" w:hAnsi="Arial Narrow" w:cs="Times New Roman"/>
                <w:iCs/>
                <w:snapToGrid w:val="0"/>
                <w:sz w:val="20"/>
                <w:szCs w:val="20"/>
              </w:rPr>
            </w:pPr>
          </w:p>
          <w:p w14:paraId="7C0F6CB3"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Resubmission considered only the costs of chemotherapy which is appropriate.</w:t>
            </w:r>
          </w:p>
        </w:tc>
      </w:tr>
      <w:tr w:rsidR="0071626A" w:rsidRPr="007C0D91" w14:paraId="774C220B" w14:textId="77777777" w:rsidTr="00646849">
        <w:trPr>
          <w:cantSplit/>
        </w:trPr>
        <w:tc>
          <w:tcPr>
            <w:tcW w:w="9017" w:type="dxa"/>
            <w:gridSpan w:val="4"/>
            <w:tcMar>
              <w:left w:w="20" w:type="dxa"/>
              <w:right w:w="20" w:type="dxa"/>
            </w:tcMar>
          </w:tcPr>
          <w:p w14:paraId="3F63EB71" w14:textId="77777777" w:rsidR="0071626A" w:rsidRPr="007C0D91" w:rsidRDefault="0071626A" w:rsidP="00646849">
            <w:pPr>
              <w:jc w:val="left"/>
              <w:rPr>
                <w:rFonts w:ascii="Arial Narrow" w:hAnsi="Arial Narrow" w:cs="Times New Roman"/>
                <w:b/>
                <w:iCs/>
                <w:snapToGrid w:val="0"/>
                <w:sz w:val="20"/>
                <w:szCs w:val="20"/>
              </w:rPr>
            </w:pPr>
            <w:r w:rsidRPr="007C0D91">
              <w:rPr>
                <w:rFonts w:ascii="Arial Narrow" w:hAnsi="Arial Narrow" w:cs="Times New Roman"/>
                <w:b/>
                <w:iCs/>
                <w:snapToGrid w:val="0"/>
                <w:sz w:val="20"/>
                <w:szCs w:val="20"/>
              </w:rPr>
              <w:t>PBS/RPBS services &amp; co-payment</w:t>
            </w:r>
          </w:p>
        </w:tc>
      </w:tr>
      <w:tr w:rsidR="0071626A" w:rsidRPr="007C0D91" w14:paraId="3AB81F1C" w14:textId="77777777" w:rsidTr="00646849">
        <w:trPr>
          <w:cantSplit/>
        </w:trPr>
        <w:tc>
          <w:tcPr>
            <w:tcW w:w="1689" w:type="dxa"/>
            <w:tcBorders>
              <w:top w:val="single" w:sz="4" w:space="0" w:color="auto"/>
              <w:left w:val="single" w:sz="4" w:space="0" w:color="auto"/>
              <w:bottom w:val="single" w:sz="4" w:space="0" w:color="auto"/>
              <w:right w:val="single" w:sz="4" w:space="0" w:color="auto"/>
            </w:tcBorders>
            <w:tcMar>
              <w:left w:w="20" w:type="dxa"/>
              <w:right w:w="20" w:type="dxa"/>
            </w:tcMar>
          </w:tcPr>
          <w:p w14:paraId="3EC2F196"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PBS/RPBS services split</w:t>
            </w:r>
          </w:p>
        </w:tc>
        <w:tc>
          <w:tcPr>
            <w:tcW w:w="1560" w:type="dxa"/>
            <w:vMerge w:val="restart"/>
            <w:tcBorders>
              <w:top w:val="single" w:sz="4" w:space="0" w:color="auto"/>
              <w:left w:val="single" w:sz="4" w:space="0" w:color="auto"/>
              <w:bottom w:val="single" w:sz="4" w:space="0" w:color="auto"/>
              <w:right w:val="single" w:sz="4" w:space="0" w:color="auto"/>
            </w:tcBorders>
            <w:tcMar>
              <w:left w:w="20" w:type="dxa"/>
              <w:right w:w="20" w:type="dxa"/>
            </w:tcMar>
          </w:tcPr>
          <w:p w14:paraId="57BAEF6B"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Variable by treatment class</w:t>
            </w:r>
          </w:p>
          <w:p w14:paraId="397FB33D" w14:textId="77777777" w:rsidR="0071626A" w:rsidRPr="007C0D91" w:rsidRDefault="0071626A" w:rsidP="00646849">
            <w:pPr>
              <w:jc w:val="left"/>
              <w:rPr>
                <w:rFonts w:ascii="Arial Narrow" w:hAnsi="Arial Narrow" w:cs="Times New Roman"/>
                <w:snapToGrid w:val="0"/>
                <w:sz w:val="20"/>
                <w:szCs w:val="20"/>
              </w:rPr>
            </w:pPr>
          </w:p>
        </w:tc>
        <w:tc>
          <w:tcPr>
            <w:tcW w:w="2114" w:type="dxa"/>
            <w:vMerge w:val="restar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730BFD0E"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PBS/RPBS items for nominated basket of 2L therapies:</w:t>
            </w:r>
          </w:p>
          <w:p w14:paraId="2DF7F062"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lastRenderedPageBreak/>
              <w:t>Jan 2021 to Dec 2021</w:t>
            </w:r>
          </w:p>
        </w:tc>
        <w:tc>
          <w:tcPr>
            <w:tcW w:w="3654" w:type="dxa"/>
            <w:vMerge w:val="restart"/>
            <w:tcBorders>
              <w:top w:val="single" w:sz="4" w:space="0" w:color="auto"/>
              <w:left w:val="single" w:sz="4" w:space="0" w:color="auto"/>
              <w:right w:val="single" w:sz="4" w:space="0" w:color="auto"/>
            </w:tcBorders>
            <w:tcMar>
              <w:left w:w="20" w:type="dxa"/>
              <w:right w:w="20" w:type="dxa"/>
            </w:tcMar>
          </w:tcPr>
          <w:p w14:paraId="1BCDA177"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lastRenderedPageBreak/>
              <w:t>Reasonable</w:t>
            </w:r>
          </w:p>
        </w:tc>
      </w:tr>
      <w:tr w:rsidR="0071626A" w:rsidRPr="007C0D91" w14:paraId="135AC2DC" w14:textId="77777777" w:rsidTr="00646849">
        <w:trPr>
          <w:cantSplit/>
          <w:trHeight w:val="359"/>
        </w:trPr>
        <w:tc>
          <w:tcPr>
            <w:tcW w:w="1689" w:type="dxa"/>
            <w:tcBorders>
              <w:top w:val="single" w:sz="4" w:space="0" w:color="auto"/>
              <w:left w:val="single" w:sz="4" w:space="0" w:color="auto"/>
              <w:bottom w:val="single" w:sz="4" w:space="0" w:color="auto"/>
              <w:right w:val="single" w:sz="4" w:space="0" w:color="auto"/>
            </w:tcBorders>
            <w:tcMar>
              <w:left w:w="20" w:type="dxa"/>
              <w:right w:w="20" w:type="dxa"/>
            </w:tcMar>
          </w:tcPr>
          <w:p w14:paraId="448E3696"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Public/Private split</w:t>
            </w:r>
          </w:p>
        </w:tc>
        <w:tc>
          <w:tcPr>
            <w:tcW w:w="1560" w:type="dxa"/>
            <w:vMerge/>
            <w:tcBorders>
              <w:top w:val="single" w:sz="4" w:space="0" w:color="auto"/>
              <w:left w:val="single" w:sz="4" w:space="0" w:color="auto"/>
              <w:bottom w:val="single" w:sz="4" w:space="0" w:color="auto"/>
              <w:right w:val="single" w:sz="4" w:space="0" w:color="auto"/>
            </w:tcBorders>
            <w:tcMar>
              <w:left w:w="20" w:type="dxa"/>
              <w:right w:w="20" w:type="dxa"/>
            </w:tcMar>
          </w:tcPr>
          <w:p w14:paraId="1ED0E1ED" w14:textId="77777777" w:rsidR="0071626A" w:rsidRPr="007C0D91" w:rsidRDefault="0071626A" w:rsidP="00646849">
            <w:pPr>
              <w:jc w:val="left"/>
              <w:rPr>
                <w:rFonts w:ascii="Arial Narrow" w:hAnsi="Arial Narrow" w:cs="Times New Roman"/>
                <w:snapToGrid w:val="0"/>
                <w:sz w:val="20"/>
                <w:szCs w:val="20"/>
              </w:rPr>
            </w:pPr>
          </w:p>
        </w:tc>
        <w:tc>
          <w:tcPr>
            <w:tcW w:w="2114" w:type="dxa"/>
            <w:vMerge/>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4E77F4DF" w14:textId="77777777" w:rsidR="0071626A" w:rsidRPr="007C0D91" w:rsidRDefault="0071626A" w:rsidP="00646849">
            <w:pPr>
              <w:jc w:val="left"/>
              <w:rPr>
                <w:rFonts w:ascii="Arial Narrow" w:hAnsi="Arial Narrow" w:cs="Times New Roman"/>
                <w:snapToGrid w:val="0"/>
                <w:sz w:val="20"/>
                <w:szCs w:val="20"/>
              </w:rPr>
            </w:pPr>
          </w:p>
        </w:tc>
        <w:tc>
          <w:tcPr>
            <w:tcW w:w="3654" w:type="dxa"/>
            <w:vMerge/>
            <w:tcBorders>
              <w:left w:val="single" w:sz="4" w:space="0" w:color="auto"/>
              <w:right w:val="single" w:sz="4" w:space="0" w:color="auto"/>
            </w:tcBorders>
            <w:tcMar>
              <w:left w:w="20" w:type="dxa"/>
              <w:right w:w="20" w:type="dxa"/>
            </w:tcMar>
          </w:tcPr>
          <w:p w14:paraId="6AF9FC8E" w14:textId="77777777" w:rsidR="0071626A" w:rsidRPr="007C0D91" w:rsidRDefault="0071626A" w:rsidP="00646849">
            <w:pPr>
              <w:jc w:val="left"/>
              <w:rPr>
                <w:rFonts w:ascii="Arial Narrow" w:hAnsi="Arial Narrow" w:cs="Times New Roman"/>
                <w:iCs/>
                <w:snapToGrid w:val="0"/>
                <w:sz w:val="20"/>
                <w:szCs w:val="20"/>
              </w:rPr>
            </w:pPr>
          </w:p>
        </w:tc>
      </w:tr>
      <w:tr w:rsidR="0071626A" w:rsidRPr="007C0D91" w14:paraId="55A02586" w14:textId="77777777" w:rsidTr="00646849">
        <w:trPr>
          <w:cantSplit/>
        </w:trPr>
        <w:tc>
          <w:tcPr>
            <w:tcW w:w="1689" w:type="dxa"/>
            <w:tcBorders>
              <w:top w:val="single" w:sz="4" w:space="0" w:color="auto"/>
              <w:left w:val="single" w:sz="4" w:space="0" w:color="auto"/>
              <w:bottom w:val="single" w:sz="4" w:space="0" w:color="auto"/>
              <w:right w:val="single" w:sz="4" w:space="0" w:color="auto"/>
            </w:tcBorders>
            <w:tcMar>
              <w:left w:w="20" w:type="dxa"/>
              <w:right w:w="20" w:type="dxa"/>
            </w:tcMar>
          </w:tcPr>
          <w:p w14:paraId="1BF21B5C"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lastRenderedPageBreak/>
              <w:t>Weighted average co-payment</w:t>
            </w:r>
          </w:p>
        </w:tc>
        <w:tc>
          <w:tcPr>
            <w:tcW w:w="1560" w:type="dxa"/>
            <w:vMerge/>
            <w:tcBorders>
              <w:top w:val="single" w:sz="4" w:space="0" w:color="auto"/>
              <w:left w:val="single" w:sz="4" w:space="0" w:color="auto"/>
              <w:bottom w:val="single" w:sz="4" w:space="0" w:color="auto"/>
              <w:right w:val="single" w:sz="4" w:space="0" w:color="auto"/>
            </w:tcBorders>
            <w:tcMar>
              <w:left w:w="20" w:type="dxa"/>
              <w:right w:w="20" w:type="dxa"/>
            </w:tcMar>
          </w:tcPr>
          <w:p w14:paraId="32105D0F" w14:textId="77777777" w:rsidR="0071626A" w:rsidRPr="007C0D91" w:rsidRDefault="0071626A" w:rsidP="00646849">
            <w:pPr>
              <w:jc w:val="left"/>
              <w:rPr>
                <w:rFonts w:ascii="Arial Narrow" w:hAnsi="Arial Narrow" w:cs="Times New Roman"/>
                <w:snapToGrid w:val="0"/>
                <w:sz w:val="20"/>
                <w:szCs w:val="20"/>
                <w:highlight w:val="green"/>
              </w:rPr>
            </w:pPr>
          </w:p>
        </w:tc>
        <w:tc>
          <w:tcPr>
            <w:tcW w:w="2114" w:type="dxa"/>
            <w:vMerge/>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38CECA9D" w14:textId="77777777" w:rsidR="0071626A" w:rsidRPr="007C0D91" w:rsidRDefault="0071626A" w:rsidP="00646849">
            <w:pPr>
              <w:jc w:val="left"/>
              <w:rPr>
                <w:rFonts w:ascii="Arial Narrow" w:hAnsi="Arial Narrow" w:cs="Times New Roman"/>
                <w:snapToGrid w:val="0"/>
                <w:sz w:val="20"/>
                <w:szCs w:val="20"/>
              </w:rPr>
            </w:pPr>
          </w:p>
        </w:tc>
        <w:tc>
          <w:tcPr>
            <w:tcW w:w="3654" w:type="dxa"/>
            <w:vMerge/>
            <w:tcBorders>
              <w:left w:val="single" w:sz="4" w:space="0" w:color="auto"/>
              <w:bottom w:val="single" w:sz="4" w:space="0" w:color="auto"/>
              <w:right w:val="single" w:sz="4" w:space="0" w:color="auto"/>
            </w:tcBorders>
            <w:tcMar>
              <w:left w:w="20" w:type="dxa"/>
              <w:right w:w="20" w:type="dxa"/>
            </w:tcMar>
          </w:tcPr>
          <w:p w14:paraId="703FAB6B" w14:textId="77777777" w:rsidR="0071626A" w:rsidRPr="007C0D91" w:rsidRDefault="0071626A" w:rsidP="00646849">
            <w:pPr>
              <w:jc w:val="left"/>
              <w:rPr>
                <w:rFonts w:ascii="Arial Narrow" w:hAnsi="Arial Narrow" w:cs="Times New Roman"/>
                <w:iCs/>
                <w:snapToGrid w:val="0"/>
                <w:sz w:val="20"/>
                <w:szCs w:val="20"/>
              </w:rPr>
            </w:pPr>
          </w:p>
        </w:tc>
      </w:tr>
      <w:tr w:rsidR="0071626A" w:rsidRPr="007C0D91" w14:paraId="6DFFDA61" w14:textId="77777777" w:rsidTr="00646849">
        <w:trPr>
          <w:cantSplit/>
        </w:trPr>
        <w:tc>
          <w:tcPr>
            <w:tcW w:w="9017" w:type="dxa"/>
            <w:gridSpan w:val="4"/>
            <w:tcBorders>
              <w:top w:val="single" w:sz="4" w:space="0" w:color="auto"/>
              <w:left w:val="single" w:sz="4" w:space="0" w:color="auto"/>
              <w:bottom w:val="single" w:sz="4" w:space="0" w:color="auto"/>
              <w:right w:val="single" w:sz="4" w:space="0" w:color="auto"/>
            </w:tcBorders>
            <w:tcMar>
              <w:left w:w="20" w:type="dxa"/>
              <w:right w:w="20" w:type="dxa"/>
            </w:tcMar>
          </w:tcPr>
          <w:p w14:paraId="7BCC770B" w14:textId="77777777" w:rsidR="0071626A" w:rsidRPr="007C0D91" w:rsidRDefault="0071626A" w:rsidP="00646849">
            <w:pPr>
              <w:jc w:val="left"/>
              <w:rPr>
                <w:rFonts w:ascii="Arial Narrow" w:hAnsi="Arial Narrow" w:cs="Times New Roman"/>
                <w:b/>
                <w:iCs/>
                <w:snapToGrid w:val="0"/>
                <w:sz w:val="20"/>
                <w:szCs w:val="20"/>
              </w:rPr>
            </w:pPr>
            <w:r w:rsidRPr="007C0D91">
              <w:rPr>
                <w:rFonts w:ascii="Arial Narrow" w:hAnsi="Arial Narrow" w:cs="Times New Roman"/>
                <w:b/>
                <w:iCs/>
                <w:snapToGrid w:val="0"/>
                <w:sz w:val="20"/>
                <w:szCs w:val="20"/>
              </w:rPr>
              <w:t>Medical services</w:t>
            </w:r>
          </w:p>
        </w:tc>
      </w:tr>
      <w:tr w:rsidR="0071626A" w:rsidRPr="007C0D91" w14:paraId="67432CAD" w14:textId="77777777" w:rsidTr="00646849">
        <w:trPr>
          <w:cantSplit/>
        </w:trPr>
        <w:tc>
          <w:tcPr>
            <w:tcW w:w="1689" w:type="dxa"/>
            <w:tcMar>
              <w:left w:w="20" w:type="dxa"/>
              <w:right w:w="20" w:type="dxa"/>
            </w:tcMar>
          </w:tcPr>
          <w:p w14:paraId="0B699EF9"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Parenteral administration of antineoplastic agents</w:t>
            </w:r>
          </w:p>
        </w:tc>
        <w:tc>
          <w:tcPr>
            <w:tcW w:w="1560" w:type="dxa"/>
            <w:shd w:val="clear" w:color="auto" w:fill="auto"/>
            <w:tcMar>
              <w:left w:w="20" w:type="dxa"/>
              <w:right w:w="20" w:type="dxa"/>
            </w:tcMar>
          </w:tcPr>
          <w:p w14:paraId="6E0460F0"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100% Schedule fee: $114.20 (80% rebate used in the financial analysis)</w:t>
            </w:r>
          </w:p>
        </w:tc>
        <w:tc>
          <w:tcPr>
            <w:tcW w:w="2114" w:type="dxa"/>
            <w:shd w:val="clear" w:color="auto" w:fill="B8CCE4" w:themeFill="accent1" w:themeFillTint="66"/>
            <w:tcMar>
              <w:left w:w="20" w:type="dxa"/>
              <w:right w:w="20" w:type="dxa"/>
            </w:tcMar>
          </w:tcPr>
          <w:p w14:paraId="3907D704" w14:textId="77777777" w:rsidR="0071626A" w:rsidRPr="007C0D91" w:rsidRDefault="0071626A" w:rsidP="00646849">
            <w:pPr>
              <w:jc w:val="left"/>
              <w:rPr>
                <w:rFonts w:ascii="Arial Narrow" w:hAnsi="Arial Narrow" w:cs="Times New Roman"/>
                <w:snapToGrid w:val="0"/>
                <w:sz w:val="20"/>
                <w:szCs w:val="20"/>
              </w:rPr>
            </w:pPr>
            <w:r w:rsidRPr="007C0D91">
              <w:rPr>
                <w:rFonts w:ascii="Arial Narrow" w:hAnsi="Arial Narrow" w:cs="Times New Roman"/>
                <w:snapToGrid w:val="0"/>
                <w:sz w:val="20"/>
                <w:szCs w:val="20"/>
              </w:rPr>
              <w:t xml:space="preserve">MBS item 13950 </w:t>
            </w:r>
          </w:p>
        </w:tc>
        <w:tc>
          <w:tcPr>
            <w:tcW w:w="3654" w:type="dxa"/>
            <w:shd w:val="clear" w:color="auto" w:fill="B8CCE4" w:themeFill="accent1" w:themeFillTint="66"/>
            <w:tcMar>
              <w:left w:w="20" w:type="dxa"/>
              <w:right w:w="20" w:type="dxa"/>
            </w:tcMar>
          </w:tcPr>
          <w:p w14:paraId="7CD089CB" w14:textId="77777777" w:rsidR="0071626A" w:rsidRPr="007C0D91" w:rsidRDefault="0071626A" w:rsidP="00646849">
            <w:pPr>
              <w:jc w:val="left"/>
              <w:rPr>
                <w:rFonts w:ascii="Arial Narrow" w:hAnsi="Arial Narrow" w:cs="Times New Roman"/>
                <w:iCs/>
                <w:snapToGrid w:val="0"/>
                <w:sz w:val="20"/>
                <w:szCs w:val="20"/>
              </w:rPr>
            </w:pPr>
            <w:r w:rsidRPr="007C0D91">
              <w:rPr>
                <w:rFonts w:ascii="Arial Narrow" w:hAnsi="Arial Narrow" w:cs="Times New Roman"/>
                <w:iCs/>
                <w:snapToGrid w:val="0"/>
                <w:sz w:val="20"/>
                <w:szCs w:val="20"/>
              </w:rPr>
              <w:t>Appropriate</w:t>
            </w:r>
          </w:p>
        </w:tc>
      </w:tr>
    </w:tbl>
    <w:p w14:paraId="1715D379" w14:textId="77777777" w:rsidR="0071626A" w:rsidRPr="007C0D91" w:rsidRDefault="0071626A" w:rsidP="0071626A">
      <w:pPr>
        <w:spacing w:after="120"/>
        <w:contextualSpacing/>
        <w:rPr>
          <w:rFonts w:ascii="Arial Narrow" w:eastAsiaTheme="minorHAnsi" w:hAnsi="Arial Narrow"/>
          <w:iCs/>
          <w:snapToGrid w:val="0"/>
          <w:sz w:val="18"/>
          <w:szCs w:val="22"/>
          <w:lang w:eastAsia="en-US"/>
        </w:rPr>
      </w:pPr>
      <w:r w:rsidRPr="007C0D91">
        <w:rPr>
          <w:rFonts w:ascii="Arial Narrow" w:eastAsiaTheme="minorHAnsi" w:hAnsi="Arial Narrow"/>
          <w:iCs/>
          <w:snapToGrid w:val="0"/>
          <w:sz w:val="18"/>
          <w:szCs w:val="22"/>
          <w:lang w:eastAsia="en-US"/>
        </w:rPr>
        <w:t xml:space="preserve">Source: Based on Table 4-1, p232 of the first submission and Table 4-1, p 25 of the resubmission. </w:t>
      </w:r>
    </w:p>
    <w:p w14:paraId="3B5E8EA4" w14:textId="32BED808" w:rsidR="0071626A" w:rsidRPr="007C0D91" w:rsidRDefault="0071626A" w:rsidP="0071626A">
      <w:pPr>
        <w:spacing w:after="120"/>
        <w:contextualSpacing/>
        <w:rPr>
          <w:rFonts w:ascii="Arial Narrow" w:eastAsiaTheme="minorHAnsi" w:hAnsi="Arial Narrow"/>
          <w:iCs/>
          <w:snapToGrid w:val="0"/>
          <w:sz w:val="18"/>
          <w:szCs w:val="22"/>
          <w:lang w:eastAsia="en-US"/>
        </w:rPr>
      </w:pPr>
      <w:r w:rsidRPr="007C0D91">
        <w:rPr>
          <w:rFonts w:ascii="Arial Narrow" w:eastAsiaTheme="minorHAnsi" w:hAnsi="Arial Narrow"/>
          <w:iCs/>
          <w:snapToGrid w:val="0"/>
          <w:sz w:val="18"/>
          <w:szCs w:val="22"/>
          <w:lang w:eastAsia="en-US"/>
        </w:rPr>
        <w:t xml:space="preserve">AIHW = Australian Institute of Health and Welfare; DPMA = dispensed price for maximum amount ; DPMQ = dispensed price for maximum quantity; DUSC = Drug Utilisation Sub-Committee; ECOG = Eastern Cooperative Oncology Group; </w:t>
      </w:r>
      <w:r w:rsidR="00FB0DBF" w:rsidRPr="00FB0DBF">
        <w:rPr>
          <w:rFonts w:ascii="Arial Narrow" w:eastAsiaTheme="minorHAnsi" w:hAnsi="Arial Narrow"/>
          <w:i/>
          <w:iCs/>
          <w:snapToGrid w:val="0"/>
          <w:sz w:val="18"/>
          <w:szCs w:val="22"/>
          <w:lang w:eastAsia="en-US"/>
        </w:rPr>
        <w:t>EGFR</w:t>
      </w:r>
      <w:r w:rsidRPr="007C0D91">
        <w:rPr>
          <w:rFonts w:ascii="Arial Narrow" w:eastAsiaTheme="minorHAnsi" w:hAnsi="Arial Narrow"/>
          <w:iCs/>
          <w:snapToGrid w:val="0"/>
          <w:sz w:val="18"/>
          <w:szCs w:val="22"/>
          <w:lang w:eastAsia="en-US"/>
        </w:rPr>
        <w:t xml:space="preserve"> = epidermal growth factor receptor; Exon20ins = exon 20 insertions; MSAC = Medical Services Advisory Committee; NCCI = National Cancer Control Indicators; NSCLC = non-small cell lung cancer; PBC = platinum-based chemotherapy; PBS = Pharmaceutical Benefits Schedule; PSD = public summary document; RPBS = Repatriation Pharmaceutical Benefits Scheme</w:t>
      </w:r>
    </w:p>
    <w:p w14:paraId="35930092" w14:textId="77777777" w:rsidR="0071626A" w:rsidRPr="007C0D91" w:rsidRDefault="0071626A" w:rsidP="00753705">
      <w:pPr>
        <w:keepLines/>
        <w:spacing w:after="120"/>
        <w:rPr>
          <w:rFonts w:ascii="Arial Narrow" w:hAnsi="Arial Narrow"/>
          <w:iCs/>
          <w:snapToGrid w:val="0"/>
          <w:sz w:val="18"/>
          <w:szCs w:val="22"/>
        </w:rPr>
      </w:pPr>
      <w:r w:rsidRPr="007C0D91">
        <w:rPr>
          <w:rFonts w:ascii="Arial Narrow" w:hAnsi="Arial Narrow"/>
          <w:iCs/>
          <w:snapToGrid w:val="0"/>
          <w:sz w:val="18"/>
          <w:szCs w:val="22"/>
          <w:shd w:val="clear" w:color="auto" w:fill="B8CCE4" w:themeFill="accent1" w:themeFillTint="66"/>
        </w:rPr>
        <w:t>Blue shading</w:t>
      </w:r>
      <w:r w:rsidRPr="007C0D91">
        <w:rPr>
          <w:rFonts w:ascii="Arial Narrow" w:hAnsi="Arial Narrow"/>
          <w:iCs/>
          <w:snapToGrid w:val="0"/>
          <w:sz w:val="18"/>
          <w:szCs w:val="22"/>
        </w:rPr>
        <w:t xml:space="preserve"> indicates components remaining unchanged since the previous submission.</w:t>
      </w:r>
    </w:p>
    <w:p w14:paraId="3529830B" w14:textId="6498B1E4" w:rsidR="0071626A" w:rsidRPr="007C0D91" w:rsidRDefault="0071626A" w:rsidP="0071626A">
      <w:pPr>
        <w:numPr>
          <w:ilvl w:val="1"/>
          <w:numId w:val="1"/>
        </w:numPr>
        <w:spacing w:after="120"/>
        <w:rPr>
          <w:rFonts w:asciiTheme="minorHAnsi" w:hAnsiTheme="minorHAnsi"/>
          <w:snapToGrid w:val="0"/>
          <w:color w:val="0066FF"/>
        </w:rPr>
      </w:pPr>
      <w:r w:rsidRPr="007C0D91">
        <w:rPr>
          <w:rFonts w:asciiTheme="minorHAnsi" w:hAnsiTheme="minorHAnsi"/>
          <w:snapToGrid w:val="0"/>
        </w:rPr>
        <w:t xml:space="preserve">The estimated use and financial impacts of listing mobocertinib are summarised in </w:t>
      </w:r>
      <w:r w:rsidRPr="007C0D91">
        <w:rPr>
          <w:rFonts w:asciiTheme="minorHAnsi" w:hAnsiTheme="minorHAnsi"/>
          <w:snapToGrid w:val="0"/>
          <w:color w:val="0066FF"/>
        </w:rPr>
        <w:t xml:space="preserve"> </w:t>
      </w:r>
      <w:r w:rsidRPr="007C0D91">
        <w:rPr>
          <w:rFonts w:asciiTheme="minorHAnsi" w:hAnsiTheme="minorHAnsi"/>
          <w:snapToGrid w:val="0"/>
        </w:rPr>
        <w:fldChar w:fldCharType="begin"/>
      </w:r>
      <w:r w:rsidRPr="007C0D91">
        <w:rPr>
          <w:rFonts w:asciiTheme="minorHAnsi" w:hAnsiTheme="minorHAnsi"/>
          <w:snapToGrid w:val="0"/>
        </w:rPr>
        <w:instrText xml:space="preserve"> REF _Ref104805295 \h  \* MERGEFORMAT </w:instrText>
      </w:r>
      <w:r w:rsidRPr="007C0D91">
        <w:rPr>
          <w:rFonts w:asciiTheme="minorHAnsi" w:hAnsiTheme="minorHAnsi"/>
          <w:snapToGrid w:val="0"/>
        </w:rPr>
      </w:r>
      <w:r w:rsidRPr="007C0D91">
        <w:rPr>
          <w:rFonts w:asciiTheme="minorHAnsi" w:hAnsiTheme="minorHAnsi"/>
          <w:snapToGrid w:val="0"/>
        </w:rPr>
        <w:fldChar w:fldCharType="separate"/>
      </w:r>
      <w:r w:rsidR="00117491" w:rsidRPr="00117491">
        <w:rPr>
          <w:rFonts w:asciiTheme="minorHAnsi" w:hAnsiTheme="minorHAnsi"/>
          <w:snapToGrid w:val="0"/>
        </w:rPr>
        <w:t>Table 15</w:t>
      </w:r>
      <w:r w:rsidRPr="007C0D91">
        <w:rPr>
          <w:rFonts w:asciiTheme="minorHAnsi" w:hAnsiTheme="minorHAnsi"/>
          <w:snapToGrid w:val="0"/>
        </w:rPr>
        <w:fldChar w:fldCharType="end"/>
      </w:r>
      <w:r w:rsidRPr="007C0D91">
        <w:rPr>
          <w:rFonts w:asciiTheme="minorHAnsi" w:hAnsiTheme="minorHAnsi"/>
          <w:snapToGrid w:val="0"/>
        </w:rPr>
        <w:t>.</w:t>
      </w:r>
    </w:p>
    <w:p w14:paraId="1494FCFD" w14:textId="4F728236" w:rsidR="0071626A" w:rsidRPr="007C0D91" w:rsidRDefault="0071626A" w:rsidP="00753705">
      <w:pPr>
        <w:keepNext/>
        <w:keepLines/>
        <w:rPr>
          <w:rFonts w:ascii="Arial Narrow" w:hAnsi="Arial Narrow"/>
          <w:b/>
          <w:bCs/>
          <w:sz w:val="20"/>
          <w:szCs w:val="18"/>
        </w:rPr>
      </w:pPr>
      <w:bookmarkStart w:id="88" w:name="_Ref104805295"/>
      <w:r w:rsidRPr="007C0D91">
        <w:rPr>
          <w:rFonts w:ascii="Arial Narrow" w:hAnsi="Arial Narrow"/>
          <w:b/>
          <w:bCs/>
          <w:sz w:val="20"/>
          <w:szCs w:val="18"/>
        </w:rPr>
        <w:t xml:space="preserve">Table </w:t>
      </w:r>
      <w:r w:rsidRPr="007C0D91">
        <w:rPr>
          <w:rFonts w:ascii="Arial Narrow" w:hAnsi="Arial Narrow"/>
          <w:b/>
          <w:bCs/>
          <w:sz w:val="20"/>
          <w:szCs w:val="18"/>
        </w:rPr>
        <w:fldChar w:fldCharType="begin"/>
      </w:r>
      <w:r w:rsidRPr="007C0D91">
        <w:rPr>
          <w:rFonts w:ascii="Arial Narrow" w:hAnsi="Arial Narrow"/>
          <w:b/>
          <w:bCs/>
          <w:sz w:val="20"/>
          <w:szCs w:val="18"/>
        </w:rPr>
        <w:instrText xml:space="preserve"> SEQ Table \* ARABIC </w:instrText>
      </w:r>
      <w:r w:rsidRPr="007C0D91">
        <w:rPr>
          <w:rFonts w:ascii="Arial Narrow" w:hAnsi="Arial Narrow"/>
          <w:b/>
          <w:bCs/>
          <w:sz w:val="20"/>
          <w:szCs w:val="18"/>
        </w:rPr>
        <w:fldChar w:fldCharType="separate"/>
      </w:r>
      <w:r w:rsidR="00117491">
        <w:rPr>
          <w:rFonts w:ascii="Arial Narrow" w:hAnsi="Arial Narrow"/>
          <w:b/>
          <w:bCs/>
          <w:noProof/>
          <w:sz w:val="20"/>
          <w:szCs w:val="18"/>
        </w:rPr>
        <w:t>15</w:t>
      </w:r>
      <w:r w:rsidRPr="007C0D91">
        <w:rPr>
          <w:rFonts w:ascii="Arial Narrow" w:hAnsi="Arial Narrow"/>
          <w:b/>
          <w:bCs/>
          <w:sz w:val="20"/>
          <w:szCs w:val="18"/>
        </w:rPr>
        <w:fldChar w:fldCharType="end"/>
      </w:r>
      <w:bookmarkEnd w:id="88"/>
      <w:r w:rsidRPr="007C0D91">
        <w:rPr>
          <w:rFonts w:ascii="Arial Narrow" w:hAnsi="Arial Narrow"/>
          <w:b/>
          <w:bCs/>
          <w:sz w:val="20"/>
          <w:szCs w:val="18"/>
        </w:rPr>
        <w:t>:</w:t>
      </w:r>
      <w:r w:rsidRPr="007C0D91">
        <w:rPr>
          <w:rFonts w:ascii="Arial Narrow" w:hAnsi="Arial Narrow"/>
          <w:b/>
          <w:bCs/>
          <w:sz w:val="20"/>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71626A" w:rsidRPr="007C0D91" w14:paraId="304700C3" w14:textId="77777777" w:rsidTr="00D43793">
        <w:trPr>
          <w:tblHeader/>
        </w:trPr>
        <w:tc>
          <w:tcPr>
            <w:tcW w:w="1334" w:type="pct"/>
            <w:shd w:val="clear" w:color="auto" w:fill="auto"/>
            <w:vAlign w:val="center"/>
          </w:tcPr>
          <w:p w14:paraId="32BA2E08" w14:textId="77777777" w:rsidR="0071626A" w:rsidRPr="007C0D91" w:rsidRDefault="0071626A" w:rsidP="00753705">
            <w:pPr>
              <w:keepNext/>
              <w:keepLines/>
              <w:jc w:val="center"/>
              <w:rPr>
                <w:rFonts w:ascii="Arial Narrow" w:eastAsiaTheme="majorEastAsia" w:hAnsi="Arial Narrow" w:cs="Times New Roman"/>
                <w:b/>
                <w:sz w:val="20"/>
              </w:rPr>
            </w:pPr>
          </w:p>
        </w:tc>
        <w:tc>
          <w:tcPr>
            <w:tcW w:w="611" w:type="pct"/>
            <w:shd w:val="clear" w:color="auto" w:fill="auto"/>
            <w:vAlign w:val="center"/>
          </w:tcPr>
          <w:p w14:paraId="2B84C49F" w14:textId="77777777" w:rsidR="0071626A" w:rsidRPr="007C0D91" w:rsidRDefault="0071626A" w:rsidP="00753705">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lang w:eastAsia="zh-CN"/>
              </w:rPr>
              <w:t>2024</w:t>
            </w:r>
          </w:p>
        </w:tc>
        <w:tc>
          <w:tcPr>
            <w:tcW w:w="611" w:type="pct"/>
            <w:shd w:val="clear" w:color="auto" w:fill="auto"/>
            <w:vAlign w:val="center"/>
          </w:tcPr>
          <w:p w14:paraId="1F77C7D4" w14:textId="77777777" w:rsidR="0071626A" w:rsidRPr="007C0D91" w:rsidRDefault="0071626A" w:rsidP="00753705">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lang w:eastAsia="zh-CN"/>
              </w:rPr>
              <w:t>2025</w:t>
            </w:r>
          </w:p>
        </w:tc>
        <w:tc>
          <w:tcPr>
            <w:tcW w:w="611" w:type="pct"/>
            <w:shd w:val="clear" w:color="auto" w:fill="auto"/>
            <w:vAlign w:val="center"/>
          </w:tcPr>
          <w:p w14:paraId="5139CF1B" w14:textId="77777777" w:rsidR="0071626A" w:rsidRPr="007C0D91" w:rsidRDefault="0071626A" w:rsidP="00753705">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lang w:eastAsia="zh-CN"/>
              </w:rPr>
              <w:t>2026</w:t>
            </w:r>
          </w:p>
        </w:tc>
        <w:tc>
          <w:tcPr>
            <w:tcW w:w="611" w:type="pct"/>
            <w:shd w:val="clear" w:color="auto" w:fill="auto"/>
            <w:vAlign w:val="center"/>
          </w:tcPr>
          <w:p w14:paraId="31CB1667" w14:textId="77777777" w:rsidR="0071626A" w:rsidRPr="007C0D91" w:rsidRDefault="0071626A" w:rsidP="00753705">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lang w:eastAsia="zh-CN"/>
              </w:rPr>
              <w:t>2027</w:t>
            </w:r>
          </w:p>
        </w:tc>
        <w:tc>
          <w:tcPr>
            <w:tcW w:w="611" w:type="pct"/>
            <w:shd w:val="clear" w:color="auto" w:fill="auto"/>
            <w:vAlign w:val="center"/>
          </w:tcPr>
          <w:p w14:paraId="57272DDB" w14:textId="77777777" w:rsidR="0071626A" w:rsidRPr="007C0D91" w:rsidRDefault="0071626A" w:rsidP="00753705">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lang w:eastAsia="zh-CN"/>
              </w:rPr>
              <w:t>2028</w:t>
            </w:r>
          </w:p>
        </w:tc>
        <w:tc>
          <w:tcPr>
            <w:tcW w:w="611" w:type="pct"/>
            <w:vAlign w:val="center"/>
          </w:tcPr>
          <w:p w14:paraId="15170C7E" w14:textId="77777777" w:rsidR="0071626A" w:rsidRPr="007C0D91" w:rsidRDefault="0071626A" w:rsidP="00753705">
            <w:pPr>
              <w:keepNext/>
              <w:keepLines/>
              <w:jc w:val="center"/>
              <w:rPr>
                <w:rFonts w:ascii="Arial Narrow" w:eastAsiaTheme="majorEastAsia" w:hAnsi="Arial Narrow" w:cs="Times New Roman"/>
                <w:b/>
                <w:sz w:val="20"/>
              </w:rPr>
            </w:pPr>
            <w:r w:rsidRPr="007C0D91">
              <w:rPr>
                <w:rFonts w:ascii="Arial Narrow" w:eastAsiaTheme="majorEastAsia" w:hAnsi="Arial Narrow" w:cs="Times New Roman"/>
                <w:b/>
                <w:sz w:val="20"/>
                <w:lang w:eastAsia="zh-CN"/>
              </w:rPr>
              <w:t>2029</w:t>
            </w:r>
          </w:p>
        </w:tc>
      </w:tr>
      <w:tr w:rsidR="0071626A" w:rsidRPr="007C0D91" w14:paraId="0753D77F" w14:textId="77777777" w:rsidTr="00D43793">
        <w:tc>
          <w:tcPr>
            <w:tcW w:w="5000" w:type="pct"/>
            <w:gridSpan w:val="7"/>
            <w:shd w:val="clear" w:color="auto" w:fill="auto"/>
            <w:vAlign w:val="center"/>
          </w:tcPr>
          <w:p w14:paraId="2EF4FB27" w14:textId="77777777" w:rsidR="0071626A" w:rsidRPr="007C0D91" w:rsidRDefault="0071626A" w:rsidP="00753705">
            <w:pPr>
              <w:keepNext/>
              <w:keepLines/>
              <w:jc w:val="left"/>
              <w:rPr>
                <w:rFonts w:ascii="Arial Narrow" w:eastAsiaTheme="majorEastAsia" w:hAnsi="Arial Narrow" w:cs="Times New Roman"/>
                <w:b/>
                <w:bCs/>
                <w:color w:val="000000"/>
                <w:sz w:val="20"/>
              </w:rPr>
            </w:pPr>
            <w:r w:rsidRPr="007C0D91">
              <w:rPr>
                <w:rFonts w:ascii="Arial Narrow" w:eastAsiaTheme="majorEastAsia" w:hAnsi="Arial Narrow" w:cs="Times New Roman"/>
                <w:b/>
                <w:bCs/>
                <w:color w:val="000000"/>
                <w:sz w:val="20"/>
              </w:rPr>
              <w:t>Estimated extent of use</w:t>
            </w:r>
          </w:p>
        </w:tc>
      </w:tr>
      <w:tr w:rsidR="0071626A" w:rsidRPr="007C0D91" w14:paraId="3140F66F" w14:textId="77777777" w:rsidTr="00D43793">
        <w:tc>
          <w:tcPr>
            <w:tcW w:w="1334" w:type="pct"/>
            <w:shd w:val="clear" w:color="auto" w:fill="auto"/>
            <w:vAlign w:val="center"/>
          </w:tcPr>
          <w:p w14:paraId="367ECBD3" w14:textId="77777777" w:rsidR="0071626A" w:rsidRPr="007C0D91" w:rsidRDefault="0071626A" w:rsidP="00753705">
            <w:pPr>
              <w:keepNext/>
              <w:keepLines/>
              <w:jc w:val="left"/>
              <w:rPr>
                <w:rFonts w:ascii="Times" w:eastAsiaTheme="majorEastAsia" w:hAnsi="Times" w:cstheme="majorBidi"/>
                <w:bCs/>
                <w:sz w:val="20"/>
              </w:rPr>
            </w:pPr>
            <w:r w:rsidRPr="007C0D91">
              <w:rPr>
                <w:rFonts w:ascii="Arial Narrow" w:eastAsiaTheme="majorEastAsia" w:hAnsi="Arial Narrow" w:cstheme="majorBidi"/>
                <w:bCs/>
                <w:sz w:val="20"/>
              </w:rPr>
              <w:t>Number of patients initiating treatment with mobocertinib</w:t>
            </w:r>
          </w:p>
        </w:tc>
        <w:tc>
          <w:tcPr>
            <w:tcW w:w="611" w:type="pct"/>
            <w:shd w:val="clear" w:color="auto" w:fill="auto"/>
            <w:vAlign w:val="center"/>
          </w:tcPr>
          <w:p w14:paraId="395E2955" w14:textId="779AEFC4" w:rsidR="0071626A" w:rsidRPr="00753705" w:rsidRDefault="00092A28" w:rsidP="00753705">
            <w:pPr>
              <w:keepNext/>
              <w:keepLines/>
              <w:jc w:val="center"/>
              <w:rPr>
                <w:rFonts w:ascii="Arial Narrow" w:eastAsiaTheme="majorEastAsia" w:hAnsi="Arial Narrow" w:cstheme="majorBidi"/>
                <w:bCs/>
                <w:color w:val="000000"/>
                <w:sz w:val="20"/>
                <w:vertAlign w:val="superscript"/>
              </w:rPr>
            </w:pPr>
            <w:r w:rsidRPr="00092A28">
              <w:rPr>
                <w:rFonts w:ascii="Arial Narrow" w:eastAsiaTheme="majorEastAsia" w:hAnsi="Arial Narrow" w:cstheme="majorBidi" w:hint="eastAsia"/>
                <w:bCs/>
                <w:color w:val="000000"/>
                <w:w w:val="16"/>
                <w:sz w:val="20"/>
                <w:shd w:val="solid" w:color="000000" w:fill="000000"/>
                <w:fitText w:val="75" w:id="-1167912448"/>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8"/>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auto"/>
            <w:vAlign w:val="center"/>
          </w:tcPr>
          <w:p w14:paraId="6C6466E3" w14:textId="3CCC3645"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47"/>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7"/>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auto"/>
            <w:vAlign w:val="center"/>
          </w:tcPr>
          <w:p w14:paraId="62CBF777" w14:textId="0E2E2AEB"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46"/>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6"/>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6"/>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auto"/>
            <w:vAlign w:val="center"/>
          </w:tcPr>
          <w:p w14:paraId="45E18ABD" w14:textId="6BD094CB"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45"/>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5"/>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5"/>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auto"/>
            <w:vAlign w:val="center"/>
          </w:tcPr>
          <w:p w14:paraId="78944DD2" w14:textId="52723C53"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44"/>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4"/>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4"/>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vAlign w:val="center"/>
          </w:tcPr>
          <w:p w14:paraId="6C7A7755" w14:textId="5B2C1DDC"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43"/>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3"/>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3"/>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r>
      <w:tr w:rsidR="0071626A" w:rsidRPr="007C0D91" w14:paraId="19C9FA07" w14:textId="77777777" w:rsidTr="00D43793">
        <w:tc>
          <w:tcPr>
            <w:tcW w:w="1334" w:type="pct"/>
            <w:shd w:val="clear" w:color="auto" w:fill="auto"/>
            <w:vAlign w:val="center"/>
          </w:tcPr>
          <w:p w14:paraId="243AD239" w14:textId="77777777" w:rsidR="0071626A" w:rsidRPr="007C0D91" w:rsidRDefault="0071626A" w:rsidP="00753705">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Total number of patients treated</w:t>
            </w:r>
          </w:p>
        </w:tc>
        <w:tc>
          <w:tcPr>
            <w:tcW w:w="611" w:type="pct"/>
            <w:shd w:val="clear" w:color="auto" w:fill="auto"/>
            <w:vAlign w:val="center"/>
          </w:tcPr>
          <w:p w14:paraId="7F9F9CA2" w14:textId="2C5DD886"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2"/>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2"/>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2"/>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auto"/>
            <w:vAlign w:val="center"/>
          </w:tcPr>
          <w:p w14:paraId="29490171" w14:textId="45AF9274"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1"/>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1"/>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1"/>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auto"/>
            <w:vAlign w:val="center"/>
          </w:tcPr>
          <w:p w14:paraId="70C91900" w14:textId="603325E2"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0"/>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0"/>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0"/>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auto"/>
            <w:vAlign w:val="center"/>
          </w:tcPr>
          <w:p w14:paraId="6DD103BE" w14:textId="70564356"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9"/>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9"/>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9"/>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auto"/>
            <w:vAlign w:val="center"/>
          </w:tcPr>
          <w:p w14:paraId="06897BD9" w14:textId="51A94A98"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8"/>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8"/>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vAlign w:val="center"/>
          </w:tcPr>
          <w:p w14:paraId="6360F5FE" w14:textId="21F0B200"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7"/>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7"/>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r>
      <w:tr w:rsidR="0071626A" w:rsidRPr="007C0D91" w14:paraId="34B3BB6E" w14:textId="77777777" w:rsidTr="00D43793">
        <w:tc>
          <w:tcPr>
            <w:tcW w:w="1334" w:type="pct"/>
            <w:shd w:val="clear" w:color="auto" w:fill="auto"/>
            <w:vAlign w:val="center"/>
          </w:tcPr>
          <w:p w14:paraId="74898F78" w14:textId="77777777" w:rsidR="0071626A" w:rsidRPr="007C0D91" w:rsidRDefault="0071626A" w:rsidP="00753705">
            <w:pPr>
              <w:keepNext/>
              <w:keepLines/>
              <w:jc w:val="left"/>
              <w:rPr>
                <w:rFonts w:ascii="Times" w:eastAsiaTheme="majorEastAsia" w:hAnsi="Times" w:cstheme="majorBidi"/>
                <w:bCs/>
                <w:sz w:val="20"/>
              </w:rPr>
            </w:pPr>
            <w:r w:rsidRPr="007C0D91">
              <w:rPr>
                <w:rFonts w:ascii="Arial Narrow" w:eastAsiaTheme="majorEastAsia" w:hAnsi="Arial Narrow" w:cstheme="majorBidi"/>
                <w:bCs/>
                <w:sz w:val="20"/>
              </w:rPr>
              <w:t>Number of scripts dispensed</w:t>
            </w:r>
            <w:r w:rsidRPr="007C0D91">
              <w:rPr>
                <w:rFonts w:ascii="Arial Narrow" w:eastAsiaTheme="majorEastAsia" w:hAnsi="Arial Narrow" w:cstheme="majorBidi"/>
                <w:bCs/>
                <w:sz w:val="20"/>
                <w:vertAlign w:val="superscript"/>
              </w:rPr>
              <w:t>a</w:t>
            </w:r>
          </w:p>
        </w:tc>
        <w:tc>
          <w:tcPr>
            <w:tcW w:w="611" w:type="pct"/>
            <w:shd w:val="clear" w:color="auto" w:fill="auto"/>
            <w:vAlign w:val="center"/>
          </w:tcPr>
          <w:p w14:paraId="5C51DFE2" w14:textId="7B732B4E"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36"/>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6"/>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6"/>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auto"/>
            <w:vAlign w:val="center"/>
          </w:tcPr>
          <w:p w14:paraId="4C06D384" w14:textId="26A9A182"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35"/>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5"/>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5"/>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auto"/>
            <w:vAlign w:val="center"/>
          </w:tcPr>
          <w:p w14:paraId="3CED56CE" w14:textId="0F4DD275"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34"/>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4"/>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4"/>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auto"/>
            <w:vAlign w:val="center"/>
          </w:tcPr>
          <w:p w14:paraId="7827ED3B" w14:textId="50750EC6"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33"/>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3"/>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3"/>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auto"/>
            <w:vAlign w:val="center"/>
          </w:tcPr>
          <w:p w14:paraId="2EC4ECD1" w14:textId="36DE6212"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32"/>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2"/>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2"/>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vAlign w:val="center"/>
          </w:tcPr>
          <w:p w14:paraId="53BDD57B" w14:textId="3C9391BD" w:rsidR="0071626A" w:rsidRPr="007C0D91" w:rsidRDefault="00092A28" w:rsidP="00753705">
            <w:pPr>
              <w:keepNext/>
              <w:keepLines/>
              <w:jc w:val="center"/>
              <w:rPr>
                <w:rFonts w:ascii="Arial Narrow" w:eastAsiaTheme="majorEastAsia" w:hAnsi="Arial Narrow" w:cstheme="majorBidi"/>
                <w:bCs/>
                <w:color w:val="000000"/>
                <w:sz w:val="20"/>
              </w:rPr>
            </w:pPr>
            <w:r w:rsidRPr="00092A28">
              <w:rPr>
                <w:rFonts w:ascii="Arial Narrow" w:eastAsiaTheme="majorEastAsia" w:hAnsi="Arial Narrow" w:cstheme="majorBidi" w:hint="eastAsia"/>
                <w:bCs/>
                <w:color w:val="000000"/>
                <w:w w:val="16"/>
                <w:sz w:val="20"/>
                <w:shd w:val="solid" w:color="000000" w:fill="000000"/>
                <w:fitText w:val="75" w:id="-1167912448"/>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8"/>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r>
      <w:tr w:rsidR="003616A1" w:rsidRPr="007C0D91" w14:paraId="454E8549" w14:textId="77777777" w:rsidTr="00CC3E32">
        <w:tc>
          <w:tcPr>
            <w:tcW w:w="5000" w:type="pct"/>
            <w:gridSpan w:val="7"/>
            <w:shd w:val="clear" w:color="auto" w:fill="B8CCE4" w:themeFill="accent1" w:themeFillTint="66"/>
            <w:vAlign w:val="center"/>
          </w:tcPr>
          <w:p w14:paraId="7C618C41" w14:textId="52B463CB" w:rsidR="003616A1" w:rsidRPr="007C0D91" w:rsidRDefault="003616A1" w:rsidP="00753705">
            <w:pPr>
              <w:keepNext/>
              <w:keepLines/>
              <w:jc w:val="left"/>
              <w:rPr>
                <w:rFonts w:ascii="Arial Narrow" w:eastAsiaTheme="majorEastAsia" w:hAnsi="Arial Narrow" w:cstheme="majorBidi"/>
                <w:bCs/>
                <w:sz w:val="20"/>
              </w:rPr>
            </w:pPr>
            <w:r w:rsidRPr="007C0D91">
              <w:rPr>
                <w:rFonts w:ascii="Arial Narrow" w:eastAsiaTheme="majorEastAsia" w:hAnsi="Arial Narrow" w:cs="Times New Roman"/>
                <w:b/>
                <w:sz w:val="20"/>
              </w:rPr>
              <w:t>Previous submission (</w:t>
            </w:r>
            <w:r w:rsidR="007C0D91" w:rsidRPr="007C0D91">
              <w:rPr>
                <w:rFonts w:ascii="Arial Narrow" w:eastAsiaTheme="majorEastAsia" w:hAnsi="Arial Narrow" w:cs="Times New Roman"/>
                <w:b/>
                <w:sz w:val="20"/>
              </w:rPr>
              <w:t>November</w:t>
            </w:r>
            <w:r w:rsidRPr="007C0D91">
              <w:rPr>
                <w:rFonts w:ascii="Arial Narrow" w:eastAsiaTheme="majorEastAsia" w:hAnsi="Arial Narrow" w:cs="Times New Roman"/>
                <w:b/>
                <w:sz w:val="20"/>
              </w:rPr>
              <w:t xml:space="preserve"> 2022)</w:t>
            </w:r>
          </w:p>
        </w:tc>
      </w:tr>
      <w:tr w:rsidR="003616A1" w:rsidRPr="007C0D91" w14:paraId="03D23409" w14:textId="77777777" w:rsidTr="00CC3E32">
        <w:tc>
          <w:tcPr>
            <w:tcW w:w="1334" w:type="pct"/>
            <w:shd w:val="clear" w:color="auto" w:fill="B8CCE4" w:themeFill="accent1" w:themeFillTint="66"/>
            <w:vAlign w:val="center"/>
          </w:tcPr>
          <w:p w14:paraId="5256C3CA" w14:textId="21248450" w:rsidR="003616A1" w:rsidRPr="007C0D91" w:rsidRDefault="003616A1" w:rsidP="00753705">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Number of patients initiating mobocertinib treatment </w:t>
            </w:r>
          </w:p>
        </w:tc>
        <w:tc>
          <w:tcPr>
            <w:tcW w:w="611" w:type="pct"/>
            <w:shd w:val="clear" w:color="auto" w:fill="B8CCE4" w:themeFill="accent1" w:themeFillTint="66"/>
            <w:vAlign w:val="center"/>
          </w:tcPr>
          <w:p w14:paraId="65A1FE16" w14:textId="093D00C1"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7"/>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7"/>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129D8CCE" w14:textId="047EFE86"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6"/>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6"/>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6"/>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412F6326" w14:textId="3B0B174E"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5"/>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5"/>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5"/>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51FB7801" w14:textId="120758F9"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4"/>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4"/>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4"/>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373797FA" w14:textId="7DBD475F"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3"/>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3"/>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3"/>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6ACE34F3" w14:textId="6C116781"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2"/>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2"/>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2"/>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r>
      <w:tr w:rsidR="003616A1" w:rsidRPr="007C0D91" w14:paraId="019F4506" w14:textId="77777777" w:rsidTr="00CC3E32">
        <w:tc>
          <w:tcPr>
            <w:tcW w:w="1334" w:type="pct"/>
            <w:shd w:val="clear" w:color="auto" w:fill="B8CCE4" w:themeFill="accent1" w:themeFillTint="66"/>
            <w:vAlign w:val="center"/>
          </w:tcPr>
          <w:p w14:paraId="364461DE" w14:textId="082DF9E1" w:rsidR="003616A1" w:rsidRPr="007C0D91" w:rsidRDefault="003616A1" w:rsidP="00753705">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 xml:space="preserve">Total treated patients </w:t>
            </w:r>
          </w:p>
        </w:tc>
        <w:tc>
          <w:tcPr>
            <w:tcW w:w="611" w:type="pct"/>
            <w:shd w:val="clear" w:color="auto" w:fill="B8CCE4" w:themeFill="accent1" w:themeFillTint="66"/>
            <w:vAlign w:val="center"/>
          </w:tcPr>
          <w:p w14:paraId="786B62AD" w14:textId="05879153"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1"/>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1"/>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1"/>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4AB58FAB" w14:textId="0E3DE0BD"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0"/>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0"/>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0"/>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325560AC" w14:textId="40EB3A21"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9"/>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9"/>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9"/>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106A8040" w14:textId="339C5B75"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8"/>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8"/>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60C6E1F4" w14:textId="2FA00C14"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7"/>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7"/>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c>
          <w:tcPr>
            <w:tcW w:w="611" w:type="pct"/>
            <w:shd w:val="clear" w:color="auto" w:fill="B8CCE4" w:themeFill="accent1" w:themeFillTint="66"/>
            <w:vAlign w:val="center"/>
          </w:tcPr>
          <w:p w14:paraId="48D72B27" w14:textId="4FCFB165"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6"/>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6"/>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6"/>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1</w:t>
            </w:r>
            <w:proofErr w:type="gramEnd"/>
          </w:p>
        </w:tc>
      </w:tr>
      <w:tr w:rsidR="003616A1" w:rsidRPr="007C0D91" w14:paraId="13372855" w14:textId="77777777" w:rsidTr="00CC3E32">
        <w:tc>
          <w:tcPr>
            <w:tcW w:w="1334" w:type="pct"/>
            <w:shd w:val="clear" w:color="auto" w:fill="B8CCE4" w:themeFill="accent1" w:themeFillTint="66"/>
            <w:vAlign w:val="center"/>
          </w:tcPr>
          <w:p w14:paraId="7316FC86" w14:textId="785A3D6F" w:rsidR="003616A1" w:rsidRPr="007C0D91" w:rsidRDefault="003616A1" w:rsidP="00753705">
            <w:pPr>
              <w:keepNext/>
              <w:keepLines/>
              <w:jc w:val="left"/>
              <w:rPr>
                <w:rFonts w:ascii="Arial Narrow" w:eastAsiaTheme="majorEastAsia" w:hAnsi="Arial Narrow" w:cstheme="majorBidi"/>
                <w:bCs/>
                <w:sz w:val="20"/>
              </w:rPr>
            </w:pPr>
            <w:r w:rsidRPr="007C0D91">
              <w:rPr>
                <w:rFonts w:ascii="Arial Narrow" w:eastAsiaTheme="majorEastAsia" w:hAnsi="Arial Narrow" w:cstheme="majorBidi"/>
                <w:bCs/>
                <w:sz w:val="20"/>
              </w:rPr>
              <w:t>Number of scripts dispensed</w:t>
            </w:r>
            <w:r w:rsidRPr="007C0D91">
              <w:rPr>
                <w:rFonts w:ascii="Arial Narrow" w:eastAsiaTheme="majorEastAsia" w:hAnsi="Arial Narrow" w:cstheme="majorBidi"/>
                <w:bCs/>
                <w:sz w:val="20"/>
                <w:vertAlign w:val="superscript"/>
              </w:rPr>
              <w:t>a</w:t>
            </w:r>
          </w:p>
        </w:tc>
        <w:tc>
          <w:tcPr>
            <w:tcW w:w="611" w:type="pct"/>
            <w:shd w:val="clear" w:color="auto" w:fill="B8CCE4" w:themeFill="accent1" w:themeFillTint="66"/>
            <w:vAlign w:val="center"/>
          </w:tcPr>
          <w:p w14:paraId="53E2A454" w14:textId="17CAA117"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5"/>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5"/>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5"/>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B8CCE4" w:themeFill="accent1" w:themeFillTint="66"/>
            <w:vAlign w:val="center"/>
          </w:tcPr>
          <w:p w14:paraId="38C709E6" w14:textId="5F6758EE"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4"/>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4"/>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4"/>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B8CCE4" w:themeFill="accent1" w:themeFillTint="66"/>
            <w:vAlign w:val="center"/>
          </w:tcPr>
          <w:p w14:paraId="46D39F29" w14:textId="1BFB53F7"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3"/>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3"/>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3"/>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B8CCE4" w:themeFill="accent1" w:themeFillTint="66"/>
            <w:vAlign w:val="center"/>
          </w:tcPr>
          <w:p w14:paraId="3F8DC33C" w14:textId="517B8A31"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2"/>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2"/>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2"/>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B8CCE4" w:themeFill="accent1" w:themeFillTint="66"/>
            <w:vAlign w:val="center"/>
          </w:tcPr>
          <w:p w14:paraId="3C879862" w14:textId="324FA404"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8"/>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8"/>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c>
          <w:tcPr>
            <w:tcW w:w="611" w:type="pct"/>
            <w:shd w:val="clear" w:color="auto" w:fill="B8CCE4" w:themeFill="accent1" w:themeFillTint="66"/>
            <w:vAlign w:val="center"/>
          </w:tcPr>
          <w:p w14:paraId="38EDBB4C" w14:textId="7BB6A71D" w:rsidR="003616A1"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7"/>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7"/>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2</w:t>
            </w:r>
            <w:proofErr w:type="gramEnd"/>
          </w:p>
        </w:tc>
      </w:tr>
      <w:tr w:rsidR="0071626A" w:rsidRPr="007C0D91" w14:paraId="67C370F3" w14:textId="77777777" w:rsidTr="00D43793">
        <w:tc>
          <w:tcPr>
            <w:tcW w:w="5000" w:type="pct"/>
            <w:gridSpan w:val="7"/>
            <w:shd w:val="clear" w:color="auto" w:fill="auto"/>
            <w:vAlign w:val="center"/>
          </w:tcPr>
          <w:p w14:paraId="6E2A4C71" w14:textId="77777777" w:rsidR="0071626A" w:rsidRPr="007C0D91" w:rsidRDefault="0071626A" w:rsidP="00753705">
            <w:pPr>
              <w:keepNext/>
              <w:keepLines/>
              <w:jc w:val="left"/>
              <w:rPr>
                <w:rFonts w:ascii="Arial Narrow" w:eastAsiaTheme="majorEastAsia" w:hAnsi="Arial Narrow" w:cs="Times New Roman"/>
                <w:b/>
                <w:sz w:val="20"/>
              </w:rPr>
            </w:pPr>
            <w:r w:rsidRPr="007C0D91">
              <w:rPr>
                <w:rFonts w:ascii="Arial Narrow" w:eastAsiaTheme="majorEastAsia" w:hAnsi="Arial Narrow" w:cs="Times New Roman"/>
                <w:b/>
                <w:sz w:val="20"/>
              </w:rPr>
              <w:t>Estimated financial implications of mobocertinib</w:t>
            </w:r>
          </w:p>
        </w:tc>
      </w:tr>
      <w:tr w:rsidR="0071626A" w:rsidRPr="007C0D91" w14:paraId="0EBE1D45" w14:textId="77777777" w:rsidTr="00D43793">
        <w:tc>
          <w:tcPr>
            <w:tcW w:w="1334" w:type="pct"/>
            <w:shd w:val="clear" w:color="auto" w:fill="auto"/>
            <w:vAlign w:val="center"/>
          </w:tcPr>
          <w:p w14:paraId="4FD11BAE" w14:textId="77777777" w:rsidR="0071626A" w:rsidRPr="007C0D91" w:rsidRDefault="0071626A" w:rsidP="00753705">
            <w:pPr>
              <w:keepNext/>
              <w:keepLines/>
              <w:jc w:val="left"/>
              <w:rPr>
                <w:rFonts w:ascii="Arial Narrow" w:eastAsiaTheme="majorEastAsia" w:hAnsi="Arial Narrow" w:cstheme="majorBidi"/>
                <w:bCs/>
                <w:sz w:val="19"/>
                <w:szCs w:val="19"/>
              </w:rPr>
            </w:pPr>
            <w:r w:rsidRPr="007C0D91">
              <w:rPr>
                <w:rFonts w:ascii="Arial Narrow" w:eastAsiaTheme="majorEastAsia" w:hAnsi="Arial Narrow" w:cstheme="majorBidi"/>
                <w:bCs/>
                <w:sz w:val="19"/>
                <w:szCs w:val="19"/>
              </w:rPr>
              <w:t>Cost to PBS/RPBS less copayments</w:t>
            </w:r>
          </w:p>
        </w:tc>
        <w:tc>
          <w:tcPr>
            <w:tcW w:w="611" w:type="pct"/>
            <w:shd w:val="clear" w:color="auto" w:fill="auto"/>
            <w:vAlign w:val="center"/>
          </w:tcPr>
          <w:p w14:paraId="241FB04A" w14:textId="1B630DD4"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6"/>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6"/>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6"/>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6EBAC4B2" w14:textId="3A9A96BF"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5"/>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5"/>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5"/>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0E18DB40" w14:textId="7A9D2FB5"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4"/>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4"/>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4"/>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6A9FE004" w14:textId="4AACC661"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3"/>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3"/>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3"/>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1261FB62" w14:textId="52255A79"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2"/>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2"/>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2"/>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vAlign w:val="center"/>
          </w:tcPr>
          <w:p w14:paraId="53F590BA" w14:textId="590149B5"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1"/>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1"/>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1"/>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r>
      <w:tr w:rsidR="0071626A" w:rsidRPr="007C0D91" w14:paraId="6F371257" w14:textId="77777777" w:rsidTr="00D43793">
        <w:tc>
          <w:tcPr>
            <w:tcW w:w="5000" w:type="pct"/>
            <w:gridSpan w:val="7"/>
            <w:shd w:val="clear" w:color="auto" w:fill="auto"/>
            <w:vAlign w:val="center"/>
          </w:tcPr>
          <w:p w14:paraId="2E75908C" w14:textId="65824DF6" w:rsidR="0071626A" w:rsidRPr="007C0D91" w:rsidRDefault="0071626A" w:rsidP="00753705">
            <w:pPr>
              <w:keepNext/>
              <w:keepLines/>
              <w:jc w:val="left"/>
              <w:rPr>
                <w:rFonts w:ascii="Arial Narrow" w:eastAsiaTheme="majorEastAsia" w:hAnsi="Arial Narrow" w:cstheme="majorBidi"/>
                <w:b/>
                <w:bCs/>
                <w:sz w:val="20"/>
              </w:rPr>
            </w:pPr>
            <w:r w:rsidRPr="007C0D91">
              <w:rPr>
                <w:rFonts w:ascii="Arial Narrow" w:eastAsiaTheme="majorEastAsia" w:hAnsi="Arial Narrow" w:cstheme="majorBidi"/>
                <w:b/>
                <w:bCs/>
                <w:sz w:val="20"/>
              </w:rPr>
              <w:t xml:space="preserve">Estimated financial implications for </w:t>
            </w:r>
            <w:r w:rsidR="00DB288A" w:rsidRPr="007C0D91">
              <w:rPr>
                <w:rFonts w:ascii="Arial Narrow" w:eastAsiaTheme="majorEastAsia" w:hAnsi="Arial Narrow" w:cstheme="majorBidi"/>
                <w:b/>
                <w:bCs/>
                <w:sz w:val="20"/>
              </w:rPr>
              <w:t>c</w:t>
            </w:r>
            <w:r w:rsidRPr="007C0D91">
              <w:rPr>
                <w:rFonts w:ascii="Arial Narrow" w:eastAsiaTheme="majorEastAsia" w:hAnsi="Arial Narrow" w:cstheme="majorBidi"/>
                <w:b/>
                <w:bCs/>
                <w:sz w:val="20"/>
              </w:rPr>
              <w:t>hemotherapy</w:t>
            </w:r>
          </w:p>
        </w:tc>
      </w:tr>
      <w:tr w:rsidR="0071626A" w:rsidRPr="007C0D91" w14:paraId="001A948F" w14:textId="77777777" w:rsidTr="00D43793">
        <w:tc>
          <w:tcPr>
            <w:tcW w:w="1334" w:type="pct"/>
            <w:shd w:val="clear" w:color="auto" w:fill="auto"/>
            <w:vAlign w:val="center"/>
          </w:tcPr>
          <w:p w14:paraId="2EC77863" w14:textId="77777777" w:rsidR="0071626A" w:rsidRPr="007C0D91" w:rsidRDefault="0071626A" w:rsidP="00753705">
            <w:pPr>
              <w:keepNext/>
              <w:keepLines/>
              <w:jc w:val="left"/>
              <w:rPr>
                <w:rFonts w:ascii="Arial Narrow" w:eastAsiaTheme="majorEastAsia" w:hAnsi="Arial Narrow" w:cstheme="majorBidi"/>
                <w:bCs/>
                <w:sz w:val="19"/>
                <w:szCs w:val="19"/>
              </w:rPr>
            </w:pPr>
            <w:r w:rsidRPr="007C0D91">
              <w:rPr>
                <w:rFonts w:ascii="Arial Narrow" w:eastAsiaTheme="majorEastAsia" w:hAnsi="Arial Narrow" w:cstheme="majorBidi"/>
                <w:bCs/>
                <w:sz w:val="19"/>
                <w:szCs w:val="19"/>
              </w:rPr>
              <w:t>Cost to PBS/RPBS less copayments</w:t>
            </w:r>
          </w:p>
        </w:tc>
        <w:tc>
          <w:tcPr>
            <w:tcW w:w="611" w:type="pct"/>
            <w:shd w:val="clear" w:color="auto" w:fill="auto"/>
            <w:vAlign w:val="center"/>
          </w:tcPr>
          <w:p w14:paraId="35622D48" w14:textId="5D7FBA56"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40"/>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40"/>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40"/>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126FE94B" w14:textId="178D7D22"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9"/>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9"/>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9"/>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6A559652" w14:textId="439A6823"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8"/>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8"/>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7074AAD7" w14:textId="6D95A82E"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7"/>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7"/>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46CAFF41" w14:textId="05F4E7C5"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6"/>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6"/>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6"/>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vAlign w:val="center"/>
          </w:tcPr>
          <w:p w14:paraId="74AF31E8" w14:textId="75134068"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435"/>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435"/>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435"/>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r>
      <w:tr w:rsidR="0071626A" w:rsidRPr="007C0D91" w14:paraId="28E448C1" w14:textId="77777777" w:rsidTr="00D43793">
        <w:tc>
          <w:tcPr>
            <w:tcW w:w="5000" w:type="pct"/>
            <w:gridSpan w:val="7"/>
            <w:shd w:val="clear" w:color="auto" w:fill="auto"/>
            <w:vAlign w:val="center"/>
          </w:tcPr>
          <w:p w14:paraId="16C1EE6B" w14:textId="77777777" w:rsidR="0071626A" w:rsidRPr="007C0D91" w:rsidRDefault="0071626A" w:rsidP="00753705">
            <w:pPr>
              <w:keepNext/>
              <w:keepLines/>
              <w:jc w:val="left"/>
              <w:rPr>
                <w:rFonts w:ascii="Arial Narrow" w:eastAsiaTheme="majorEastAsia" w:hAnsi="Arial Narrow" w:cs="Times New Roman"/>
                <w:b/>
                <w:sz w:val="20"/>
              </w:rPr>
            </w:pPr>
            <w:r w:rsidRPr="007C0D91">
              <w:rPr>
                <w:rFonts w:ascii="Arial Narrow" w:eastAsiaTheme="majorEastAsia" w:hAnsi="Arial Narrow" w:cs="Times New Roman"/>
                <w:b/>
                <w:sz w:val="20"/>
              </w:rPr>
              <w:t>Net financial implications</w:t>
            </w:r>
            <w:r w:rsidRPr="007C0D91">
              <w:rPr>
                <w:rFonts w:ascii="Arial Narrow" w:eastAsiaTheme="majorEastAsia" w:hAnsi="Arial Narrow" w:cs="Times New Roman"/>
                <w:b/>
                <w:color w:val="4BACC6" w:themeColor="accent5"/>
                <w:sz w:val="20"/>
              </w:rPr>
              <w:t xml:space="preserve"> </w:t>
            </w:r>
          </w:p>
        </w:tc>
      </w:tr>
      <w:tr w:rsidR="0071626A" w:rsidRPr="007C0D91" w14:paraId="643DE1FD" w14:textId="77777777" w:rsidTr="00D43793">
        <w:tc>
          <w:tcPr>
            <w:tcW w:w="1334" w:type="pct"/>
            <w:shd w:val="clear" w:color="auto" w:fill="auto"/>
            <w:vAlign w:val="center"/>
          </w:tcPr>
          <w:p w14:paraId="58C7D9B4" w14:textId="77777777" w:rsidR="0071626A" w:rsidRPr="00753705" w:rsidRDefault="0071626A" w:rsidP="00753705">
            <w:pPr>
              <w:keepNext/>
              <w:keepLines/>
              <w:jc w:val="left"/>
              <w:rPr>
                <w:rFonts w:ascii="Arial Narrow" w:eastAsiaTheme="majorEastAsia" w:hAnsi="Arial Narrow" w:cstheme="majorBidi"/>
                <w:bCs/>
                <w:sz w:val="19"/>
                <w:szCs w:val="19"/>
                <w:highlight w:val="darkGray"/>
              </w:rPr>
            </w:pPr>
            <w:r w:rsidRPr="00753705">
              <w:rPr>
                <w:rFonts w:ascii="Arial Narrow" w:eastAsiaTheme="majorEastAsia" w:hAnsi="Arial Narrow" w:cstheme="majorBidi"/>
                <w:bCs/>
                <w:sz w:val="19"/>
                <w:szCs w:val="19"/>
              </w:rPr>
              <w:t>Net cost to PBS/RPBS</w:t>
            </w:r>
          </w:p>
        </w:tc>
        <w:tc>
          <w:tcPr>
            <w:tcW w:w="611" w:type="pct"/>
            <w:shd w:val="clear" w:color="auto" w:fill="auto"/>
          </w:tcPr>
          <w:p w14:paraId="05F7A649" w14:textId="538F0095" w:rsidR="0071626A" w:rsidRPr="00753705" w:rsidRDefault="00092A28" w:rsidP="00753705">
            <w:pPr>
              <w:keepNext/>
              <w:keepLines/>
              <w:jc w:val="center"/>
              <w:rPr>
                <w:rFonts w:ascii="Arial Narrow" w:eastAsiaTheme="majorEastAsia" w:hAnsi="Arial Narrow" w:cstheme="majorBidi"/>
                <w:bCs/>
                <w:sz w:val="20"/>
                <w:highlight w:val="darkGray"/>
              </w:rPr>
            </w:pPr>
            <w:r w:rsidRPr="00092A28">
              <w:rPr>
                <w:rFonts w:ascii="Arial Narrow" w:eastAsiaTheme="majorEastAsia" w:hAnsi="Arial Narrow" w:cstheme="majorBidi" w:hint="eastAsia"/>
                <w:bCs/>
                <w:color w:val="000000"/>
                <w:w w:val="16"/>
                <w:sz w:val="20"/>
                <w:shd w:val="solid" w:color="000000" w:fill="000000"/>
                <w:fitText w:val="75" w:id="-1167912192"/>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92"/>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92"/>
                <w14:textFill>
                  <w14:solidFill>
                    <w14:srgbClr w14:val="000000">
                      <w14:alpha w14:val="100000"/>
                    </w14:srgbClr>
                  </w14:solidFill>
                </w14:textFill>
              </w:rPr>
              <w:t xml:space="preserve">　</w:t>
            </w:r>
            <w:r w:rsidR="00753705" w:rsidRPr="00753705">
              <w:rPr>
                <w:rFonts w:ascii="Arial Narrow" w:eastAsiaTheme="majorEastAsia" w:hAnsi="Arial Narrow" w:cstheme="majorBidi"/>
                <w:bCs/>
                <w:sz w:val="20"/>
              </w:rPr>
              <w:t xml:space="preserve"> </w:t>
            </w:r>
            <w:r w:rsidR="00753705" w:rsidRPr="00753705">
              <w:rPr>
                <w:rFonts w:ascii="Arial Narrow" w:eastAsiaTheme="majorEastAsia" w:hAnsi="Arial Narrow" w:cstheme="majorBidi"/>
                <w:bCs/>
                <w:sz w:val="20"/>
                <w:vertAlign w:val="superscript"/>
              </w:rPr>
              <w:t>3</w:t>
            </w:r>
            <w:proofErr w:type="gramEnd"/>
          </w:p>
        </w:tc>
        <w:tc>
          <w:tcPr>
            <w:tcW w:w="611" w:type="pct"/>
            <w:shd w:val="clear" w:color="auto" w:fill="auto"/>
          </w:tcPr>
          <w:p w14:paraId="08B2F479" w14:textId="248E5537"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91"/>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91"/>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91"/>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tcPr>
          <w:p w14:paraId="5459710A" w14:textId="31CCE18D"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90"/>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90"/>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90"/>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tcPr>
          <w:p w14:paraId="0652777C" w14:textId="34C77E83"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9"/>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9"/>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9"/>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tcPr>
          <w:p w14:paraId="24BE8446" w14:textId="23986CE9"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8"/>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8"/>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tcPr>
          <w:p w14:paraId="3BE53C0F" w14:textId="43F17F45"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7"/>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7"/>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r>
      <w:tr w:rsidR="0071626A" w:rsidRPr="007C0D91" w14:paraId="0BBDBCA5" w14:textId="77777777" w:rsidTr="00D43793">
        <w:tc>
          <w:tcPr>
            <w:tcW w:w="1334" w:type="pct"/>
            <w:shd w:val="clear" w:color="auto" w:fill="auto"/>
            <w:vAlign w:val="center"/>
          </w:tcPr>
          <w:p w14:paraId="35139F3F" w14:textId="77777777" w:rsidR="0071626A" w:rsidRPr="007C0D91" w:rsidRDefault="0071626A" w:rsidP="00753705">
            <w:pPr>
              <w:keepNext/>
              <w:keepLines/>
              <w:jc w:val="left"/>
              <w:rPr>
                <w:rFonts w:ascii="Times" w:eastAsiaTheme="majorEastAsia" w:hAnsi="Times" w:cstheme="majorBidi"/>
                <w:bCs/>
                <w:sz w:val="20"/>
              </w:rPr>
            </w:pPr>
            <w:r w:rsidRPr="007C0D91">
              <w:rPr>
                <w:rFonts w:ascii="Arial Narrow" w:eastAsiaTheme="majorEastAsia" w:hAnsi="Arial Narrow" w:cstheme="majorBidi"/>
                <w:bCs/>
                <w:sz w:val="19"/>
                <w:szCs w:val="19"/>
              </w:rPr>
              <w:t>Net cost to MBS</w:t>
            </w:r>
          </w:p>
        </w:tc>
        <w:tc>
          <w:tcPr>
            <w:tcW w:w="611" w:type="pct"/>
            <w:shd w:val="clear" w:color="auto" w:fill="auto"/>
          </w:tcPr>
          <w:p w14:paraId="4CD102C9" w14:textId="1A169C5C"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6"/>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6"/>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6"/>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4</w:t>
            </w:r>
            <w:proofErr w:type="gramEnd"/>
          </w:p>
        </w:tc>
        <w:tc>
          <w:tcPr>
            <w:tcW w:w="611" w:type="pct"/>
            <w:shd w:val="clear" w:color="auto" w:fill="auto"/>
          </w:tcPr>
          <w:p w14:paraId="0964BD21" w14:textId="221FFFE3"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5"/>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5"/>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5"/>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4</w:t>
            </w:r>
            <w:proofErr w:type="gramEnd"/>
          </w:p>
        </w:tc>
        <w:tc>
          <w:tcPr>
            <w:tcW w:w="611" w:type="pct"/>
            <w:shd w:val="clear" w:color="auto" w:fill="auto"/>
          </w:tcPr>
          <w:p w14:paraId="78B841DF" w14:textId="68899DDE"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4"/>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4"/>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4"/>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4</w:t>
            </w:r>
            <w:proofErr w:type="gramEnd"/>
          </w:p>
        </w:tc>
        <w:tc>
          <w:tcPr>
            <w:tcW w:w="611" w:type="pct"/>
            <w:shd w:val="clear" w:color="auto" w:fill="auto"/>
          </w:tcPr>
          <w:p w14:paraId="4FC412A1" w14:textId="37F5A143"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3"/>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3"/>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3"/>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4</w:t>
            </w:r>
            <w:proofErr w:type="gramEnd"/>
          </w:p>
        </w:tc>
        <w:tc>
          <w:tcPr>
            <w:tcW w:w="611" w:type="pct"/>
            <w:shd w:val="clear" w:color="auto" w:fill="auto"/>
          </w:tcPr>
          <w:p w14:paraId="300B85D4" w14:textId="15509211"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2"/>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2"/>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2"/>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4</w:t>
            </w:r>
            <w:proofErr w:type="gramEnd"/>
          </w:p>
        </w:tc>
        <w:tc>
          <w:tcPr>
            <w:tcW w:w="611" w:type="pct"/>
          </w:tcPr>
          <w:p w14:paraId="4519D99A" w14:textId="769CAE84"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1"/>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1"/>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1"/>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4</w:t>
            </w:r>
            <w:proofErr w:type="gramEnd"/>
          </w:p>
        </w:tc>
      </w:tr>
      <w:tr w:rsidR="0071626A" w:rsidRPr="007C0D91" w14:paraId="2DDB4190" w14:textId="77777777" w:rsidTr="00D43793">
        <w:tc>
          <w:tcPr>
            <w:tcW w:w="1334" w:type="pct"/>
            <w:shd w:val="clear" w:color="auto" w:fill="auto"/>
            <w:vAlign w:val="center"/>
          </w:tcPr>
          <w:p w14:paraId="08FAB54D" w14:textId="77777777" w:rsidR="0071626A" w:rsidRPr="007C0D91" w:rsidRDefault="0071626A" w:rsidP="00753705">
            <w:pPr>
              <w:keepNext/>
              <w:keepLines/>
              <w:jc w:val="left"/>
              <w:rPr>
                <w:rFonts w:ascii="Arial Narrow" w:eastAsiaTheme="majorEastAsia" w:hAnsi="Arial Narrow" w:cstheme="majorBidi"/>
                <w:bCs/>
                <w:sz w:val="19"/>
                <w:szCs w:val="19"/>
              </w:rPr>
            </w:pPr>
            <w:r w:rsidRPr="007C0D91">
              <w:rPr>
                <w:rFonts w:ascii="Arial Narrow" w:eastAsiaTheme="majorEastAsia" w:hAnsi="Arial Narrow" w:cstheme="majorBidi"/>
                <w:bCs/>
                <w:sz w:val="19"/>
                <w:szCs w:val="19"/>
              </w:rPr>
              <w:t>Net cost to PBS/RPBS/MBS</w:t>
            </w:r>
          </w:p>
        </w:tc>
        <w:tc>
          <w:tcPr>
            <w:tcW w:w="611" w:type="pct"/>
            <w:shd w:val="clear" w:color="auto" w:fill="auto"/>
          </w:tcPr>
          <w:p w14:paraId="1509F6A9" w14:textId="04DA06A8"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80"/>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80"/>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80"/>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tcPr>
          <w:p w14:paraId="3A4860E6" w14:textId="7E7C6411"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79"/>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79"/>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79"/>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tcPr>
          <w:p w14:paraId="05BA378B" w14:textId="5E80DA9D"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78"/>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78"/>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7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tcPr>
          <w:p w14:paraId="53F176C2" w14:textId="53C34625"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77"/>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77"/>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7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tcPr>
          <w:p w14:paraId="7165D135" w14:textId="00EEB771" w:rsidR="0071626A" w:rsidRPr="00753705" w:rsidRDefault="00092A28" w:rsidP="00753705">
            <w:pPr>
              <w:keepNext/>
              <w:keepLines/>
              <w:jc w:val="center"/>
              <w:rPr>
                <w:rFonts w:ascii="Arial Narrow" w:eastAsiaTheme="majorEastAsia" w:hAnsi="Arial Narrow" w:cstheme="majorBidi"/>
                <w:bCs/>
                <w:sz w:val="20"/>
                <w:highlight w:val="darkGray"/>
              </w:rPr>
            </w:pPr>
            <w:r w:rsidRPr="00092A28">
              <w:rPr>
                <w:rFonts w:ascii="Arial Narrow" w:eastAsiaTheme="majorEastAsia" w:hAnsi="Arial Narrow" w:cstheme="majorBidi" w:hint="eastAsia"/>
                <w:bCs/>
                <w:color w:val="000000"/>
                <w:w w:val="16"/>
                <w:sz w:val="20"/>
                <w:shd w:val="solid" w:color="000000" w:fill="000000"/>
                <w:fitText w:val="75" w:id="-1167912176"/>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76"/>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76"/>
                <w14:textFill>
                  <w14:solidFill>
                    <w14:srgbClr w14:val="000000">
                      <w14:alpha w14:val="100000"/>
                    </w14:srgbClr>
                  </w14:solidFill>
                </w14:textFill>
              </w:rPr>
              <w:t xml:space="preserve">　</w:t>
            </w:r>
            <w:r w:rsidR="00753705" w:rsidRPr="00753705">
              <w:rPr>
                <w:rFonts w:ascii="Arial Narrow" w:eastAsiaTheme="majorEastAsia" w:hAnsi="Arial Narrow" w:cstheme="majorBidi"/>
                <w:bCs/>
                <w:sz w:val="20"/>
              </w:rPr>
              <w:t xml:space="preserve"> </w:t>
            </w:r>
            <w:r w:rsidR="00753705" w:rsidRPr="00753705">
              <w:rPr>
                <w:rFonts w:ascii="Arial Narrow" w:eastAsiaTheme="majorEastAsia" w:hAnsi="Arial Narrow" w:cstheme="majorBidi"/>
                <w:bCs/>
                <w:sz w:val="20"/>
                <w:vertAlign w:val="superscript"/>
              </w:rPr>
              <w:t>3</w:t>
            </w:r>
            <w:proofErr w:type="gramEnd"/>
          </w:p>
        </w:tc>
        <w:tc>
          <w:tcPr>
            <w:tcW w:w="611" w:type="pct"/>
          </w:tcPr>
          <w:p w14:paraId="6A17CB33" w14:textId="013A6CB6"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heme="majorBidi" w:hint="eastAsia"/>
                <w:bCs/>
                <w:color w:val="000000"/>
                <w:w w:val="16"/>
                <w:sz w:val="20"/>
                <w:shd w:val="solid" w:color="000000" w:fill="000000"/>
                <w:fitText w:val="75" w:id="-1167912192"/>
                <w14:textFill>
                  <w14:solidFill>
                    <w14:srgbClr w14:val="000000">
                      <w14:alpha w14:val="100000"/>
                    </w14:srgbClr>
                  </w14:solidFill>
                </w14:textFill>
              </w:rPr>
              <w:t xml:space="preserve">　</w:t>
            </w:r>
            <w:proofErr w:type="gramStart"/>
            <w:r w:rsidRPr="00092A28">
              <w:rPr>
                <w:rFonts w:ascii="Arial Narrow" w:eastAsiaTheme="majorEastAsia" w:hAnsi="Arial Narrow" w:cstheme="majorBidi"/>
                <w:bCs/>
                <w:color w:val="000000"/>
                <w:w w:val="16"/>
                <w:sz w:val="20"/>
                <w:shd w:val="solid" w:color="000000" w:fill="000000"/>
                <w:fitText w:val="75" w:id="-1167912192"/>
                <w14:textFill>
                  <w14:solidFill>
                    <w14:srgbClr w14:val="000000">
                      <w14:alpha w14:val="100000"/>
                    </w14:srgbClr>
                  </w14:solidFill>
                </w14:textFill>
              </w:rPr>
              <w:t>|</w:t>
            </w:r>
            <w:r w:rsidRPr="00092A28">
              <w:rPr>
                <w:rFonts w:ascii="Arial Narrow" w:eastAsiaTheme="majorEastAsia" w:hAnsi="Arial Narrow" w:cstheme="majorBidi" w:hint="eastAsia"/>
                <w:bCs/>
                <w:color w:val="000000"/>
                <w:spacing w:val="5"/>
                <w:w w:val="16"/>
                <w:sz w:val="20"/>
                <w:shd w:val="solid" w:color="000000" w:fill="000000"/>
                <w:fitText w:val="75" w:id="-1167912192"/>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r>
      <w:tr w:rsidR="0071626A" w:rsidRPr="007C0D91" w14:paraId="4CB3F138" w14:textId="77777777" w:rsidTr="00D43793">
        <w:tc>
          <w:tcPr>
            <w:tcW w:w="1334" w:type="pct"/>
            <w:shd w:val="clear" w:color="auto" w:fill="auto"/>
            <w:vAlign w:val="center"/>
          </w:tcPr>
          <w:p w14:paraId="4F6F0994" w14:textId="77777777" w:rsidR="0071626A" w:rsidRPr="007C0D91" w:rsidRDefault="0071626A" w:rsidP="00753705">
            <w:pPr>
              <w:keepNext/>
              <w:keepLines/>
              <w:jc w:val="left"/>
              <w:rPr>
                <w:rFonts w:ascii="Arial Narrow" w:eastAsiaTheme="majorEastAsia" w:hAnsi="Arial Narrow" w:cstheme="majorBidi"/>
                <w:bCs/>
                <w:sz w:val="19"/>
                <w:szCs w:val="19"/>
              </w:rPr>
            </w:pPr>
            <w:r w:rsidRPr="007C0D91">
              <w:rPr>
                <w:rFonts w:ascii="Arial Narrow" w:eastAsiaTheme="majorEastAsia" w:hAnsi="Arial Narrow" w:cstheme="majorBidi"/>
                <w:bCs/>
                <w:i/>
                <w:sz w:val="19"/>
                <w:szCs w:val="19"/>
              </w:rPr>
              <w:t>Net cost to PBS/RPBS/MBS</w:t>
            </w:r>
            <w:r w:rsidRPr="007C0D91">
              <w:rPr>
                <w:rFonts w:ascii="Arial Narrow" w:eastAsiaTheme="majorEastAsia" w:hAnsi="Arial Narrow" w:cstheme="majorBidi"/>
                <w:bCs/>
                <w:i/>
                <w:sz w:val="20"/>
              </w:rPr>
              <w:t xml:space="preserve"> (Revised)</w:t>
            </w:r>
            <w:r w:rsidRPr="007C0D91">
              <w:rPr>
                <w:rFonts w:ascii="Arial Narrow" w:eastAsiaTheme="majorEastAsia" w:hAnsi="Arial Narrow" w:cstheme="majorBidi"/>
                <w:bCs/>
                <w:i/>
                <w:sz w:val="20"/>
                <w:vertAlign w:val="superscript"/>
              </w:rPr>
              <w:t>b</w:t>
            </w:r>
          </w:p>
        </w:tc>
        <w:tc>
          <w:tcPr>
            <w:tcW w:w="611" w:type="pct"/>
            <w:shd w:val="clear" w:color="auto" w:fill="auto"/>
            <w:vAlign w:val="center"/>
          </w:tcPr>
          <w:p w14:paraId="71CF4B8E" w14:textId="1C59684A"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hAnsi="Arial Narrow" w:cs="Times New Roman" w:hint="eastAsia"/>
                <w:i/>
                <w:snapToGrid w:val="0"/>
                <w:color w:val="000000"/>
                <w:w w:val="16"/>
                <w:sz w:val="20"/>
                <w:shd w:val="solid" w:color="000000" w:fill="000000"/>
                <w:fitText w:val="75" w:id="-1167912191"/>
                <w14:textFill>
                  <w14:solidFill>
                    <w14:srgbClr w14:val="000000">
                      <w14:alpha w14:val="100000"/>
                    </w14:srgbClr>
                  </w14:solidFill>
                </w14:textFill>
              </w:rPr>
              <w:t xml:space="preserve">　</w:t>
            </w:r>
            <w:proofErr w:type="gramStart"/>
            <w:r w:rsidRPr="00092A28">
              <w:rPr>
                <w:rFonts w:ascii="Arial Narrow" w:hAnsi="Arial Narrow" w:cs="Times New Roman"/>
                <w:i/>
                <w:snapToGrid w:val="0"/>
                <w:color w:val="000000"/>
                <w:w w:val="16"/>
                <w:sz w:val="20"/>
                <w:shd w:val="solid" w:color="000000" w:fill="000000"/>
                <w:fitText w:val="75" w:id="-1167912191"/>
                <w14:textFill>
                  <w14:solidFill>
                    <w14:srgbClr w14:val="000000">
                      <w14:alpha w14:val="100000"/>
                    </w14:srgbClr>
                  </w14:solidFill>
                </w14:textFill>
              </w:rPr>
              <w:t>|</w:t>
            </w:r>
            <w:r w:rsidRPr="00092A28">
              <w:rPr>
                <w:rFonts w:ascii="Arial Narrow" w:hAnsi="Arial Narrow" w:cs="Times New Roman" w:hint="eastAsia"/>
                <w:i/>
                <w:snapToGrid w:val="0"/>
                <w:color w:val="000000"/>
                <w:spacing w:val="5"/>
                <w:w w:val="16"/>
                <w:sz w:val="20"/>
                <w:shd w:val="solid" w:color="000000" w:fill="000000"/>
                <w:fitText w:val="75" w:id="-1167912191"/>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389269CB" w14:textId="437F807D"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hAnsi="Arial Narrow" w:cs="Times New Roman" w:hint="eastAsia"/>
                <w:i/>
                <w:snapToGrid w:val="0"/>
                <w:color w:val="000000"/>
                <w:w w:val="16"/>
                <w:sz w:val="20"/>
                <w:shd w:val="solid" w:color="000000" w:fill="000000"/>
                <w:fitText w:val="75" w:id="-1167912190"/>
                <w14:textFill>
                  <w14:solidFill>
                    <w14:srgbClr w14:val="000000">
                      <w14:alpha w14:val="100000"/>
                    </w14:srgbClr>
                  </w14:solidFill>
                </w14:textFill>
              </w:rPr>
              <w:t xml:space="preserve">　</w:t>
            </w:r>
            <w:proofErr w:type="gramStart"/>
            <w:r w:rsidRPr="00092A28">
              <w:rPr>
                <w:rFonts w:ascii="Arial Narrow" w:hAnsi="Arial Narrow" w:cs="Times New Roman"/>
                <w:i/>
                <w:snapToGrid w:val="0"/>
                <w:color w:val="000000"/>
                <w:w w:val="16"/>
                <w:sz w:val="20"/>
                <w:shd w:val="solid" w:color="000000" w:fill="000000"/>
                <w:fitText w:val="75" w:id="-1167912190"/>
                <w14:textFill>
                  <w14:solidFill>
                    <w14:srgbClr w14:val="000000">
                      <w14:alpha w14:val="100000"/>
                    </w14:srgbClr>
                  </w14:solidFill>
                </w14:textFill>
              </w:rPr>
              <w:t>|</w:t>
            </w:r>
            <w:r w:rsidRPr="00092A28">
              <w:rPr>
                <w:rFonts w:ascii="Arial Narrow" w:hAnsi="Arial Narrow" w:cs="Times New Roman" w:hint="eastAsia"/>
                <w:i/>
                <w:snapToGrid w:val="0"/>
                <w:color w:val="000000"/>
                <w:spacing w:val="5"/>
                <w:w w:val="16"/>
                <w:sz w:val="20"/>
                <w:shd w:val="solid" w:color="000000" w:fill="000000"/>
                <w:fitText w:val="75" w:id="-1167912190"/>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63F1571A" w14:textId="251EECE5"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hAnsi="Arial Narrow" w:cs="Times New Roman" w:hint="eastAsia"/>
                <w:i/>
                <w:snapToGrid w:val="0"/>
                <w:color w:val="000000"/>
                <w:w w:val="16"/>
                <w:sz w:val="20"/>
                <w:shd w:val="solid" w:color="000000" w:fill="000000"/>
                <w:fitText w:val="75" w:id="-1167912189"/>
                <w14:textFill>
                  <w14:solidFill>
                    <w14:srgbClr w14:val="000000">
                      <w14:alpha w14:val="100000"/>
                    </w14:srgbClr>
                  </w14:solidFill>
                </w14:textFill>
              </w:rPr>
              <w:t xml:space="preserve">　</w:t>
            </w:r>
            <w:proofErr w:type="gramStart"/>
            <w:r w:rsidRPr="00092A28">
              <w:rPr>
                <w:rFonts w:ascii="Arial Narrow" w:hAnsi="Arial Narrow" w:cs="Times New Roman"/>
                <w:i/>
                <w:snapToGrid w:val="0"/>
                <w:color w:val="000000"/>
                <w:w w:val="16"/>
                <w:sz w:val="20"/>
                <w:shd w:val="solid" w:color="000000" w:fill="000000"/>
                <w:fitText w:val="75" w:id="-1167912189"/>
                <w14:textFill>
                  <w14:solidFill>
                    <w14:srgbClr w14:val="000000">
                      <w14:alpha w14:val="100000"/>
                    </w14:srgbClr>
                  </w14:solidFill>
                </w14:textFill>
              </w:rPr>
              <w:t>|</w:t>
            </w:r>
            <w:r w:rsidRPr="00092A28">
              <w:rPr>
                <w:rFonts w:ascii="Arial Narrow" w:hAnsi="Arial Narrow" w:cs="Times New Roman" w:hint="eastAsia"/>
                <w:i/>
                <w:snapToGrid w:val="0"/>
                <w:color w:val="000000"/>
                <w:spacing w:val="5"/>
                <w:w w:val="16"/>
                <w:sz w:val="20"/>
                <w:shd w:val="solid" w:color="000000" w:fill="000000"/>
                <w:fitText w:val="75" w:id="-1167912189"/>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3CA76FCA" w14:textId="15BE098A"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hAnsi="Arial Narrow" w:cs="Times New Roman" w:hint="eastAsia"/>
                <w:i/>
                <w:snapToGrid w:val="0"/>
                <w:color w:val="000000"/>
                <w:w w:val="16"/>
                <w:sz w:val="20"/>
                <w:shd w:val="solid" w:color="000000" w:fill="000000"/>
                <w:fitText w:val="75" w:id="-1167912188"/>
                <w14:textFill>
                  <w14:solidFill>
                    <w14:srgbClr w14:val="000000">
                      <w14:alpha w14:val="100000"/>
                    </w14:srgbClr>
                  </w14:solidFill>
                </w14:textFill>
              </w:rPr>
              <w:t xml:space="preserve">　</w:t>
            </w:r>
            <w:proofErr w:type="gramStart"/>
            <w:r w:rsidRPr="00092A28">
              <w:rPr>
                <w:rFonts w:ascii="Arial Narrow" w:hAnsi="Arial Narrow" w:cs="Times New Roman"/>
                <w:i/>
                <w:snapToGrid w:val="0"/>
                <w:color w:val="000000"/>
                <w:w w:val="16"/>
                <w:sz w:val="20"/>
                <w:shd w:val="solid" w:color="000000" w:fill="000000"/>
                <w:fitText w:val="75" w:id="-1167912188"/>
                <w14:textFill>
                  <w14:solidFill>
                    <w14:srgbClr w14:val="000000">
                      <w14:alpha w14:val="100000"/>
                    </w14:srgbClr>
                  </w14:solidFill>
                </w14:textFill>
              </w:rPr>
              <w:t>|</w:t>
            </w:r>
            <w:r w:rsidRPr="00092A28">
              <w:rPr>
                <w:rFonts w:ascii="Arial Narrow" w:hAnsi="Arial Narrow" w:cs="Times New Roman" w:hint="eastAsia"/>
                <w:i/>
                <w:snapToGrid w:val="0"/>
                <w:color w:val="000000"/>
                <w:spacing w:val="5"/>
                <w:w w:val="16"/>
                <w:sz w:val="20"/>
                <w:shd w:val="solid" w:color="000000" w:fill="000000"/>
                <w:fitText w:val="75" w:id="-1167912188"/>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auto"/>
            <w:vAlign w:val="center"/>
          </w:tcPr>
          <w:p w14:paraId="7E786F12" w14:textId="057A2054"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hAnsi="Arial Narrow" w:cs="Times New Roman" w:hint="eastAsia"/>
                <w:i/>
                <w:snapToGrid w:val="0"/>
                <w:color w:val="000000"/>
                <w:w w:val="16"/>
                <w:sz w:val="20"/>
                <w:shd w:val="solid" w:color="000000" w:fill="000000"/>
                <w:fitText w:val="75" w:id="-1167912187"/>
                <w14:textFill>
                  <w14:solidFill>
                    <w14:srgbClr w14:val="000000">
                      <w14:alpha w14:val="100000"/>
                    </w14:srgbClr>
                  </w14:solidFill>
                </w14:textFill>
              </w:rPr>
              <w:t xml:space="preserve">　</w:t>
            </w:r>
            <w:proofErr w:type="gramStart"/>
            <w:r w:rsidRPr="00092A28">
              <w:rPr>
                <w:rFonts w:ascii="Arial Narrow" w:hAnsi="Arial Narrow" w:cs="Times New Roman"/>
                <w:i/>
                <w:snapToGrid w:val="0"/>
                <w:color w:val="000000"/>
                <w:w w:val="16"/>
                <w:sz w:val="20"/>
                <w:shd w:val="solid" w:color="000000" w:fill="000000"/>
                <w:fitText w:val="75" w:id="-1167912187"/>
                <w14:textFill>
                  <w14:solidFill>
                    <w14:srgbClr w14:val="000000">
                      <w14:alpha w14:val="100000"/>
                    </w14:srgbClr>
                  </w14:solidFill>
                </w14:textFill>
              </w:rPr>
              <w:t>|</w:t>
            </w:r>
            <w:r w:rsidRPr="00092A28">
              <w:rPr>
                <w:rFonts w:ascii="Arial Narrow" w:hAnsi="Arial Narrow" w:cs="Times New Roman" w:hint="eastAsia"/>
                <w:i/>
                <w:snapToGrid w:val="0"/>
                <w:color w:val="000000"/>
                <w:spacing w:val="5"/>
                <w:w w:val="16"/>
                <w:sz w:val="20"/>
                <w:shd w:val="solid" w:color="000000" w:fill="000000"/>
                <w:fitText w:val="75" w:id="-1167912187"/>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vAlign w:val="center"/>
          </w:tcPr>
          <w:p w14:paraId="6D4A0BCF" w14:textId="0C9C5EC9"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hAnsi="Arial Narrow" w:cs="Times New Roman" w:hint="eastAsia"/>
                <w:i/>
                <w:snapToGrid w:val="0"/>
                <w:color w:val="000000"/>
                <w:w w:val="16"/>
                <w:sz w:val="20"/>
                <w:shd w:val="solid" w:color="000000" w:fill="000000"/>
                <w:fitText w:val="75" w:id="-1167912186"/>
                <w14:textFill>
                  <w14:solidFill>
                    <w14:srgbClr w14:val="000000">
                      <w14:alpha w14:val="100000"/>
                    </w14:srgbClr>
                  </w14:solidFill>
                </w14:textFill>
              </w:rPr>
              <w:t xml:space="preserve">　</w:t>
            </w:r>
            <w:proofErr w:type="gramStart"/>
            <w:r w:rsidRPr="00092A28">
              <w:rPr>
                <w:rFonts w:ascii="Arial Narrow" w:hAnsi="Arial Narrow" w:cs="Times New Roman"/>
                <w:i/>
                <w:snapToGrid w:val="0"/>
                <w:color w:val="000000"/>
                <w:w w:val="16"/>
                <w:sz w:val="20"/>
                <w:shd w:val="solid" w:color="000000" w:fill="000000"/>
                <w:fitText w:val="75" w:id="-1167912186"/>
                <w14:textFill>
                  <w14:solidFill>
                    <w14:srgbClr w14:val="000000">
                      <w14:alpha w14:val="100000"/>
                    </w14:srgbClr>
                  </w14:solidFill>
                </w14:textFill>
              </w:rPr>
              <w:t>|</w:t>
            </w:r>
            <w:r w:rsidRPr="00092A28">
              <w:rPr>
                <w:rFonts w:ascii="Arial Narrow" w:hAnsi="Arial Narrow" w:cs="Times New Roman" w:hint="eastAsia"/>
                <w:i/>
                <w:snapToGrid w:val="0"/>
                <w:color w:val="000000"/>
                <w:spacing w:val="5"/>
                <w:w w:val="16"/>
                <w:sz w:val="20"/>
                <w:shd w:val="solid" w:color="000000" w:fill="000000"/>
                <w:fitText w:val="75" w:id="-1167912186"/>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r>
      <w:tr w:rsidR="0071626A" w:rsidRPr="007C0D91" w14:paraId="7BDE089A" w14:textId="77777777" w:rsidTr="00D43793">
        <w:tc>
          <w:tcPr>
            <w:tcW w:w="5000" w:type="pct"/>
            <w:gridSpan w:val="7"/>
            <w:shd w:val="clear" w:color="auto" w:fill="B8CCE4" w:themeFill="accent1" w:themeFillTint="66"/>
            <w:vAlign w:val="center"/>
          </w:tcPr>
          <w:p w14:paraId="2E39D646" w14:textId="6D653218" w:rsidR="0071626A" w:rsidRPr="007C0D91" w:rsidRDefault="0071626A" w:rsidP="00753705">
            <w:pPr>
              <w:keepNext/>
              <w:keepLines/>
              <w:jc w:val="left"/>
              <w:rPr>
                <w:rFonts w:ascii="Arial Narrow" w:eastAsiaTheme="majorEastAsia" w:hAnsi="Arial Narrow" w:cs="Times New Roman"/>
                <w:b/>
                <w:sz w:val="20"/>
              </w:rPr>
            </w:pPr>
            <w:r w:rsidRPr="007C0D91">
              <w:rPr>
                <w:rFonts w:ascii="Arial Narrow" w:eastAsiaTheme="majorEastAsia" w:hAnsi="Arial Narrow" w:cs="Times New Roman"/>
                <w:b/>
                <w:sz w:val="20"/>
              </w:rPr>
              <w:t>Previous submission (</w:t>
            </w:r>
            <w:r w:rsidR="007C0D91" w:rsidRPr="007C0D91">
              <w:rPr>
                <w:rFonts w:ascii="Arial Narrow" w:eastAsiaTheme="majorEastAsia" w:hAnsi="Arial Narrow" w:cs="Times New Roman"/>
                <w:b/>
                <w:sz w:val="20"/>
              </w:rPr>
              <w:t>November</w:t>
            </w:r>
            <w:r w:rsidRPr="007C0D91">
              <w:rPr>
                <w:rFonts w:ascii="Arial Narrow" w:eastAsiaTheme="majorEastAsia" w:hAnsi="Arial Narrow" w:cs="Times New Roman"/>
                <w:b/>
                <w:sz w:val="20"/>
              </w:rPr>
              <w:t xml:space="preserve"> 2022)</w:t>
            </w:r>
          </w:p>
        </w:tc>
      </w:tr>
      <w:tr w:rsidR="0071626A" w:rsidRPr="007C0D91" w14:paraId="38F33CEC" w14:textId="77777777" w:rsidTr="00D43793">
        <w:tc>
          <w:tcPr>
            <w:tcW w:w="1334" w:type="pct"/>
            <w:shd w:val="clear" w:color="auto" w:fill="B8CCE4" w:themeFill="accent1" w:themeFillTint="66"/>
            <w:vAlign w:val="center"/>
          </w:tcPr>
          <w:p w14:paraId="0FFCFF99" w14:textId="77777777" w:rsidR="0071626A" w:rsidRPr="007C0D91" w:rsidRDefault="0071626A" w:rsidP="00753705">
            <w:pPr>
              <w:keepNext/>
              <w:keepLines/>
              <w:jc w:val="left"/>
              <w:rPr>
                <w:rFonts w:ascii="Arial Narrow" w:eastAsiaTheme="majorEastAsia" w:hAnsi="Arial Narrow" w:cstheme="majorBidi"/>
                <w:bCs/>
                <w:sz w:val="19"/>
                <w:szCs w:val="19"/>
              </w:rPr>
            </w:pPr>
            <w:r w:rsidRPr="007C0D91">
              <w:rPr>
                <w:rFonts w:ascii="Arial Narrow" w:eastAsiaTheme="majorEastAsia" w:hAnsi="Arial Narrow" w:cstheme="majorBidi"/>
                <w:bCs/>
                <w:sz w:val="19"/>
                <w:szCs w:val="19"/>
              </w:rPr>
              <w:t>Net cost to PBS/RPBS</w:t>
            </w:r>
          </w:p>
        </w:tc>
        <w:tc>
          <w:tcPr>
            <w:tcW w:w="611" w:type="pct"/>
            <w:shd w:val="clear" w:color="auto" w:fill="B8CCE4" w:themeFill="accent1" w:themeFillTint="66"/>
            <w:vAlign w:val="center"/>
          </w:tcPr>
          <w:p w14:paraId="77E64999" w14:textId="525DF48F"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imes New Roman" w:hint="eastAsia"/>
                <w:bCs/>
                <w:color w:val="000000"/>
                <w:w w:val="16"/>
                <w:sz w:val="20"/>
                <w:shd w:val="solid" w:color="000000" w:fill="000000"/>
                <w:fitText w:val="75" w:id="-1167912185"/>
                <w14:textFill>
                  <w14:solidFill>
                    <w14:srgbClr w14:val="000000">
                      <w14:alpha w14:val="100000"/>
                    </w14:srgbClr>
                  </w14:solidFill>
                </w14:textFill>
              </w:rPr>
              <w:t xml:space="preserve">　</w:t>
            </w:r>
            <w:proofErr w:type="gramStart"/>
            <w:r w:rsidRPr="00092A28">
              <w:rPr>
                <w:rFonts w:ascii="Arial Narrow" w:eastAsiaTheme="majorEastAsia" w:hAnsi="Arial Narrow" w:cs="Times New Roman"/>
                <w:bCs/>
                <w:color w:val="000000"/>
                <w:w w:val="16"/>
                <w:sz w:val="20"/>
                <w:shd w:val="solid" w:color="000000" w:fill="000000"/>
                <w:fitText w:val="75" w:id="-1167912185"/>
                <w14:textFill>
                  <w14:solidFill>
                    <w14:srgbClr w14:val="000000">
                      <w14:alpha w14:val="100000"/>
                    </w14:srgbClr>
                  </w14:solidFill>
                </w14:textFill>
              </w:rPr>
              <w:t>|</w:t>
            </w:r>
            <w:r w:rsidRPr="00092A28">
              <w:rPr>
                <w:rFonts w:ascii="Arial Narrow" w:eastAsiaTheme="majorEastAsia" w:hAnsi="Arial Narrow" w:cs="Times New Roman" w:hint="eastAsia"/>
                <w:bCs/>
                <w:color w:val="000000"/>
                <w:spacing w:val="5"/>
                <w:w w:val="16"/>
                <w:sz w:val="20"/>
                <w:shd w:val="solid" w:color="000000" w:fill="000000"/>
                <w:fitText w:val="75" w:id="-1167912185"/>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B8CCE4" w:themeFill="accent1" w:themeFillTint="66"/>
            <w:vAlign w:val="center"/>
          </w:tcPr>
          <w:p w14:paraId="58A27B8D" w14:textId="319B6B63"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imes New Roman" w:hint="eastAsia"/>
                <w:bCs/>
                <w:color w:val="000000"/>
                <w:w w:val="16"/>
                <w:sz w:val="20"/>
                <w:shd w:val="solid" w:color="000000" w:fill="000000"/>
                <w:fitText w:val="75" w:id="-1167912184"/>
                <w14:textFill>
                  <w14:solidFill>
                    <w14:srgbClr w14:val="000000">
                      <w14:alpha w14:val="100000"/>
                    </w14:srgbClr>
                  </w14:solidFill>
                </w14:textFill>
              </w:rPr>
              <w:t xml:space="preserve">　</w:t>
            </w:r>
            <w:proofErr w:type="gramStart"/>
            <w:r w:rsidRPr="00092A28">
              <w:rPr>
                <w:rFonts w:ascii="Arial Narrow" w:eastAsiaTheme="majorEastAsia" w:hAnsi="Arial Narrow" w:cs="Times New Roman"/>
                <w:bCs/>
                <w:color w:val="000000"/>
                <w:w w:val="16"/>
                <w:sz w:val="20"/>
                <w:shd w:val="solid" w:color="000000" w:fill="000000"/>
                <w:fitText w:val="75" w:id="-1167912184"/>
                <w14:textFill>
                  <w14:solidFill>
                    <w14:srgbClr w14:val="000000">
                      <w14:alpha w14:val="100000"/>
                    </w14:srgbClr>
                  </w14:solidFill>
                </w14:textFill>
              </w:rPr>
              <w:t>|</w:t>
            </w:r>
            <w:r w:rsidRPr="00092A28">
              <w:rPr>
                <w:rFonts w:ascii="Arial Narrow" w:eastAsiaTheme="majorEastAsia" w:hAnsi="Arial Narrow" w:cs="Times New Roman" w:hint="eastAsia"/>
                <w:bCs/>
                <w:color w:val="000000"/>
                <w:spacing w:val="5"/>
                <w:w w:val="16"/>
                <w:sz w:val="20"/>
                <w:shd w:val="solid" w:color="000000" w:fill="000000"/>
                <w:fitText w:val="75" w:id="-1167912184"/>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B8CCE4" w:themeFill="accent1" w:themeFillTint="66"/>
            <w:vAlign w:val="center"/>
          </w:tcPr>
          <w:p w14:paraId="6C6AAB8F" w14:textId="2986D8C4"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imes New Roman" w:hint="eastAsia"/>
                <w:bCs/>
                <w:color w:val="000000"/>
                <w:w w:val="16"/>
                <w:sz w:val="20"/>
                <w:shd w:val="solid" w:color="000000" w:fill="000000"/>
                <w:fitText w:val="75" w:id="-1167912183"/>
                <w14:textFill>
                  <w14:solidFill>
                    <w14:srgbClr w14:val="000000">
                      <w14:alpha w14:val="100000"/>
                    </w14:srgbClr>
                  </w14:solidFill>
                </w14:textFill>
              </w:rPr>
              <w:t xml:space="preserve">　</w:t>
            </w:r>
            <w:proofErr w:type="gramStart"/>
            <w:r w:rsidRPr="00092A28">
              <w:rPr>
                <w:rFonts w:ascii="Arial Narrow" w:eastAsiaTheme="majorEastAsia" w:hAnsi="Arial Narrow" w:cs="Times New Roman"/>
                <w:bCs/>
                <w:color w:val="000000"/>
                <w:w w:val="16"/>
                <w:sz w:val="20"/>
                <w:shd w:val="solid" w:color="000000" w:fill="000000"/>
                <w:fitText w:val="75" w:id="-1167912183"/>
                <w14:textFill>
                  <w14:solidFill>
                    <w14:srgbClr w14:val="000000">
                      <w14:alpha w14:val="100000"/>
                    </w14:srgbClr>
                  </w14:solidFill>
                </w14:textFill>
              </w:rPr>
              <w:t>|</w:t>
            </w:r>
            <w:r w:rsidRPr="00092A28">
              <w:rPr>
                <w:rFonts w:ascii="Arial Narrow" w:eastAsiaTheme="majorEastAsia" w:hAnsi="Arial Narrow" w:cs="Times New Roman" w:hint="eastAsia"/>
                <w:bCs/>
                <w:color w:val="000000"/>
                <w:spacing w:val="5"/>
                <w:w w:val="16"/>
                <w:sz w:val="20"/>
                <w:shd w:val="solid" w:color="000000" w:fill="000000"/>
                <w:fitText w:val="75" w:id="-1167912183"/>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B8CCE4" w:themeFill="accent1" w:themeFillTint="66"/>
            <w:vAlign w:val="center"/>
          </w:tcPr>
          <w:p w14:paraId="534476E6" w14:textId="133166D2"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imes New Roman" w:hint="eastAsia"/>
                <w:bCs/>
                <w:color w:val="000000"/>
                <w:w w:val="16"/>
                <w:sz w:val="20"/>
                <w:shd w:val="solid" w:color="000000" w:fill="000000"/>
                <w:fitText w:val="75" w:id="-1167912182"/>
                <w14:textFill>
                  <w14:solidFill>
                    <w14:srgbClr w14:val="000000">
                      <w14:alpha w14:val="100000"/>
                    </w14:srgbClr>
                  </w14:solidFill>
                </w14:textFill>
              </w:rPr>
              <w:t xml:space="preserve">　</w:t>
            </w:r>
            <w:proofErr w:type="gramStart"/>
            <w:r w:rsidRPr="00092A28">
              <w:rPr>
                <w:rFonts w:ascii="Arial Narrow" w:eastAsiaTheme="majorEastAsia" w:hAnsi="Arial Narrow" w:cs="Times New Roman"/>
                <w:bCs/>
                <w:color w:val="000000"/>
                <w:w w:val="16"/>
                <w:sz w:val="20"/>
                <w:shd w:val="solid" w:color="000000" w:fill="000000"/>
                <w:fitText w:val="75" w:id="-1167912182"/>
                <w14:textFill>
                  <w14:solidFill>
                    <w14:srgbClr w14:val="000000">
                      <w14:alpha w14:val="100000"/>
                    </w14:srgbClr>
                  </w14:solidFill>
                </w14:textFill>
              </w:rPr>
              <w:t>|</w:t>
            </w:r>
            <w:r w:rsidRPr="00092A28">
              <w:rPr>
                <w:rFonts w:ascii="Arial Narrow" w:eastAsiaTheme="majorEastAsia" w:hAnsi="Arial Narrow" w:cs="Times New Roman" w:hint="eastAsia"/>
                <w:bCs/>
                <w:color w:val="000000"/>
                <w:spacing w:val="5"/>
                <w:w w:val="16"/>
                <w:sz w:val="20"/>
                <w:shd w:val="solid" w:color="000000" w:fill="000000"/>
                <w:fitText w:val="75" w:id="-1167912182"/>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B8CCE4" w:themeFill="accent1" w:themeFillTint="66"/>
            <w:vAlign w:val="center"/>
          </w:tcPr>
          <w:p w14:paraId="04922967" w14:textId="36982A39"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imes New Roman" w:hint="eastAsia"/>
                <w:bCs/>
                <w:color w:val="000000"/>
                <w:w w:val="16"/>
                <w:sz w:val="20"/>
                <w:shd w:val="solid" w:color="000000" w:fill="000000"/>
                <w:fitText w:val="75" w:id="-1167912181"/>
                <w14:textFill>
                  <w14:solidFill>
                    <w14:srgbClr w14:val="000000">
                      <w14:alpha w14:val="100000"/>
                    </w14:srgbClr>
                  </w14:solidFill>
                </w14:textFill>
              </w:rPr>
              <w:t xml:space="preserve">　</w:t>
            </w:r>
            <w:proofErr w:type="gramStart"/>
            <w:r w:rsidRPr="00092A28">
              <w:rPr>
                <w:rFonts w:ascii="Arial Narrow" w:eastAsiaTheme="majorEastAsia" w:hAnsi="Arial Narrow" w:cs="Times New Roman"/>
                <w:bCs/>
                <w:color w:val="000000"/>
                <w:w w:val="16"/>
                <w:sz w:val="20"/>
                <w:shd w:val="solid" w:color="000000" w:fill="000000"/>
                <w:fitText w:val="75" w:id="-1167912181"/>
                <w14:textFill>
                  <w14:solidFill>
                    <w14:srgbClr w14:val="000000">
                      <w14:alpha w14:val="100000"/>
                    </w14:srgbClr>
                  </w14:solidFill>
                </w14:textFill>
              </w:rPr>
              <w:t>|</w:t>
            </w:r>
            <w:r w:rsidRPr="00092A28">
              <w:rPr>
                <w:rFonts w:ascii="Arial Narrow" w:eastAsiaTheme="majorEastAsia" w:hAnsi="Arial Narrow" w:cs="Times New Roman" w:hint="eastAsia"/>
                <w:bCs/>
                <w:color w:val="000000"/>
                <w:spacing w:val="5"/>
                <w:w w:val="16"/>
                <w:sz w:val="20"/>
                <w:shd w:val="solid" w:color="000000" w:fill="000000"/>
                <w:fitText w:val="75" w:id="-1167912181"/>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c>
          <w:tcPr>
            <w:tcW w:w="611" w:type="pct"/>
            <w:shd w:val="clear" w:color="auto" w:fill="B8CCE4" w:themeFill="accent1" w:themeFillTint="66"/>
            <w:vAlign w:val="center"/>
          </w:tcPr>
          <w:p w14:paraId="764B11B5" w14:textId="4172372F" w:rsidR="0071626A" w:rsidRPr="007C0D91" w:rsidRDefault="00092A28" w:rsidP="00753705">
            <w:pPr>
              <w:keepNext/>
              <w:keepLines/>
              <w:jc w:val="center"/>
              <w:rPr>
                <w:rFonts w:ascii="Arial Narrow" w:eastAsiaTheme="majorEastAsia" w:hAnsi="Arial Narrow" w:cstheme="majorBidi"/>
                <w:bCs/>
                <w:sz w:val="20"/>
              </w:rPr>
            </w:pPr>
            <w:r w:rsidRPr="00092A28">
              <w:rPr>
                <w:rFonts w:ascii="Arial Narrow" w:eastAsiaTheme="majorEastAsia" w:hAnsi="Arial Narrow" w:cs="Times New Roman" w:hint="eastAsia"/>
                <w:bCs/>
                <w:color w:val="000000"/>
                <w:w w:val="16"/>
                <w:sz w:val="20"/>
                <w:shd w:val="solid" w:color="000000" w:fill="000000"/>
                <w:fitText w:val="75" w:id="-1167912180"/>
                <w14:textFill>
                  <w14:solidFill>
                    <w14:srgbClr w14:val="000000">
                      <w14:alpha w14:val="100000"/>
                    </w14:srgbClr>
                  </w14:solidFill>
                </w14:textFill>
              </w:rPr>
              <w:t xml:space="preserve">　</w:t>
            </w:r>
            <w:proofErr w:type="gramStart"/>
            <w:r w:rsidRPr="00092A28">
              <w:rPr>
                <w:rFonts w:ascii="Arial Narrow" w:eastAsiaTheme="majorEastAsia" w:hAnsi="Arial Narrow" w:cs="Times New Roman"/>
                <w:bCs/>
                <w:color w:val="000000"/>
                <w:w w:val="16"/>
                <w:sz w:val="20"/>
                <w:shd w:val="solid" w:color="000000" w:fill="000000"/>
                <w:fitText w:val="75" w:id="-1167912180"/>
                <w14:textFill>
                  <w14:solidFill>
                    <w14:srgbClr w14:val="000000">
                      <w14:alpha w14:val="100000"/>
                    </w14:srgbClr>
                  </w14:solidFill>
                </w14:textFill>
              </w:rPr>
              <w:t>|</w:t>
            </w:r>
            <w:r w:rsidRPr="00092A28">
              <w:rPr>
                <w:rFonts w:ascii="Arial Narrow" w:eastAsiaTheme="majorEastAsia" w:hAnsi="Arial Narrow" w:cs="Times New Roman" w:hint="eastAsia"/>
                <w:bCs/>
                <w:color w:val="000000"/>
                <w:spacing w:val="5"/>
                <w:w w:val="16"/>
                <w:sz w:val="20"/>
                <w:shd w:val="solid" w:color="000000" w:fill="000000"/>
                <w:fitText w:val="75" w:id="-1167912180"/>
                <w14:textFill>
                  <w14:solidFill>
                    <w14:srgbClr w14:val="000000">
                      <w14:alpha w14:val="100000"/>
                    </w14:srgbClr>
                  </w14:solidFill>
                </w14:textFill>
              </w:rPr>
              <w:t xml:space="preserve">　</w:t>
            </w:r>
            <w:r w:rsidR="00753705">
              <w:rPr>
                <w:rFonts w:ascii="Arial Narrow" w:eastAsiaTheme="majorEastAsia" w:hAnsi="Arial Narrow" w:cstheme="majorBidi"/>
                <w:bCs/>
                <w:sz w:val="20"/>
              </w:rPr>
              <w:t xml:space="preserve"> </w:t>
            </w:r>
            <w:r w:rsidR="00753705">
              <w:rPr>
                <w:rFonts w:ascii="Arial Narrow" w:eastAsiaTheme="majorEastAsia" w:hAnsi="Arial Narrow" w:cstheme="majorBidi"/>
                <w:bCs/>
                <w:sz w:val="20"/>
                <w:vertAlign w:val="superscript"/>
              </w:rPr>
              <w:t>3</w:t>
            </w:r>
            <w:proofErr w:type="gramEnd"/>
          </w:p>
        </w:tc>
      </w:tr>
    </w:tbl>
    <w:p w14:paraId="6675006D" w14:textId="77777777" w:rsidR="0071626A" w:rsidRPr="007C0D91" w:rsidRDefault="0071626A" w:rsidP="00753705">
      <w:pPr>
        <w:keepNext/>
        <w:keepLines/>
        <w:spacing w:after="120"/>
        <w:contextualSpacing/>
        <w:rPr>
          <w:rFonts w:ascii="Arial Narrow" w:hAnsi="Arial Narrow"/>
          <w:b/>
          <w:snapToGrid w:val="0"/>
          <w:sz w:val="20"/>
          <w:szCs w:val="16"/>
        </w:rPr>
      </w:pPr>
      <w:r w:rsidRPr="007C0D91">
        <w:rPr>
          <w:rFonts w:ascii="Arial Narrow" w:hAnsi="Arial Narrow"/>
          <w:snapToGrid w:val="0"/>
          <w:sz w:val="18"/>
          <w:szCs w:val="22"/>
        </w:rPr>
        <w:t>Source: Table 4-6 p30, Table 4-7 p30, Table 4-8 p31, Table 4-9 p31, Table 4-10 of the resubmission.</w:t>
      </w:r>
    </w:p>
    <w:p w14:paraId="3BF384FE" w14:textId="1F131BD0" w:rsidR="00CC3E32" w:rsidRPr="007C0D91" w:rsidRDefault="0071626A" w:rsidP="00753705">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vertAlign w:val="superscript"/>
        </w:rPr>
        <w:t>a</w:t>
      </w:r>
      <w:r w:rsidRPr="007C0D91">
        <w:rPr>
          <w:rFonts w:ascii="Arial Narrow" w:hAnsi="Arial Narrow"/>
          <w:snapToGrid w:val="0"/>
          <w:sz w:val="18"/>
          <w:szCs w:val="22"/>
        </w:rPr>
        <w:t xml:space="preserve"> </w:t>
      </w:r>
      <w:proofErr w:type="gramStart"/>
      <w:r w:rsidRPr="007C0D91">
        <w:rPr>
          <w:rFonts w:ascii="Arial Narrow" w:hAnsi="Arial Narrow"/>
          <w:snapToGrid w:val="0"/>
          <w:sz w:val="18"/>
          <w:szCs w:val="22"/>
        </w:rPr>
        <w:t>For</w:t>
      </w:r>
      <w:proofErr w:type="gramEnd"/>
      <w:r w:rsidRPr="007C0D91">
        <w:rPr>
          <w:rFonts w:ascii="Arial Narrow" w:hAnsi="Arial Narrow"/>
          <w:snapToGrid w:val="0"/>
          <w:sz w:val="18"/>
          <w:szCs w:val="22"/>
        </w:rPr>
        <w:t xml:space="preserve"> incident patients, the number of scripts was estimated to be 7.38 in the first year of treatment, 2.73 in the second year, 1.21 in the third year, 0.40 in the fourth year, 0.14 in the fifth year and 0.05 in the sixth year. This has </w:t>
      </w:r>
      <w:proofErr w:type="gramStart"/>
      <w:r w:rsidRPr="007C0D91">
        <w:rPr>
          <w:rFonts w:ascii="Arial Narrow" w:hAnsi="Arial Narrow"/>
          <w:snapToGrid w:val="0"/>
          <w:sz w:val="18"/>
          <w:szCs w:val="22"/>
        </w:rPr>
        <w:t>taken into account</w:t>
      </w:r>
      <w:proofErr w:type="gramEnd"/>
      <w:r w:rsidRPr="007C0D91">
        <w:rPr>
          <w:rFonts w:ascii="Arial Narrow" w:hAnsi="Arial Narrow"/>
          <w:snapToGrid w:val="0"/>
          <w:sz w:val="18"/>
          <w:szCs w:val="22"/>
        </w:rPr>
        <w:t xml:space="preserve"> the treatment duration in each treatment year and the relative dose intensity (93%).</w:t>
      </w:r>
    </w:p>
    <w:p w14:paraId="1D7782E3" w14:textId="77777777" w:rsidR="0071626A" w:rsidRPr="007C0D91" w:rsidRDefault="0071626A" w:rsidP="00753705">
      <w:pPr>
        <w:keepNext/>
        <w:keepLines/>
        <w:spacing w:after="120"/>
        <w:contextualSpacing/>
        <w:rPr>
          <w:rFonts w:ascii="Arial Narrow" w:eastAsiaTheme="minorHAnsi" w:hAnsi="Arial Narrow"/>
          <w:snapToGrid w:val="0"/>
          <w:sz w:val="18"/>
          <w:szCs w:val="22"/>
          <w:lang w:eastAsia="en-US"/>
        </w:rPr>
      </w:pPr>
      <w:r w:rsidRPr="007C0D91">
        <w:rPr>
          <w:rFonts w:ascii="Arial Narrow" w:hAnsi="Arial Narrow"/>
          <w:snapToGrid w:val="0"/>
          <w:sz w:val="18"/>
          <w:szCs w:val="22"/>
          <w:vertAlign w:val="superscript"/>
        </w:rPr>
        <w:t>b</w:t>
      </w:r>
      <w:r w:rsidRPr="007C0D91">
        <w:rPr>
          <w:rFonts w:ascii="Arial Narrow" w:hAnsi="Arial Narrow"/>
          <w:snapToGrid w:val="0"/>
          <w:sz w:val="18"/>
          <w:szCs w:val="22"/>
        </w:rPr>
        <w:t xml:space="preserve"> </w:t>
      </w:r>
      <w:r w:rsidRPr="007C0D91">
        <w:rPr>
          <w:rFonts w:ascii="Arial Narrow" w:eastAsiaTheme="minorHAnsi" w:hAnsi="Arial Narrow"/>
          <w:snapToGrid w:val="0"/>
          <w:sz w:val="18"/>
          <w:szCs w:val="22"/>
          <w:lang w:eastAsia="en-US"/>
        </w:rPr>
        <w:t>After correcting for the calculation errors and applying TTD specific to chemotherapy population</w:t>
      </w:r>
    </w:p>
    <w:p w14:paraId="47C90936" w14:textId="1E8EA2A7" w:rsidR="0071626A" w:rsidRDefault="0071626A" w:rsidP="00753705">
      <w:pPr>
        <w:keepNext/>
        <w:keepLines/>
        <w:spacing w:after="120"/>
        <w:contextualSpacing/>
        <w:rPr>
          <w:rFonts w:ascii="Arial Narrow" w:hAnsi="Arial Narrow"/>
          <w:snapToGrid w:val="0"/>
          <w:sz w:val="18"/>
          <w:szCs w:val="22"/>
        </w:rPr>
      </w:pPr>
      <w:r w:rsidRPr="007C0D91">
        <w:rPr>
          <w:rFonts w:ascii="Arial Narrow" w:hAnsi="Arial Narrow"/>
          <w:snapToGrid w:val="0"/>
          <w:sz w:val="18"/>
          <w:szCs w:val="22"/>
          <w:shd w:val="clear" w:color="auto" w:fill="B8CCE4" w:themeFill="accent1" w:themeFillTint="66"/>
        </w:rPr>
        <w:t>Blue shading</w:t>
      </w:r>
      <w:r w:rsidRPr="007C0D91">
        <w:rPr>
          <w:rFonts w:ascii="Arial Narrow" w:hAnsi="Arial Narrow"/>
          <w:snapToGrid w:val="0"/>
          <w:sz w:val="18"/>
          <w:szCs w:val="22"/>
        </w:rPr>
        <w:t xml:space="preserve"> indicates</w:t>
      </w:r>
      <w:r w:rsidR="00285992" w:rsidRPr="007C0D91">
        <w:rPr>
          <w:rFonts w:ascii="Arial Narrow" w:hAnsi="Arial Narrow"/>
          <w:iCs/>
          <w:snapToGrid w:val="0"/>
          <w:sz w:val="18"/>
          <w:szCs w:val="22"/>
        </w:rPr>
        <w:t xml:space="preserve"> information previously seen by the PBAC</w:t>
      </w:r>
      <w:r w:rsidRPr="007C0D91">
        <w:rPr>
          <w:rFonts w:ascii="Arial Narrow" w:hAnsi="Arial Narrow"/>
          <w:snapToGrid w:val="0"/>
          <w:sz w:val="18"/>
          <w:szCs w:val="22"/>
        </w:rPr>
        <w:t>.</w:t>
      </w:r>
    </w:p>
    <w:p w14:paraId="100F9537" w14:textId="77777777" w:rsidR="00753705" w:rsidRPr="009A6D58" w:rsidRDefault="00753705" w:rsidP="00753705">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0DC09EA" w14:textId="1694CE5B" w:rsidR="00753705" w:rsidRPr="009A6D58" w:rsidRDefault="00753705" w:rsidP="00753705">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547532EB" w14:textId="454C1A08" w:rsidR="00753705" w:rsidRPr="00753705" w:rsidRDefault="00753705" w:rsidP="00753705">
      <w:pPr>
        <w:keepNext/>
        <w:keepLines/>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2F2F4434" w14:textId="0C1756C5" w:rsidR="00753705" w:rsidRDefault="00753705" w:rsidP="00753705">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753705">
        <w:rPr>
          <w:rFonts w:ascii="Arial Narrow" w:hAnsi="Arial Narrow"/>
          <w:i/>
          <w:sz w:val="18"/>
          <w:szCs w:val="18"/>
        </w:rPr>
        <w:t>$0 to &lt; $10 million</w:t>
      </w:r>
    </w:p>
    <w:p w14:paraId="435848C5" w14:textId="0F7EBC33" w:rsidR="00753705" w:rsidRDefault="00753705" w:rsidP="00753705">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753705">
        <w:rPr>
          <w:rFonts w:ascii="Arial Narrow" w:hAnsi="Arial Narrow"/>
          <w:i/>
          <w:sz w:val="18"/>
          <w:szCs w:val="18"/>
        </w:rPr>
        <w:t>net cost saving</w:t>
      </w:r>
    </w:p>
    <w:p w14:paraId="0E1F4B1E" w14:textId="633D8655" w:rsidR="0071626A" w:rsidRPr="007C0D91" w:rsidRDefault="0071626A" w:rsidP="0071626A">
      <w:pPr>
        <w:numPr>
          <w:ilvl w:val="1"/>
          <w:numId w:val="1"/>
        </w:numPr>
        <w:spacing w:after="120"/>
        <w:rPr>
          <w:rFonts w:asciiTheme="minorHAnsi" w:hAnsiTheme="minorHAnsi"/>
          <w:iCs/>
          <w:snapToGrid w:val="0"/>
        </w:rPr>
      </w:pPr>
      <w:r w:rsidRPr="007C0D91">
        <w:rPr>
          <w:rFonts w:asciiTheme="minorHAnsi" w:hAnsiTheme="minorHAnsi"/>
          <w:iCs/>
          <w:snapToGrid w:val="0"/>
        </w:rPr>
        <w:lastRenderedPageBreak/>
        <w:t xml:space="preserve">The total cost to the PBS/RPBS of listing mobocertinib was estimated to be </w:t>
      </w:r>
      <w:r w:rsidR="00753705" w:rsidRPr="00753705">
        <w:rPr>
          <w:rFonts w:asciiTheme="minorHAnsi" w:hAnsiTheme="minorHAnsi"/>
          <w:iCs/>
          <w:snapToGrid w:val="0"/>
        </w:rPr>
        <w:t>$0 to &lt; $10 million</w:t>
      </w:r>
      <w:r w:rsidR="00753705" w:rsidRPr="00753705" w:rsidDel="00753705">
        <w:rPr>
          <w:rFonts w:asciiTheme="minorHAnsi" w:hAnsiTheme="minorHAnsi"/>
          <w:iCs/>
          <w:snapToGrid w:val="0"/>
        </w:rPr>
        <w:t xml:space="preserve"> </w:t>
      </w:r>
      <w:r w:rsidRPr="007C0D91">
        <w:rPr>
          <w:rFonts w:asciiTheme="minorHAnsi" w:hAnsiTheme="minorHAnsi"/>
          <w:iCs/>
          <w:snapToGrid w:val="0"/>
        </w:rPr>
        <w:t xml:space="preserve">in Year 6, and a total of </w:t>
      </w:r>
      <w:r w:rsidR="00753705" w:rsidRPr="00753705">
        <w:rPr>
          <w:rFonts w:asciiTheme="minorHAnsi" w:hAnsiTheme="minorHAnsi"/>
          <w:iCs/>
          <w:snapToGrid w:val="0"/>
        </w:rPr>
        <w:t>$10 million to &lt; $20 million</w:t>
      </w:r>
      <w:r w:rsidR="00753705" w:rsidRPr="00753705" w:rsidDel="00753705">
        <w:rPr>
          <w:rFonts w:asciiTheme="minorHAnsi" w:hAnsiTheme="minorHAnsi"/>
          <w:iCs/>
          <w:snapToGrid w:val="0"/>
        </w:rPr>
        <w:t xml:space="preserve"> </w:t>
      </w:r>
      <w:r w:rsidRPr="007C0D91">
        <w:rPr>
          <w:rFonts w:asciiTheme="minorHAnsi" w:hAnsiTheme="minorHAnsi"/>
          <w:iCs/>
          <w:snapToGrid w:val="0"/>
        </w:rPr>
        <w:t xml:space="preserve">in the first </w:t>
      </w:r>
      <w:r w:rsidR="00753705" w:rsidRPr="007C0D91">
        <w:rPr>
          <w:rFonts w:asciiTheme="minorHAnsi" w:hAnsiTheme="minorHAnsi"/>
          <w:iCs/>
          <w:snapToGrid w:val="0"/>
        </w:rPr>
        <w:t>6</w:t>
      </w:r>
      <w:r w:rsidR="00753705">
        <w:rPr>
          <w:rFonts w:asciiTheme="minorHAnsi" w:hAnsiTheme="minorHAnsi"/>
          <w:iCs/>
          <w:snapToGrid w:val="0"/>
        </w:rPr>
        <w:t> </w:t>
      </w:r>
      <w:r w:rsidRPr="007C0D91">
        <w:rPr>
          <w:rFonts w:asciiTheme="minorHAnsi" w:hAnsiTheme="minorHAnsi"/>
          <w:iCs/>
          <w:snapToGrid w:val="0"/>
        </w:rPr>
        <w:t>years of listing.</w:t>
      </w:r>
    </w:p>
    <w:p w14:paraId="619176B1" w14:textId="77777777" w:rsidR="0071626A" w:rsidRPr="007C0D91" w:rsidRDefault="0071626A" w:rsidP="0071626A">
      <w:pPr>
        <w:pStyle w:val="4-SubsectionHeading"/>
      </w:pPr>
      <w:bookmarkStart w:id="89" w:name="_Toc22897648"/>
      <w:bookmarkStart w:id="90" w:name="_Toc107927634"/>
      <w:bookmarkStart w:id="91" w:name="_Toc135210121"/>
      <w:r w:rsidRPr="007C0D91">
        <w:t>Quality Use of Medicines</w:t>
      </w:r>
      <w:bookmarkEnd w:id="89"/>
      <w:bookmarkEnd w:id="90"/>
      <w:bookmarkEnd w:id="91"/>
    </w:p>
    <w:p w14:paraId="2483585E" w14:textId="77777777" w:rsidR="0071626A" w:rsidRPr="007C0D91" w:rsidRDefault="0071626A" w:rsidP="007516BE">
      <w:pPr>
        <w:pStyle w:val="3-BodyText"/>
      </w:pPr>
      <w:bookmarkStart w:id="92" w:name="_Toc22897649"/>
      <w:bookmarkStart w:id="93" w:name="_Toc107927635"/>
      <w:r w:rsidRPr="007C0D91">
        <w:t>In the previous submission, the Sponsor proposed that educational materials will be developed and made available for treating clinicians and patients should mobocertinib be approved for funding on the PBS for the proposed indication.</w:t>
      </w:r>
    </w:p>
    <w:p w14:paraId="5DE1CF7C" w14:textId="77777777" w:rsidR="0071626A" w:rsidRPr="007C0D91" w:rsidRDefault="0071626A" w:rsidP="0071626A">
      <w:pPr>
        <w:pStyle w:val="4-SubsectionHeading"/>
      </w:pPr>
      <w:bookmarkStart w:id="94" w:name="_Toc135210122"/>
      <w:r w:rsidRPr="007C0D91">
        <w:t>Financial Management – Risk Sharing Arrangements</w:t>
      </w:r>
      <w:bookmarkEnd w:id="92"/>
      <w:bookmarkEnd w:id="93"/>
      <w:bookmarkEnd w:id="94"/>
    </w:p>
    <w:p w14:paraId="0BB2083D" w14:textId="56F0ACC6" w:rsidR="0085195B" w:rsidRPr="007C0D91" w:rsidRDefault="0071626A" w:rsidP="007516BE">
      <w:pPr>
        <w:pStyle w:val="3-BodyText"/>
      </w:pPr>
      <w:r w:rsidRPr="007C0D91">
        <w:t>The resubmission did not propose any risk-sharing arrangement</w:t>
      </w:r>
      <w:r w:rsidR="0085195B" w:rsidRPr="007C0D91">
        <w:t>.</w:t>
      </w:r>
    </w:p>
    <w:p w14:paraId="0417C218" w14:textId="3F5C5A39" w:rsidR="001733ED" w:rsidRPr="007C0D91" w:rsidRDefault="001733ED" w:rsidP="001733ED">
      <w:pPr>
        <w:spacing w:after="120"/>
        <w:ind w:firstLine="709"/>
        <w:rPr>
          <w:rFonts w:asciiTheme="minorHAnsi" w:hAnsiTheme="minorHAnsi" w:cs="Times New Roman"/>
          <w:i/>
          <w:lang w:eastAsia="en-US"/>
        </w:rPr>
      </w:pPr>
      <w:r w:rsidRPr="007C0D91">
        <w:rPr>
          <w:rFonts w:asciiTheme="minorHAnsi" w:hAnsiTheme="minorHAnsi" w:cs="Times New Roman"/>
          <w:i/>
          <w:lang w:eastAsia="en-US"/>
        </w:rPr>
        <w:t>For more detail on PBAC’s view, see section 7 PBAC outcome.</w:t>
      </w:r>
    </w:p>
    <w:p w14:paraId="6698DDD8" w14:textId="77777777" w:rsidR="001733ED" w:rsidRPr="007C0D91" w:rsidRDefault="001733ED" w:rsidP="00FB0DBF">
      <w:pPr>
        <w:pStyle w:val="2-SectionHeading"/>
      </w:pPr>
      <w:bookmarkStart w:id="95" w:name="_Hlk76381249"/>
      <w:bookmarkStart w:id="96" w:name="_Hlk76377955"/>
      <w:r w:rsidRPr="007C0D91">
        <w:t>PBAC Outcome</w:t>
      </w:r>
    </w:p>
    <w:p w14:paraId="771D45B3" w14:textId="31A0D1C0" w:rsidR="009A007D" w:rsidRPr="007C0D91" w:rsidRDefault="009A007D" w:rsidP="00315388">
      <w:pPr>
        <w:widowControl w:val="0"/>
        <w:numPr>
          <w:ilvl w:val="1"/>
          <w:numId w:val="1"/>
        </w:numPr>
        <w:spacing w:after="120"/>
        <w:rPr>
          <w:rFonts w:asciiTheme="minorHAnsi" w:hAnsiTheme="minorHAnsi"/>
          <w:snapToGrid w:val="0"/>
          <w:lang w:eastAsia="en-US"/>
        </w:rPr>
      </w:pPr>
      <w:bookmarkStart w:id="97" w:name="_Hlk140497719"/>
      <w:bookmarkStart w:id="98" w:name="_Hlk111543188"/>
      <w:r w:rsidRPr="007C0D91">
        <w:rPr>
          <w:rFonts w:asciiTheme="minorHAnsi" w:hAnsiTheme="minorHAnsi"/>
          <w:snapToGrid w:val="0"/>
        </w:rPr>
        <w:t>The PBAC recommended the General Schedule Authority Required listing of mobocertinib for the treatment of adults with locally advanced (Stage IIIB/IIIC) or metastatic (Stage IV) non-small cell lung cancer (NSCLC) harbouring epidermal growth factor receptor exon 20 insertion (</w:t>
      </w:r>
      <w:r w:rsidRPr="007C0D91">
        <w:rPr>
          <w:rFonts w:asciiTheme="minorHAnsi" w:hAnsiTheme="minorHAnsi"/>
          <w:i/>
          <w:snapToGrid w:val="0"/>
        </w:rPr>
        <w:t>EGFR</w:t>
      </w:r>
      <w:r w:rsidRPr="007C0D91">
        <w:rPr>
          <w:rFonts w:asciiTheme="minorHAnsi" w:hAnsiTheme="minorHAnsi"/>
          <w:snapToGrid w:val="0"/>
        </w:rPr>
        <w:t xml:space="preserve"> ex20ins) mutations </w:t>
      </w:r>
      <w:r w:rsidRPr="007C0D91">
        <w:rPr>
          <w:rFonts w:asciiTheme="minorHAnsi" w:hAnsiTheme="minorHAnsi"/>
          <w:bCs/>
          <w:snapToGrid w:val="0"/>
        </w:rPr>
        <w:t xml:space="preserve">whose disease has progressed on or after platinum-based chemotherapy (PBC). The PBAC was satisfied that mobocertinib provides, for some patients, a significant improvement in efficacy over </w:t>
      </w:r>
      <w:r w:rsidR="00315388" w:rsidRPr="007C0D91">
        <w:rPr>
          <w:rFonts w:asciiTheme="minorHAnsi" w:hAnsiTheme="minorHAnsi"/>
        </w:rPr>
        <w:t>standard of care (SOC)</w:t>
      </w:r>
      <w:r w:rsidR="00E46E5D" w:rsidRPr="007C0D91">
        <w:rPr>
          <w:rFonts w:asciiTheme="minorHAnsi" w:hAnsiTheme="minorHAnsi"/>
        </w:rPr>
        <w:t xml:space="preserve">. </w:t>
      </w:r>
      <w:r w:rsidR="00315388" w:rsidRPr="007C0D91">
        <w:rPr>
          <w:rFonts w:asciiTheme="minorHAnsi" w:hAnsiTheme="minorHAnsi"/>
        </w:rPr>
        <w:t xml:space="preserve">The PBAC considered the amendments made in the resubmission, including changes to the economic model, a reduced price and revised financial estimates had sufficiently addressed the Committee’s previous concerns. </w:t>
      </w:r>
    </w:p>
    <w:p w14:paraId="1688D24F" w14:textId="5E796A4B" w:rsidR="00CE0545" w:rsidRPr="007C0D91" w:rsidRDefault="00CE0545" w:rsidP="00CE0545">
      <w:pPr>
        <w:widowControl w:val="0"/>
        <w:numPr>
          <w:ilvl w:val="1"/>
          <w:numId w:val="1"/>
        </w:numPr>
        <w:spacing w:after="120"/>
        <w:rPr>
          <w:rFonts w:asciiTheme="minorHAnsi" w:hAnsiTheme="minorHAnsi"/>
          <w:snapToGrid w:val="0"/>
          <w:lang w:eastAsia="en-US"/>
        </w:rPr>
      </w:pPr>
      <w:r w:rsidRPr="007C0D91">
        <w:rPr>
          <w:rFonts w:asciiTheme="minorHAnsi" w:hAnsiTheme="minorHAnsi"/>
          <w:snapToGrid w:val="0"/>
          <w:lang w:eastAsia="en-US"/>
        </w:rPr>
        <w:t xml:space="preserve">The PBAC’s recommendation for listing was based on, among other matters, its assessment, that the cost-effectiveness of mobocertinib would be acceptable at the price proposed in the submission. </w:t>
      </w:r>
      <w:bookmarkEnd w:id="97"/>
    </w:p>
    <w:p w14:paraId="2480191D" w14:textId="2EDB5B77" w:rsidR="00CE0545" w:rsidRPr="007C0D91" w:rsidRDefault="00CE0545" w:rsidP="007516BE">
      <w:pPr>
        <w:pStyle w:val="3-BodyText"/>
        <w:rPr>
          <w:lang w:eastAsia="en-US"/>
        </w:rPr>
      </w:pPr>
      <w:r w:rsidRPr="007C0D91">
        <w:rPr>
          <w:lang w:eastAsia="en-US"/>
        </w:rPr>
        <w:t>The PBAC noted the</w:t>
      </w:r>
      <w:r w:rsidR="00D147FD" w:rsidRPr="007C0D91">
        <w:rPr>
          <w:lang w:eastAsia="en-US"/>
        </w:rPr>
        <w:t xml:space="preserve"> </w:t>
      </w:r>
      <w:r w:rsidRPr="007C0D91">
        <w:rPr>
          <w:lang w:eastAsia="en-US"/>
        </w:rPr>
        <w:t>input</w:t>
      </w:r>
      <w:r w:rsidR="00D147FD" w:rsidRPr="007C0D91">
        <w:rPr>
          <w:lang w:eastAsia="en-US"/>
        </w:rPr>
        <w:t xml:space="preserve"> from individuals, health care professionals, Lung Foundation Australia and</w:t>
      </w:r>
      <w:r w:rsidR="00D147FD" w:rsidRPr="007C0D91">
        <w:t xml:space="preserve"> Rare Cancers Australia</w:t>
      </w:r>
      <w:r w:rsidR="00D147FD" w:rsidRPr="007C0D91">
        <w:rPr>
          <w:lang w:eastAsia="en-US"/>
        </w:rPr>
        <w:t xml:space="preserve"> </w:t>
      </w:r>
      <w:r w:rsidRPr="007C0D91">
        <w:rPr>
          <w:lang w:eastAsia="en-US"/>
        </w:rPr>
        <w:t>supported the clinical need for additional effective treatment options for this population</w:t>
      </w:r>
      <w:r w:rsidR="00D147FD" w:rsidRPr="007C0D91">
        <w:rPr>
          <w:lang w:eastAsia="en-US"/>
        </w:rPr>
        <w:t xml:space="preserve">, </w:t>
      </w:r>
      <w:r w:rsidR="00D147FD" w:rsidRPr="007C0D91">
        <w:t xml:space="preserve">given that patients have a poor prognosis and there is currently no listed therapy that targets the </w:t>
      </w:r>
      <w:r w:rsidR="00D147FD" w:rsidRPr="007C0D91">
        <w:rPr>
          <w:rFonts w:cstheme="minorBidi"/>
          <w:i/>
          <w:iCs/>
        </w:rPr>
        <w:t>EGFR</w:t>
      </w:r>
      <w:r w:rsidR="00D147FD" w:rsidRPr="007C0D91">
        <w:rPr>
          <w:rFonts w:cstheme="minorBidi"/>
        </w:rPr>
        <w:t xml:space="preserve"> ex20ins mutation. In addition, the PBAC noted the</w:t>
      </w:r>
      <w:r w:rsidR="00D147FD" w:rsidRPr="007C0D91">
        <w:rPr>
          <w:rFonts w:ascii="Calibri" w:hAnsi="Calibri" w:cs="Calibri"/>
        </w:rPr>
        <w:t xml:space="preserve"> Medical Oncology Group of Australia’s support for the submission</w:t>
      </w:r>
      <w:r w:rsidR="007C0D91">
        <w:rPr>
          <w:rFonts w:ascii="Calibri" w:hAnsi="Calibri" w:cs="Calibri"/>
        </w:rPr>
        <w:t xml:space="preserve">. </w:t>
      </w:r>
    </w:p>
    <w:p w14:paraId="39427ED0" w14:textId="741F0FA9" w:rsidR="00D147FD" w:rsidRPr="007C0D91" w:rsidRDefault="00F03168" w:rsidP="007516BE">
      <w:pPr>
        <w:pStyle w:val="3-BodyText"/>
        <w:rPr>
          <w:lang w:eastAsia="en-US"/>
        </w:rPr>
      </w:pPr>
      <w:r w:rsidRPr="007C0D91">
        <w:rPr>
          <w:lang w:eastAsia="en-US"/>
        </w:rPr>
        <w:t xml:space="preserve">The PBAC noted that </w:t>
      </w:r>
      <w:r w:rsidR="00287219" w:rsidRPr="007C0D91">
        <w:rPr>
          <w:lang w:eastAsia="en-US"/>
        </w:rPr>
        <w:t xml:space="preserve">the </w:t>
      </w:r>
      <w:r w:rsidRPr="007C0D91">
        <w:t xml:space="preserve">proposed restrictions in the resubmission incorporated all changes suggested by the </w:t>
      </w:r>
      <w:r w:rsidR="008A2801" w:rsidRPr="007C0D91">
        <w:t>Committee</w:t>
      </w:r>
      <w:r w:rsidRPr="007C0D91">
        <w:t xml:space="preserve"> at its November 2022 meeting</w:t>
      </w:r>
      <w:r w:rsidR="00287219" w:rsidRPr="007C0D91">
        <w:t xml:space="preserve"> (see paragraph </w:t>
      </w:r>
      <w:r w:rsidR="00287219" w:rsidRPr="007C0D91">
        <w:rPr>
          <w:iCs/>
        </w:rPr>
        <w:fldChar w:fldCharType="begin"/>
      </w:r>
      <w:r w:rsidR="00287219" w:rsidRPr="007C0D91">
        <w:rPr>
          <w:iCs/>
        </w:rPr>
        <w:instrText xml:space="preserve"> REF _Ref140499408 \r \h </w:instrText>
      </w:r>
      <w:r w:rsidR="00287219" w:rsidRPr="007C0D91">
        <w:rPr>
          <w:iCs/>
        </w:rPr>
      </w:r>
      <w:r w:rsidR="00287219" w:rsidRPr="007C0D91">
        <w:rPr>
          <w:iCs/>
        </w:rPr>
        <w:fldChar w:fldCharType="separate"/>
      </w:r>
      <w:r w:rsidR="00117491">
        <w:rPr>
          <w:iCs/>
        </w:rPr>
        <w:t>3.2</w:t>
      </w:r>
      <w:r w:rsidR="00287219" w:rsidRPr="007C0D91">
        <w:rPr>
          <w:iCs/>
        </w:rPr>
        <w:fldChar w:fldCharType="end"/>
      </w:r>
      <w:r w:rsidR="00287219" w:rsidRPr="007C0D91">
        <w:t xml:space="preserve">). In addition, the PBAC considered it would be appropriate to remove the reference to histology in the </w:t>
      </w:r>
      <w:r w:rsidR="008A2801" w:rsidRPr="007C0D91">
        <w:t>restriction</w:t>
      </w:r>
      <w:r w:rsidR="00287219" w:rsidRPr="007C0D91">
        <w:t xml:space="preserve"> to allow patients with squamous cell NSCLC to access treatment due to</w:t>
      </w:r>
      <w:r w:rsidR="00D414B1" w:rsidRPr="007C0D91">
        <w:t xml:space="preserve"> </w:t>
      </w:r>
      <w:r w:rsidR="00287219" w:rsidRPr="007C0D91">
        <w:t xml:space="preserve">their inclusion within the trial used as evidence in the submission (see paragraph </w:t>
      </w:r>
      <w:r w:rsidR="00287219" w:rsidRPr="007C0D91">
        <w:fldChar w:fldCharType="begin"/>
      </w:r>
      <w:r w:rsidR="00287219" w:rsidRPr="007C0D91">
        <w:instrText xml:space="preserve"> REF _Ref140499801 \r \h </w:instrText>
      </w:r>
      <w:r w:rsidR="00287219" w:rsidRPr="007C0D91">
        <w:fldChar w:fldCharType="separate"/>
      </w:r>
      <w:r w:rsidR="00117491">
        <w:t>3.3</w:t>
      </w:r>
      <w:r w:rsidR="00287219" w:rsidRPr="007C0D91">
        <w:fldChar w:fldCharType="end"/>
      </w:r>
      <w:r w:rsidR="00287219" w:rsidRPr="007C0D91">
        <w:t>).</w:t>
      </w:r>
    </w:p>
    <w:p w14:paraId="019B85ED" w14:textId="4ED5ABA4" w:rsidR="00315388" w:rsidRPr="007C0D91" w:rsidRDefault="00BD64B9" w:rsidP="007516BE">
      <w:pPr>
        <w:pStyle w:val="3-BodyText"/>
      </w:pPr>
      <w:r w:rsidRPr="007C0D91">
        <w:t xml:space="preserve">The PBAC </w:t>
      </w:r>
      <w:r w:rsidR="005170D9" w:rsidRPr="007C0D91">
        <w:t>noted that the resubmission nominated chemot</w:t>
      </w:r>
      <w:r w:rsidR="005F57F6" w:rsidRPr="007C0D91">
        <w:t xml:space="preserve">herapy as the comparator but did not limit it to taxanes due to </w:t>
      </w:r>
      <w:r w:rsidR="00BA1C25" w:rsidRPr="007C0D91">
        <w:t>the limited available evidence</w:t>
      </w:r>
      <w:r w:rsidR="005F57F6" w:rsidRPr="007C0D91">
        <w:t xml:space="preserve"> (see paragraph </w:t>
      </w:r>
      <w:r w:rsidR="005F57F6" w:rsidRPr="007C0D91">
        <w:fldChar w:fldCharType="begin"/>
      </w:r>
      <w:r w:rsidR="005F57F6" w:rsidRPr="007C0D91">
        <w:instrText xml:space="preserve"> REF _Ref140501597 \r \h </w:instrText>
      </w:r>
      <w:r w:rsidR="005F57F6" w:rsidRPr="007C0D91">
        <w:fldChar w:fldCharType="separate"/>
      </w:r>
      <w:r w:rsidR="00117491">
        <w:t>5.3</w:t>
      </w:r>
      <w:r w:rsidR="005F57F6" w:rsidRPr="007C0D91">
        <w:fldChar w:fldCharType="end"/>
      </w:r>
      <w:r w:rsidR="005F57F6" w:rsidRPr="007C0D91">
        <w:t xml:space="preserve">). The PBAC agreed with the ESC that the use of multiple forms of chemotherapy in </w:t>
      </w:r>
      <w:r w:rsidR="005F57F6" w:rsidRPr="007C0D91">
        <w:lastRenderedPageBreak/>
        <w:t>this context was reasonable</w:t>
      </w:r>
      <w:r w:rsidR="006F2456" w:rsidRPr="007C0D91">
        <w:t xml:space="preserve"> as the nominated comparator</w:t>
      </w:r>
      <w:r w:rsidR="005F57F6" w:rsidRPr="007C0D91">
        <w:t xml:space="preserve">. </w:t>
      </w:r>
      <w:r w:rsidR="008A2801" w:rsidRPr="007C0D91">
        <w:t>T</w:t>
      </w:r>
      <w:r w:rsidR="005F57F6" w:rsidRPr="007C0D91">
        <w:t xml:space="preserve">he </w:t>
      </w:r>
      <w:r w:rsidR="005D79E1" w:rsidRPr="007C0D91">
        <w:t xml:space="preserve">PBAC </w:t>
      </w:r>
      <w:r w:rsidR="008A2801" w:rsidRPr="007C0D91">
        <w:t xml:space="preserve">also </w:t>
      </w:r>
      <w:r w:rsidR="005D79E1" w:rsidRPr="007C0D91">
        <w:t>noted</w:t>
      </w:r>
      <w:r w:rsidR="005F57F6" w:rsidRPr="007C0D91">
        <w:t xml:space="preserve"> the comparator </w:t>
      </w:r>
      <w:r w:rsidR="005D79E1" w:rsidRPr="007C0D91">
        <w:t>for the clinical claim</w:t>
      </w:r>
      <w:r w:rsidR="0032333D" w:rsidRPr="007C0D91">
        <w:t xml:space="preserve"> </w:t>
      </w:r>
      <w:r w:rsidR="005D79E1" w:rsidRPr="007C0D91">
        <w:t xml:space="preserve">remained the same as the </w:t>
      </w:r>
      <w:r w:rsidR="00A20BC1" w:rsidRPr="007C0D91">
        <w:t>November</w:t>
      </w:r>
      <w:r w:rsidR="00A20BC1">
        <w:t> </w:t>
      </w:r>
      <w:r w:rsidR="005D79E1" w:rsidRPr="007C0D91">
        <w:t>2022 submission (</w:t>
      </w:r>
      <w:proofErr w:type="gramStart"/>
      <w:r w:rsidR="005D79E1" w:rsidRPr="007C0D91">
        <w:t>i.e.</w:t>
      </w:r>
      <w:proofErr w:type="gramEnd"/>
      <w:r w:rsidR="005F57F6" w:rsidRPr="007C0D91">
        <w:t xml:space="preserve"> SOC comprising standard </w:t>
      </w:r>
      <w:r w:rsidR="00FB0DBF" w:rsidRPr="00FB0DBF">
        <w:rPr>
          <w:i/>
        </w:rPr>
        <w:t>EGFR</w:t>
      </w:r>
      <w:r w:rsidR="005F57F6" w:rsidRPr="007C0D91">
        <w:t xml:space="preserve"> tyrosine kinase inhibitors (TKIs), immune checkpoint inhibitor (ICI) monotherapy, and chemotherapy</w:t>
      </w:r>
      <w:r w:rsidR="005D79E1" w:rsidRPr="007C0D91">
        <w:t>)</w:t>
      </w:r>
      <w:r w:rsidR="005F57F6" w:rsidRPr="007C0D91">
        <w:t>.</w:t>
      </w:r>
      <w:r w:rsidR="00A57CA9" w:rsidRPr="007C0D91">
        <w:t xml:space="preserve"> The PBAC </w:t>
      </w:r>
      <w:r w:rsidR="006F2456" w:rsidRPr="007C0D91">
        <w:t xml:space="preserve">recalled concerns regarding use of TKIs and ICIs in this context and noted the Pre-Sub-Committee response and pre-PBAC response provided some evidence of ICI use in this patient population (see paragraph </w:t>
      </w:r>
      <w:r w:rsidR="006F2456" w:rsidRPr="007C0D91">
        <w:fldChar w:fldCharType="begin"/>
      </w:r>
      <w:r w:rsidR="006F2456" w:rsidRPr="007C0D91">
        <w:instrText xml:space="preserve"> REF _Ref140503544 \r \h </w:instrText>
      </w:r>
      <w:r w:rsidR="006F2456" w:rsidRPr="007C0D91">
        <w:fldChar w:fldCharType="separate"/>
      </w:r>
      <w:r w:rsidR="00117491">
        <w:t>5.2</w:t>
      </w:r>
      <w:r w:rsidR="006F2456" w:rsidRPr="007C0D91">
        <w:fldChar w:fldCharType="end"/>
      </w:r>
      <w:r w:rsidR="006F2456" w:rsidRPr="007C0D91">
        <w:t xml:space="preserve">). </w:t>
      </w:r>
    </w:p>
    <w:p w14:paraId="13BCCE81" w14:textId="3F7B5B54" w:rsidR="00AE6FA1" w:rsidRPr="007C0D91" w:rsidRDefault="00B2691B" w:rsidP="007516BE">
      <w:pPr>
        <w:pStyle w:val="3-BodyText"/>
      </w:pPr>
      <w:r w:rsidRPr="007C0D91">
        <w:t>The PBAC recalled that</w:t>
      </w:r>
      <w:r w:rsidR="009A321C" w:rsidRPr="007C0D91">
        <w:t xml:space="preserve"> </w:t>
      </w:r>
      <w:r w:rsidRPr="007C0D91">
        <w:t xml:space="preserve">in November 2022 </w:t>
      </w:r>
      <w:r w:rsidR="009A321C" w:rsidRPr="007C0D91">
        <w:t xml:space="preserve">it had acknowledged that mobocertinib may be better than conventional chemotherapy in this setting, but it did not consider that the </w:t>
      </w:r>
      <w:r w:rsidR="00482F5E" w:rsidRPr="007C0D91">
        <w:t xml:space="preserve">November </w:t>
      </w:r>
      <w:r w:rsidR="009A321C" w:rsidRPr="007C0D91">
        <w:t xml:space="preserve">submission had adequately demonstrated this in terms of the evidence presented against SOC, where </w:t>
      </w:r>
      <w:proofErr w:type="gramStart"/>
      <w:r w:rsidR="009A321C" w:rsidRPr="007C0D91">
        <w:t>the majority of</w:t>
      </w:r>
      <w:proofErr w:type="gramEnd"/>
      <w:r w:rsidR="009A321C" w:rsidRPr="007C0D91">
        <w:t xml:space="preserve"> SOC treatments in Studies 5008 and 5002 comprised </w:t>
      </w:r>
      <w:r w:rsidR="009A321C" w:rsidRPr="007C0D91">
        <w:rPr>
          <w:i/>
          <w:iCs/>
        </w:rPr>
        <w:t>EGFR</w:t>
      </w:r>
      <w:r w:rsidR="009A321C" w:rsidRPr="007C0D91">
        <w:t xml:space="preserve"> TKIs and ICI monotherapy, not chemotherapy </w:t>
      </w:r>
      <w:r w:rsidR="009A321C" w:rsidRPr="007C0D91">
        <w:rPr>
          <w:iCs/>
        </w:rPr>
        <w:t>(para 7.6, mobocertinib, PSD, November 2022 PBAC meeting)</w:t>
      </w:r>
      <w:r w:rsidR="009A321C" w:rsidRPr="007C0D91">
        <w:t xml:space="preserve">. At that time the PBAC </w:t>
      </w:r>
      <w:r w:rsidRPr="007C0D91">
        <w:t xml:space="preserve">had advised that a resubmission should include a clinical analysis that measured an incremental benefit for </w:t>
      </w:r>
      <w:r w:rsidR="00CC116C" w:rsidRPr="007C0D91">
        <w:t xml:space="preserve">mobocertinib compared with </w:t>
      </w:r>
      <w:bookmarkStart w:id="99" w:name="_Hlk140522548"/>
      <w:r w:rsidR="00CC116C" w:rsidRPr="007C0D91">
        <w:t>chemotherapy-based treatments</w:t>
      </w:r>
      <w:bookmarkEnd w:id="99"/>
      <w:r w:rsidR="00CC116C" w:rsidRPr="007C0D91">
        <w:t xml:space="preserve"> </w:t>
      </w:r>
      <w:r w:rsidR="00CC116C" w:rsidRPr="007C0D91">
        <w:rPr>
          <w:iCs/>
        </w:rPr>
        <w:t xml:space="preserve">(para 7.11, mobocertinib, PSD, November 2022 PBAC meeting). </w:t>
      </w:r>
      <w:r w:rsidR="00CC116C" w:rsidRPr="007C0D91">
        <w:t xml:space="preserve">The PBAC noted the resubmission presented an indirect treatment comparison (ITC) of the mobocertinib pooled prior platinum (PPP) cohort from Study 101 (N=114) </w:t>
      </w:r>
      <w:r w:rsidR="00CC116C" w:rsidRPr="007C0D91">
        <w:rPr>
          <w:i/>
          <w:iCs/>
        </w:rPr>
        <w:t>versus</w:t>
      </w:r>
      <w:r w:rsidR="00CC116C" w:rsidRPr="007C0D91">
        <w:t xml:space="preserve"> the pooled chemotherapy cohort from </w:t>
      </w:r>
      <w:r w:rsidR="00C431CF" w:rsidRPr="007C0D91">
        <w:t>s</w:t>
      </w:r>
      <w:r w:rsidR="00CC116C" w:rsidRPr="007C0D91">
        <w:t xml:space="preserve">tudies 5002 and 5008 (N=23), as requested. </w:t>
      </w:r>
      <w:r w:rsidR="00F25E89" w:rsidRPr="007C0D91">
        <w:rPr>
          <w:rFonts w:ascii="Calibri" w:hAnsi="Calibri" w:cs="Calibri"/>
        </w:rPr>
        <w:t xml:space="preserve">The resubmission also presented an ITC of the mobocertinib PPP cohort from Study 101 </w:t>
      </w:r>
      <w:r w:rsidR="00F25E89" w:rsidRPr="007C0D91">
        <w:rPr>
          <w:rFonts w:ascii="Calibri" w:hAnsi="Calibri" w:cs="Calibri"/>
          <w:i/>
          <w:iCs/>
        </w:rPr>
        <w:t>versus</w:t>
      </w:r>
      <w:r w:rsidR="00F25E89" w:rsidRPr="007C0D91">
        <w:rPr>
          <w:rFonts w:ascii="Calibri" w:hAnsi="Calibri" w:cs="Calibri"/>
        </w:rPr>
        <w:t xml:space="preserve"> the pooled chemotherapy cohort from Studies 5002 and 5008, as requested by the PBAC. </w:t>
      </w:r>
      <w:r w:rsidR="00CB03F2" w:rsidRPr="007C0D91">
        <w:t>The PBAC</w:t>
      </w:r>
      <w:r w:rsidR="004F7CF2" w:rsidRPr="007C0D91">
        <w:t xml:space="preserve"> </w:t>
      </w:r>
      <w:r w:rsidR="00623D07" w:rsidRPr="007C0D91">
        <w:t>noted</w:t>
      </w:r>
      <w:r w:rsidR="004F7CF2" w:rsidRPr="007C0D91">
        <w:t xml:space="preserve"> the limitations of the </w:t>
      </w:r>
      <w:r w:rsidR="00CB03F2" w:rsidRPr="007C0D91">
        <w:t>ITC</w:t>
      </w:r>
      <w:r w:rsidR="004F7CF2" w:rsidRPr="007C0D91">
        <w:t xml:space="preserve">s presented (see paragraph </w:t>
      </w:r>
      <w:r w:rsidR="004F7CF2" w:rsidRPr="007C0D91">
        <w:fldChar w:fldCharType="begin"/>
      </w:r>
      <w:r w:rsidR="004F7CF2" w:rsidRPr="007C0D91">
        <w:instrText xml:space="preserve"> REF _Ref140506222 \r \h </w:instrText>
      </w:r>
      <w:r w:rsidR="004F7CF2" w:rsidRPr="007C0D91">
        <w:fldChar w:fldCharType="separate"/>
      </w:r>
      <w:r w:rsidR="00117491">
        <w:t>6.32</w:t>
      </w:r>
      <w:r w:rsidR="004F7CF2" w:rsidRPr="007C0D91">
        <w:fldChar w:fldCharType="end"/>
      </w:r>
      <w:r w:rsidR="004F7CF2" w:rsidRPr="007C0D91">
        <w:t>)</w:t>
      </w:r>
      <w:r w:rsidR="007C0D91">
        <w:t xml:space="preserve">. </w:t>
      </w:r>
      <w:r w:rsidRPr="007C0D91">
        <w:rPr>
          <w:iCs/>
        </w:rPr>
        <w:t>The</w:t>
      </w:r>
      <w:r w:rsidRPr="007C0D91">
        <w:t xml:space="preserve"> PBAC agreed with the ESC, that the data presented w</w:t>
      </w:r>
      <w:r w:rsidR="007E1885" w:rsidRPr="007C0D91">
        <w:t>ere</w:t>
      </w:r>
      <w:r w:rsidRPr="007C0D91">
        <w:t xml:space="preserve"> associated with a high risk of bias </w:t>
      </w:r>
      <w:r w:rsidR="007E1885" w:rsidRPr="007C0D91">
        <w:t xml:space="preserve">resulting in </w:t>
      </w:r>
      <w:r w:rsidRPr="007C0D91">
        <w:t xml:space="preserve">uncertainty around the </w:t>
      </w:r>
      <w:r w:rsidR="00DC0DD6" w:rsidRPr="007C0D91">
        <w:t xml:space="preserve">magnitude of the </w:t>
      </w:r>
      <w:r w:rsidRPr="007C0D91">
        <w:t xml:space="preserve">comparative treatment benefits for mobocertinib </w:t>
      </w:r>
      <w:r w:rsidRPr="007C0D91">
        <w:rPr>
          <w:i/>
          <w:iCs/>
        </w:rPr>
        <w:t>versus</w:t>
      </w:r>
      <w:r w:rsidRPr="007C0D91">
        <w:t xml:space="preserve"> </w:t>
      </w:r>
      <w:r w:rsidR="00252AEB" w:rsidRPr="007C0D91">
        <w:t>chemotherapy</w:t>
      </w:r>
      <w:r w:rsidR="00591D82" w:rsidRPr="007C0D91">
        <w:t xml:space="preserve"> or </w:t>
      </w:r>
      <w:r w:rsidR="00591D82" w:rsidRPr="007C0D91">
        <w:rPr>
          <w:i/>
          <w:iCs/>
        </w:rPr>
        <w:t>versus</w:t>
      </w:r>
      <w:r w:rsidR="00591D82" w:rsidRPr="007C0D91">
        <w:t xml:space="preserve"> SOC.</w:t>
      </w:r>
      <w:r w:rsidR="00FB18B9" w:rsidRPr="007C0D91">
        <w:t xml:space="preserve"> However, </w:t>
      </w:r>
      <w:r w:rsidR="00EB0FAB" w:rsidRPr="007C0D91">
        <w:t xml:space="preserve">despite the </w:t>
      </w:r>
      <w:r w:rsidR="00E70A47" w:rsidRPr="007C0D91">
        <w:t xml:space="preserve">data </w:t>
      </w:r>
      <w:r w:rsidR="00EB0FAB" w:rsidRPr="007C0D91">
        <w:t xml:space="preserve">limitations, </w:t>
      </w:r>
      <w:r w:rsidR="00FB18B9" w:rsidRPr="007C0D91">
        <w:t>the PBAC considered th</w:t>
      </w:r>
      <w:r w:rsidR="00EB0FAB" w:rsidRPr="007C0D91">
        <w:t xml:space="preserve">e requested provision of </w:t>
      </w:r>
      <w:r w:rsidR="00FB18B9" w:rsidRPr="007C0D91">
        <w:t>a comparison with chemotherapy</w:t>
      </w:r>
      <w:r w:rsidR="00E70A47" w:rsidRPr="007C0D91">
        <w:t xml:space="preserve"> </w:t>
      </w:r>
      <w:r w:rsidR="00EB0FAB" w:rsidRPr="007C0D91">
        <w:t xml:space="preserve">provided additional support to the claim of superior </w:t>
      </w:r>
      <w:r w:rsidR="00E70A47" w:rsidRPr="007C0D91">
        <w:t>effectiveness</w:t>
      </w:r>
      <w:r w:rsidR="00FB18B9" w:rsidRPr="007C0D91">
        <w:t xml:space="preserve">. </w:t>
      </w:r>
      <w:r w:rsidR="00E70A47" w:rsidRPr="007C0D91">
        <w:t xml:space="preserve">As such, the PBAC considered </w:t>
      </w:r>
      <w:r w:rsidR="00E70A47" w:rsidRPr="007C0D91">
        <w:rPr>
          <w:szCs w:val="20"/>
        </w:rPr>
        <w:t xml:space="preserve">the claim of superior </w:t>
      </w:r>
      <w:r w:rsidR="00E70A47" w:rsidRPr="007C0D91">
        <w:t xml:space="preserve">effectiveness compared to SOC was uncertain but likely reasonable in this a rare subset of </w:t>
      </w:r>
      <w:r w:rsidR="00E70A47" w:rsidRPr="007C0D91">
        <w:rPr>
          <w:i/>
        </w:rPr>
        <w:t>EGFR</w:t>
      </w:r>
      <w:r w:rsidR="00E70A47" w:rsidRPr="007C0D91">
        <w:t xml:space="preserve"> mutations.</w:t>
      </w:r>
    </w:p>
    <w:p w14:paraId="1D0EF882" w14:textId="77777777" w:rsidR="00B2691B" w:rsidRPr="007C0D91" w:rsidRDefault="00B2691B" w:rsidP="007516BE">
      <w:pPr>
        <w:pStyle w:val="3-BodyText"/>
      </w:pPr>
      <w:r w:rsidRPr="007C0D91">
        <w:t xml:space="preserve">The PBAC considered that the claim that mobocertinib has a different safety profile compared to chemotherapy or immunotherapy and that its safety profile is acceptable and </w:t>
      </w:r>
      <w:proofErr w:type="gramStart"/>
      <w:r w:rsidRPr="007C0D91">
        <w:t>similar to</w:t>
      </w:r>
      <w:proofErr w:type="gramEnd"/>
      <w:r w:rsidRPr="007C0D91">
        <w:t xml:space="preserve"> that of other TKIs was reasonable.</w:t>
      </w:r>
    </w:p>
    <w:p w14:paraId="49BF8A83" w14:textId="08CDDA10" w:rsidR="00A16BF5" w:rsidRPr="007C0D91" w:rsidRDefault="0067448F" w:rsidP="007516BE">
      <w:pPr>
        <w:pStyle w:val="3-BodyText"/>
        <w:rPr>
          <w:rFonts w:ascii="Calibri" w:hAnsi="Calibri" w:cs="Calibri"/>
        </w:rPr>
      </w:pPr>
      <w:r w:rsidRPr="007C0D91">
        <w:rPr>
          <w:iCs/>
        </w:rPr>
        <w:t xml:space="preserve">The PBAC </w:t>
      </w:r>
      <w:r w:rsidR="00C431CF" w:rsidRPr="007C0D91">
        <w:rPr>
          <w:iCs/>
        </w:rPr>
        <w:t xml:space="preserve">noted the resubmission provided an economic analysis that included the use of pooled </w:t>
      </w:r>
      <w:r w:rsidR="00C431CF" w:rsidRPr="007C0D91">
        <w:t>Kaplan-Meier (KM) data from studies 5002 and 5008</w:t>
      </w:r>
      <w:r w:rsidR="002D2A7C" w:rsidRPr="007C0D91">
        <w:t xml:space="preserve">, the application of only chemotherapy costs for comparator and subsequent treatments and a revised proposed price of mobocertinib (see paragraph </w:t>
      </w:r>
      <w:r w:rsidR="002D2A7C" w:rsidRPr="007C0D91">
        <w:fldChar w:fldCharType="begin"/>
      </w:r>
      <w:r w:rsidR="002D2A7C" w:rsidRPr="007C0D91">
        <w:instrText xml:space="preserve"> REF _Ref140526667 \r \h </w:instrText>
      </w:r>
      <w:r w:rsidR="002D2A7C" w:rsidRPr="007C0D91">
        <w:fldChar w:fldCharType="separate"/>
      </w:r>
      <w:r w:rsidR="00117491">
        <w:t>3.1</w:t>
      </w:r>
      <w:r w:rsidR="002D2A7C" w:rsidRPr="007C0D91">
        <w:fldChar w:fldCharType="end"/>
      </w:r>
      <w:r w:rsidR="002D2A7C" w:rsidRPr="007C0D91">
        <w:t xml:space="preserve">). The </w:t>
      </w:r>
      <w:r w:rsidR="00165240" w:rsidRPr="007C0D91">
        <w:t xml:space="preserve">resulting </w:t>
      </w:r>
      <w:r w:rsidR="002D2A7C" w:rsidRPr="007C0D91">
        <w:t>resubmission base case incremental cost-effectiveness ratio (ICER)</w:t>
      </w:r>
      <w:r w:rsidR="00C431CF" w:rsidRPr="007C0D91">
        <w:t xml:space="preserve"> </w:t>
      </w:r>
      <w:r w:rsidR="00165240" w:rsidRPr="007C0D91">
        <w:t xml:space="preserve">was </w:t>
      </w:r>
      <w:r w:rsidR="00A20BC1" w:rsidRPr="00A20BC1">
        <w:t xml:space="preserve">$55,000 to &lt; $75,000 </w:t>
      </w:r>
      <w:r w:rsidR="00165240" w:rsidRPr="007C0D91">
        <w:t xml:space="preserve">per quality-adjusted life years (QALYs) gained. The PBAC noted it had previously recommended other targeted therapies for the second line treatment of NSCLC with ICERs of $45,000 to $75,000 per QALY gained (para 7.9, </w:t>
      </w:r>
      <w:r w:rsidR="00F92DD5" w:rsidRPr="007C0D91">
        <w:rPr>
          <w:iCs/>
        </w:rPr>
        <w:t>mobocertinib, PSD, November 2022 PBAC meeting)</w:t>
      </w:r>
      <w:r w:rsidR="00165240" w:rsidRPr="007C0D91">
        <w:t xml:space="preserve">. </w:t>
      </w:r>
      <w:r w:rsidR="00F92DD5" w:rsidRPr="007C0D91">
        <w:t xml:space="preserve">The PBAC noted the pooled KM data from studies 5002 and 5008 used in </w:t>
      </w:r>
      <w:r w:rsidR="00F92DD5" w:rsidRPr="007C0D91">
        <w:lastRenderedPageBreak/>
        <w:t xml:space="preserve">the model was not restricted to chemotherapy survival data. </w:t>
      </w:r>
      <w:r w:rsidR="00F92DD5" w:rsidRPr="007C0D91">
        <w:rPr>
          <w:iCs/>
        </w:rPr>
        <w:t xml:space="preserve">The </w:t>
      </w:r>
      <w:r w:rsidR="00424303" w:rsidRPr="007C0D91">
        <w:rPr>
          <w:iCs/>
        </w:rPr>
        <w:t xml:space="preserve">PBAC acknowledged the concerns raised by the </w:t>
      </w:r>
      <w:r w:rsidR="00F92DD5" w:rsidRPr="007C0D91">
        <w:rPr>
          <w:iCs/>
        </w:rPr>
        <w:t xml:space="preserve">ESC that </w:t>
      </w:r>
      <w:r w:rsidR="00424303" w:rsidRPr="007C0D91">
        <w:rPr>
          <w:iCs/>
        </w:rPr>
        <w:t xml:space="preserve">the </w:t>
      </w:r>
      <w:r w:rsidR="00F92DD5" w:rsidRPr="007C0D91">
        <w:rPr>
          <w:iCs/>
        </w:rPr>
        <w:t>use in the model of survival estimates from pooled SOC</w:t>
      </w:r>
      <w:r w:rsidR="00424303" w:rsidRPr="007C0D91">
        <w:rPr>
          <w:iCs/>
        </w:rPr>
        <w:t xml:space="preserve"> </w:t>
      </w:r>
      <w:r w:rsidR="00F92DD5" w:rsidRPr="007C0D91">
        <w:rPr>
          <w:iCs/>
        </w:rPr>
        <w:t>favour</w:t>
      </w:r>
      <w:r w:rsidR="00424303" w:rsidRPr="007C0D91">
        <w:rPr>
          <w:iCs/>
        </w:rPr>
        <w:t>ed</w:t>
      </w:r>
      <w:r w:rsidR="00F92DD5" w:rsidRPr="007C0D91">
        <w:rPr>
          <w:iCs/>
        </w:rPr>
        <w:t xml:space="preserve"> mobocertinib. </w:t>
      </w:r>
      <w:r w:rsidR="00424303" w:rsidRPr="007C0D91">
        <w:rPr>
          <w:iCs/>
        </w:rPr>
        <w:t xml:space="preserve">However, the PBAC considered </w:t>
      </w:r>
      <w:r w:rsidR="00424303" w:rsidRPr="007C0D91">
        <w:rPr>
          <w:rFonts w:ascii="Calibri" w:hAnsi="Calibri" w:cs="Calibri"/>
        </w:rPr>
        <w:t xml:space="preserve">the small sample size of the pooled chemotherapy cohort from Studies 5002 and 5008 (N=23) increased the uncertainty with the survival estimates and agreed with the resubmission that use of pooled SOC data in the </w:t>
      </w:r>
      <w:r w:rsidR="00A16BF5" w:rsidRPr="007C0D91">
        <w:rPr>
          <w:rFonts w:ascii="Calibri" w:hAnsi="Calibri" w:cs="Calibri"/>
        </w:rPr>
        <w:t xml:space="preserve">economic </w:t>
      </w:r>
      <w:r w:rsidR="00424303" w:rsidRPr="007C0D91">
        <w:rPr>
          <w:rFonts w:ascii="Calibri" w:hAnsi="Calibri" w:cs="Calibri"/>
        </w:rPr>
        <w:t>model was reasonable.</w:t>
      </w:r>
      <w:r w:rsidR="00A16BF5" w:rsidRPr="007C0D91">
        <w:rPr>
          <w:rFonts w:ascii="Calibri" w:hAnsi="Calibri" w:cs="Calibri"/>
        </w:rPr>
        <w:t xml:space="preserve"> The PBAC advised that the revised economic analysis and price proposed in the resubmission addressed previous concerns regarding the cost-effectiveness of mobocertinib. </w:t>
      </w:r>
    </w:p>
    <w:p w14:paraId="172CA364" w14:textId="4635FCC3" w:rsidR="00A16BF5" w:rsidRPr="007C0D91" w:rsidRDefault="00A16BF5" w:rsidP="003F4311">
      <w:pPr>
        <w:numPr>
          <w:ilvl w:val="1"/>
          <w:numId w:val="1"/>
        </w:numPr>
        <w:spacing w:after="120"/>
        <w:rPr>
          <w:rFonts w:asciiTheme="minorHAnsi" w:hAnsiTheme="minorHAnsi"/>
          <w:iCs/>
          <w:snapToGrid w:val="0"/>
        </w:rPr>
      </w:pPr>
      <w:r w:rsidRPr="007C0D91">
        <w:rPr>
          <w:rFonts w:cs="Calibri"/>
        </w:rPr>
        <w:t xml:space="preserve">The PBAC recalled that in November 2022, it had </w:t>
      </w:r>
      <w:r w:rsidRPr="007C0D91">
        <w:rPr>
          <w:rFonts w:asciiTheme="minorHAnsi" w:hAnsiTheme="minorHAnsi"/>
          <w:iCs/>
          <w:snapToGrid w:val="0"/>
        </w:rPr>
        <w:t>considered that a resubmission for mobocertinib should present revised financial estimates consistent with the DUSC advice for</w:t>
      </w:r>
      <w:r w:rsidR="003F4311" w:rsidRPr="007C0D91">
        <w:rPr>
          <w:rFonts w:asciiTheme="minorHAnsi" w:hAnsiTheme="minorHAnsi"/>
          <w:iCs/>
          <w:snapToGrid w:val="0"/>
        </w:rPr>
        <w:t xml:space="preserve"> </w:t>
      </w:r>
      <w:r w:rsidRPr="007C0D91">
        <w:rPr>
          <w:rFonts w:asciiTheme="minorHAnsi" w:hAnsiTheme="minorHAnsi"/>
          <w:iCs/>
          <w:snapToGrid w:val="0"/>
        </w:rPr>
        <w:t>the proportion of patients with Stage IIIB/IV NSCLC</w:t>
      </w:r>
      <w:r w:rsidR="003F4311" w:rsidRPr="007C0D91">
        <w:rPr>
          <w:rFonts w:asciiTheme="minorHAnsi" w:hAnsiTheme="minorHAnsi"/>
          <w:iCs/>
          <w:snapToGrid w:val="0"/>
        </w:rPr>
        <w:t xml:space="preserve">, </w:t>
      </w:r>
      <w:r w:rsidRPr="007C0D91">
        <w:rPr>
          <w:rFonts w:asciiTheme="minorHAnsi" w:hAnsiTheme="minorHAnsi"/>
          <w:iCs/>
          <w:snapToGrid w:val="0"/>
        </w:rPr>
        <w:t xml:space="preserve">the prevalence of </w:t>
      </w:r>
      <w:r w:rsidR="00FB0DBF" w:rsidRPr="00FB0DBF">
        <w:rPr>
          <w:rFonts w:asciiTheme="minorHAnsi" w:hAnsiTheme="minorHAnsi"/>
          <w:i/>
          <w:iCs/>
          <w:snapToGrid w:val="0"/>
        </w:rPr>
        <w:t>EGFR</w:t>
      </w:r>
      <w:r w:rsidRPr="007C0D91">
        <w:rPr>
          <w:rFonts w:asciiTheme="minorHAnsi" w:hAnsiTheme="minorHAnsi"/>
          <w:iCs/>
          <w:snapToGrid w:val="0"/>
        </w:rPr>
        <w:t xml:space="preserve"> ex20ins</w:t>
      </w:r>
      <w:r w:rsidR="003F4311" w:rsidRPr="007C0D91">
        <w:rPr>
          <w:rFonts w:asciiTheme="minorHAnsi" w:hAnsiTheme="minorHAnsi"/>
          <w:iCs/>
          <w:snapToGrid w:val="0"/>
        </w:rPr>
        <w:t xml:space="preserve"> and </w:t>
      </w:r>
      <w:r w:rsidRPr="007C0D91">
        <w:rPr>
          <w:rFonts w:asciiTheme="minorHAnsi" w:hAnsiTheme="minorHAnsi"/>
          <w:iCs/>
          <w:snapToGrid w:val="0"/>
        </w:rPr>
        <w:t>the number of prevalent patients (para 6.81, Mobocertinib PSD, November 2022 PBAC meeting).</w:t>
      </w:r>
      <w:r w:rsidR="003F4311" w:rsidRPr="007C0D91">
        <w:rPr>
          <w:rFonts w:asciiTheme="minorHAnsi" w:hAnsiTheme="minorHAnsi"/>
          <w:iCs/>
          <w:snapToGrid w:val="0"/>
        </w:rPr>
        <w:t xml:space="preserve"> In addition, the PBAC recalled that in </w:t>
      </w:r>
      <w:r w:rsidR="00A20BC1" w:rsidRPr="007C0D91">
        <w:rPr>
          <w:rFonts w:asciiTheme="minorHAnsi" w:hAnsiTheme="minorHAnsi"/>
          <w:iCs/>
          <w:snapToGrid w:val="0"/>
        </w:rPr>
        <w:t>November</w:t>
      </w:r>
      <w:r w:rsidR="00A20BC1">
        <w:rPr>
          <w:rFonts w:asciiTheme="minorHAnsi" w:hAnsiTheme="minorHAnsi"/>
          <w:iCs/>
          <w:snapToGrid w:val="0"/>
        </w:rPr>
        <w:t> </w:t>
      </w:r>
      <w:r w:rsidR="003F4311" w:rsidRPr="007C0D91">
        <w:rPr>
          <w:rFonts w:asciiTheme="minorHAnsi" w:hAnsiTheme="minorHAnsi"/>
          <w:iCs/>
          <w:snapToGrid w:val="0"/>
        </w:rPr>
        <w:t xml:space="preserve">2022 it had advised that the revised financial implications should </w:t>
      </w:r>
      <w:r w:rsidR="003F4311" w:rsidRPr="007C0D91">
        <w:rPr>
          <w:bCs/>
        </w:rPr>
        <w:t xml:space="preserve">exclude the use of </w:t>
      </w:r>
      <w:r w:rsidR="003F4311" w:rsidRPr="007C0D91">
        <w:rPr>
          <w:bCs/>
          <w:i/>
          <w:iCs/>
        </w:rPr>
        <w:t>EGFR</w:t>
      </w:r>
      <w:r w:rsidR="003F4311" w:rsidRPr="007C0D91">
        <w:rPr>
          <w:bCs/>
        </w:rPr>
        <w:t xml:space="preserve"> TKIs and ICI monotherapy financial offsets. The PBAC considered the resubmission appropriately considered only the costs of chemotherapy </w:t>
      </w:r>
      <w:r w:rsidR="001A5675" w:rsidRPr="007C0D91">
        <w:rPr>
          <w:bCs/>
        </w:rPr>
        <w:t xml:space="preserve">in the financial offsets and addressed the concerns raised by DUSC. The PBAC accepted the revised financial estimates. </w:t>
      </w:r>
    </w:p>
    <w:p w14:paraId="33838980" w14:textId="202EB23D" w:rsidR="006F2456" w:rsidRPr="007C0D91" w:rsidRDefault="00AC7B63" w:rsidP="007516BE">
      <w:pPr>
        <w:pStyle w:val="3-BodyText"/>
        <w:rPr>
          <w:rFonts w:ascii="Calibri" w:hAnsi="Calibri" w:cs="Calibri"/>
        </w:rPr>
      </w:pPr>
      <w:r w:rsidRPr="007C0D91">
        <w:rPr>
          <w:rFonts w:ascii="Calibri" w:hAnsi="Calibri" w:cs="Calibri"/>
        </w:rPr>
        <w:t xml:space="preserve">With respect to flow on changes to other restrictions the PBAC noted that </w:t>
      </w:r>
      <w:bookmarkStart w:id="100" w:name="_Hlk140574773"/>
      <w:r w:rsidR="00084643" w:rsidRPr="007C0D91">
        <w:t>gefitinib</w:t>
      </w:r>
      <w:r w:rsidRPr="007C0D91">
        <w:t xml:space="preserve">, </w:t>
      </w:r>
      <w:r w:rsidR="00084643" w:rsidRPr="007C0D91">
        <w:t>erlotinib</w:t>
      </w:r>
      <w:r w:rsidRPr="007C0D91">
        <w:t xml:space="preserve"> </w:t>
      </w:r>
      <w:r w:rsidR="00084643" w:rsidRPr="007C0D91">
        <w:t>and afatinib</w:t>
      </w:r>
      <w:r w:rsidRPr="007C0D91">
        <w:t xml:space="preserve"> are </w:t>
      </w:r>
      <w:r w:rsidR="00084643" w:rsidRPr="007C0D91">
        <w:rPr>
          <w:i/>
          <w:iCs/>
        </w:rPr>
        <w:t xml:space="preserve">EGFR </w:t>
      </w:r>
      <w:r w:rsidR="00084643" w:rsidRPr="007C0D91">
        <w:t xml:space="preserve">TKIs </w:t>
      </w:r>
      <w:bookmarkEnd w:id="100"/>
      <w:r w:rsidRPr="007C0D91">
        <w:t xml:space="preserve">that are currently listed for Stage IIIB (locally advanced) or Stage IV (metastatic) NSCLC. The initial treatment restrictions for these items currently contain a clinical criterion that restricts sequential use of </w:t>
      </w:r>
      <w:r w:rsidRPr="007C0D91">
        <w:rPr>
          <w:i/>
          <w:iCs/>
        </w:rPr>
        <w:t>EGFR</w:t>
      </w:r>
      <w:r w:rsidRPr="007C0D91">
        <w:t xml:space="preserve"> TKIs. The clinical criteria states ‘Patient must not have received previous PBS-subsidised treatment with another </w:t>
      </w:r>
      <w:r w:rsidR="00FB0DBF" w:rsidRPr="00FB0DBF">
        <w:rPr>
          <w:i/>
        </w:rPr>
        <w:t>EGFR</w:t>
      </w:r>
      <w:r w:rsidRPr="007C0D91">
        <w:t xml:space="preserve"> TKI’ with an exception being in patients who have developed intolerance of a severity necessitating permanent treatment withdrawal. However, gefitinib, erlotinib and afatinib are </w:t>
      </w:r>
      <w:r w:rsidRPr="007C0D91">
        <w:rPr>
          <w:i/>
          <w:iCs/>
        </w:rPr>
        <w:t xml:space="preserve">EGFR </w:t>
      </w:r>
      <w:r w:rsidRPr="007C0D91">
        <w:t xml:space="preserve">TKIs </w:t>
      </w:r>
      <w:r w:rsidR="00084643" w:rsidRPr="007C0D91">
        <w:t>to which ex20ins variants are typically insensitive</w:t>
      </w:r>
      <w:r w:rsidR="00C774C7" w:rsidRPr="007C0D91">
        <w:t>. As such,</w:t>
      </w:r>
      <w:r w:rsidRPr="007C0D91">
        <w:t xml:space="preserve"> the PBAC considered </w:t>
      </w:r>
      <w:r w:rsidR="00C774C7" w:rsidRPr="007C0D91">
        <w:t>that, with the listing of mobocertinib, patients with a</w:t>
      </w:r>
      <w:r w:rsidR="00F2184A" w:rsidRPr="007C0D91">
        <w:t>n</w:t>
      </w:r>
      <w:r w:rsidR="00C774C7" w:rsidRPr="007C0D91">
        <w:t xml:space="preserve"> ex20ins mutation should be excluded from the Stage IIIB (locally advanced) or Stage IV (metastatic) NSCLC restrictions for gefitinib, erlotinib and afatinib</w:t>
      </w:r>
      <w:r w:rsidR="00084643" w:rsidRPr="007C0D91">
        <w:t>.</w:t>
      </w:r>
      <w:r w:rsidR="0090169B" w:rsidRPr="007C0D91">
        <w:t xml:space="preserve"> </w:t>
      </w:r>
    </w:p>
    <w:p w14:paraId="69BE3DDD" w14:textId="0EF28E9D" w:rsidR="001A5675" w:rsidRPr="007C0D91" w:rsidRDefault="001A5675" w:rsidP="007516BE">
      <w:pPr>
        <w:pStyle w:val="3-BodyText"/>
      </w:pPr>
      <w:r w:rsidRPr="007C0D91">
        <w:t xml:space="preserve">The PBAC recommended that </w:t>
      </w:r>
      <w:r w:rsidR="004452FA" w:rsidRPr="007C0D91">
        <w:t xml:space="preserve">mobocertinib </w:t>
      </w:r>
      <w:r w:rsidRPr="007C0D91">
        <w:t>should not be treated as interchangeable with any other drugs.</w:t>
      </w:r>
    </w:p>
    <w:p w14:paraId="43476052" w14:textId="2E3BBDD8" w:rsidR="001A5675" w:rsidRPr="007C0D91" w:rsidRDefault="004452FA" w:rsidP="007516BE">
      <w:pPr>
        <w:pStyle w:val="3-BodyText"/>
      </w:pPr>
      <w:r w:rsidRPr="007C0D91">
        <w:t xml:space="preserve">The PBAC advised that mobocertinib is not suitable for prescribing by nurse practitioners. </w:t>
      </w:r>
    </w:p>
    <w:p w14:paraId="502A3DAC" w14:textId="00F7B4F8" w:rsidR="001733ED" w:rsidRPr="007C0D91" w:rsidRDefault="004452FA" w:rsidP="007516BE">
      <w:pPr>
        <w:pStyle w:val="3-BodyText"/>
        <w:rPr>
          <w:rFonts w:ascii="Calibri" w:hAnsi="Calibri" w:cs="Calibri"/>
        </w:rPr>
      </w:pPr>
      <w:r w:rsidRPr="007C0D91">
        <w:t>The PBAC recommended that the Early Supply Rule should not apply.</w:t>
      </w:r>
      <w:bookmarkEnd w:id="98"/>
    </w:p>
    <w:p w14:paraId="22F2DB4E" w14:textId="3A788921" w:rsidR="00203795" w:rsidRPr="007C0D91" w:rsidRDefault="00203795" w:rsidP="00203795">
      <w:pPr>
        <w:widowControl w:val="0"/>
        <w:numPr>
          <w:ilvl w:val="1"/>
          <w:numId w:val="1"/>
        </w:numPr>
        <w:spacing w:after="120"/>
        <w:rPr>
          <w:rFonts w:asciiTheme="minorHAnsi" w:hAnsiTheme="minorHAnsi"/>
          <w:snapToGrid w:val="0"/>
          <w:lang w:eastAsia="en-US"/>
        </w:rPr>
      </w:pPr>
      <w:r w:rsidRPr="007C0D91">
        <w:rPr>
          <w:rFonts w:asciiTheme="minorHAnsi" w:hAnsiTheme="minorHAnsi"/>
          <w:snapToGrid w:val="0"/>
          <w:lang w:eastAsia="en-US"/>
        </w:rPr>
        <w:t xml:space="preserve">The PBAC found that the criteria prescribed by the </w:t>
      </w:r>
      <w:r w:rsidRPr="00A20BC1">
        <w:rPr>
          <w:rFonts w:asciiTheme="minorHAnsi" w:hAnsiTheme="minorHAnsi"/>
          <w:i/>
          <w:iCs/>
          <w:snapToGrid w:val="0"/>
          <w:lang w:eastAsia="en-US"/>
        </w:rPr>
        <w:t xml:space="preserve">National Health (Pharmaceuticals and Vaccines – Cost Recovery) Regulations </w:t>
      </w:r>
      <w:r w:rsidR="00A20BC1" w:rsidRPr="00A20BC1">
        <w:rPr>
          <w:rFonts w:asciiTheme="minorHAnsi" w:hAnsiTheme="minorHAnsi"/>
          <w:i/>
          <w:iCs/>
          <w:snapToGrid w:val="0"/>
          <w:lang w:eastAsia="en-US"/>
        </w:rPr>
        <w:t>2022</w:t>
      </w:r>
      <w:r w:rsidR="00A20BC1" w:rsidRPr="007C0D91">
        <w:rPr>
          <w:rFonts w:asciiTheme="minorHAnsi" w:hAnsiTheme="minorHAnsi"/>
          <w:snapToGrid w:val="0"/>
          <w:lang w:eastAsia="en-US"/>
        </w:rPr>
        <w:t xml:space="preserve"> </w:t>
      </w:r>
      <w:r w:rsidRPr="007C0D91">
        <w:rPr>
          <w:rFonts w:asciiTheme="minorHAnsi" w:hAnsiTheme="minorHAnsi"/>
          <w:snapToGrid w:val="0"/>
          <w:lang w:eastAsia="en-US"/>
        </w:rPr>
        <w:t>for Pricing Pathway A were not met. Specifically, the PBAC found that in the circumstances of its recommendation for</w:t>
      </w:r>
      <w:r w:rsidR="00F03168" w:rsidRPr="007C0D91">
        <w:rPr>
          <w:rFonts w:asciiTheme="minorHAnsi" w:hAnsiTheme="minorHAnsi"/>
          <w:snapToGrid w:val="0"/>
          <w:lang w:eastAsia="en-US"/>
        </w:rPr>
        <w:t xml:space="preserve"> mobocertinib</w:t>
      </w:r>
      <w:r w:rsidRPr="007C0D91">
        <w:rPr>
          <w:rFonts w:asciiTheme="minorHAnsi" w:hAnsiTheme="minorHAnsi"/>
          <w:snapToGrid w:val="0"/>
          <w:lang w:eastAsia="en-US"/>
        </w:rPr>
        <w:t>:</w:t>
      </w:r>
    </w:p>
    <w:p w14:paraId="59D40F48" w14:textId="0487FCD6" w:rsidR="00203795" w:rsidRPr="007C0D91" w:rsidRDefault="00B2359E" w:rsidP="00203795">
      <w:pPr>
        <w:widowControl w:val="0"/>
        <w:numPr>
          <w:ilvl w:val="1"/>
          <w:numId w:val="28"/>
        </w:numPr>
        <w:spacing w:after="120"/>
        <w:ind w:left="1134" w:hanging="425"/>
        <w:rPr>
          <w:rFonts w:asciiTheme="minorHAnsi" w:hAnsiTheme="minorHAnsi" w:cstheme="minorHAnsi"/>
        </w:rPr>
      </w:pPr>
      <w:r w:rsidRPr="007C0D91">
        <w:rPr>
          <w:rFonts w:asciiTheme="minorHAnsi" w:hAnsiTheme="minorHAnsi" w:cstheme="minorHAnsi"/>
        </w:rPr>
        <w:t>D</w:t>
      </w:r>
      <w:r w:rsidR="00DC0DD6" w:rsidRPr="007C0D91">
        <w:rPr>
          <w:rFonts w:asciiTheme="minorHAnsi" w:hAnsiTheme="minorHAnsi" w:cstheme="minorHAnsi"/>
        </w:rPr>
        <w:t xml:space="preserve">ue to the limitations of the available evidence, the PBAC considered the </w:t>
      </w:r>
      <w:r w:rsidR="00DC0DD6" w:rsidRPr="007C0D91">
        <w:lastRenderedPageBreak/>
        <w:t>magnitude of the comparative treatment benefits for mobocertinib</w:t>
      </w:r>
      <w:r w:rsidR="00DC0DD6" w:rsidRPr="007C0D91">
        <w:rPr>
          <w:rFonts w:asciiTheme="minorHAnsi" w:hAnsiTheme="minorHAnsi" w:cstheme="minorHAnsi"/>
        </w:rPr>
        <w:t xml:space="preserve"> was uncertain</w:t>
      </w:r>
      <w:r w:rsidRPr="007C0D91">
        <w:rPr>
          <w:rFonts w:asciiTheme="minorHAnsi" w:hAnsiTheme="minorHAnsi" w:cstheme="minorHAnsi"/>
        </w:rPr>
        <w:t xml:space="preserve"> and hence the criteria of providing a substantial and clinically relevant improvement in efficacy was not </w:t>
      </w:r>
      <w:proofErr w:type="gramStart"/>
      <w:r w:rsidRPr="007C0D91">
        <w:rPr>
          <w:rFonts w:asciiTheme="minorHAnsi" w:hAnsiTheme="minorHAnsi" w:cstheme="minorHAnsi"/>
        </w:rPr>
        <w:t>met</w:t>
      </w:r>
      <w:r w:rsidR="00203795" w:rsidRPr="007C0D91">
        <w:rPr>
          <w:rFonts w:asciiTheme="minorHAnsi" w:hAnsiTheme="minorHAnsi" w:cstheme="minorHAnsi"/>
        </w:rPr>
        <w:t>;</w:t>
      </w:r>
      <w:proofErr w:type="gramEnd"/>
    </w:p>
    <w:p w14:paraId="375B3617" w14:textId="36692CBB" w:rsidR="00203795" w:rsidRPr="007C0D91" w:rsidRDefault="00DC0DD6" w:rsidP="00203795">
      <w:pPr>
        <w:widowControl w:val="0"/>
        <w:numPr>
          <w:ilvl w:val="1"/>
          <w:numId w:val="28"/>
        </w:numPr>
        <w:spacing w:after="120"/>
        <w:ind w:left="1134" w:hanging="425"/>
        <w:rPr>
          <w:rFonts w:asciiTheme="minorHAnsi" w:hAnsiTheme="minorHAnsi" w:cstheme="minorHAnsi"/>
        </w:rPr>
      </w:pPr>
      <w:r w:rsidRPr="007C0D91">
        <w:rPr>
          <w:rFonts w:asciiTheme="minorHAnsi" w:hAnsiTheme="minorHAnsi" w:cstheme="minorHAnsi"/>
        </w:rPr>
        <w:t xml:space="preserve">The treatment is </w:t>
      </w:r>
      <w:r w:rsidR="00B864B0" w:rsidRPr="007C0D91">
        <w:rPr>
          <w:rFonts w:asciiTheme="minorHAnsi" w:hAnsiTheme="minorHAnsi" w:cstheme="minorHAnsi"/>
        </w:rPr>
        <w:t xml:space="preserve">not </w:t>
      </w:r>
      <w:r w:rsidR="00203795" w:rsidRPr="007C0D91">
        <w:rPr>
          <w:rFonts w:asciiTheme="minorHAnsi" w:hAnsiTheme="minorHAnsi" w:cstheme="minorHAnsi"/>
        </w:rPr>
        <w:t>expected to address a high and urgent unmet clinical need due to the availability of alternative therapies (see paragraph</w:t>
      </w:r>
      <w:r w:rsidR="00B864B0" w:rsidRPr="007C0D91">
        <w:rPr>
          <w:rFonts w:asciiTheme="minorHAnsi" w:hAnsiTheme="minorHAnsi" w:cstheme="minorHAnsi"/>
        </w:rPr>
        <w:t xml:space="preserve"> </w:t>
      </w:r>
      <w:r w:rsidR="00B864B0" w:rsidRPr="007C0D91">
        <w:rPr>
          <w:rFonts w:asciiTheme="minorHAnsi" w:hAnsiTheme="minorHAnsi" w:cstheme="minorHAnsi"/>
        </w:rPr>
        <w:fldChar w:fldCharType="begin"/>
      </w:r>
      <w:r w:rsidR="00B864B0" w:rsidRPr="007C0D91">
        <w:rPr>
          <w:rFonts w:asciiTheme="minorHAnsi" w:hAnsiTheme="minorHAnsi" w:cstheme="minorHAnsi"/>
        </w:rPr>
        <w:instrText xml:space="preserve"> REF _Ref140568335 \r \h </w:instrText>
      </w:r>
      <w:r w:rsidR="00B864B0" w:rsidRPr="007C0D91">
        <w:rPr>
          <w:rFonts w:asciiTheme="minorHAnsi" w:hAnsiTheme="minorHAnsi" w:cstheme="minorHAnsi"/>
        </w:rPr>
      </w:r>
      <w:r w:rsidR="00B864B0" w:rsidRPr="007C0D91">
        <w:rPr>
          <w:rFonts w:asciiTheme="minorHAnsi" w:hAnsiTheme="minorHAnsi" w:cstheme="minorHAnsi"/>
        </w:rPr>
        <w:fldChar w:fldCharType="separate"/>
      </w:r>
      <w:r w:rsidR="00117491">
        <w:rPr>
          <w:rFonts w:asciiTheme="minorHAnsi" w:hAnsiTheme="minorHAnsi" w:cstheme="minorHAnsi"/>
        </w:rPr>
        <w:t>4.3</w:t>
      </w:r>
      <w:r w:rsidR="00B864B0" w:rsidRPr="007C0D91">
        <w:rPr>
          <w:rFonts w:asciiTheme="minorHAnsi" w:hAnsiTheme="minorHAnsi" w:cstheme="minorHAnsi"/>
        </w:rPr>
        <w:fldChar w:fldCharType="end"/>
      </w:r>
      <w:proofErr w:type="gramStart"/>
      <w:r w:rsidR="00203795" w:rsidRPr="007C0D91">
        <w:rPr>
          <w:rFonts w:asciiTheme="minorHAnsi" w:hAnsiTheme="minorHAnsi" w:cstheme="minorHAnsi"/>
        </w:rPr>
        <w:t>);</w:t>
      </w:r>
      <w:proofErr w:type="gramEnd"/>
      <w:r w:rsidR="00203795" w:rsidRPr="007C0D91">
        <w:rPr>
          <w:rFonts w:asciiTheme="minorHAnsi" w:hAnsiTheme="minorHAnsi" w:cstheme="minorHAnsi"/>
        </w:rPr>
        <w:t xml:space="preserve"> </w:t>
      </w:r>
    </w:p>
    <w:p w14:paraId="4136F0A3" w14:textId="77777777" w:rsidR="00203795" w:rsidRPr="007C0D91" w:rsidRDefault="00203795" w:rsidP="00203795">
      <w:pPr>
        <w:widowControl w:val="0"/>
        <w:numPr>
          <w:ilvl w:val="1"/>
          <w:numId w:val="28"/>
        </w:numPr>
        <w:spacing w:after="120"/>
        <w:ind w:left="1134" w:hanging="425"/>
        <w:rPr>
          <w:rFonts w:asciiTheme="minorHAnsi" w:hAnsiTheme="minorHAnsi" w:cstheme="minorHAnsi"/>
        </w:rPr>
      </w:pPr>
      <w:r w:rsidRPr="007C0D91">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p>
    <w:p w14:paraId="1151E4AB" w14:textId="565FD1C3" w:rsidR="00203795" w:rsidRPr="007C0D91" w:rsidRDefault="00203795" w:rsidP="00DC0DD6">
      <w:pPr>
        <w:widowControl w:val="0"/>
        <w:numPr>
          <w:ilvl w:val="1"/>
          <w:numId w:val="1"/>
        </w:numPr>
        <w:spacing w:after="120"/>
        <w:jc w:val="left"/>
        <w:rPr>
          <w:rFonts w:asciiTheme="minorHAnsi" w:eastAsiaTheme="minorHAnsi" w:hAnsiTheme="minorHAnsi"/>
          <w:bCs/>
          <w:snapToGrid w:val="0"/>
          <w:szCs w:val="22"/>
        </w:rPr>
      </w:pPr>
      <w:r w:rsidRPr="007C0D91">
        <w:rPr>
          <w:rFonts w:asciiTheme="minorHAnsi" w:eastAsiaTheme="minorHAnsi" w:hAnsiTheme="minorHAnsi" w:cstheme="minorBidi"/>
          <w:szCs w:val="22"/>
        </w:rPr>
        <w:t xml:space="preserve">The PBAC noted that this submission is not eligible for an Independent Review as it received a positive recommendation. </w:t>
      </w:r>
    </w:p>
    <w:p w14:paraId="0C5D63A9" w14:textId="6241CC92" w:rsidR="001733ED" w:rsidRPr="007C0D91" w:rsidRDefault="001733ED" w:rsidP="001733ED">
      <w:pPr>
        <w:spacing w:before="240"/>
        <w:rPr>
          <w:rFonts w:asciiTheme="minorHAnsi" w:hAnsiTheme="minorHAnsi"/>
          <w:b/>
          <w:bCs/>
          <w:snapToGrid w:val="0"/>
          <w:lang w:eastAsia="en-US"/>
        </w:rPr>
      </w:pPr>
      <w:r w:rsidRPr="007C0D91">
        <w:rPr>
          <w:rFonts w:asciiTheme="minorHAnsi" w:hAnsiTheme="minorHAnsi"/>
          <w:b/>
          <w:bCs/>
          <w:snapToGrid w:val="0"/>
          <w:lang w:eastAsia="en-US"/>
        </w:rPr>
        <w:t>Outcome:</w:t>
      </w:r>
    </w:p>
    <w:p w14:paraId="37999A6C" w14:textId="5D0A258B" w:rsidR="00D2392C" w:rsidRPr="003015A9" w:rsidRDefault="001733ED" w:rsidP="003015A9">
      <w:pPr>
        <w:spacing w:after="120"/>
        <w:rPr>
          <w:rFonts w:asciiTheme="minorHAnsi" w:hAnsiTheme="minorHAnsi"/>
          <w:bCs/>
          <w:snapToGrid w:val="0"/>
          <w:lang w:eastAsia="en-US"/>
        </w:rPr>
      </w:pPr>
      <w:r w:rsidRPr="007C0D91">
        <w:rPr>
          <w:rFonts w:asciiTheme="minorHAnsi" w:hAnsiTheme="minorHAnsi"/>
          <w:bCs/>
          <w:snapToGrid w:val="0"/>
          <w:lang w:eastAsia="en-US"/>
        </w:rPr>
        <w:t>Recommended</w:t>
      </w:r>
    </w:p>
    <w:bookmarkEnd w:id="95"/>
    <w:p w14:paraId="119E3F9B" w14:textId="77777777" w:rsidR="001733ED" w:rsidRPr="007C0D91" w:rsidRDefault="001733ED" w:rsidP="00FB0DBF">
      <w:pPr>
        <w:pStyle w:val="2-SectionHeading"/>
        <w:rPr>
          <w:iCs/>
        </w:rPr>
      </w:pPr>
      <w:r w:rsidRPr="007C0D91">
        <w:t xml:space="preserve">Recommended </w:t>
      </w:r>
      <w:proofErr w:type="gramStart"/>
      <w:r w:rsidRPr="007C0D91">
        <w:t>listing</w:t>
      </w:r>
      <w:proofErr w:type="gramEnd"/>
    </w:p>
    <w:p w14:paraId="2CB3DF77" w14:textId="14724FB6" w:rsidR="001733ED" w:rsidRPr="00FB0DBF" w:rsidRDefault="00203795" w:rsidP="007516BE">
      <w:pPr>
        <w:pStyle w:val="3-BodyText"/>
        <w:rPr>
          <w:b/>
          <w:lang w:eastAsia="en-US"/>
        </w:rPr>
      </w:pPr>
      <w:r w:rsidRPr="007C0D91">
        <w:rPr>
          <w:lang w:eastAsia="en-US"/>
        </w:rPr>
        <w:t>Add new item:</w:t>
      </w:r>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021"/>
        <w:gridCol w:w="1004"/>
        <w:gridCol w:w="858"/>
        <w:gridCol w:w="860"/>
        <w:gridCol w:w="716"/>
        <w:gridCol w:w="1573"/>
      </w:tblGrid>
      <w:tr w:rsidR="00203795" w:rsidRPr="007C0D91" w14:paraId="737A7E42" w14:textId="77777777" w:rsidTr="00935286">
        <w:trPr>
          <w:cantSplit/>
          <w:trHeight w:val="471"/>
        </w:trPr>
        <w:tc>
          <w:tcPr>
            <w:tcW w:w="2221" w:type="pct"/>
            <w:gridSpan w:val="2"/>
          </w:tcPr>
          <w:p w14:paraId="39478527" w14:textId="77777777" w:rsidR="00203795" w:rsidRPr="007C0D91" w:rsidRDefault="00203795" w:rsidP="00935286">
            <w:pPr>
              <w:keepNext/>
              <w:keepLines/>
              <w:ind w:left="-108"/>
              <w:rPr>
                <w:rFonts w:ascii="Arial Narrow" w:hAnsi="Arial Narrow"/>
                <w:b/>
                <w:sz w:val="20"/>
                <w:szCs w:val="20"/>
              </w:rPr>
            </w:pPr>
            <w:r w:rsidRPr="007C0D91">
              <w:rPr>
                <w:rFonts w:ascii="Arial Narrow" w:hAnsi="Arial Narrow"/>
                <w:b/>
                <w:sz w:val="20"/>
                <w:szCs w:val="20"/>
              </w:rPr>
              <w:t>Name, Restriction,</w:t>
            </w:r>
          </w:p>
          <w:p w14:paraId="07CBFB85" w14:textId="77777777" w:rsidR="00203795" w:rsidRPr="007C0D91" w:rsidRDefault="00203795" w:rsidP="00935286">
            <w:pPr>
              <w:keepNext/>
              <w:keepLines/>
              <w:ind w:left="-108"/>
              <w:rPr>
                <w:rFonts w:ascii="Arial Narrow" w:hAnsi="Arial Narrow"/>
                <w:b/>
                <w:sz w:val="20"/>
                <w:szCs w:val="20"/>
              </w:rPr>
            </w:pPr>
            <w:r w:rsidRPr="007C0D91">
              <w:rPr>
                <w:rFonts w:ascii="Arial Narrow" w:hAnsi="Arial Narrow"/>
                <w:b/>
                <w:sz w:val="20"/>
                <w:szCs w:val="20"/>
              </w:rPr>
              <w:t>Manner of administration and form</w:t>
            </w:r>
          </w:p>
        </w:tc>
        <w:tc>
          <w:tcPr>
            <w:tcW w:w="556" w:type="pct"/>
          </w:tcPr>
          <w:p w14:paraId="377CC255" w14:textId="77777777" w:rsidR="00203795" w:rsidRPr="007C0D91" w:rsidRDefault="00203795" w:rsidP="00935286">
            <w:pPr>
              <w:keepNext/>
              <w:keepLines/>
              <w:ind w:left="-108"/>
              <w:jc w:val="center"/>
              <w:rPr>
                <w:rFonts w:ascii="Arial Narrow" w:hAnsi="Arial Narrow"/>
                <w:b/>
                <w:sz w:val="20"/>
                <w:szCs w:val="20"/>
              </w:rPr>
            </w:pPr>
            <w:r w:rsidRPr="007C0D91">
              <w:rPr>
                <w:rFonts w:ascii="Arial Narrow" w:hAnsi="Arial Narrow"/>
                <w:b/>
                <w:sz w:val="20"/>
                <w:szCs w:val="20"/>
              </w:rPr>
              <w:t>PBS item code</w:t>
            </w:r>
          </w:p>
        </w:tc>
        <w:tc>
          <w:tcPr>
            <w:tcW w:w="476" w:type="pct"/>
          </w:tcPr>
          <w:p w14:paraId="48380661" w14:textId="77777777" w:rsidR="00203795" w:rsidRPr="007C0D91" w:rsidRDefault="00203795" w:rsidP="00935286">
            <w:pPr>
              <w:keepNext/>
              <w:keepLines/>
              <w:ind w:left="-108"/>
              <w:jc w:val="center"/>
              <w:rPr>
                <w:rFonts w:ascii="Arial Narrow" w:hAnsi="Arial Narrow"/>
                <w:b/>
                <w:sz w:val="20"/>
                <w:szCs w:val="20"/>
              </w:rPr>
            </w:pPr>
            <w:r w:rsidRPr="007C0D91">
              <w:rPr>
                <w:rFonts w:ascii="Arial Narrow" w:hAnsi="Arial Narrow"/>
                <w:b/>
                <w:sz w:val="20"/>
                <w:szCs w:val="20"/>
              </w:rPr>
              <w:t>Max. qty packs</w:t>
            </w:r>
          </w:p>
        </w:tc>
        <w:tc>
          <w:tcPr>
            <w:tcW w:w="477" w:type="pct"/>
          </w:tcPr>
          <w:p w14:paraId="2859865D" w14:textId="77777777" w:rsidR="00203795" w:rsidRPr="007C0D91" w:rsidRDefault="00203795" w:rsidP="00935286">
            <w:pPr>
              <w:keepNext/>
              <w:keepLines/>
              <w:ind w:left="-108"/>
              <w:jc w:val="center"/>
              <w:rPr>
                <w:rFonts w:ascii="Arial Narrow" w:hAnsi="Arial Narrow"/>
                <w:b/>
                <w:sz w:val="20"/>
                <w:szCs w:val="20"/>
              </w:rPr>
            </w:pPr>
            <w:r w:rsidRPr="007C0D91">
              <w:rPr>
                <w:rFonts w:ascii="Arial Narrow" w:hAnsi="Arial Narrow"/>
                <w:b/>
                <w:sz w:val="20"/>
                <w:szCs w:val="20"/>
              </w:rPr>
              <w:t>Max. qty units</w:t>
            </w:r>
          </w:p>
        </w:tc>
        <w:tc>
          <w:tcPr>
            <w:tcW w:w="397" w:type="pct"/>
          </w:tcPr>
          <w:p w14:paraId="0D84706F" w14:textId="77777777" w:rsidR="00203795" w:rsidRPr="007C0D91" w:rsidRDefault="00203795" w:rsidP="00935286">
            <w:pPr>
              <w:keepNext/>
              <w:keepLines/>
              <w:ind w:left="-108"/>
              <w:jc w:val="center"/>
              <w:rPr>
                <w:rFonts w:ascii="Arial Narrow" w:hAnsi="Arial Narrow"/>
                <w:b/>
                <w:sz w:val="20"/>
                <w:szCs w:val="20"/>
              </w:rPr>
            </w:pPr>
            <w:proofErr w:type="gramStart"/>
            <w:r w:rsidRPr="007C0D91">
              <w:rPr>
                <w:rFonts w:ascii="Arial Narrow" w:hAnsi="Arial Narrow"/>
                <w:b/>
                <w:sz w:val="20"/>
                <w:szCs w:val="20"/>
              </w:rPr>
              <w:t>№.of</w:t>
            </w:r>
            <w:proofErr w:type="gramEnd"/>
          </w:p>
          <w:p w14:paraId="2CDA1337" w14:textId="77777777" w:rsidR="00203795" w:rsidRPr="007C0D91" w:rsidRDefault="00203795" w:rsidP="00935286">
            <w:pPr>
              <w:keepNext/>
              <w:keepLines/>
              <w:ind w:left="-108"/>
              <w:jc w:val="center"/>
              <w:rPr>
                <w:rFonts w:ascii="Arial Narrow" w:hAnsi="Arial Narrow"/>
                <w:b/>
                <w:sz w:val="20"/>
                <w:szCs w:val="20"/>
              </w:rPr>
            </w:pPr>
            <w:r w:rsidRPr="007C0D91">
              <w:rPr>
                <w:rFonts w:ascii="Arial Narrow" w:hAnsi="Arial Narrow"/>
                <w:b/>
                <w:sz w:val="20"/>
                <w:szCs w:val="20"/>
              </w:rPr>
              <w:t>Rpts</w:t>
            </w:r>
          </w:p>
        </w:tc>
        <w:tc>
          <w:tcPr>
            <w:tcW w:w="873" w:type="pct"/>
          </w:tcPr>
          <w:p w14:paraId="451FE3FF" w14:textId="77777777" w:rsidR="00203795" w:rsidRPr="007C0D91" w:rsidRDefault="00203795" w:rsidP="00935286">
            <w:pPr>
              <w:keepNext/>
              <w:keepLines/>
              <w:rPr>
                <w:rFonts w:ascii="Arial Narrow" w:hAnsi="Arial Narrow"/>
                <w:b/>
                <w:sz w:val="20"/>
                <w:szCs w:val="20"/>
              </w:rPr>
            </w:pPr>
            <w:r w:rsidRPr="007C0D91">
              <w:rPr>
                <w:rFonts w:ascii="Arial Narrow" w:hAnsi="Arial Narrow"/>
                <w:b/>
                <w:sz w:val="20"/>
                <w:szCs w:val="20"/>
              </w:rPr>
              <w:t>Available brands</w:t>
            </w:r>
          </w:p>
        </w:tc>
      </w:tr>
      <w:tr w:rsidR="00203795" w:rsidRPr="007C0D91" w14:paraId="7FB8A729" w14:textId="77777777" w:rsidTr="00935286">
        <w:trPr>
          <w:cantSplit/>
          <w:trHeight w:val="761"/>
        </w:trPr>
        <w:tc>
          <w:tcPr>
            <w:tcW w:w="2221" w:type="pct"/>
            <w:gridSpan w:val="2"/>
          </w:tcPr>
          <w:p w14:paraId="3D4A94E6" w14:textId="77777777" w:rsidR="00203795" w:rsidRPr="007C0D91" w:rsidRDefault="00203795" w:rsidP="00935286">
            <w:pPr>
              <w:keepNext/>
              <w:keepLines/>
              <w:ind w:left="-108"/>
              <w:rPr>
                <w:rFonts w:ascii="Arial Narrow" w:hAnsi="Arial Narrow"/>
                <w:sz w:val="20"/>
                <w:szCs w:val="20"/>
              </w:rPr>
            </w:pPr>
            <w:r w:rsidRPr="007C0D91">
              <w:rPr>
                <w:rFonts w:ascii="Arial Narrow" w:hAnsi="Arial Narrow"/>
                <w:sz w:val="20"/>
                <w:szCs w:val="20"/>
              </w:rPr>
              <w:t>MOBOCERTINIB</w:t>
            </w:r>
          </w:p>
          <w:p w14:paraId="713F1D2F" w14:textId="77777777" w:rsidR="00203795" w:rsidRPr="007C0D91" w:rsidRDefault="00203795" w:rsidP="00935286">
            <w:pPr>
              <w:keepNext/>
              <w:keepLines/>
              <w:ind w:left="-108"/>
              <w:rPr>
                <w:rFonts w:ascii="Arial Narrow" w:hAnsi="Arial Narrow"/>
                <w:sz w:val="20"/>
                <w:szCs w:val="20"/>
              </w:rPr>
            </w:pPr>
          </w:p>
          <w:p w14:paraId="1D4F87EA" w14:textId="77777777" w:rsidR="00203795" w:rsidRPr="007C0D91" w:rsidRDefault="00203795" w:rsidP="00935286">
            <w:pPr>
              <w:keepNext/>
              <w:keepLines/>
              <w:ind w:left="-108"/>
              <w:rPr>
                <w:rFonts w:ascii="Arial Narrow" w:hAnsi="Arial Narrow"/>
                <w:sz w:val="20"/>
                <w:szCs w:val="20"/>
              </w:rPr>
            </w:pPr>
            <w:r w:rsidRPr="007C0D91">
              <w:rPr>
                <w:rFonts w:ascii="Arial Narrow" w:hAnsi="Arial Narrow"/>
                <w:sz w:val="20"/>
                <w:szCs w:val="20"/>
              </w:rPr>
              <w:t>mobocertinib 40 mg capsule, 112</w:t>
            </w:r>
          </w:p>
        </w:tc>
        <w:tc>
          <w:tcPr>
            <w:tcW w:w="556" w:type="pct"/>
          </w:tcPr>
          <w:p w14:paraId="0F1DEEF5" w14:textId="77777777" w:rsidR="00203795" w:rsidRPr="007C0D91" w:rsidRDefault="00203795" w:rsidP="00935286">
            <w:pPr>
              <w:keepNext/>
              <w:keepLines/>
              <w:ind w:left="-108"/>
              <w:jc w:val="center"/>
              <w:rPr>
                <w:rFonts w:ascii="Arial Narrow" w:hAnsi="Arial Narrow"/>
                <w:sz w:val="20"/>
                <w:szCs w:val="20"/>
              </w:rPr>
            </w:pPr>
          </w:p>
          <w:p w14:paraId="0A64E368" w14:textId="77777777" w:rsidR="00203795" w:rsidRPr="007C0D91" w:rsidRDefault="00203795" w:rsidP="00935286">
            <w:pPr>
              <w:keepNext/>
              <w:keepLines/>
              <w:rPr>
                <w:rFonts w:ascii="Arial Narrow" w:hAnsi="Arial Narrow"/>
                <w:sz w:val="20"/>
                <w:szCs w:val="20"/>
              </w:rPr>
            </w:pPr>
          </w:p>
          <w:p w14:paraId="5B74BB4F" w14:textId="77777777" w:rsidR="00203795" w:rsidRPr="007C0D91" w:rsidRDefault="00203795" w:rsidP="00935286">
            <w:pPr>
              <w:keepNext/>
              <w:keepLines/>
              <w:rPr>
                <w:rFonts w:ascii="Arial Narrow" w:hAnsi="Arial Narrow"/>
                <w:sz w:val="20"/>
                <w:szCs w:val="20"/>
              </w:rPr>
            </w:pPr>
            <w:r w:rsidRPr="007C0D91">
              <w:rPr>
                <w:rFonts w:ascii="Arial Narrow" w:hAnsi="Arial Narrow"/>
                <w:sz w:val="20"/>
                <w:szCs w:val="20"/>
              </w:rPr>
              <w:t>NEW</w:t>
            </w:r>
          </w:p>
        </w:tc>
        <w:tc>
          <w:tcPr>
            <w:tcW w:w="476" w:type="pct"/>
          </w:tcPr>
          <w:p w14:paraId="2842BE30" w14:textId="77777777" w:rsidR="00203795" w:rsidRPr="007C0D91" w:rsidRDefault="00203795" w:rsidP="00935286">
            <w:pPr>
              <w:keepNext/>
              <w:keepLines/>
              <w:jc w:val="center"/>
              <w:rPr>
                <w:rFonts w:ascii="Arial Narrow" w:hAnsi="Arial Narrow"/>
                <w:sz w:val="20"/>
                <w:szCs w:val="20"/>
              </w:rPr>
            </w:pPr>
          </w:p>
          <w:p w14:paraId="2386EDEA" w14:textId="77777777" w:rsidR="00203795" w:rsidRPr="007C0D91" w:rsidRDefault="00203795" w:rsidP="00935286">
            <w:pPr>
              <w:keepNext/>
              <w:keepLines/>
              <w:rPr>
                <w:rFonts w:ascii="Arial Narrow" w:hAnsi="Arial Narrow"/>
                <w:sz w:val="20"/>
                <w:szCs w:val="20"/>
              </w:rPr>
            </w:pPr>
          </w:p>
          <w:p w14:paraId="0A61DF83" w14:textId="77777777" w:rsidR="00203795" w:rsidRPr="007C0D91" w:rsidRDefault="00203795" w:rsidP="00935286">
            <w:pPr>
              <w:keepNext/>
              <w:keepLines/>
              <w:jc w:val="center"/>
              <w:rPr>
                <w:rFonts w:ascii="Arial Narrow" w:hAnsi="Arial Narrow"/>
                <w:sz w:val="20"/>
                <w:szCs w:val="20"/>
              </w:rPr>
            </w:pPr>
            <w:r w:rsidRPr="007C0D91">
              <w:rPr>
                <w:rFonts w:ascii="Arial Narrow" w:hAnsi="Arial Narrow"/>
                <w:sz w:val="20"/>
                <w:szCs w:val="20"/>
              </w:rPr>
              <w:t>1</w:t>
            </w:r>
          </w:p>
        </w:tc>
        <w:tc>
          <w:tcPr>
            <w:tcW w:w="477" w:type="pct"/>
          </w:tcPr>
          <w:p w14:paraId="67C84C3A" w14:textId="77777777" w:rsidR="00203795" w:rsidRPr="007C0D91" w:rsidRDefault="00203795" w:rsidP="00935286">
            <w:pPr>
              <w:keepNext/>
              <w:keepLines/>
              <w:ind w:left="-108"/>
              <w:jc w:val="center"/>
              <w:rPr>
                <w:rFonts w:ascii="Arial Narrow" w:hAnsi="Arial Narrow"/>
                <w:sz w:val="20"/>
                <w:szCs w:val="20"/>
              </w:rPr>
            </w:pPr>
          </w:p>
          <w:p w14:paraId="0A212A49" w14:textId="77777777" w:rsidR="00203795" w:rsidRPr="007C0D91" w:rsidRDefault="00203795" w:rsidP="00935286">
            <w:pPr>
              <w:keepNext/>
              <w:keepLines/>
              <w:rPr>
                <w:rFonts w:ascii="Arial Narrow" w:hAnsi="Arial Narrow"/>
                <w:sz w:val="20"/>
                <w:szCs w:val="20"/>
              </w:rPr>
            </w:pPr>
          </w:p>
          <w:p w14:paraId="355FE47F" w14:textId="77777777" w:rsidR="00203795" w:rsidRPr="007C0D91" w:rsidRDefault="00203795" w:rsidP="00935286">
            <w:pPr>
              <w:keepNext/>
              <w:keepLines/>
              <w:ind w:left="-108"/>
              <w:jc w:val="center"/>
              <w:rPr>
                <w:rFonts w:ascii="Arial Narrow" w:hAnsi="Arial Narrow"/>
                <w:sz w:val="20"/>
                <w:szCs w:val="20"/>
              </w:rPr>
            </w:pPr>
            <w:r w:rsidRPr="007C0D91">
              <w:rPr>
                <w:rFonts w:ascii="Arial Narrow" w:hAnsi="Arial Narrow"/>
                <w:sz w:val="20"/>
                <w:szCs w:val="20"/>
              </w:rPr>
              <w:t>112</w:t>
            </w:r>
          </w:p>
        </w:tc>
        <w:tc>
          <w:tcPr>
            <w:tcW w:w="397" w:type="pct"/>
          </w:tcPr>
          <w:p w14:paraId="3ACDBBE5" w14:textId="77777777" w:rsidR="00203795" w:rsidRPr="007C0D91" w:rsidRDefault="00203795" w:rsidP="00935286">
            <w:pPr>
              <w:keepNext/>
              <w:keepLines/>
              <w:ind w:left="-108"/>
              <w:jc w:val="center"/>
              <w:rPr>
                <w:rFonts w:ascii="Arial Narrow" w:hAnsi="Arial Narrow"/>
                <w:sz w:val="20"/>
                <w:szCs w:val="20"/>
              </w:rPr>
            </w:pPr>
          </w:p>
          <w:p w14:paraId="01AE1F48" w14:textId="77777777" w:rsidR="00203795" w:rsidRPr="007C0D91" w:rsidRDefault="00203795" w:rsidP="00935286">
            <w:pPr>
              <w:keepNext/>
              <w:keepLines/>
              <w:rPr>
                <w:rFonts w:ascii="Arial Narrow" w:hAnsi="Arial Narrow"/>
                <w:sz w:val="20"/>
                <w:szCs w:val="20"/>
              </w:rPr>
            </w:pPr>
          </w:p>
          <w:p w14:paraId="0FF2AD87" w14:textId="77777777" w:rsidR="00203795" w:rsidRPr="007C0D91" w:rsidRDefault="00203795" w:rsidP="00935286">
            <w:pPr>
              <w:keepNext/>
              <w:keepLines/>
              <w:ind w:left="-108"/>
              <w:jc w:val="center"/>
              <w:rPr>
                <w:rFonts w:ascii="Arial Narrow" w:hAnsi="Arial Narrow"/>
                <w:sz w:val="20"/>
                <w:szCs w:val="20"/>
              </w:rPr>
            </w:pPr>
            <w:r w:rsidRPr="007C0D91">
              <w:rPr>
                <w:rFonts w:ascii="Arial Narrow" w:hAnsi="Arial Narrow"/>
                <w:sz w:val="20"/>
                <w:szCs w:val="20"/>
              </w:rPr>
              <w:t>5</w:t>
            </w:r>
          </w:p>
          <w:p w14:paraId="6BF7D980" w14:textId="77777777" w:rsidR="00203795" w:rsidRPr="007C0D91" w:rsidRDefault="00203795" w:rsidP="00935286">
            <w:pPr>
              <w:keepNext/>
              <w:keepLines/>
              <w:rPr>
                <w:rFonts w:ascii="Arial Narrow" w:hAnsi="Arial Narrow"/>
                <w:sz w:val="20"/>
                <w:szCs w:val="20"/>
              </w:rPr>
            </w:pPr>
          </w:p>
        </w:tc>
        <w:tc>
          <w:tcPr>
            <w:tcW w:w="873" w:type="pct"/>
          </w:tcPr>
          <w:p w14:paraId="1E6002F5" w14:textId="77777777" w:rsidR="00203795" w:rsidRPr="007C0D91" w:rsidRDefault="00203795" w:rsidP="00935286">
            <w:pPr>
              <w:keepNext/>
              <w:keepLines/>
              <w:rPr>
                <w:rFonts w:ascii="Arial Narrow" w:hAnsi="Arial Narrow"/>
                <w:sz w:val="20"/>
                <w:szCs w:val="20"/>
              </w:rPr>
            </w:pPr>
          </w:p>
          <w:p w14:paraId="645E236E" w14:textId="77777777" w:rsidR="00203795" w:rsidRPr="007C0D91" w:rsidRDefault="00203795" w:rsidP="00935286">
            <w:pPr>
              <w:keepNext/>
              <w:keepLines/>
              <w:rPr>
                <w:rFonts w:ascii="Arial Narrow" w:hAnsi="Arial Narrow"/>
                <w:sz w:val="20"/>
                <w:szCs w:val="20"/>
              </w:rPr>
            </w:pPr>
          </w:p>
          <w:p w14:paraId="0A82162B" w14:textId="77777777" w:rsidR="00203795" w:rsidRPr="007C0D91" w:rsidRDefault="00203795" w:rsidP="00935286">
            <w:pPr>
              <w:keepNext/>
              <w:keepLines/>
              <w:rPr>
                <w:rFonts w:ascii="Arial Narrow" w:hAnsi="Arial Narrow"/>
                <w:sz w:val="20"/>
                <w:szCs w:val="20"/>
              </w:rPr>
            </w:pPr>
            <w:r w:rsidRPr="007C0D91">
              <w:rPr>
                <w:rFonts w:ascii="Arial Narrow" w:hAnsi="Arial Narrow"/>
                <w:sz w:val="20"/>
                <w:szCs w:val="20"/>
              </w:rPr>
              <w:t>EXKIVITY</w:t>
            </w:r>
          </w:p>
          <w:p w14:paraId="3B9935FB" w14:textId="77777777" w:rsidR="00203795" w:rsidRPr="007C0D91" w:rsidRDefault="00203795" w:rsidP="00935286">
            <w:pPr>
              <w:keepNext/>
              <w:keepLines/>
              <w:rPr>
                <w:rFonts w:ascii="Arial Narrow" w:hAnsi="Arial Narrow"/>
                <w:sz w:val="20"/>
                <w:szCs w:val="20"/>
              </w:rPr>
            </w:pPr>
          </w:p>
        </w:tc>
      </w:tr>
      <w:tr w:rsidR="00A67C48" w:rsidRPr="007C0D91" w14:paraId="6589B62B" w14:textId="77777777" w:rsidTr="00A67C48">
        <w:trPr>
          <w:cantSplit/>
          <w:trHeight w:val="427"/>
        </w:trPr>
        <w:tc>
          <w:tcPr>
            <w:tcW w:w="2778" w:type="pct"/>
            <w:gridSpan w:val="3"/>
          </w:tcPr>
          <w:p w14:paraId="35F3AB3B" w14:textId="75479D6B" w:rsidR="00A67C48" w:rsidRPr="007C0D91" w:rsidRDefault="00A67C48" w:rsidP="00765B1E">
            <w:pPr>
              <w:keepNext/>
              <w:keepLines/>
              <w:rPr>
                <w:rFonts w:ascii="Arial Narrow" w:hAnsi="Arial Narrow"/>
                <w:sz w:val="20"/>
                <w:szCs w:val="20"/>
              </w:rPr>
            </w:pPr>
          </w:p>
        </w:tc>
        <w:tc>
          <w:tcPr>
            <w:tcW w:w="2222" w:type="pct"/>
            <w:gridSpan w:val="4"/>
          </w:tcPr>
          <w:p w14:paraId="0A7EC1C0" w14:textId="71C304E1" w:rsidR="00A67C48" w:rsidRPr="007C0D91" w:rsidRDefault="00A67C48" w:rsidP="00A67C48">
            <w:pPr>
              <w:keepNext/>
              <w:ind w:left="-57"/>
              <w:rPr>
                <w:rFonts w:ascii="Arial Narrow" w:hAnsi="Arial Narrow"/>
                <w:i/>
                <w:iCs/>
                <w:sz w:val="20"/>
                <w:szCs w:val="20"/>
              </w:rPr>
            </w:pPr>
            <w:r w:rsidRPr="007C0D91">
              <w:rPr>
                <w:rFonts w:ascii="Arial Narrow" w:hAnsi="Arial Narrow"/>
                <w:i/>
                <w:iCs/>
                <w:sz w:val="20"/>
                <w:szCs w:val="20"/>
              </w:rPr>
              <w:t>Max.qty (packs) multiplier = 1</w:t>
            </w:r>
          </w:p>
          <w:p w14:paraId="64888CAD" w14:textId="7891BFFA" w:rsidR="00A67C48" w:rsidRPr="007C0D91" w:rsidRDefault="00A67C48" w:rsidP="00A67C48">
            <w:pPr>
              <w:keepNext/>
              <w:ind w:left="-57"/>
              <w:rPr>
                <w:rFonts w:ascii="Arial Narrow" w:hAnsi="Arial Narrow"/>
                <w:i/>
                <w:iCs/>
                <w:sz w:val="20"/>
                <w:szCs w:val="20"/>
              </w:rPr>
            </w:pPr>
            <w:r w:rsidRPr="007C0D91">
              <w:rPr>
                <w:rFonts w:ascii="Arial Narrow" w:hAnsi="Arial Narrow"/>
                <w:i/>
                <w:iCs/>
                <w:sz w:val="20"/>
                <w:szCs w:val="20"/>
              </w:rPr>
              <w:t>Repeat increases: nil</w:t>
            </w:r>
          </w:p>
        </w:tc>
      </w:tr>
      <w:tr w:rsidR="00203795" w:rsidRPr="007C0D91" w14:paraId="54CFA9AD" w14:textId="77777777" w:rsidTr="00203795">
        <w:trPr>
          <w:cantSplit/>
          <w:trHeight w:val="179"/>
        </w:trPr>
        <w:tc>
          <w:tcPr>
            <w:tcW w:w="5000" w:type="pct"/>
            <w:gridSpan w:val="7"/>
          </w:tcPr>
          <w:p w14:paraId="58FF4A3B" w14:textId="77777777" w:rsidR="00203795" w:rsidRPr="007C0D91" w:rsidRDefault="00203795" w:rsidP="00935286">
            <w:pPr>
              <w:keepNext/>
              <w:keepLines/>
              <w:rPr>
                <w:rFonts w:ascii="Arial Narrow" w:hAnsi="Arial Narrow"/>
                <w:sz w:val="20"/>
                <w:szCs w:val="20"/>
              </w:rPr>
            </w:pPr>
          </w:p>
        </w:tc>
      </w:tr>
      <w:tr w:rsidR="00203795" w:rsidRPr="007C0D91" w14:paraId="3E023CD0" w14:textId="77777777" w:rsidTr="00203795">
        <w:tblPrEx>
          <w:tblCellMar>
            <w:top w:w="15" w:type="dxa"/>
            <w:left w:w="15" w:type="dxa"/>
            <w:bottom w:w="15" w:type="dxa"/>
            <w:right w:w="15" w:type="dxa"/>
          </w:tblCellMar>
          <w:tblLook w:val="04A0" w:firstRow="1" w:lastRow="0" w:firstColumn="1" w:lastColumn="0" w:noHBand="0" w:noVBand="1"/>
        </w:tblPrEx>
        <w:tc>
          <w:tcPr>
            <w:tcW w:w="546" w:type="pct"/>
            <w:vMerge w:val="restart"/>
            <w:tcBorders>
              <w:top w:val="single" w:sz="4" w:space="0" w:color="auto"/>
              <w:left w:val="single" w:sz="4" w:space="0" w:color="auto"/>
              <w:right w:val="single" w:sz="4" w:space="0" w:color="auto"/>
            </w:tcBorders>
          </w:tcPr>
          <w:p w14:paraId="7C506642" w14:textId="49244712" w:rsidR="00203795" w:rsidRPr="007C0D91" w:rsidRDefault="00203795" w:rsidP="00935286">
            <w:pPr>
              <w:jc w:val="center"/>
              <w:rPr>
                <w:rFonts w:ascii="Arial Narrow" w:hAnsi="Arial Narrow"/>
                <w:b/>
                <w:sz w:val="20"/>
                <w:szCs w:val="20"/>
              </w:rPr>
            </w:pPr>
            <w:r w:rsidRPr="007C0D91">
              <w:rPr>
                <w:rFonts w:ascii="Arial Narrow" w:hAnsi="Arial Narrow"/>
                <w:b/>
                <w:sz w:val="20"/>
                <w:szCs w:val="20"/>
              </w:rPr>
              <w:t xml:space="preserve">Concept ID </w:t>
            </w:r>
          </w:p>
        </w:tc>
        <w:tc>
          <w:tcPr>
            <w:tcW w:w="4454" w:type="pct"/>
            <w:gridSpan w:val="6"/>
            <w:tcBorders>
              <w:top w:val="single" w:sz="4" w:space="0" w:color="auto"/>
              <w:left w:val="single" w:sz="4" w:space="0" w:color="auto"/>
              <w:bottom w:val="single" w:sz="4" w:space="0" w:color="auto"/>
              <w:right w:val="single" w:sz="4" w:space="0" w:color="auto"/>
            </w:tcBorders>
          </w:tcPr>
          <w:p w14:paraId="336FE5F7" w14:textId="77777777" w:rsidR="00203795" w:rsidRPr="007C0D91" w:rsidRDefault="00203795" w:rsidP="00935286">
            <w:pPr>
              <w:rPr>
                <w:rFonts w:ascii="Arial Narrow" w:hAnsi="Arial Narrow"/>
                <w:sz w:val="20"/>
                <w:szCs w:val="20"/>
              </w:rPr>
            </w:pPr>
            <w:r w:rsidRPr="007C0D91">
              <w:rPr>
                <w:rFonts w:ascii="Arial Narrow" w:hAnsi="Arial Narrow"/>
                <w:b/>
                <w:sz w:val="20"/>
                <w:szCs w:val="20"/>
              </w:rPr>
              <w:t xml:space="preserve">Category / Program:   </w:t>
            </w:r>
          </w:p>
          <w:p w14:paraId="66D61576" w14:textId="77777777" w:rsidR="00203795" w:rsidRPr="007C0D91" w:rsidRDefault="00203795" w:rsidP="00935286">
            <w:pPr>
              <w:rPr>
                <w:rFonts w:ascii="Arial Narrow" w:hAnsi="Arial Narrow"/>
                <w:sz w:val="20"/>
                <w:szCs w:val="20"/>
              </w:rPr>
            </w:pPr>
            <w:r w:rsidRPr="007C0D91">
              <w:rPr>
                <w:rFonts w:ascii="Arial Narrow" w:hAnsi="Arial Narrow"/>
                <w:sz w:val="20"/>
                <w:szCs w:val="20"/>
              </w:rPr>
              <w:t>GENERAL – General Schedule (Code GE)</w:t>
            </w:r>
          </w:p>
        </w:tc>
      </w:tr>
      <w:tr w:rsidR="00203795" w:rsidRPr="007C0D91" w14:paraId="620057D7" w14:textId="77777777" w:rsidTr="00203795">
        <w:tblPrEx>
          <w:tblCellMar>
            <w:top w:w="15" w:type="dxa"/>
            <w:left w:w="15" w:type="dxa"/>
            <w:bottom w:w="15" w:type="dxa"/>
            <w:right w:w="15" w:type="dxa"/>
          </w:tblCellMar>
          <w:tblLook w:val="04A0" w:firstRow="1" w:lastRow="0" w:firstColumn="1" w:lastColumn="0" w:noHBand="0" w:noVBand="1"/>
        </w:tblPrEx>
        <w:trPr>
          <w:trHeight w:val="240"/>
        </w:trPr>
        <w:tc>
          <w:tcPr>
            <w:tcW w:w="546" w:type="pct"/>
            <w:vMerge/>
            <w:tcBorders>
              <w:left w:val="single" w:sz="4" w:space="0" w:color="auto"/>
              <w:right w:val="single" w:sz="4" w:space="0" w:color="auto"/>
            </w:tcBorders>
          </w:tcPr>
          <w:p w14:paraId="76E3D572" w14:textId="77777777" w:rsidR="00203795" w:rsidRPr="007C0D91" w:rsidRDefault="00203795" w:rsidP="00935286">
            <w:pPr>
              <w:rPr>
                <w:rFonts w:ascii="Arial Narrow" w:hAnsi="Arial Narrow"/>
                <w:sz w:val="20"/>
                <w:szCs w:val="20"/>
              </w:rPr>
            </w:pPr>
          </w:p>
        </w:tc>
        <w:tc>
          <w:tcPr>
            <w:tcW w:w="4454" w:type="pct"/>
            <w:gridSpan w:val="6"/>
            <w:tcBorders>
              <w:top w:val="single" w:sz="4" w:space="0" w:color="auto"/>
              <w:left w:val="single" w:sz="4" w:space="0" w:color="auto"/>
              <w:bottom w:val="single" w:sz="4" w:space="0" w:color="auto"/>
              <w:right w:val="single" w:sz="4" w:space="0" w:color="auto"/>
            </w:tcBorders>
          </w:tcPr>
          <w:p w14:paraId="1D80671C" w14:textId="77777777" w:rsidR="00203795" w:rsidRPr="007C0D91" w:rsidRDefault="00203795" w:rsidP="00935286">
            <w:pPr>
              <w:rPr>
                <w:rFonts w:ascii="Arial Narrow" w:hAnsi="Arial Narrow"/>
                <w:b/>
                <w:sz w:val="20"/>
                <w:szCs w:val="20"/>
              </w:rPr>
            </w:pPr>
            <w:r w:rsidRPr="007C0D91">
              <w:rPr>
                <w:rFonts w:ascii="Arial Narrow" w:hAnsi="Arial Narrow"/>
                <w:b/>
                <w:sz w:val="20"/>
                <w:szCs w:val="20"/>
              </w:rPr>
              <w:t xml:space="preserve">Prescriber type: </w:t>
            </w:r>
            <w:r w:rsidRPr="007C0D91">
              <w:rPr>
                <w:rFonts w:ascii="Arial Narrow" w:hAnsi="Arial Narrow"/>
                <w:sz w:val="20"/>
                <w:szCs w:val="20"/>
              </w:rPr>
              <w:fldChar w:fldCharType="begin">
                <w:ffData>
                  <w:name w:val=""/>
                  <w:enabled/>
                  <w:calcOnExit w:val="0"/>
                  <w:checkBox>
                    <w:sizeAuto/>
                    <w:default w:val="1"/>
                  </w:checkBox>
                </w:ffData>
              </w:fldChar>
            </w:r>
            <w:r w:rsidRPr="007C0D91">
              <w:rPr>
                <w:rFonts w:ascii="Arial Narrow" w:hAnsi="Arial Narrow"/>
                <w:sz w:val="20"/>
                <w:szCs w:val="20"/>
              </w:rPr>
              <w:instrText xml:space="preserve"> FORMCHECKBOX </w:instrText>
            </w:r>
            <w:r w:rsidR="00F36295">
              <w:rPr>
                <w:rFonts w:ascii="Arial Narrow" w:hAnsi="Arial Narrow"/>
                <w:sz w:val="20"/>
                <w:szCs w:val="20"/>
              </w:rPr>
            </w:r>
            <w:r w:rsidR="00F36295">
              <w:rPr>
                <w:rFonts w:ascii="Arial Narrow" w:hAnsi="Arial Narrow"/>
                <w:sz w:val="20"/>
                <w:szCs w:val="20"/>
              </w:rPr>
              <w:fldChar w:fldCharType="separate"/>
            </w:r>
            <w:r w:rsidRPr="007C0D91">
              <w:rPr>
                <w:rFonts w:ascii="Arial Narrow" w:hAnsi="Arial Narrow"/>
                <w:sz w:val="20"/>
                <w:szCs w:val="20"/>
              </w:rPr>
              <w:fldChar w:fldCharType="end"/>
            </w:r>
            <w:r w:rsidRPr="007C0D91">
              <w:rPr>
                <w:rFonts w:ascii="Arial Narrow" w:hAnsi="Arial Narrow"/>
                <w:sz w:val="20"/>
                <w:szCs w:val="20"/>
              </w:rPr>
              <w:t xml:space="preserve">Medical Practitioners </w:t>
            </w:r>
          </w:p>
        </w:tc>
      </w:tr>
      <w:tr w:rsidR="00203795" w:rsidRPr="007C0D91" w14:paraId="3719B3A5" w14:textId="77777777" w:rsidTr="00203795">
        <w:tblPrEx>
          <w:tblCellMar>
            <w:top w:w="15" w:type="dxa"/>
            <w:left w:w="15" w:type="dxa"/>
            <w:bottom w:w="15" w:type="dxa"/>
            <w:right w:w="15" w:type="dxa"/>
          </w:tblCellMar>
          <w:tblLook w:val="04A0" w:firstRow="1" w:lastRow="0" w:firstColumn="1" w:lastColumn="0" w:noHBand="0" w:noVBand="1"/>
        </w:tblPrEx>
        <w:tc>
          <w:tcPr>
            <w:tcW w:w="546" w:type="pct"/>
            <w:vMerge/>
            <w:tcBorders>
              <w:left w:val="single" w:sz="4" w:space="0" w:color="auto"/>
              <w:bottom w:val="single" w:sz="4" w:space="0" w:color="auto"/>
              <w:right w:val="single" w:sz="4" w:space="0" w:color="auto"/>
            </w:tcBorders>
          </w:tcPr>
          <w:p w14:paraId="4236B590" w14:textId="77777777" w:rsidR="00203795" w:rsidRPr="007C0D91" w:rsidRDefault="00203795" w:rsidP="00935286">
            <w:pPr>
              <w:rPr>
                <w:rFonts w:ascii="Arial Narrow" w:hAnsi="Arial Narrow"/>
                <w:sz w:val="20"/>
                <w:szCs w:val="20"/>
              </w:rPr>
            </w:pPr>
          </w:p>
        </w:tc>
        <w:tc>
          <w:tcPr>
            <w:tcW w:w="4454" w:type="pct"/>
            <w:gridSpan w:val="6"/>
            <w:tcBorders>
              <w:top w:val="single" w:sz="4" w:space="0" w:color="auto"/>
              <w:left w:val="single" w:sz="4" w:space="0" w:color="auto"/>
              <w:bottom w:val="single" w:sz="4" w:space="0" w:color="auto"/>
              <w:right w:val="single" w:sz="4" w:space="0" w:color="auto"/>
            </w:tcBorders>
          </w:tcPr>
          <w:p w14:paraId="47E022B7" w14:textId="77777777" w:rsidR="00203795" w:rsidRPr="007C0D91" w:rsidRDefault="00203795" w:rsidP="00935286">
            <w:pPr>
              <w:rPr>
                <w:rFonts w:ascii="Arial Narrow" w:hAnsi="Arial Narrow"/>
                <w:b/>
                <w:sz w:val="20"/>
                <w:szCs w:val="20"/>
              </w:rPr>
            </w:pPr>
            <w:r w:rsidRPr="007C0D91">
              <w:rPr>
                <w:rFonts w:ascii="Arial Narrow" w:hAnsi="Arial Narrow"/>
                <w:b/>
                <w:sz w:val="20"/>
                <w:szCs w:val="20"/>
              </w:rPr>
              <w:t>Restriction Type</w:t>
            </w:r>
          </w:p>
          <w:p w14:paraId="7CA0924E" w14:textId="77777777" w:rsidR="00203795" w:rsidRPr="007C0D91" w:rsidRDefault="00203795" w:rsidP="00935286">
            <w:pPr>
              <w:rPr>
                <w:rFonts w:ascii="Arial Narrow" w:eastAsia="Calibri" w:hAnsi="Arial Narrow"/>
                <w:sz w:val="20"/>
                <w:szCs w:val="20"/>
              </w:rPr>
            </w:pPr>
            <w:r w:rsidRPr="007C0D91">
              <w:rPr>
                <w:rFonts w:ascii="Arial Narrow" w:eastAsia="Calibri" w:hAnsi="Arial Narrow"/>
                <w:sz w:val="20"/>
                <w:szCs w:val="20"/>
              </w:rPr>
              <w:fldChar w:fldCharType="begin">
                <w:ffData>
                  <w:name w:val="Check3"/>
                  <w:enabled/>
                  <w:calcOnExit w:val="0"/>
                  <w:checkBox>
                    <w:sizeAuto/>
                    <w:default w:val="1"/>
                  </w:checkBox>
                </w:ffData>
              </w:fldChar>
            </w:r>
            <w:r w:rsidRPr="007C0D91">
              <w:rPr>
                <w:rFonts w:ascii="Arial Narrow" w:eastAsia="Calibri" w:hAnsi="Arial Narrow"/>
                <w:sz w:val="20"/>
                <w:szCs w:val="20"/>
              </w:rPr>
              <w:instrText xml:space="preserve"> FORMCHECKBOX </w:instrText>
            </w:r>
            <w:r w:rsidR="00F36295">
              <w:rPr>
                <w:rFonts w:ascii="Arial Narrow" w:eastAsia="Calibri" w:hAnsi="Arial Narrow"/>
                <w:sz w:val="20"/>
                <w:szCs w:val="20"/>
              </w:rPr>
            </w:r>
            <w:r w:rsidR="00F36295">
              <w:rPr>
                <w:rFonts w:ascii="Arial Narrow" w:eastAsia="Calibri" w:hAnsi="Arial Narrow"/>
                <w:sz w:val="20"/>
                <w:szCs w:val="20"/>
              </w:rPr>
              <w:fldChar w:fldCharType="separate"/>
            </w:r>
            <w:r w:rsidRPr="007C0D91">
              <w:rPr>
                <w:rFonts w:ascii="Arial Narrow" w:eastAsia="Calibri" w:hAnsi="Arial Narrow"/>
                <w:sz w:val="20"/>
                <w:szCs w:val="20"/>
              </w:rPr>
              <w:fldChar w:fldCharType="end"/>
            </w:r>
            <w:r w:rsidRPr="007C0D91">
              <w:rPr>
                <w:rFonts w:ascii="Arial Narrow" w:eastAsia="Calibri" w:hAnsi="Arial Narrow"/>
                <w:sz w:val="20"/>
                <w:szCs w:val="20"/>
              </w:rPr>
              <w:t>Authority Required – immediate/real time assessment by Services Australia (telephone/online application avenues)</w:t>
            </w:r>
          </w:p>
        </w:tc>
      </w:tr>
      <w:tr w:rsidR="00203795" w:rsidRPr="007C0D91" w14:paraId="7A0147AE"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700D9DC6" w14:textId="0FC74DCA"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556AB727"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 xml:space="preserve">Administrative Advice: </w:t>
            </w:r>
            <w:r w:rsidRPr="007C0D91">
              <w:rPr>
                <w:rFonts w:ascii="Arial Narrow" w:hAnsi="Arial Narrow"/>
                <w:color w:val="333333"/>
                <w:sz w:val="20"/>
                <w:szCs w:val="20"/>
              </w:rPr>
              <w:t xml:space="preserve">No increase in the maximum quantity or number of units may be authorised. </w:t>
            </w:r>
          </w:p>
        </w:tc>
      </w:tr>
      <w:tr w:rsidR="00203795" w:rsidRPr="007C0D91" w14:paraId="6A27F490"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1E27C95C" w14:textId="6C000676"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77649EAB"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 xml:space="preserve">Administrative Advice: </w:t>
            </w:r>
            <w:r w:rsidRPr="007C0D91">
              <w:rPr>
                <w:rFonts w:ascii="Arial Narrow" w:hAnsi="Arial Narrow"/>
                <w:color w:val="333333"/>
                <w:sz w:val="20"/>
                <w:szCs w:val="20"/>
              </w:rPr>
              <w:t>No increase in the maximum number of repeats may be authorised.</w:t>
            </w:r>
          </w:p>
        </w:tc>
      </w:tr>
      <w:tr w:rsidR="00203795" w:rsidRPr="007C0D91" w14:paraId="1735C6F3"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19DE2EA0" w14:textId="5804D30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7BAF82B1"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Indication:</w:t>
            </w:r>
            <w:r w:rsidRPr="007C0D91">
              <w:rPr>
                <w:rFonts w:ascii="Arial Narrow" w:hAnsi="Arial Narrow"/>
                <w:bCs/>
                <w:color w:val="333333"/>
                <w:sz w:val="20"/>
                <w:szCs w:val="20"/>
              </w:rPr>
              <w:t xml:space="preserve"> Stage IIIB or IIIC (locally advanced) or IV (metastatic) non-small cell lung cancer (NSCLC)</w:t>
            </w:r>
          </w:p>
        </w:tc>
      </w:tr>
      <w:tr w:rsidR="00203795" w:rsidRPr="007C0D91" w14:paraId="08DB2174"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051E1B7E"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6F1161A0"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Treatment Phase:</w:t>
            </w:r>
            <w:r w:rsidRPr="007C0D91">
              <w:rPr>
                <w:rFonts w:ascii="Arial Narrow" w:hAnsi="Arial Narrow"/>
                <w:color w:val="333333"/>
                <w:sz w:val="20"/>
                <w:szCs w:val="20"/>
              </w:rPr>
              <w:t xml:space="preserve"> Initial PBS-subsidised treatment</w:t>
            </w:r>
          </w:p>
        </w:tc>
      </w:tr>
      <w:tr w:rsidR="00203795" w:rsidRPr="007C0D91" w14:paraId="7B25DEEC"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599F0906" w14:textId="4C209E9D" w:rsidR="00203795" w:rsidRPr="007C0D91" w:rsidRDefault="00203795" w:rsidP="00935286">
            <w:pPr>
              <w:jc w:val="center"/>
              <w:rPr>
                <w:rFonts w:ascii="Arial Narrow" w:hAnsi="Arial Narrow"/>
                <w:i/>
                <w:iCs/>
                <w:color w:val="333333"/>
                <w:sz w:val="20"/>
                <w:szCs w:val="20"/>
              </w:rPr>
            </w:pPr>
          </w:p>
        </w:tc>
        <w:tc>
          <w:tcPr>
            <w:tcW w:w="4454" w:type="pct"/>
            <w:gridSpan w:val="6"/>
            <w:vAlign w:val="center"/>
            <w:hideMark/>
          </w:tcPr>
          <w:p w14:paraId="452A19A0"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Clinical criteria</w:t>
            </w:r>
          </w:p>
        </w:tc>
      </w:tr>
      <w:tr w:rsidR="00203795" w:rsidRPr="007C0D91" w14:paraId="398EC554"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76E5EEBB" w14:textId="1A71DC88" w:rsidR="00203795" w:rsidRPr="007C0D91" w:rsidRDefault="00203795" w:rsidP="00935286">
            <w:pPr>
              <w:jc w:val="center"/>
              <w:rPr>
                <w:rFonts w:ascii="Arial Narrow" w:hAnsi="Arial Narrow"/>
                <w:i/>
                <w:iCs/>
                <w:color w:val="333333"/>
                <w:sz w:val="20"/>
                <w:szCs w:val="20"/>
              </w:rPr>
            </w:pPr>
          </w:p>
        </w:tc>
        <w:tc>
          <w:tcPr>
            <w:tcW w:w="4454" w:type="pct"/>
            <w:gridSpan w:val="6"/>
            <w:vAlign w:val="center"/>
          </w:tcPr>
          <w:p w14:paraId="6E046475" w14:textId="77777777"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The treatment must be the sole PBS-subsidised therapy for this condition</w:t>
            </w:r>
          </w:p>
        </w:tc>
      </w:tr>
      <w:tr w:rsidR="00203795" w:rsidRPr="007C0D91" w14:paraId="60D89DC3"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353505DA"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4E2E49F8"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AND</w:t>
            </w:r>
          </w:p>
        </w:tc>
      </w:tr>
      <w:tr w:rsidR="00203795" w:rsidRPr="007C0D91" w14:paraId="0B3EB8B7" w14:textId="77777777" w:rsidTr="00203795">
        <w:tblPrEx>
          <w:tblCellMar>
            <w:top w:w="15" w:type="dxa"/>
            <w:left w:w="15" w:type="dxa"/>
            <w:bottom w:w="15" w:type="dxa"/>
            <w:right w:w="15" w:type="dxa"/>
          </w:tblCellMar>
          <w:tblLook w:val="04A0" w:firstRow="1" w:lastRow="0" w:firstColumn="1" w:lastColumn="0" w:noHBand="0" w:noVBand="1"/>
        </w:tblPrEx>
        <w:tc>
          <w:tcPr>
            <w:tcW w:w="546" w:type="pct"/>
          </w:tcPr>
          <w:p w14:paraId="7129268A" w14:textId="1D260BAD"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52B88121"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Clinical criteria</w:t>
            </w:r>
          </w:p>
        </w:tc>
      </w:tr>
      <w:tr w:rsidR="00203795" w:rsidRPr="007C0D91" w14:paraId="543A92BA" w14:textId="77777777" w:rsidTr="00203795">
        <w:tblPrEx>
          <w:tblCellMar>
            <w:top w:w="15" w:type="dxa"/>
            <w:left w:w="15" w:type="dxa"/>
            <w:bottom w:w="15" w:type="dxa"/>
            <w:right w:w="15" w:type="dxa"/>
          </w:tblCellMar>
          <w:tblLook w:val="04A0" w:firstRow="1" w:lastRow="0" w:firstColumn="1" w:lastColumn="0" w:noHBand="0" w:noVBand="1"/>
        </w:tblPrEx>
        <w:tc>
          <w:tcPr>
            <w:tcW w:w="546" w:type="pct"/>
          </w:tcPr>
          <w:p w14:paraId="00410346"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59275025" w14:textId="77777777" w:rsidR="00203795" w:rsidRPr="007C0D91" w:rsidRDefault="00203795" w:rsidP="00935286">
            <w:pPr>
              <w:rPr>
                <w:rFonts w:ascii="Arial Narrow" w:hAnsi="Arial Narrow"/>
                <w:strike/>
                <w:color w:val="333333"/>
                <w:sz w:val="20"/>
                <w:szCs w:val="20"/>
              </w:rPr>
            </w:pPr>
            <w:r w:rsidRPr="007C0D91">
              <w:rPr>
                <w:rFonts w:ascii="Arial Narrow" w:hAnsi="Arial Narrow"/>
                <w:color w:val="333333"/>
                <w:sz w:val="20"/>
                <w:szCs w:val="20"/>
              </w:rPr>
              <w:t xml:space="preserve">Patient must have/have had a WHO performance status of 2 or less prior to initiation of treatment with this drug for this condition </w:t>
            </w:r>
          </w:p>
        </w:tc>
      </w:tr>
      <w:tr w:rsidR="00203795" w:rsidRPr="007C0D91" w14:paraId="764050B3"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661BD863"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5549409B"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AND</w:t>
            </w:r>
          </w:p>
        </w:tc>
      </w:tr>
      <w:tr w:rsidR="00203795" w:rsidRPr="007C0D91" w14:paraId="72C82703"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1C64CD6E" w14:textId="579A9D26"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6229A5BD"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Clinical criteria</w:t>
            </w:r>
          </w:p>
        </w:tc>
      </w:tr>
      <w:tr w:rsidR="00203795" w:rsidRPr="007C0D91" w14:paraId="5E8078B8"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038D98C0" w14:textId="618BA893"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6A29BE90" w14:textId="77777777"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Patient must not have previously received this drug for this condition; OR</w:t>
            </w:r>
          </w:p>
        </w:tc>
      </w:tr>
      <w:tr w:rsidR="00203795" w:rsidRPr="007C0D91" w14:paraId="62C214BB"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01A425F4" w14:textId="45CEED36"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1150C5D4" w14:textId="77777777"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 xml:space="preserve">Patient must be each of: (i) currently receiving non-PBS subsidised supply for this drug for this PBS indication, (ii) untreated with this drug at the time that non-PBS subsidised supply was commenced, (iii) free of disease progression since commencing non-PBS subsidised supply </w:t>
            </w:r>
          </w:p>
        </w:tc>
      </w:tr>
      <w:tr w:rsidR="00203795" w:rsidRPr="007C0D91" w14:paraId="2429E7C2"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4AA2308C"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4B2D4E83"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AND</w:t>
            </w:r>
          </w:p>
        </w:tc>
      </w:tr>
      <w:tr w:rsidR="00203795" w:rsidRPr="007C0D91" w14:paraId="3DE53034"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3A042D78" w14:textId="2E6F1A58"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4D512AD6"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Clinical criteria</w:t>
            </w:r>
          </w:p>
        </w:tc>
      </w:tr>
      <w:tr w:rsidR="00203795" w:rsidRPr="007C0D91" w14:paraId="18817E9C"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1C771A47" w14:textId="775260C1"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2037D20A" w14:textId="0E74A81B"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Patient must have</w:t>
            </w:r>
            <w:r w:rsidR="00237D0D" w:rsidRPr="007C0D91">
              <w:rPr>
                <w:rFonts w:ascii="Arial Narrow" w:hAnsi="Arial Narrow"/>
                <w:color w:val="333333"/>
                <w:sz w:val="20"/>
                <w:szCs w:val="20"/>
              </w:rPr>
              <w:t>/have</w:t>
            </w:r>
            <w:r w:rsidRPr="007C0D91">
              <w:rPr>
                <w:rFonts w:ascii="Arial Narrow" w:hAnsi="Arial Narrow"/>
                <w:color w:val="333333"/>
                <w:sz w:val="20"/>
                <w:szCs w:val="20"/>
              </w:rPr>
              <w:t xml:space="preserve"> had progressive disease following platinum-based chemotherapy</w:t>
            </w:r>
          </w:p>
        </w:tc>
      </w:tr>
      <w:tr w:rsidR="00203795" w:rsidRPr="007C0D91" w14:paraId="2A7CD134"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3AE2EA42" w14:textId="77777777" w:rsidR="00203795" w:rsidRPr="007C0D91" w:rsidRDefault="00203795" w:rsidP="00935286">
            <w:pPr>
              <w:jc w:val="center"/>
              <w:rPr>
                <w:rFonts w:ascii="Arial Narrow" w:hAnsi="Arial Narrow"/>
                <w:color w:val="333333"/>
                <w:sz w:val="20"/>
                <w:szCs w:val="20"/>
              </w:rPr>
            </w:pPr>
            <w:bookmarkStart w:id="101" w:name="_Hlk140578158"/>
          </w:p>
        </w:tc>
        <w:tc>
          <w:tcPr>
            <w:tcW w:w="4454" w:type="pct"/>
            <w:gridSpan w:val="6"/>
            <w:vAlign w:val="center"/>
            <w:hideMark/>
          </w:tcPr>
          <w:p w14:paraId="2E41B9AC"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AND</w:t>
            </w:r>
          </w:p>
        </w:tc>
      </w:tr>
      <w:tr w:rsidR="00203795" w:rsidRPr="007C0D91" w14:paraId="334A0312"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117289F1" w14:textId="2E56D48F"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7222920D"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Clinical criteria</w:t>
            </w:r>
          </w:p>
        </w:tc>
      </w:tr>
      <w:tr w:rsidR="00203795" w:rsidRPr="007C0D91" w14:paraId="34476EBF"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3964973E" w14:textId="542542F2"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630AE6DC" w14:textId="3D318EF4"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Patient must have evidence in tumour material of an activating epidermal growth factor receptor (</w:t>
            </w:r>
            <w:r w:rsidR="00FB0DBF" w:rsidRPr="00FB0DBF">
              <w:rPr>
                <w:rFonts w:ascii="Arial Narrow" w:hAnsi="Arial Narrow"/>
                <w:i/>
                <w:color w:val="333333"/>
                <w:sz w:val="20"/>
                <w:szCs w:val="20"/>
              </w:rPr>
              <w:t>EGFR</w:t>
            </w:r>
            <w:r w:rsidRPr="007C0D91">
              <w:rPr>
                <w:rFonts w:ascii="Arial Narrow" w:hAnsi="Arial Narrow"/>
                <w:color w:val="333333"/>
                <w:sz w:val="20"/>
                <w:szCs w:val="20"/>
              </w:rPr>
              <w:t>) exon 20 insertion mutation</w:t>
            </w:r>
          </w:p>
        </w:tc>
      </w:tr>
      <w:bookmarkEnd w:id="101"/>
      <w:tr w:rsidR="00203795" w:rsidRPr="007C0D91" w14:paraId="55A933B2"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337073A6"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7C116E1C"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 xml:space="preserve">Administrative Advice: </w:t>
            </w:r>
            <w:r w:rsidRPr="007C0D91">
              <w:rPr>
                <w:rFonts w:ascii="Arial Narrow" w:hAnsi="Arial Narrow"/>
                <w:color w:val="333333"/>
                <w:sz w:val="20"/>
                <w:szCs w:val="20"/>
              </w:rPr>
              <w:t>A patient may only qualify for PBS-subsidised treatment under this restriction once.</w:t>
            </w:r>
          </w:p>
          <w:p w14:paraId="43BA1AF6" w14:textId="77777777"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Following completion of the initial PBS-subsidised course, further applications for treatment will be assessed under the continuing treatment restriction.</w:t>
            </w:r>
          </w:p>
        </w:tc>
      </w:tr>
      <w:tr w:rsidR="00203795" w:rsidRPr="007C0D91" w14:paraId="6B174E05"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573115D2" w14:textId="14622F13"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111EF12F"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 xml:space="preserve">Administrative Advice: </w:t>
            </w:r>
            <w:r w:rsidRPr="007C0D91">
              <w:rPr>
                <w:rFonts w:ascii="Arial Narrow" w:hAnsi="Arial Narrow"/>
                <w:color w:val="333333"/>
                <w:sz w:val="20"/>
                <w:szCs w:val="20"/>
              </w:rPr>
              <w:t>Special Pricing Arrangements apply.</w:t>
            </w:r>
          </w:p>
        </w:tc>
      </w:tr>
      <w:tr w:rsidR="00203795" w:rsidRPr="007C0D91" w14:paraId="6EB813FD" w14:textId="77777777" w:rsidTr="00203795">
        <w:tblPrEx>
          <w:tblCellMar>
            <w:top w:w="15" w:type="dxa"/>
            <w:left w:w="15" w:type="dxa"/>
            <w:bottom w:w="15" w:type="dxa"/>
            <w:right w:w="15" w:type="dxa"/>
          </w:tblCellMar>
          <w:tblLook w:val="04A0" w:firstRow="1" w:lastRow="0" w:firstColumn="1" w:lastColumn="0" w:noHBand="0" w:noVBand="1"/>
        </w:tblPrEx>
        <w:tc>
          <w:tcPr>
            <w:tcW w:w="546" w:type="pct"/>
            <w:vAlign w:val="center"/>
          </w:tcPr>
          <w:p w14:paraId="78190DA0" w14:textId="15B4A00E" w:rsidR="00203795" w:rsidRPr="007C0D91" w:rsidRDefault="00203795" w:rsidP="00935286">
            <w:pPr>
              <w:jc w:val="center"/>
              <w:rPr>
                <w:rFonts w:ascii="Arial Narrow" w:hAnsi="Arial Narrow"/>
                <w:bCs/>
                <w:sz w:val="20"/>
                <w:szCs w:val="20"/>
              </w:rPr>
            </w:pPr>
          </w:p>
        </w:tc>
        <w:tc>
          <w:tcPr>
            <w:tcW w:w="4454" w:type="pct"/>
            <w:gridSpan w:val="6"/>
            <w:vAlign w:val="center"/>
          </w:tcPr>
          <w:p w14:paraId="742C9E0B"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sz w:val="20"/>
                <w:szCs w:val="20"/>
              </w:rPr>
              <w:t xml:space="preserve">Administrative Advice: </w:t>
            </w:r>
            <w:r w:rsidRPr="007C0D91">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1620E" w:rsidRPr="007C0D91" w14:paraId="538FC5C0" w14:textId="77777777" w:rsidTr="0061620E">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4114BC7C" w14:textId="71E09297" w:rsidR="0061620E" w:rsidRPr="007C0D91" w:rsidRDefault="0061620E" w:rsidP="00935286">
            <w:pPr>
              <w:rPr>
                <w:rFonts w:ascii="Arial Narrow" w:hAnsi="Arial Narrow"/>
                <w:b/>
                <w:bCs/>
                <w:sz w:val="20"/>
                <w:szCs w:val="20"/>
              </w:rPr>
            </w:pPr>
          </w:p>
        </w:tc>
      </w:tr>
      <w:tr w:rsidR="00203795" w:rsidRPr="007C0D91" w14:paraId="37D70A10" w14:textId="77777777" w:rsidTr="0061620E">
        <w:tblPrEx>
          <w:tblCellMar>
            <w:top w:w="15" w:type="dxa"/>
            <w:left w:w="15" w:type="dxa"/>
            <w:bottom w:w="15" w:type="dxa"/>
            <w:right w:w="15" w:type="dxa"/>
          </w:tblCellMar>
          <w:tblLook w:val="04A0" w:firstRow="1" w:lastRow="0" w:firstColumn="1" w:lastColumn="0" w:noHBand="0" w:noVBand="1"/>
        </w:tblPrEx>
        <w:tc>
          <w:tcPr>
            <w:tcW w:w="546" w:type="pct"/>
            <w:vMerge w:val="restart"/>
            <w:tcBorders>
              <w:top w:val="single" w:sz="4" w:space="0" w:color="auto"/>
              <w:left w:val="single" w:sz="4" w:space="0" w:color="auto"/>
              <w:right w:val="single" w:sz="4" w:space="0" w:color="auto"/>
            </w:tcBorders>
          </w:tcPr>
          <w:p w14:paraId="0B02AC7F" w14:textId="4D6CFCBF" w:rsidR="00203795" w:rsidRPr="007C0D91" w:rsidRDefault="00203795" w:rsidP="00935286">
            <w:pPr>
              <w:jc w:val="center"/>
              <w:rPr>
                <w:rFonts w:ascii="Arial Narrow" w:hAnsi="Arial Narrow"/>
                <w:b/>
                <w:sz w:val="20"/>
                <w:szCs w:val="20"/>
              </w:rPr>
            </w:pPr>
          </w:p>
        </w:tc>
        <w:tc>
          <w:tcPr>
            <w:tcW w:w="4454" w:type="pct"/>
            <w:gridSpan w:val="6"/>
            <w:tcBorders>
              <w:top w:val="single" w:sz="4" w:space="0" w:color="auto"/>
              <w:left w:val="single" w:sz="4" w:space="0" w:color="auto"/>
              <w:bottom w:val="single" w:sz="4" w:space="0" w:color="auto"/>
              <w:right w:val="single" w:sz="4" w:space="0" w:color="auto"/>
            </w:tcBorders>
          </w:tcPr>
          <w:p w14:paraId="00A02F73" w14:textId="77777777" w:rsidR="00203795" w:rsidRPr="007C0D91" w:rsidRDefault="00203795" w:rsidP="00935286">
            <w:pPr>
              <w:rPr>
                <w:rFonts w:ascii="Arial Narrow" w:hAnsi="Arial Narrow"/>
                <w:sz w:val="20"/>
                <w:szCs w:val="20"/>
              </w:rPr>
            </w:pPr>
            <w:r w:rsidRPr="007C0D91">
              <w:rPr>
                <w:rFonts w:ascii="Arial Narrow" w:hAnsi="Arial Narrow"/>
                <w:b/>
                <w:sz w:val="20"/>
                <w:szCs w:val="20"/>
              </w:rPr>
              <w:t xml:space="preserve">Category / Program:   </w:t>
            </w:r>
          </w:p>
          <w:p w14:paraId="1C4901CE" w14:textId="77777777" w:rsidR="00203795" w:rsidRPr="007C0D91" w:rsidRDefault="00203795" w:rsidP="00935286">
            <w:pPr>
              <w:rPr>
                <w:rFonts w:ascii="Arial Narrow" w:hAnsi="Arial Narrow"/>
                <w:sz w:val="20"/>
                <w:szCs w:val="20"/>
              </w:rPr>
            </w:pPr>
            <w:r w:rsidRPr="007C0D91">
              <w:rPr>
                <w:rFonts w:ascii="Arial Narrow" w:hAnsi="Arial Narrow"/>
                <w:sz w:val="20"/>
                <w:szCs w:val="20"/>
              </w:rPr>
              <w:t>GENERAL – General Schedule (Code GE)</w:t>
            </w:r>
          </w:p>
        </w:tc>
      </w:tr>
      <w:tr w:rsidR="00203795" w:rsidRPr="007C0D91" w14:paraId="0FEC2EB5" w14:textId="77777777" w:rsidTr="0061620E">
        <w:tblPrEx>
          <w:tblCellMar>
            <w:top w:w="15" w:type="dxa"/>
            <w:left w:w="15" w:type="dxa"/>
            <w:bottom w:w="15" w:type="dxa"/>
            <w:right w:w="15" w:type="dxa"/>
          </w:tblCellMar>
          <w:tblLook w:val="04A0" w:firstRow="1" w:lastRow="0" w:firstColumn="1" w:lastColumn="0" w:noHBand="0" w:noVBand="1"/>
        </w:tblPrEx>
        <w:trPr>
          <w:trHeight w:val="240"/>
        </w:trPr>
        <w:tc>
          <w:tcPr>
            <w:tcW w:w="546" w:type="pct"/>
            <w:vMerge/>
            <w:tcBorders>
              <w:left w:val="single" w:sz="4" w:space="0" w:color="auto"/>
              <w:right w:val="single" w:sz="4" w:space="0" w:color="auto"/>
            </w:tcBorders>
          </w:tcPr>
          <w:p w14:paraId="4FA9DF11" w14:textId="77777777" w:rsidR="00203795" w:rsidRPr="007C0D91" w:rsidRDefault="00203795" w:rsidP="00935286">
            <w:pPr>
              <w:rPr>
                <w:rFonts w:ascii="Arial Narrow" w:hAnsi="Arial Narrow"/>
                <w:sz w:val="20"/>
                <w:szCs w:val="20"/>
              </w:rPr>
            </w:pPr>
          </w:p>
        </w:tc>
        <w:tc>
          <w:tcPr>
            <w:tcW w:w="4454" w:type="pct"/>
            <w:gridSpan w:val="6"/>
            <w:tcBorders>
              <w:top w:val="single" w:sz="4" w:space="0" w:color="auto"/>
              <w:left w:val="single" w:sz="4" w:space="0" w:color="auto"/>
              <w:bottom w:val="single" w:sz="4" w:space="0" w:color="auto"/>
              <w:right w:val="single" w:sz="4" w:space="0" w:color="auto"/>
            </w:tcBorders>
          </w:tcPr>
          <w:p w14:paraId="42DF69D7" w14:textId="77777777" w:rsidR="00203795" w:rsidRPr="007C0D91" w:rsidRDefault="00203795" w:rsidP="00935286">
            <w:pPr>
              <w:rPr>
                <w:rFonts w:ascii="Arial Narrow" w:hAnsi="Arial Narrow"/>
                <w:b/>
                <w:sz w:val="20"/>
                <w:szCs w:val="20"/>
              </w:rPr>
            </w:pPr>
            <w:r w:rsidRPr="007C0D91">
              <w:rPr>
                <w:rFonts w:ascii="Arial Narrow" w:hAnsi="Arial Narrow"/>
                <w:b/>
                <w:sz w:val="20"/>
                <w:szCs w:val="20"/>
              </w:rPr>
              <w:t xml:space="preserve">Prescriber type:   </w:t>
            </w:r>
            <w:r w:rsidRPr="007C0D91">
              <w:rPr>
                <w:rFonts w:ascii="Arial Narrow" w:hAnsi="Arial Narrow"/>
                <w:sz w:val="20"/>
                <w:szCs w:val="20"/>
              </w:rPr>
              <w:fldChar w:fldCharType="begin">
                <w:ffData>
                  <w:name w:val=""/>
                  <w:enabled/>
                  <w:calcOnExit w:val="0"/>
                  <w:checkBox>
                    <w:sizeAuto/>
                    <w:default w:val="1"/>
                  </w:checkBox>
                </w:ffData>
              </w:fldChar>
            </w:r>
            <w:r w:rsidRPr="007C0D91">
              <w:rPr>
                <w:rFonts w:ascii="Arial Narrow" w:hAnsi="Arial Narrow"/>
                <w:sz w:val="20"/>
                <w:szCs w:val="20"/>
              </w:rPr>
              <w:instrText xml:space="preserve"> FORMCHECKBOX </w:instrText>
            </w:r>
            <w:r w:rsidR="00F36295">
              <w:rPr>
                <w:rFonts w:ascii="Arial Narrow" w:hAnsi="Arial Narrow"/>
                <w:sz w:val="20"/>
                <w:szCs w:val="20"/>
              </w:rPr>
            </w:r>
            <w:r w:rsidR="00F36295">
              <w:rPr>
                <w:rFonts w:ascii="Arial Narrow" w:hAnsi="Arial Narrow"/>
                <w:sz w:val="20"/>
                <w:szCs w:val="20"/>
              </w:rPr>
              <w:fldChar w:fldCharType="separate"/>
            </w:r>
            <w:r w:rsidRPr="007C0D91">
              <w:rPr>
                <w:rFonts w:ascii="Arial Narrow" w:hAnsi="Arial Narrow"/>
                <w:sz w:val="20"/>
                <w:szCs w:val="20"/>
              </w:rPr>
              <w:fldChar w:fldCharType="end"/>
            </w:r>
            <w:r w:rsidRPr="007C0D91">
              <w:rPr>
                <w:rFonts w:ascii="Arial Narrow" w:hAnsi="Arial Narrow"/>
                <w:sz w:val="20"/>
                <w:szCs w:val="20"/>
              </w:rPr>
              <w:t xml:space="preserve">Medical Practitioners </w:t>
            </w:r>
          </w:p>
        </w:tc>
      </w:tr>
      <w:tr w:rsidR="00203795" w:rsidRPr="007C0D91" w14:paraId="586EDD8C" w14:textId="77777777" w:rsidTr="0061620E">
        <w:tblPrEx>
          <w:tblCellMar>
            <w:top w:w="15" w:type="dxa"/>
            <w:left w:w="15" w:type="dxa"/>
            <w:bottom w:w="15" w:type="dxa"/>
            <w:right w:w="15" w:type="dxa"/>
          </w:tblCellMar>
          <w:tblLook w:val="04A0" w:firstRow="1" w:lastRow="0" w:firstColumn="1" w:lastColumn="0" w:noHBand="0" w:noVBand="1"/>
        </w:tblPrEx>
        <w:tc>
          <w:tcPr>
            <w:tcW w:w="546" w:type="pct"/>
            <w:vMerge/>
            <w:tcBorders>
              <w:left w:val="single" w:sz="4" w:space="0" w:color="auto"/>
              <w:bottom w:val="single" w:sz="4" w:space="0" w:color="auto"/>
              <w:right w:val="single" w:sz="4" w:space="0" w:color="auto"/>
            </w:tcBorders>
          </w:tcPr>
          <w:p w14:paraId="72C881CF" w14:textId="77777777" w:rsidR="00203795" w:rsidRPr="007C0D91" w:rsidRDefault="00203795" w:rsidP="00935286">
            <w:pPr>
              <w:rPr>
                <w:rFonts w:ascii="Arial Narrow" w:hAnsi="Arial Narrow"/>
                <w:sz w:val="20"/>
                <w:szCs w:val="20"/>
              </w:rPr>
            </w:pPr>
          </w:p>
        </w:tc>
        <w:tc>
          <w:tcPr>
            <w:tcW w:w="4454" w:type="pct"/>
            <w:gridSpan w:val="6"/>
            <w:tcBorders>
              <w:top w:val="single" w:sz="4" w:space="0" w:color="auto"/>
              <w:left w:val="single" w:sz="4" w:space="0" w:color="auto"/>
              <w:bottom w:val="single" w:sz="4" w:space="0" w:color="auto"/>
              <w:right w:val="single" w:sz="4" w:space="0" w:color="auto"/>
            </w:tcBorders>
          </w:tcPr>
          <w:p w14:paraId="1128DAE9" w14:textId="77777777" w:rsidR="00203795" w:rsidRPr="007C0D91" w:rsidRDefault="00203795" w:rsidP="00935286">
            <w:pPr>
              <w:rPr>
                <w:rFonts w:ascii="Arial Narrow" w:hAnsi="Arial Narrow"/>
                <w:b/>
                <w:sz w:val="20"/>
                <w:szCs w:val="20"/>
              </w:rPr>
            </w:pPr>
            <w:r w:rsidRPr="007C0D91">
              <w:rPr>
                <w:rFonts w:ascii="Arial Narrow" w:hAnsi="Arial Narrow"/>
                <w:b/>
                <w:sz w:val="20"/>
                <w:szCs w:val="20"/>
              </w:rPr>
              <w:t>Restriction Type</w:t>
            </w:r>
          </w:p>
          <w:p w14:paraId="6762E818" w14:textId="77777777" w:rsidR="00203795" w:rsidRPr="007C0D91" w:rsidRDefault="00203795" w:rsidP="00935286">
            <w:pPr>
              <w:rPr>
                <w:rFonts w:ascii="Arial Narrow" w:eastAsia="Calibri" w:hAnsi="Arial Narrow"/>
                <w:sz w:val="20"/>
                <w:szCs w:val="20"/>
              </w:rPr>
            </w:pPr>
            <w:r w:rsidRPr="007C0D91">
              <w:rPr>
                <w:rFonts w:ascii="Arial Narrow" w:eastAsia="Calibri" w:hAnsi="Arial Narrow"/>
                <w:sz w:val="20"/>
                <w:szCs w:val="20"/>
              </w:rPr>
              <w:fldChar w:fldCharType="begin">
                <w:ffData>
                  <w:name w:val="Check3"/>
                  <w:enabled/>
                  <w:calcOnExit w:val="0"/>
                  <w:checkBox>
                    <w:sizeAuto/>
                    <w:default w:val="1"/>
                  </w:checkBox>
                </w:ffData>
              </w:fldChar>
            </w:r>
            <w:r w:rsidRPr="007C0D91">
              <w:rPr>
                <w:rFonts w:ascii="Arial Narrow" w:eastAsia="Calibri" w:hAnsi="Arial Narrow"/>
                <w:sz w:val="20"/>
                <w:szCs w:val="20"/>
              </w:rPr>
              <w:instrText xml:space="preserve"> FORMCHECKBOX </w:instrText>
            </w:r>
            <w:r w:rsidR="00F36295">
              <w:rPr>
                <w:rFonts w:ascii="Arial Narrow" w:eastAsia="Calibri" w:hAnsi="Arial Narrow"/>
                <w:sz w:val="20"/>
                <w:szCs w:val="20"/>
              </w:rPr>
            </w:r>
            <w:r w:rsidR="00F36295">
              <w:rPr>
                <w:rFonts w:ascii="Arial Narrow" w:eastAsia="Calibri" w:hAnsi="Arial Narrow"/>
                <w:sz w:val="20"/>
                <w:szCs w:val="20"/>
              </w:rPr>
              <w:fldChar w:fldCharType="separate"/>
            </w:r>
            <w:r w:rsidRPr="007C0D91">
              <w:rPr>
                <w:rFonts w:ascii="Arial Narrow" w:eastAsia="Calibri" w:hAnsi="Arial Narrow"/>
                <w:sz w:val="20"/>
                <w:szCs w:val="20"/>
              </w:rPr>
              <w:fldChar w:fldCharType="end"/>
            </w:r>
            <w:r w:rsidRPr="007C0D91">
              <w:rPr>
                <w:rFonts w:ascii="Arial Narrow" w:eastAsia="Calibri" w:hAnsi="Arial Narrow"/>
                <w:sz w:val="20"/>
                <w:szCs w:val="20"/>
              </w:rPr>
              <w:t>Authority Required – immediate/real time assessment by Services Australia (telephone/online application avenues)</w:t>
            </w:r>
          </w:p>
        </w:tc>
      </w:tr>
      <w:tr w:rsidR="00203795" w:rsidRPr="007C0D91" w14:paraId="0E29E717"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3036353A" w14:textId="6929060C"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2AA4C518"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 xml:space="preserve">Administrative Advice: </w:t>
            </w:r>
            <w:r w:rsidRPr="007C0D91">
              <w:rPr>
                <w:rFonts w:ascii="Arial Narrow" w:hAnsi="Arial Narrow"/>
                <w:color w:val="333333"/>
                <w:sz w:val="20"/>
                <w:szCs w:val="20"/>
              </w:rPr>
              <w:t xml:space="preserve">No increase in the maximum quantity or number of units may be authorised. </w:t>
            </w:r>
          </w:p>
        </w:tc>
      </w:tr>
      <w:tr w:rsidR="00203795" w:rsidRPr="007C0D91" w14:paraId="2D5CF86B"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789307C3" w14:textId="65D9F251"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3B9DBCB3"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 xml:space="preserve">Administrative Advice: </w:t>
            </w:r>
            <w:r w:rsidRPr="007C0D91">
              <w:rPr>
                <w:rFonts w:ascii="Arial Narrow" w:hAnsi="Arial Narrow"/>
                <w:color w:val="333333"/>
                <w:sz w:val="20"/>
                <w:szCs w:val="20"/>
              </w:rPr>
              <w:t>No increase in the maximum number of repeats may be authorised.</w:t>
            </w:r>
          </w:p>
        </w:tc>
      </w:tr>
      <w:tr w:rsidR="00203795" w:rsidRPr="007C0D91" w14:paraId="4E9BA6B8"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62B2EF18" w14:textId="75320635"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058B5DD7"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Indication:</w:t>
            </w:r>
            <w:r w:rsidRPr="007C0D91">
              <w:rPr>
                <w:rFonts w:ascii="Arial Narrow" w:hAnsi="Arial Narrow"/>
                <w:bCs/>
                <w:color w:val="333333"/>
                <w:sz w:val="20"/>
                <w:szCs w:val="20"/>
              </w:rPr>
              <w:t xml:space="preserve"> Stage IIIB or IIIC (locally advanced) or IV (metastatic) non-small cell lung cancer (NSCLC).</w:t>
            </w:r>
          </w:p>
        </w:tc>
      </w:tr>
      <w:tr w:rsidR="00203795" w:rsidRPr="007C0D91" w14:paraId="74F534FF"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4457C1BA"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75AFD116"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Treatment Phase:</w:t>
            </w:r>
            <w:r w:rsidRPr="007C0D91">
              <w:rPr>
                <w:rFonts w:ascii="Arial Narrow" w:hAnsi="Arial Narrow"/>
                <w:color w:val="333333"/>
                <w:sz w:val="20"/>
                <w:szCs w:val="20"/>
              </w:rPr>
              <w:t xml:space="preserve"> Continuing</w:t>
            </w:r>
          </w:p>
        </w:tc>
      </w:tr>
      <w:tr w:rsidR="00203795" w:rsidRPr="007C0D91" w14:paraId="6574280E"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7DFF0C26" w14:textId="1B2517F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3C821533"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Clinical criteria</w:t>
            </w:r>
          </w:p>
        </w:tc>
      </w:tr>
      <w:tr w:rsidR="00203795" w:rsidRPr="007C0D91" w14:paraId="4B019FF5"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34319BD2" w14:textId="79152A2E"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6E338EFE" w14:textId="77777777"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The treatment must be the sole PBS-subsidised therapy for this condition</w:t>
            </w:r>
          </w:p>
        </w:tc>
      </w:tr>
      <w:tr w:rsidR="00203795" w:rsidRPr="007C0D91" w14:paraId="66E38A57"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1862533F"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0F20582E"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AND</w:t>
            </w:r>
          </w:p>
        </w:tc>
      </w:tr>
      <w:tr w:rsidR="00203795" w:rsidRPr="007C0D91" w14:paraId="37941CB9"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423F1D32" w14:textId="3C00238B"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0A4FEF18"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Clinical criteria</w:t>
            </w:r>
          </w:p>
        </w:tc>
      </w:tr>
      <w:tr w:rsidR="00203795" w:rsidRPr="007C0D91" w14:paraId="45D090E3"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481EB71A" w14:textId="6C6056A6"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5D634EBD" w14:textId="77777777"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Patient must have previously received PBS-subsidised treatment with this drug for this condition</w:t>
            </w:r>
          </w:p>
        </w:tc>
      </w:tr>
      <w:tr w:rsidR="00203795" w:rsidRPr="007C0D91" w14:paraId="21EFEF1C"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6D532157" w14:textId="7777777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2932EE62"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AND</w:t>
            </w:r>
          </w:p>
        </w:tc>
      </w:tr>
      <w:tr w:rsidR="00203795" w:rsidRPr="007C0D91" w14:paraId="0694349C"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0CB4BFEB" w14:textId="46E8FF43" w:rsidR="00203795" w:rsidRPr="007C0D91" w:rsidRDefault="00203795" w:rsidP="00935286">
            <w:pPr>
              <w:jc w:val="center"/>
              <w:rPr>
                <w:rFonts w:ascii="Arial Narrow" w:hAnsi="Arial Narrow"/>
                <w:color w:val="333333"/>
                <w:sz w:val="20"/>
                <w:szCs w:val="20"/>
              </w:rPr>
            </w:pPr>
          </w:p>
        </w:tc>
        <w:tc>
          <w:tcPr>
            <w:tcW w:w="4454" w:type="pct"/>
            <w:gridSpan w:val="6"/>
            <w:vAlign w:val="center"/>
          </w:tcPr>
          <w:p w14:paraId="0D335D6F"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color w:val="333333"/>
                <w:sz w:val="20"/>
                <w:szCs w:val="20"/>
              </w:rPr>
              <w:t>Clinical criteria</w:t>
            </w:r>
          </w:p>
        </w:tc>
      </w:tr>
      <w:tr w:rsidR="00203795" w:rsidRPr="007C0D91" w14:paraId="6DD8289B"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7EB2EA82" w14:textId="739588F9"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30DB7304" w14:textId="77777777" w:rsidR="00203795" w:rsidRPr="007C0D91" w:rsidRDefault="00203795" w:rsidP="00935286">
            <w:pPr>
              <w:rPr>
                <w:rFonts w:ascii="Arial Narrow" w:hAnsi="Arial Narrow"/>
                <w:color w:val="333333"/>
                <w:sz w:val="20"/>
                <w:szCs w:val="20"/>
              </w:rPr>
            </w:pPr>
            <w:r w:rsidRPr="007C0D91">
              <w:rPr>
                <w:rFonts w:ascii="Arial Narrow" w:hAnsi="Arial Narrow"/>
                <w:color w:val="333333"/>
                <w:sz w:val="20"/>
                <w:szCs w:val="20"/>
              </w:rPr>
              <w:t>Patient must not have developed disease progression while receiving treatment with this drug for this condition</w:t>
            </w:r>
          </w:p>
        </w:tc>
      </w:tr>
      <w:tr w:rsidR="00203795" w:rsidRPr="007C0D91" w14:paraId="6E6DC6F3"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189ABF71" w14:textId="4AB4BE47" w:rsidR="00203795" w:rsidRPr="007C0D91" w:rsidRDefault="00203795" w:rsidP="00935286">
            <w:pPr>
              <w:jc w:val="center"/>
              <w:rPr>
                <w:rFonts w:ascii="Arial Narrow" w:hAnsi="Arial Narrow"/>
                <w:color w:val="333333"/>
                <w:sz w:val="20"/>
                <w:szCs w:val="20"/>
              </w:rPr>
            </w:pPr>
          </w:p>
        </w:tc>
        <w:tc>
          <w:tcPr>
            <w:tcW w:w="4454" w:type="pct"/>
            <w:gridSpan w:val="6"/>
            <w:vAlign w:val="center"/>
            <w:hideMark/>
          </w:tcPr>
          <w:p w14:paraId="03AF12B8" w14:textId="77777777" w:rsidR="00203795" w:rsidRPr="007C0D91" w:rsidRDefault="00203795" w:rsidP="00935286">
            <w:pPr>
              <w:rPr>
                <w:rFonts w:ascii="Arial Narrow" w:hAnsi="Arial Narrow"/>
                <w:color w:val="333333"/>
                <w:sz w:val="20"/>
                <w:szCs w:val="20"/>
              </w:rPr>
            </w:pPr>
            <w:r w:rsidRPr="007C0D91">
              <w:rPr>
                <w:rFonts w:ascii="Arial Narrow" w:hAnsi="Arial Narrow"/>
                <w:b/>
                <w:bCs/>
                <w:color w:val="333333"/>
                <w:sz w:val="20"/>
                <w:szCs w:val="20"/>
              </w:rPr>
              <w:t xml:space="preserve">Administrative Advice: </w:t>
            </w:r>
            <w:r w:rsidRPr="007C0D91">
              <w:rPr>
                <w:rFonts w:ascii="Arial Narrow" w:hAnsi="Arial Narrow"/>
                <w:color w:val="333333"/>
                <w:sz w:val="20"/>
                <w:szCs w:val="20"/>
              </w:rPr>
              <w:t>Special Pricing Arrangements apply.</w:t>
            </w:r>
          </w:p>
        </w:tc>
      </w:tr>
      <w:tr w:rsidR="00203795" w:rsidRPr="007C0D91" w14:paraId="386813BA" w14:textId="77777777" w:rsidTr="0061620E">
        <w:tblPrEx>
          <w:tblCellMar>
            <w:top w:w="15" w:type="dxa"/>
            <w:left w:w="15" w:type="dxa"/>
            <w:bottom w:w="15" w:type="dxa"/>
            <w:right w:w="15" w:type="dxa"/>
          </w:tblCellMar>
          <w:tblLook w:val="04A0" w:firstRow="1" w:lastRow="0" w:firstColumn="1" w:lastColumn="0" w:noHBand="0" w:noVBand="1"/>
        </w:tblPrEx>
        <w:tc>
          <w:tcPr>
            <w:tcW w:w="546" w:type="pct"/>
            <w:vAlign w:val="center"/>
          </w:tcPr>
          <w:p w14:paraId="04765BA1" w14:textId="12F49385" w:rsidR="00203795" w:rsidRPr="007C0D91" w:rsidRDefault="00203795" w:rsidP="00935286">
            <w:pPr>
              <w:jc w:val="center"/>
              <w:rPr>
                <w:rFonts w:ascii="Arial Narrow" w:hAnsi="Arial Narrow"/>
                <w:bCs/>
                <w:sz w:val="20"/>
                <w:szCs w:val="20"/>
              </w:rPr>
            </w:pPr>
          </w:p>
        </w:tc>
        <w:tc>
          <w:tcPr>
            <w:tcW w:w="4454" w:type="pct"/>
            <w:gridSpan w:val="6"/>
            <w:vAlign w:val="center"/>
          </w:tcPr>
          <w:p w14:paraId="4BA5F300" w14:textId="77777777" w:rsidR="00203795" w:rsidRPr="007C0D91" w:rsidRDefault="00203795" w:rsidP="00935286">
            <w:pPr>
              <w:rPr>
                <w:rFonts w:ascii="Arial Narrow" w:hAnsi="Arial Narrow"/>
                <w:b/>
                <w:bCs/>
                <w:color w:val="333333"/>
                <w:sz w:val="20"/>
                <w:szCs w:val="20"/>
              </w:rPr>
            </w:pPr>
            <w:r w:rsidRPr="007C0D91">
              <w:rPr>
                <w:rFonts w:ascii="Arial Narrow" w:hAnsi="Arial Narrow"/>
                <w:b/>
                <w:bCs/>
                <w:sz w:val="20"/>
                <w:szCs w:val="20"/>
              </w:rPr>
              <w:t xml:space="preserve">Administrative Advice: </w:t>
            </w:r>
            <w:r w:rsidRPr="007C0D91">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2818C0A2" w14:textId="77777777" w:rsidR="00D2392C" w:rsidRPr="007C0D91" w:rsidRDefault="00D2392C" w:rsidP="00A20BC1">
      <w:pPr>
        <w:keepNext/>
        <w:keepLines/>
        <w:spacing w:before="120" w:after="120"/>
        <w:jc w:val="left"/>
        <w:rPr>
          <w:rFonts w:asciiTheme="minorHAnsi" w:hAnsiTheme="minorHAnsi" w:cs="Times New Roman"/>
          <w:bCs/>
          <w:iCs/>
        </w:rPr>
      </w:pPr>
      <w:r w:rsidRPr="007C0D91">
        <w:rPr>
          <w:rFonts w:asciiTheme="minorHAnsi" w:hAnsiTheme="minorHAnsi" w:cs="Times New Roman"/>
          <w:bCs/>
          <w:iCs/>
        </w:rPr>
        <w:t>Flow on changes:</w:t>
      </w:r>
    </w:p>
    <w:p w14:paraId="58A2D4ED" w14:textId="2C7E8BF3" w:rsidR="005254C4" w:rsidRDefault="00D2392C" w:rsidP="007516BE">
      <w:pPr>
        <w:pStyle w:val="3-BodyText"/>
        <w:rPr>
          <w:bCs/>
          <w:lang w:eastAsia="en-US"/>
        </w:rPr>
      </w:pPr>
      <w:r w:rsidRPr="007C0D91">
        <w:rPr>
          <w:bCs/>
          <w:lang w:eastAsia="en-US"/>
        </w:rPr>
        <w:t xml:space="preserve">Amend the </w:t>
      </w:r>
      <w:r w:rsidRPr="007C0D91">
        <w:t xml:space="preserve">gefitinib (8769M), erlotinib </w:t>
      </w:r>
      <w:r w:rsidR="00196C4D" w:rsidRPr="007C0D91">
        <w:t>(25 mg 10022L</w:t>
      </w:r>
      <w:r w:rsidR="00BD6451" w:rsidRPr="007C0D91">
        <w:t xml:space="preserve"> and 11263T</w:t>
      </w:r>
      <w:r w:rsidR="00196C4D" w:rsidRPr="007C0D91">
        <w:t>, 100 mg 10020J</w:t>
      </w:r>
      <w:r w:rsidR="00BD6451" w:rsidRPr="007C0D91">
        <w:t xml:space="preserve"> and 11260P</w:t>
      </w:r>
      <w:r w:rsidR="00196C4D" w:rsidRPr="007C0D91">
        <w:t>, 150 mg 10014C</w:t>
      </w:r>
      <w:r w:rsidR="00BD6451" w:rsidRPr="007C0D91">
        <w:t xml:space="preserve"> and 11259</w:t>
      </w:r>
      <w:proofErr w:type="gramStart"/>
      <w:r w:rsidR="00196C4D" w:rsidRPr="007C0D91">
        <w:t xml:space="preserve">)  </w:t>
      </w:r>
      <w:r w:rsidRPr="007C0D91">
        <w:t>and</w:t>
      </w:r>
      <w:proofErr w:type="gramEnd"/>
      <w:r w:rsidRPr="007C0D91">
        <w:t xml:space="preserve"> afatinib </w:t>
      </w:r>
      <w:r w:rsidR="00196C4D" w:rsidRPr="007C0D91">
        <w:t>(20 mg 11335N</w:t>
      </w:r>
      <w:r w:rsidR="00BD6451" w:rsidRPr="007C0D91">
        <w:t xml:space="preserve"> and 11336P</w:t>
      </w:r>
      <w:r w:rsidR="00196C4D" w:rsidRPr="007C0D91">
        <w:t>, 30 mg 11341X</w:t>
      </w:r>
      <w:r w:rsidR="00BD6451" w:rsidRPr="007C0D91">
        <w:t xml:space="preserve"> and 11348G</w:t>
      </w:r>
      <w:r w:rsidR="00196C4D" w:rsidRPr="007C0D91">
        <w:t>, 40 mg 11359W</w:t>
      </w:r>
      <w:r w:rsidR="00BD6451" w:rsidRPr="007C0D91">
        <w:t xml:space="preserve"> and 11347F</w:t>
      </w:r>
      <w:r w:rsidR="00196C4D" w:rsidRPr="007C0D91">
        <w:t>, 50 mg 11329G</w:t>
      </w:r>
      <w:r w:rsidR="00BD6451" w:rsidRPr="007C0D91">
        <w:t xml:space="preserve"> and 11342Y</w:t>
      </w:r>
      <w:r w:rsidR="00196C4D" w:rsidRPr="007C0D91">
        <w:t xml:space="preserve">) </w:t>
      </w:r>
      <w:r w:rsidRPr="007C0D91">
        <w:t xml:space="preserve">for Stage IIIB (locally advanced) or Stage IV (metastatic) NSCLC </w:t>
      </w:r>
      <w:r w:rsidRPr="007C0D91">
        <w:rPr>
          <w:bCs/>
          <w:lang w:eastAsia="en-US"/>
        </w:rPr>
        <w:t>listings as follows:</w:t>
      </w:r>
    </w:p>
    <w:p w14:paraId="0DCBA6A6" w14:textId="77777777" w:rsidR="005254C4" w:rsidRDefault="005254C4">
      <w:pPr>
        <w:jc w:val="left"/>
        <w:rPr>
          <w:rFonts w:asciiTheme="minorHAnsi" w:hAnsiTheme="minorHAnsi"/>
          <w:bCs/>
          <w:snapToGrid w:val="0"/>
          <w:lang w:eastAsia="en-US"/>
        </w:rPr>
      </w:pPr>
      <w:r>
        <w:rPr>
          <w:bCs/>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8032"/>
      </w:tblGrid>
      <w:tr w:rsidR="00EF506D" w:rsidRPr="007C0D91" w14:paraId="6E2C95EC" w14:textId="77777777" w:rsidTr="00BD6451">
        <w:tc>
          <w:tcPr>
            <w:tcW w:w="546" w:type="pct"/>
            <w:tcBorders>
              <w:top w:val="single" w:sz="4" w:space="0" w:color="auto"/>
              <w:left w:val="single" w:sz="4" w:space="0" w:color="auto"/>
              <w:bottom w:val="single" w:sz="4" w:space="0" w:color="auto"/>
              <w:right w:val="single" w:sz="4" w:space="0" w:color="auto"/>
            </w:tcBorders>
            <w:vAlign w:val="center"/>
          </w:tcPr>
          <w:p w14:paraId="4F73D739" w14:textId="4BCC141B" w:rsidR="00BD6451" w:rsidRPr="007C0D91" w:rsidRDefault="00BD6451" w:rsidP="00765B1E">
            <w:pPr>
              <w:jc w:val="center"/>
              <w:rPr>
                <w:rFonts w:ascii="Arial Narrow" w:hAnsi="Arial Narrow"/>
                <w:color w:val="333333"/>
                <w:sz w:val="20"/>
                <w:szCs w:val="20"/>
              </w:rPr>
            </w:pPr>
          </w:p>
        </w:tc>
        <w:tc>
          <w:tcPr>
            <w:tcW w:w="4454" w:type="pct"/>
            <w:tcBorders>
              <w:top w:val="single" w:sz="4" w:space="0" w:color="auto"/>
              <w:left w:val="single" w:sz="4" w:space="0" w:color="auto"/>
              <w:bottom w:val="single" w:sz="4" w:space="0" w:color="auto"/>
              <w:right w:val="single" w:sz="4" w:space="0" w:color="auto"/>
            </w:tcBorders>
            <w:vAlign w:val="center"/>
          </w:tcPr>
          <w:p w14:paraId="2A1472E3" w14:textId="13D5FC7E" w:rsidR="00BD6451" w:rsidRPr="007C0D91" w:rsidRDefault="00BD6451" w:rsidP="00765B1E">
            <w:pPr>
              <w:rPr>
                <w:rFonts w:ascii="Arial Narrow" w:hAnsi="Arial Narrow"/>
                <w:b/>
                <w:bCs/>
                <w:color w:val="333333"/>
                <w:sz w:val="20"/>
                <w:szCs w:val="20"/>
              </w:rPr>
            </w:pPr>
            <w:r w:rsidRPr="007C0D91">
              <w:rPr>
                <w:rFonts w:ascii="Arial Narrow" w:hAnsi="Arial Narrow"/>
                <w:b/>
                <w:bCs/>
                <w:color w:val="333333"/>
                <w:sz w:val="20"/>
                <w:szCs w:val="20"/>
              </w:rPr>
              <w:t>Population criteria:</w:t>
            </w:r>
          </w:p>
        </w:tc>
      </w:tr>
      <w:tr w:rsidR="00EF506D" w:rsidRPr="007C0D91" w14:paraId="0560A03F" w14:textId="77777777" w:rsidTr="00BD6451">
        <w:tc>
          <w:tcPr>
            <w:tcW w:w="546" w:type="pct"/>
            <w:tcBorders>
              <w:top w:val="single" w:sz="4" w:space="0" w:color="auto"/>
              <w:left w:val="single" w:sz="4" w:space="0" w:color="auto"/>
              <w:bottom w:val="single" w:sz="4" w:space="0" w:color="auto"/>
              <w:right w:val="single" w:sz="4" w:space="0" w:color="auto"/>
            </w:tcBorders>
            <w:vAlign w:val="center"/>
          </w:tcPr>
          <w:p w14:paraId="1B0F2647" w14:textId="6F2C31E3" w:rsidR="00BD6451" w:rsidRPr="007C0D91" w:rsidRDefault="00BD6451" w:rsidP="00765B1E">
            <w:pPr>
              <w:jc w:val="center"/>
              <w:rPr>
                <w:rFonts w:ascii="Arial Narrow" w:hAnsi="Arial Narrow"/>
                <w:color w:val="333333"/>
                <w:sz w:val="20"/>
                <w:szCs w:val="20"/>
              </w:rPr>
            </w:pPr>
          </w:p>
        </w:tc>
        <w:tc>
          <w:tcPr>
            <w:tcW w:w="4454" w:type="pct"/>
            <w:tcBorders>
              <w:top w:val="single" w:sz="4" w:space="0" w:color="auto"/>
              <w:left w:val="single" w:sz="4" w:space="0" w:color="auto"/>
              <w:bottom w:val="single" w:sz="4" w:space="0" w:color="auto"/>
              <w:right w:val="single" w:sz="4" w:space="0" w:color="auto"/>
            </w:tcBorders>
            <w:vAlign w:val="center"/>
          </w:tcPr>
          <w:p w14:paraId="2F3C2711" w14:textId="384D7ABA" w:rsidR="00BD6451" w:rsidRPr="007C0D91" w:rsidRDefault="00BD6451" w:rsidP="00765B1E">
            <w:pPr>
              <w:rPr>
                <w:rFonts w:ascii="Arial Narrow" w:hAnsi="Arial Narrow"/>
                <w:color w:val="333333"/>
                <w:sz w:val="20"/>
                <w:szCs w:val="20"/>
              </w:rPr>
            </w:pPr>
            <w:r w:rsidRPr="007C0D91">
              <w:rPr>
                <w:rFonts w:ascii="Arial Narrow" w:hAnsi="Arial Narrow"/>
                <w:color w:val="333333"/>
                <w:sz w:val="20"/>
                <w:szCs w:val="20"/>
              </w:rPr>
              <w:t>Patient must have evidence of an activating epidermal growth factor receptor (</w:t>
            </w:r>
            <w:r w:rsidR="00FB0DBF" w:rsidRPr="00FB0DBF">
              <w:rPr>
                <w:rFonts w:ascii="Arial Narrow" w:hAnsi="Arial Narrow"/>
                <w:i/>
                <w:color w:val="333333"/>
                <w:sz w:val="20"/>
                <w:szCs w:val="20"/>
              </w:rPr>
              <w:t>EGFR</w:t>
            </w:r>
            <w:r w:rsidRPr="007C0D91">
              <w:rPr>
                <w:rFonts w:ascii="Arial Narrow" w:hAnsi="Arial Narrow"/>
                <w:color w:val="333333"/>
                <w:sz w:val="20"/>
                <w:szCs w:val="20"/>
              </w:rPr>
              <w:t xml:space="preserve">) gene mutation known to confer sensitivity to treatment with </w:t>
            </w:r>
            <w:r w:rsidR="00FB0DBF" w:rsidRPr="00FB0DBF">
              <w:rPr>
                <w:rFonts w:ascii="Arial Narrow" w:hAnsi="Arial Narrow"/>
                <w:i/>
                <w:color w:val="333333"/>
                <w:sz w:val="20"/>
                <w:szCs w:val="20"/>
              </w:rPr>
              <w:t>EGFR</w:t>
            </w:r>
            <w:r w:rsidRPr="007C0D91">
              <w:rPr>
                <w:rFonts w:ascii="Arial Narrow" w:hAnsi="Arial Narrow"/>
                <w:color w:val="333333"/>
                <w:sz w:val="20"/>
                <w:szCs w:val="20"/>
              </w:rPr>
              <w:t xml:space="preserve"> tyrosine kinase inhibitors in tumour material; </w:t>
            </w:r>
            <w:r w:rsidRPr="007C0D91">
              <w:rPr>
                <w:rFonts w:ascii="Arial Narrow" w:hAnsi="Arial Narrow"/>
                <w:b/>
                <w:bCs/>
                <w:color w:val="333333"/>
                <w:sz w:val="20"/>
                <w:szCs w:val="20"/>
              </w:rPr>
              <w:t>AND</w:t>
            </w:r>
          </w:p>
        </w:tc>
      </w:tr>
      <w:tr w:rsidR="00196C4D" w:rsidRPr="007C0D91" w14:paraId="4C78A79F" w14:textId="77777777" w:rsidTr="00601D9E">
        <w:tc>
          <w:tcPr>
            <w:tcW w:w="546" w:type="pct"/>
            <w:vAlign w:val="center"/>
          </w:tcPr>
          <w:p w14:paraId="7410901D" w14:textId="0D82C8C1" w:rsidR="00196C4D" w:rsidRPr="007C0D91" w:rsidRDefault="00196C4D" w:rsidP="00601D9E">
            <w:pPr>
              <w:jc w:val="center"/>
              <w:rPr>
                <w:rFonts w:ascii="Arial Narrow" w:hAnsi="Arial Narrow"/>
                <w:color w:val="333333"/>
                <w:sz w:val="20"/>
                <w:szCs w:val="20"/>
              </w:rPr>
            </w:pPr>
          </w:p>
        </w:tc>
        <w:tc>
          <w:tcPr>
            <w:tcW w:w="4454" w:type="pct"/>
            <w:vAlign w:val="center"/>
          </w:tcPr>
          <w:p w14:paraId="3A7598EE" w14:textId="59D68204" w:rsidR="00196C4D" w:rsidRPr="007C0D91" w:rsidRDefault="00BD6451" w:rsidP="00601D9E">
            <w:pPr>
              <w:rPr>
                <w:rFonts w:ascii="Arial Narrow" w:hAnsi="Arial Narrow"/>
                <w:b/>
                <w:bCs/>
                <w:color w:val="333333"/>
                <w:sz w:val="20"/>
                <w:szCs w:val="20"/>
              </w:rPr>
            </w:pPr>
            <w:r w:rsidRPr="007C0D91">
              <w:rPr>
                <w:rFonts w:ascii="Arial Narrow" w:hAnsi="Arial Narrow"/>
                <w:b/>
                <w:bCs/>
                <w:color w:val="333333"/>
                <w:sz w:val="20"/>
                <w:szCs w:val="20"/>
              </w:rPr>
              <w:t xml:space="preserve">Population </w:t>
            </w:r>
            <w:r w:rsidR="00196C4D" w:rsidRPr="007C0D91">
              <w:rPr>
                <w:rFonts w:ascii="Arial Narrow" w:hAnsi="Arial Narrow"/>
                <w:b/>
                <w:bCs/>
                <w:color w:val="333333"/>
                <w:sz w:val="20"/>
                <w:szCs w:val="20"/>
              </w:rPr>
              <w:t>criteria:</w:t>
            </w:r>
          </w:p>
        </w:tc>
      </w:tr>
      <w:tr w:rsidR="00196C4D" w:rsidRPr="007C0D91" w14:paraId="68D59923" w14:textId="77777777" w:rsidTr="00601D9E">
        <w:tc>
          <w:tcPr>
            <w:tcW w:w="546" w:type="pct"/>
            <w:vAlign w:val="center"/>
          </w:tcPr>
          <w:p w14:paraId="4BC34B57" w14:textId="6D5C4E2E" w:rsidR="00196C4D" w:rsidRPr="007C0D91" w:rsidRDefault="00196C4D" w:rsidP="00601D9E">
            <w:pPr>
              <w:jc w:val="center"/>
              <w:rPr>
                <w:rFonts w:ascii="Arial Narrow" w:hAnsi="Arial Narrow"/>
                <w:color w:val="333333"/>
                <w:sz w:val="20"/>
                <w:szCs w:val="20"/>
              </w:rPr>
            </w:pPr>
          </w:p>
        </w:tc>
        <w:tc>
          <w:tcPr>
            <w:tcW w:w="4454" w:type="pct"/>
            <w:vAlign w:val="center"/>
            <w:hideMark/>
          </w:tcPr>
          <w:p w14:paraId="1E2E1483" w14:textId="6829E27D" w:rsidR="00196C4D" w:rsidRPr="007C0D91" w:rsidRDefault="00196C4D" w:rsidP="00601D9E">
            <w:pPr>
              <w:rPr>
                <w:rFonts w:ascii="Arial Narrow" w:hAnsi="Arial Narrow"/>
                <w:i/>
                <w:iCs/>
                <w:color w:val="333333"/>
                <w:sz w:val="20"/>
                <w:szCs w:val="20"/>
              </w:rPr>
            </w:pPr>
            <w:r w:rsidRPr="007C0D91">
              <w:rPr>
                <w:rFonts w:ascii="Arial Narrow" w:hAnsi="Arial Narrow"/>
                <w:i/>
                <w:iCs/>
                <w:color w:val="333333"/>
                <w:sz w:val="20"/>
                <w:szCs w:val="20"/>
              </w:rPr>
              <w:t>Patient must not have evidence in tumour material of an activating epidermal growth factor receptor (</w:t>
            </w:r>
            <w:r w:rsidR="00FB0DBF" w:rsidRPr="00FB0DBF">
              <w:rPr>
                <w:rFonts w:ascii="Arial Narrow" w:hAnsi="Arial Narrow"/>
                <w:i/>
                <w:iCs/>
                <w:color w:val="333333"/>
                <w:sz w:val="20"/>
                <w:szCs w:val="20"/>
              </w:rPr>
              <w:t>EGFR</w:t>
            </w:r>
            <w:r w:rsidRPr="007C0D91">
              <w:rPr>
                <w:rFonts w:ascii="Arial Narrow" w:hAnsi="Arial Narrow"/>
                <w:i/>
                <w:iCs/>
                <w:color w:val="333333"/>
                <w:sz w:val="20"/>
                <w:szCs w:val="20"/>
              </w:rPr>
              <w:t>) exon 20 insertion mutation</w:t>
            </w:r>
          </w:p>
        </w:tc>
      </w:tr>
    </w:tbl>
    <w:p w14:paraId="56A1C4F4" w14:textId="61D2BF81" w:rsidR="00203795" w:rsidRPr="00FB0DBF" w:rsidRDefault="00196C4D" w:rsidP="00FB0DBF">
      <w:pPr>
        <w:spacing w:before="120"/>
        <w:jc w:val="left"/>
        <w:rPr>
          <w:rFonts w:asciiTheme="minorHAnsi" w:hAnsiTheme="minorHAnsi" w:cs="Times New Roman"/>
          <w:b/>
          <w:bCs/>
          <w:i/>
          <w:iCs/>
        </w:rPr>
      </w:pPr>
      <w:r w:rsidRPr="007C0D91">
        <w:rPr>
          <w:rFonts w:cs="Times New Roman"/>
          <w:b/>
          <w:bCs/>
          <w:i/>
          <w:iCs/>
        </w:rPr>
        <w:t>These restrictions may be subject to further review. Should there be any changes made to the restriction the sponsor will be informed.</w:t>
      </w:r>
      <w:r w:rsidRPr="007C0D91">
        <w:rPr>
          <w:rFonts w:asciiTheme="minorHAnsi" w:hAnsiTheme="minorHAnsi" w:cs="Times New Roman"/>
          <w:b/>
          <w:i/>
        </w:rPr>
        <w:t xml:space="preserve"> </w:t>
      </w:r>
    </w:p>
    <w:bookmarkEnd w:id="62"/>
    <w:bookmarkEnd w:id="63"/>
    <w:bookmarkEnd w:id="4"/>
    <w:p w14:paraId="14E6F058" w14:textId="77777777" w:rsidR="00FB0DBF" w:rsidRDefault="00FB0DBF" w:rsidP="00FB0DBF">
      <w:pPr>
        <w:pStyle w:val="2-SectionHeading"/>
        <w:rPr>
          <w:bCs/>
          <w:lang w:val="en-GB"/>
        </w:rPr>
      </w:pPr>
      <w:r w:rsidRPr="00C07617">
        <w:t>Context for Decision</w:t>
      </w:r>
    </w:p>
    <w:p w14:paraId="7A9F0E92" w14:textId="77777777" w:rsidR="00FB0DBF" w:rsidRPr="007129F2" w:rsidRDefault="00FB0DBF" w:rsidP="00FB0DBF">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w:t>
      </w:r>
      <w:proofErr w:type="gramStart"/>
      <w:r w:rsidRPr="007129F2">
        <w:rPr>
          <w:rFonts w:asciiTheme="minorHAnsi" w:hAnsiTheme="minorHAnsi"/>
          <w:bCs/>
          <w:lang w:val="en-GB"/>
        </w:rPr>
        <w:t>new information</w:t>
      </w:r>
      <w:proofErr w:type="gramEnd"/>
      <w:r w:rsidRPr="007129F2">
        <w:rPr>
          <w:rFonts w:asciiTheme="minorHAnsi" w:hAnsiTheme="minorHAnsi"/>
          <w:bCs/>
          <w:lang w:val="en-GB"/>
        </w:rPr>
        <w:t xml:space="preserve"> at any time.</w:t>
      </w:r>
    </w:p>
    <w:p w14:paraId="42FEF67E" w14:textId="1A24DF7A" w:rsidR="00FB0DBF" w:rsidRPr="00C07617" w:rsidRDefault="00FB0DBF" w:rsidP="00FB0DBF">
      <w:pPr>
        <w:pStyle w:val="2-SectionHeading"/>
      </w:pPr>
      <w:r>
        <w:t>Sponsor’s Comment</w:t>
      </w:r>
    </w:p>
    <w:p w14:paraId="015E586A" w14:textId="0ACC7C8C" w:rsidR="00505A20" w:rsidRPr="007C0D91" w:rsidRDefault="00FB0DBF" w:rsidP="00FB0DBF">
      <w:pPr>
        <w:spacing w:after="120"/>
        <w:ind w:left="426" w:firstLine="294"/>
        <w:rPr>
          <w:b/>
          <w:caps/>
          <w:sz w:val="32"/>
        </w:rPr>
      </w:pPr>
      <w:r w:rsidRPr="00C07617">
        <w:rPr>
          <w:rFonts w:asciiTheme="minorHAnsi" w:hAnsiTheme="minorHAnsi"/>
          <w:bCs/>
        </w:rPr>
        <w:t>The sponsor had no comment.</w:t>
      </w:r>
    </w:p>
    <w:sectPr w:rsidR="00505A20" w:rsidRPr="007C0D91" w:rsidSect="00251006">
      <w:headerReference w:type="default" r:id="rId13"/>
      <w:footerReference w:type="default" r:id="rId14"/>
      <w:footnotePr>
        <w:numFmt w:val="chicago"/>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2439" w14:textId="77777777" w:rsidR="003928C9" w:rsidRDefault="003928C9" w:rsidP="00124A51">
      <w:r>
        <w:separator/>
      </w:r>
    </w:p>
    <w:p w14:paraId="69D56C41" w14:textId="77777777" w:rsidR="003928C9" w:rsidRDefault="003928C9"/>
  </w:endnote>
  <w:endnote w:type="continuationSeparator" w:id="0">
    <w:p w14:paraId="0FC7B8BB" w14:textId="77777777" w:rsidR="003928C9" w:rsidRDefault="003928C9" w:rsidP="00124A51">
      <w:r>
        <w:continuationSeparator/>
      </w:r>
    </w:p>
    <w:p w14:paraId="7C069514" w14:textId="77777777" w:rsidR="003928C9" w:rsidRDefault="00392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UI Light">
    <w:charset w:val="80"/>
    <w:family w:val="swiss"/>
    <w:pitch w:val="variable"/>
    <w:sig w:usb0="E00002FF" w:usb1="2AC7FDFF" w:usb2="00000016" w:usb3="00000000" w:csb0="0002009F" w:csb1="00000000"/>
  </w:font>
  <w:font w:name="Georgia Pro Cond">
    <w:charset w:val="00"/>
    <w:family w:val="roman"/>
    <w:pitch w:val="variable"/>
    <w:sig w:usb0="800002AF" w:usb1="00000003" w:usb2="00000000" w:usb3="00000000" w:csb0="0000009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3688" w14:textId="77777777" w:rsidR="00D43793" w:rsidRDefault="00D43793" w:rsidP="00753B29">
    <w:pPr>
      <w:pStyle w:val="Footer"/>
      <w:jc w:val="center"/>
    </w:pPr>
  </w:p>
  <w:p w14:paraId="4128D726" w14:textId="2AE55471" w:rsidR="00D43793" w:rsidRPr="007C1CD9" w:rsidRDefault="00F36295" w:rsidP="00753B29">
    <w:pPr>
      <w:pStyle w:val="Footer"/>
      <w:jc w:val="center"/>
    </w:pPr>
    <w:sdt>
      <w:sdtPr>
        <w:id w:val="1036156457"/>
        <w:docPartObj>
          <w:docPartGallery w:val="Page Numbers (Bottom of Page)"/>
          <w:docPartUnique/>
        </w:docPartObj>
      </w:sdtPr>
      <w:sdtEndPr>
        <w:rPr>
          <w:noProof/>
        </w:rPr>
      </w:sdtEndPr>
      <w:sdtContent>
        <w:r w:rsidR="00D43793" w:rsidRPr="00C26018">
          <w:rPr>
            <w:b/>
            <w:bCs/>
          </w:rPr>
          <w:fldChar w:fldCharType="begin"/>
        </w:r>
        <w:r w:rsidR="00D43793" w:rsidRPr="00C26018">
          <w:rPr>
            <w:b/>
            <w:bCs/>
          </w:rPr>
          <w:instrText xml:space="preserve"> PAGE   \* MERGEFORMAT </w:instrText>
        </w:r>
        <w:r w:rsidR="00D43793" w:rsidRPr="00C26018">
          <w:rPr>
            <w:b/>
            <w:bCs/>
          </w:rPr>
          <w:fldChar w:fldCharType="separate"/>
        </w:r>
        <w:r w:rsidR="00F2184A" w:rsidRPr="00C26018">
          <w:rPr>
            <w:b/>
            <w:bCs/>
            <w:noProof/>
          </w:rPr>
          <w:t>39</w:t>
        </w:r>
        <w:r w:rsidR="00D43793" w:rsidRPr="00C26018">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67A4" w14:textId="77777777" w:rsidR="003928C9" w:rsidRDefault="003928C9" w:rsidP="00124A51">
      <w:r>
        <w:separator/>
      </w:r>
    </w:p>
  </w:footnote>
  <w:footnote w:type="continuationSeparator" w:id="0">
    <w:p w14:paraId="501B188C" w14:textId="77777777" w:rsidR="003928C9" w:rsidRDefault="003928C9" w:rsidP="00124A51">
      <w:r>
        <w:continuationSeparator/>
      </w:r>
    </w:p>
    <w:p w14:paraId="3A899BE9" w14:textId="77777777" w:rsidR="003928C9" w:rsidRDefault="003928C9"/>
  </w:footnote>
  <w:footnote w:id="1">
    <w:p w14:paraId="43C252EF" w14:textId="5D907F9E" w:rsidR="00323897" w:rsidRDefault="00323897" w:rsidP="00767449">
      <w:pPr>
        <w:pStyle w:val="FootnoteText"/>
        <w:jc w:val="left"/>
      </w:pPr>
      <w:r>
        <w:rPr>
          <w:rStyle w:val="FootnoteReference"/>
        </w:rPr>
        <w:footnoteRef/>
      </w:r>
      <w:r>
        <w:t xml:space="preserve"> </w:t>
      </w:r>
      <w:hyperlink r:id="rId1" w:history="1">
        <w:r w:rsidRPr="00323897">
          <w:t xml:space="preserve">TAK-788 as First-Line Treatment Versus Platinum-Based Chemotherapy for Non-Small Cell Lung Cancer (NSCLC) With </w:t>
        </w:r>
        <w:r w:rsidR="00FB0DBF" w:rsidRPr="00FB0DBF">
          <w:rPr>
            <w:i/>
          </w:rPr>
          <w:t>EGFR</w:t>
        </w:r>
        <w:r w:rsidRPr="00323897">
          <w:t xml:space="preserve"> Exon 20 Insertion Mutations - Full Text View - ClinicalTrials.gov</w:t>
        </w:r>
      </w:hyperlink>
      <w:r>
        <w:t>. https://clinicaltrials.gov/ct2/show/nct04129502</w:t>
      </w:r>
    </w:p>
  </w:footnote>
  <w:footnote w:id="2">
    <w:p w14:paraId="13BED409" w14:textId="77777777" w:rsidR="00D43793" w:rsidRPr="00C24F34" w:rsidRDefault="00D43793" w:rsidP="005149D4">
      <w:pPr>
        <w:pStyle w:val="FootnoteText"/>
      </w:pPr>
      <w:r>
        <w:rPr>
          <w:rStyle w:val="FootnoteReference"/>
        </w:rPr>
        <w:footnoteRef/>
      </w:r>
      <w:r>
        <w:t xml:space="preserve"> </w:t>
      </w:r>
      <w:r w:rsidRPr="00D543E4">
        <w:t xml:space="preserve">John T, Cooper WA, Wright G, Siva S, Solomon B, Marshall HM, et al. Lung Cancer in Australia. </w:t>
      </w:r>
      <w:r w:rsidRPr="00D543E4">
        <w:rPr>
          <w:i/>
          <w:iCs/>
        </w:rPr>
        <w:t>Journal of Thoracic Oncology</w:t>
      </w:r>
      <w:r w:rsidRPr="00D543E4">
        <w:t>. 2020;15(12):1809-14.</w:t>
      </w:r>
    </w:p>
  </w:footnote>
  <w:footnote w:id="3">
    <w:p w14:paraId="1AD9194A" w14:textId="0B7CB435" w:rsidR="00D43793" w:rsidRPr="00C24F34" w:rsidRDefault="00D43793" w:rsidP="005149D4">
      <w:pPr>
        <w:pStyle w:val="FootnoteText"/>
        <w:rPr>
          <w:lang w:val="en-GB"/>
        </w:rPr>
      </w:pPr>
      <w:r>
        <w:rPr>
          <w:rStyle w:val="FootnoteReference"/>
        </w:rPr>
        <w:footnoteRef/>
      </w:r>
      <w:r>
        <w:t xml:space="preserve"> </w:t>
      </w:r>
      <w:r w:rsidRPr="00C24F34">
        <w:t xml:space="preserve">Leal JL, Alexander M, Itchins M, Wright GM, Kao S, Hughes BG, et al. </w:t>
      </w:r>
      <w:r w:rsidR="00FB0DBF" w:rsidRPr="00FB0DBF">
        <w:rPr>
          <w:i/>
        </w:rPr>
        <w:t>EGFR</w:t>
      </w:r>
      <w:r w:rsidRPr="00C24F34">
        <w:t xml:space="preserve"> Exon 20 Insertion Mutations: Clinicopathological Characteristics and Treatment Outcomes in Advanced Non–Small Cell Lung Cancer. </w:t>
      </w:r>
      <w:r w:rsidRPr="00C24F34">
        <w:rPr>
          <w:i/>
          <w:iCs/>
        </w:rPr>
        <w:t>Clinical Lung Cancer</w:t>
      </w:r>
      <w:r w:rsidRPr="00C24F34">
        <w:t>. 2021;22(6</w:t>
      </w:r>
      <w:proofErr w:type="gramStart"/>
      <w:r w:rsidRPr="00C24F34">
        <w:t>):e</w:t>
      </w:r>
      <w:proofErr w:type="gramEnd"/>
      <w:r w:rsidRPr="00C24F34">
        <w:t>859-e69.</w:t>
      </w:r>
    </w:p>
  </w:footnote>
  <w:footnote w:id="4">
    <w:p w14:paraId="15ABF251" w14:textId="77777777" w:rsidR="00D43793" w:rsidRPr="00AD3088" w:rsidRDefault="00D43793" w:rsidP="005149D4">
      <w:pPr>
        <w:pStyle w:val="FootnoteText"/>
      </w:pPr>
      <w:r w:rsidRPr="00AD3088">
        <w:rPr>
          <w:rStyle w:val="FootnoteReference"/>
          <w:vertAlign w:val="baseline"/>
        </w:rPr>
        <w:footnoteRef/>
      </w:r>
      <w:r w:rsidRPr="00AD3088">
        <w:t xml:space="preserve"> National Comprehensive Cancer Network. NCCN clinical practice guidelines in Oncology (NCCN Guidelines®) non-small cell lung cancer Version 2.2023.</w:t>
      </w:r>
    </w:p>
    <w:p w14:paraId="007BDD61" w14:textId="77777777" w:rsidR="00D43793" w:rsidRDefault="00D43793" w:rsidP="005149D4">
      <w:pPr>
        <w:pStyle w:val="FootnoteText"/>
      </w:pPr>
    </w:p>
  </w:footnote>
  <w:footnote w:id="5">
    <w:p w14:paraId="6C442928" w14:textId="77777777" w:rsidR="00830B10" w:rsidRDefault="00830B10" w:rsidP="00830B10">
      <w:pPr>
        <w:pStyle w:val="FootnoteText"/>
      </w:pPr>
      <w:r>
        <w:rPr>
          <w:rStyle w:val="FootnoteReference"/>
        </w:rPr>
        <w:footnoteRef/>
      </w:r>
      <w:r>
        <w:t xml:space="preserve"> </w:t>
      </w:r>
      <w:r w:rsidRPr="001E6FD7">
        <w:t>Cherny NI, Dafni U, Bogaerts J, et al: ESMO-Magnitude of Clinical Benefit Scale version 1.1. Annals of Oncology 28:2340-2366, 2017</w:t>
      </w:r>
      <w:r>
        <w:t>.</w:t>
      </w:r>
    </w:p>
  </w:footnote>
  <w:footnote w:id="6">
    <w:p w14:paraId="3EF890AA" w14:textId="0C9CFD91" w:rsidR="00D43793" w:rsidRPr="005D7099" w:rsidRDefault="00D43793" w:rsidP="005149D4">
      <w:pPr>
        <w:pStyle w:val="FootnoteText"/>
        <w:rPr>
          <w:lang w:val="en-GB"/>
        </w:rPr>
      </w:pPr>
      <w:r w:rsidRPr="00AD3088">
        <w:rPr>
          <w:rStyle w:val="FootnoteReference"/>
        </w:rPr>
        <w:footnoteRef/>
      </w:r>
      <w:r w:rsidRPr="00AD3088">
        <w:rPr>
          <w:rStyle w:val="FootnoteReference"/>
          <w:vertAlign w:val="baseline"/>
        </w:rPr>
        <w:t xml:space="preserve"> Faria R HA, Manca A, Wailoo AJ. NICE DSU Technical Support Document 17: The use of observational data to inform estimates of treatment effectiveness for Technology Appraisal: Methods for comparative individual patient data. </w:t>
      </w:r>
      <w:hyperlink r:id="rId2" w:history="1">
        <w:r w:rsidRPr="00AD3088">
          <w:rPr>
            <w:rStyle w:val="FootnoteReference"/>
            <w:vertAlign w:val="baseline"/>
          </w:rPr>
          <w:t>http://www.nicedsu.org.uk</w:t>
        </w:r>
      </w:hyperlink>
      <w:r w:rsidRPr="00AD3088">
        <w:rPr>
          <w:rStyle w:val="FootnoteReference"/>
          <w:vertAlign w:val="baseline"/>
        </w:rPr>
        <w:t>. Published 2015. Accessed May 2023.</w:t>
      </w:r>
    </w:p>
  </w:footnote>
  <w:footnote w:id="7">
    <w:p w14:paraId="60D2A8A7" w14:textId="77777777" w:rsidR="00D43793" w:rsidRDefault="00D43793" w:rsidP="005149D4">
      <w:pPr>
        <w:pStyle w:val="FootnoteText"/>
      </w:pPr>
      <w:r>
        <w:rPr>
          <w:rStyle w:val="FootnoteReference"/>
        </w:rPr>
        <w:footnoteRef/>
      </w:r>
      <w:r>
        <w:t xml:space="preserve"> </w:t>
      </w:r>
      <w:r w:rsidRPr="00A2528B">
        <w:t xml:space="preserve">Austin PC, Stuart EA. Moving towards best practice when using inverse probability of treatment weighting (IPTW) using the propensity score to estimate causal treatment effects in observational studies. </w:t>
      </w:r>
      <w:r w:rsidRPr="00A2528B">
        <w:rPr>
          <w:i/>
          <w:iCs/>
        </w:rPr>
        <w:t>Stat Med</w:t>
      </w:r>
      <w:r w:rsidRPr="00A2528B">
        <w:t>. 2015 Dec 10;34(28):3661-79.</w:t>
      </w:r>
    </w:p>
  </w:footnote>
  <w:footnote w:id="8">
    <w:p w14:paraId="69A0D265" w14:textId="77777777" w:rsidR="00D43793" w:rsidRDefault="00D43793" w:rsidP="0071626A">
      <w:pPr>
        <w:pStyle w:val="FootnoteText"/>
      </w:pPr>
      <w:r>
        <w:rPr>
          <w:rStyle w:val="FootnoteReference"/>
        </w:rPr>
        <w:footnoteRef/>
      </w:r>
      <w:r>
        <w:t xml:space="preserve"> </w:t>
      </w:r>
      <w:r w:rsidRPr="007F19CD">
        <w:t xml:space="preserve">Lee DH, Isobe H, Wirtz H, Aleixo SB, Parente P, de Marinis F, et al. Health care resource use among patients with advanced non-small cell lung cancer: the PIvOTAL retrospective observational study. </w:t>
      </w:r>
      <w:r w:rsidRPr="007F19CD">
        <w:rPr>
          <w:i/>
        </w:rPr>
        <w:t>BMC Health Serv Res</w:t>
      </w:r>
      <w:r w:rsidRPr="007F19CD">
        <w:t>. 2018;18(1):147.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488" w14:textId="703C5FA0" w:rsidR="00D43793" w:rsidRPr="00195452" w:rsidRDefault="00FB0DBF" w:rsidP="00D822E2">
    <w:pPr>
      <w:pStyle w:val="Header"/>
      <w:rPr>
        <w:rFonts w:asciiTheme="minorHAnsi" w:hAnsiTheme="minorHAnsi"/>
        <w:i/>
        <w:color w:val="808080"/>
      </w:rPr>
    </w:pPr>
    <w:r>
      <w:rPr>
        <w:rFonts w:asciiTheme="minorHAnsi" w:hAnsiTheme="minorHAnsi"/>
        <w:i/>
        <w:color w:val="808080"/>
      </w:rPr>
      <w:t>Public Summary Document</w:t>
    </w:r>
    <w:r w:rsidR="00D22EAF">
      <w:rPr>
        <w:rFonts w:asciiTheme="minorHAnsi" w:hAnsiTheme="minorHAnsi"/>
        <w:i/>
        <w:color w:val="808080"/>
      </w:rPr>
      <w:t xml:space="preserve"> - </w:t>
    </w:r>
    <w:r w:rsidR="00D43793">
      <w:rPr>
        <w:rFonts w:asciiTheme="minorHAnsi" w:hAnsiTheme="minorHAnsi"/>
        <w:i/>
        <w:color w:val="808080"/>
      </w:rPr>
      <w:t xml:space="preserve">July 2023 </w:t>
    </w:r>
    <w:r w:rsidR="00D43793" w:rsidRPr="00195452">
      <w:rPr>
        <w:rFonts w:asciiTheme="minorHAnsi" w:hAnsiTheme="minorHAnsi"/>
        <w:i/>
        <w:color w:val="808080"/>
      </w:rPr>
      <w:t>PBAC Meeting</w:t>
    </w:r>
  </w:p>
  <w:p w14:paraId="167D2ECD" w14:textId="77777777" w:rsidR="00D43793" w:rsidRPr="008C7ECB" w:rsidRDefault="00D43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F9A6F56"/>
    <w:lvl w:ilvl="0">
      <w:start w:val="1"/>
      <w:numFmt w:val="decimal"/>
      <w:pStyle w:val="ListNumber"/>
      <w:lvlText w:val="%1."/>
      <w:lvlJc w:val="left"/>
      <w:pPr>
        <w:ind w:left="720" w:hanging="360"/>
      </w:pPr>
      <w:rPr>
        <w:rFonts w:ascii="Calibri Light" w:hAnsi="Calibri Light" w:hint="default"/>
        <w:b w:val="0"/>
        <w:i w:val="0"/>
        <w:color w:val="00B0F0"/>
        <w:sz w:val="22"/>
        <w:szCs w:val="22"/>
        <w:u w:val="none"/>
      </w:r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661155"/>
    <w:multiLevelType w:val="hybridMultilevel"/>
    <w:tmpl w:val="598CB85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24DBB"/>
    <w:multiLevelType w:val="multilevel"/>
    <w:tmpl w:val="969EA630"/>
    <w:lvl w:ilvl="0">
      <w:start w:val="1"/>
      <w:numFmt w:val="decimal"/>
      <w:lvlText w:val="%1"/>
      <w:lvlJc w:val="left"/>
      <w:pPr>
        <w:ind w:left="720" w:hanging="720"/>
      </w:pPr>
      <w:rPr>
        <w:b/>
        <w:i w:val="0"/>
      </w:rPr>
    </w:lvl>
    <w:lvl w:ilvl="1">
      <w:start w:val="1"/>
      <w:numFmt w:val="lowerLetter"/>
      <w:lvlText w:val="%2)"/>
      <w:lvlJc w:val="left"/>
      <w:pPr>
        <w:ind w:left="720" w:hanging="720"/>
      </w:pPr>
      <w:rPr>
        <w:rFonts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9B27961"/>
    <w:multiLevelType w:val="singleLevel"/>
    <w:tmpl w:val="84EE47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B5014"/>
    <w:multiLevelType w:val="hybridMultilevel"/>
    <w:tmpl w:val="C6369BEA"/>
    <w:lvl w:ilvl="0" w:tplc="EE640DD0">
      <w:start w:val="1"/>
      <w:numFmt w:val="decimal"/>
      <w:pStyle w:val="table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FF6045"/>
    <w:multiLevelType w:val="hybridMultilevel"/>
    <w:tmpl w:val="FAE000C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38F263C"/>
    <w:multiLevelType w:val="hybridMultilevel"/>
    <w:tmpl w:val="FBE4EC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2376C72"/>
    <w:multiLevelType w:val="hybridMultilevel"/>
    <w:tmpl w:val="FC4A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4B7487"/>
    <w:multiLevelType w:val="hybridMultilevel"/>
    <w:tmpl w:val="41303C9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42297"/>
    <w:multiLevelType w:val="hybridMultilevel"/>
    <w:tmpl w:val="B218BE14"/>
    <w:lvl w:ilvl="0" w:tplc="B950A7E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C03B6D"/>
    <w:multiLevelType w:val="hybridMultilevel"/>
    <w:tmpl w:val="91A630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53672A"/>
    <w:multiLevelType w:val="hybridMultilevel"/>
    <w:tmpl w:val="A4B43658"/>
    <w:lvl w:ilvl="0" w:tplc="1788446E">
      <w:start w:val="1"/>
      <w:numFmt w:val="decimal"/>
      <w:lvlText w:val="%1."/>
      <w:lvlJc w:val="lef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43219263">
    <w:abstractNumId w:val="25"/>
  </w:num>
  <w:num w:numId="2" w16cid:durableId="1647128884">
    <w:abstractNumId w:val="16"/>
  </w:num>
  <w:num w:numId="3" w16cid:durableId="1963610577">
    <w:abstractNumId w:val="17"/>
  </w:num>
  <w:num w:numId="4" w16cid:durableId="766509905">
    <w:abstractNumId w:val="1"/>
  </w:num>
  <w:num w:numId="5" w16cid:durableId="198779982">
    <w:abstractNumId w:val="25"/>
  </w:num>
  <w:num w:numId="6" w16cid:durableId="1198853749">
    <w:abstractNumId w:val="14"/>
  </w:num>
  <w:num w:numId="7" w16cid:durableId="2115201249">
    <w:abstractNumId w:val="22"/>
  </w:num>
  <w:num w:numId="8" w16cid:durableId="1567107029">
    <w:abstractNumId w:val="3"/>
  </w:num>
  <w:num w:numId="9" w16cid:durableId="692847524">
    <w:abstractNumId w:val="21"/>
  </w:num>
  <w:num w:numId="10" w16cid:durableId="353767179">
    <w:abstractNumId w:val="13"/>
  </w:num>
  <w:num w:numId="11" w16cid:durableId="1708139905">
    <w:abstractNumId w:val="12"/>
  </w:num>
  <w:num w:numId="12" w16cid:durableId="1365785342">
    <w:abstractNumId w:val="7"/>
  </w:num>
  <w:num w:numId="13" w16cid:durableId="1732194800">
    <w:abstractNumId w:val="11"/>
  </w:num>
  <w:num w:numId="14" w16cid:durableId="1250306720">
    <w:abstractNumId w:val="0"/>
    <w:lvlOverride w:ilvl="0">
      <w:startOverride w:val="1"/>
    </w:lvlOverride>
  </w:num>
  <w:num w:numId="15" w16cid:durableId="1931740488">
    <w:abstractNumId w:val="26"/>
  </w:num>
  <w:num w:numId="16" w16cid:durableId="1471096851">
    <w:abstractNumId w:val="15"/>
  </w:num>
  <w:num w:numId="17" w16cid:durableId="1933589459">
    <w:abstractNumId w:val="23"/>
  </w:num>
  <w:num w:numId="18" w16cid:durableId="2100103578">
    <w:abstractNumId w:val="4"/>
  </w:num>
  <w:num w:numId="19" w16cid:durableId="1919752030">
    <w:abstractNumId w:val="18"/>
  </w:num>
  <w:num w:numId="20" w16cid:durableId="1467702241">
    <w:abstractNumId w:val="19"/>
  </w:num>
  <w:num w:numId="21" w16cid:durableId="933512304">
    <w:abstractNumId w:val="5"/>
  </w:num>
  <w:num w:numId="22" w16cid:durableId="951403679">
    <w:abstractNumId w:val="2"/>
  </w:num>
  <w:num w:numId="23" w16cid:durableId="1858495900">
    <w:abstractNumId w:val="9"/>
  </w:num>
  <w:num w:numId="24" w16cid:durableId="920674266">
    <w:abstractNumId w:val="10"/>
  </w:num>
  <w:num w:numId="25" w16cid:durableId="969676607">
    <w:abstractNumId w:val="8"/>
  </w:num>
  <w:num w:numId="26" w16cid:durableId="27584170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9465616">
    <w:abstractNumId w:val="24"/>
  </w:num>
  <w:num w:numId="28" w16cid:durableId="1340082935">
    <w:abstractNumId w:val="6"/>
  </w:num>
  <w:num w:numId="29" w16cid:durableId="66079864">
    <w:abstractNumId w:val="25"/>
  </w:num>
  <w:num w:numId="30" w16cid:durableId="51126052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252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xtedsavf2zpoedr5up2azu22zfedpteza9&quot;&gt;Mobocertinib Copy&lt;record-ids&gt;&lt;item&gt;1&lt;/item&gt;&lt;item&gt;2&lt;/item&gt;&lt;item&gt;3&lt;/item&gt;&lt;item&gt;4&lt;/item&gt;&lt;item&gt;10&lt;/item&gt;&lt;item&gt;20&lt;/item&gt;&lt;item&gt;30&lt;/item&gt;&lt;item&gt;37&lt;/item&gt;&lt;item&gt;39&lt;/item&gt;&lt;item&gt;43&lt;/item&gt;&lt;/record-ids&gt;&lt;/item&gt;&lt;/Libraries&gt;"/>
  </w:docVars>
  <w:rsids>
    <w:rsidRoot w:val="00E65E79"/>
    <w:rsid w:val="00000790"/>
    <w:rsid w:val="0000110B"/>
    <w:rsid w:val="000014F0"/>
    <w:rsid w:val="000019CB"/>
    <w:rsid w:val="0000339D"/>
    <w:rsid w:val="00003499"/>
    <w:rsid w:val="000039B7"/>
    <w:rsid w:val="00003B43"/>
    <w:rsid w:val="0000496B"/>
    <w:rsid w:val="000056B9"/>
    <w:rsid w:val="000056BC"/>
    <w:rsid w:val="00005920"/>
    <w:rsid w:val="00005D4B"/>
    <w:rsid w:val="0000639A"/>
    <w:rsid w:val="00007133"/>
    <w:rsid w:val="00012BE3"/>
    <w:rsid w:val="00012DB2"/>
    <w:rsid w:val="00013247"/>
    <w:rsid w:val="00013648"/>
    <w:rsid w:val="00014181"/>
    <w:rsid w:val="00014342"/>
    <w:rsid w:val="00015886"/>
    <w:rsid w:val="000162EF"/>
    <w:rsid w:val="00016D87"/>
    <w:rsid w:val="00017650"/>
    <w:rsid w:val="000207C9"/>
    <w:rsid w:val="00021398"/>
    <w:rsid w:val="0002225F"/>
    <w:rsid w:val="000224A9"/>
    <w:rsid w:val="00022518"/>
    <w:rsid w:val="00023763"/>
    <w:rsid w:val="00023A2D"/>
    <w:rsid w:val="00024EB5"/>
    <w:rsid w:val="00025AE6"/>
    <w:rsid w:val="00026589"/>
    <w:rsid w:val="000272A7"/>
    <w:rsid w:val="000274B8"/>
    <w:rsid w:val="000317A9"/>
    <w:rsid w:val="00032B98"/>
    <w:rsid w:val="00033719"/>
    <w:rsid w:val="00033863"/>
    <w:rsid w:val="000343BA"/>
    <w:rsid w:val="00035DC0"/>
    <w:rsid w:val="00036829"/>
    <w:rsid w:val="00040206"/>
    <w:rsid w:val="00040338"/>
    <w:rsid w:val="00040895"/>
    <w:rsid w:val="000410A0"/>
    <w:rsid w:val="00042153"/>
    <w:rsid w:val="000435EE"/>
    <w:rsid w:val="00043691"/>
    <w:rsid w:val="00043C37"/>
    <w:rsid w:val="00044B81"/>
    <w:rsid w:val="00045017"/>
    <w:rsid w:val="00045A2B"/>
    <w:rsid w:val="0004698F"/>
    <w:rsid w:val="00046D64"/>
    <w:rsid w:val="00046E34"/>
    <w:rsid w:val="000470C1"/>
    <w:rsid w:val="00047319"/>
    <w:rsid w:val="000508C2"/>
    <w:rsid w:val="000539D0"/>
    <w:rsid w:val="000541D2"/>
    <w:rsid w:val="00054621"/>
    <w:rsid w:val="000546D7"/>
    <w:rsid w:val="00054A8D"/>
    <w:rsid w:val="00054F4F"/>
    <w:rsid w:val="00055C48"/>
    <w:rsid w:val="00056791"/>
    <w:rsid w:val="00056ECF"/>
    <w:rsid w:val="000604DF"/>
    <w:rsid w:val="0006196B"/>
    <w:rsid w:val="00062324"/>
    <w:rsid w:val="000642BA"/>
    <w:rsid w:val="00064A2C"/>
    <w:rsid w:val="000653B5"/>
    <w:rsid w:val="00066360"/>
    <w:rsid w:val="000666F0"/>
    <w:rsid w:val="00066AF8"/>
    <w:rsid w:val="00067556"/>
    <w:rsid w:val="00070916"/>
    <w:rsid w:val="00071248"/>
    <w:rsid w:val="00071804"/>
    <w:rsid w:val="00071E44"/>
    <w:rsid w:val="000720B9"/>
    <w:rsid w:val="00073753"/>
    <w:rsid w:val="000737F7"/>
    <w:rsid w:val="00075650"/>
    <w:rsid w:val="00075D37"/>
    <w:rsid w:val="0007672F"/>
    <w:rsid w:val="00076880"/>
    <w:rsid w:val="00076B54"/>
    <w:rsid w:val="000774F0"/>
    <w:rsid w:val="00080909"/>
    <w:rsid w:val="000812CA"/>
    <w:rsid w:val="00081E63"/>
    <w:rsid w:val="0008258D"/>
    <w:rsid w:val="00082DE4"/>
    <w:rsid w:val="00083A7E"/>
    <w:rsid w:val="00083E99"/>
    <w:rsid w:val="000842E2"/>
    <w:rsid w:val="00084643"/>
    <w:rsid w:val="00084FA8"/>
    <w:rsid w:val="00085668"/>
    <w:rsid w:val="000856C5"/>
    <w:rsid w:val="00085C31"/>
    <w:rsid w:val="00085EC2"/>
    <w:rsid w:val="00087920"/>
    <w:rsid w:val="00087A12"/>
    <w:rsid w:val="00087A69"/>
    <w:rsid w:val="000902D9"/>
    <w:rsid w:val="00090452"/>
    <w:rsid w:val="00090907"/>
    <w:rsid w:val="00090C7E"/>
    <w:rsid w:val="000911AC"/>
    <w:rsid w:val="00091C00"/>
    <w:rsid w:val="00091F93"/>
    <w:rsid w:val="00092600"/>
    <w:rsid w:val="0009262B"/>
    <w:rsid w:val="000928D3"/>
    <w:rsid w:val="00092A28"/>
    <w:rsid w:val="00092D4E"/>
    <w:rsid w:val="00093310"/>
    <w:rsid w:val="00093E24"/>
    <w:rsid w:val="0009445C"/>
    <w:rsid w:val="00095200"/>
    <w:rsid w:val="00095C33"/>
    <w:rsid w:val="00095FE5"/>
    <w:rsid w:val="00096284"/>
    <w:rsid w:val="00096D7E"/>
    <w:rsid w:val="0009745A"/>
    <w:rsid w:val="000A0B9A"/>
    <w:rsid w:val="000A198F"/>
    <w:rsid w:val="000A1BC0"/>
    <w:rsid w:val="000A20C1"/>
    <w:rsid w:val="000A2CDA"/>
    <w:rsid w:val="000A2F9E"/>
    <w:rsid w:val="000A37E1"/>
    <w:rsid w:val="000A3E47"/>
    <w:rsid w:val="000A522B"/>
    <w:rsid w:val="000A6039"/>
    <w:rsid w:val="000A7453"/>
    <w:rsid w:val="000A7D08"/>
    <w:rsid w:val="000B0121"/>
    <w:rsid w:val="000B05DF"/>
    <w:rsid w:val="000B0670"/>
    <w:rsid w:val="000B075F"/>
    <w:rsid w:val="000B0E75"/>
    <w:rsid w:val="000B1F49"/>
    <w:rsid w:val="000B2268"/>
    <w:rsid w:val="000B2DCB"/>
    <w:rsid w:val="000B4172"/>
    <w:rsid w:val="000B5CE0"/>
    <w:rsid w:val="000B6CAC"/>
    <w:rsid w:val="000B7612"/>
    <w:rsid w:val="000B78AE"/>
    <w:rsid w:val="000C00DA"/>
    <w:rsid w:val="000C0314"/>
    <w:rsid w:val="000C11C5"/>
    <w:rsid w:val="000C1BF6"/>
    <w:rsid w:val="000C21DD"/>
    <w:rsid w:val="000C2305"/>
    <w:rsid w:val="000C2C1C"/>
    <w:rsid w:val="000C3DF9"/>
    <w:rsid w:val="000C4651"/>
    <w:rsid w:val="000C479D"/>
    <w:rsid w:val="000C4CF2"/>
    <w:rsid w:val="000C4EB0"/>
    <w:rsid w:val="000C6448"/>
    <w:rsid w:val="000C660E"/>
    <w:rsid w:val="000C6713"/>
    <w:rsid w:val="000C6C1E"/>
    <w:rsid w:val="000C7AE6"/>
    <w:rsid w:val="000D04B0"/>
    <w:rsid w:val="000D1BFC"/>
    <w:rsid w:val="000D1D5D"/>
    <w:rsid w:val="000D2328"/>
    <w:rsid w:val="000D281A"/>
    <w:rsid w:val="000D2848"/>
    <w:rsid w:val="000D326A"/>
    <w:rsid w:val="000D4176"/>
    <w:rsid w:val="000D51FB"/>
    <w:rsid w:val="000D5545"/>
    <w:rsid w:val="000E0640"/>
    <w:rsid w:val="000E135D"/>
    <w:rsid w:val="000F00BA"/>
    <w:rsid w:val="000F316A"/>
    <w:rsid w:val="000F37B4"/>
    <w:rsid w:val="000F3C74"/>
    <w:rsid w:val="000F4BB8"/>
    <w:rsid w:val="000F4FA9"/>
    <w:rsid w:val="000F53FB"/>
    <w:rsid w:val="000F5977"/>
    <w:rsid w:val="000F6133"/>
    <w:rsid w:val="000F6FF7"/>
    <w:rsid w:val="000F7127"/>
    <w:rsid w:val="000F7B54"/>
    <w:rsid w:val="000F7C8A"/>
    <w:rsid w:val="001000B3"/>
    <w:rsid w:val="00100F8A"/>
    <w:rsid w:val="001016A3"/>
    <w:rsid w:val="00102D04"/>
    <w:rsid w:val="00103477"/>
    <w:rsid w:val="00103BAD"/>
    <w:rsid w:val="0010452E"/>
    <w:rsid w:val="00105AE2"/>
    <w:rsid w:val="001060C6"/>
    <w:rsid w:val="001064EF"/>
    <w:rsid w:val="0010693D"/>
    <w:rsid w:val="00106B80"/>
    <w:rsid w:val="0010719E"/>
    <w:rsid w:val="0011032E"/>
    <w:rsid w:val="00110531"/>
    <w:rsid w:val="00110BFE"/>
    <w:rsid w:val="0011188A"/>
    <w:rsid w:val="0011348B"/>
    <w:rsid w:val="00114025"/>
    <w:rsid w:val="0011567F"/>
    <w:rsid w:val="00115982"/>
    <w:rsid w:val="00116C53"/>
    <w:rsid w:val="00116DCC"/>
    <w:rsid w:val="00117491"/>
    <w:rsid w:val="00121799"/>
    <w:rsid w:val="001222FC"/>
    <w:rsid w:val="00123902"/>
    <w:rsid w:val="0012403A"/>
    <w:rsid w:val="00124881"/>
    <w:rsid w:val="00124A51"/>
    <w:rsid w:val="0012537A"/>
    <w:rsid w:val="0012542E"/>
    <w:rsid w:val="0012595B"/>
    <w:rsid w:val="00125CCA"/>
    <w:rsid w:val="00126621"/>
    <w:rsid w:val="00126B1D"/>
    <w:rsid w:val="00127486"/>
    <w:rsid w:val="001275F9"/>
    <w:rsid w:val="001301E9"/>
    <w:rsid w:val="00130273"/>
    <w:rsid w:val="001309F5"/>
    <w:rsid w:val="00130E50"/>
    <w:rsid w:val="00131D82"/>
    <w:rsid w:val="00132AE6"/>
    <w:rsid w:val="00132B22"/>
    <w:rsid w:val="00132C1E"/>
    <w:rsid w:val="00133D36"/>
    <w:rsid w:val="00136122"/>
    <w:rsid w:val="00137645"/>
    <w:rsid w:val="001378E4"/>
    <w:rsid w:val="0014015A"/>
    <w:rsid w:val="00140E99"/>
    <w:rsid w:val="00141DC5"/>
    <w:rsid w:val="00143F67"/>
    <w:rsid w:val="00145234"/>
    <w:rsid w:val="00145540"/>
    <w:rsid w:val="001456B0"/>
    <w:rsid w:val="0014584E"/>
    <w:rsid w:val="00147CC6"/>
    <w:rsid w:val="001514E0"/>
    <w:rsid w:val="0015313F"/>
    <w:rsid w:val="001547AB"/>
    <w:rsid w:val="00155021"/>
    <w:rsid w:val="00156F8F"/>
    <w:rsid w:val="00157130"/>
    <w:rsid w:val="001576B1"/>
    <w:rsid w:val="0016047B"/>
    <w:rsid w:val="00160A4C"/>
    <w:rsid w:val="0016195D"/>
    <w:rsid w:val="00162913"/>
    <w:rsid w:val="00163EFF"/>
    <w:rsid w:val="00163F66"/>
    <w:rsid w:val="0016478E"/>
    <w:rsid w:val="00165240"/>
    <w:rsid w:val="00165EC4"/>
    <w:rsid w:val="001661FB"/>
    <w:rsid w:val="001671A0"/>
    <w:rsid w:val="0016767F"/>
    <w:rsid w:val="00170026"/>
    <w:rsid w:val="00172A3F"/>
    <w:rsid w:val="001733ED"/>
    <w:rsid w:val="00173565"/>
    <w:rsid w:val="00173B07"/>
    <w:rsid w:val="00173FEF"/>
    <w:rsid w:val="0017409E"/>
    <w:rsid w:val="001751FA"/>
    <w:rsid w:val="00181C10"/>
    <w:rsid w:val="00181D9C"/>
    <w:rsid w:val="00181E36"/>
    <w:rsid w:val="001826E8"/>
    <w:rsid w:val="001837FF"/>
    <w:rsid w:val="0018395D"/>
    <w:rsid w:val="00183B81"/>
    <w:rsid w:val="00183E49"/>
    <w:rsid w:val="001841B7"/>
    <w:rsid w:val="00184B0E"/>
    <w:rsid w:val="001859AE"/>
    <w:rsid w:val="00185C60"/>
    <w:rsid w:val="00186360"/>
    <w:rsid w:val="0018752F"/>
    <w:rsid w:val="00190008"/>
    <w:rsid w:val="00191353"/>
    <w:rsid w:val="00193607"/>
    <w:rsid w:val="00193838"/>
    <w:rsid w:val="00193CF1"/>
    <w:rsid w:val="00194AD8"/>
    <w:rsid w:val="00195222"/>
    <w:rsid w:val="00195452"/>
    <w:rsid w:val="00196578"/>
    <w:rsid w:val="00196C4D"/>
    <w:rsid w:val="001975D8"/>
    <w:rsid w:val="001979E4"/>
    <w:rsid w:val="00197DB8"/>
    <w:rsid w:val="001A0634"/>
    <w:rsid w:val="001A088F"/>
    <w:rsid w:val="001A0DDB"/>
    <w:rsid w:val="001A178E"/>
    <w:rsid w:val="001A290A"/>
    <w:rsid w:val="001A43FA"/>
    <w:rsid w:val="001A47C5"/>
    <w:rsid w:val="001A4FC0"/>
    <w:rsid w:val="001A5675"/>
    <w:rsid w:val="001A58DD"/>
    <w:rsid w:val="001A59FB"/>
    <w:rsid w:val="001A5B39"/>
    <w:rsid w:val="001A5C62"/>
    <w:rsid w:val="001A5E9E"/>
    <w:rsid w:val="001A6354"/>
    <w:rsid w:val="001A6366"/>
    <w:rsid w:val="001A6CA3"/>
    <w:rsid w:val="001A7602"/>
    <w:rsid w:val="001A7AE8"/>
    <w:rsid w:val="001B1709"/>
    <w:rsid w:val="001B204E"/>
    <w:rsid w:val="001B2372"/>
    <w:rsid w:val="001B3443"/>
    <w:rsid w:val="001B344C"/>
    <w:rsid w:val="001B3EF0"/>
    <w:rsid w:val="001B4D20"/>
    <w:rsid w:val="001B550D"/>
    <w:rsid w:val="001B6885"/>
    <w:rsid w:val="001B7F84"/>
    <w:rsid w:val="001C2A9B"/>
    <w:rsid w:val="001C2F34"/>
    <w:rsid w:val="001C3DD6"/>
    <w:rsid w:val="001C4299"/>
    <w:rsid w:val="001C4691"/>
    <w:rsid w:val="001C4874"/>
    <w:rsid w:val="001C48A5"/>
    <w:rsid w:val="001C4CA7"/>
    <w:rsid w:val="001C53C3"/>
    <w:rsid w:val="001C5F94"/>
    <w:rsid w:val="001C6E66"/>
    <w:rsid w:val="001D0773"/>
    <w:rsid w:val="001D1100"/>
    <w:rsid w:val="001D1391"/>
    <w:rsid w:val="001D25D7"/>
    <w:rsid w:val="001D50B2"/>
    <w:rsid w:val="001D591F"/>
    <w:rsid w:val="001D6C2E"/>
    <w:rsid w:val="001D71F4"/>
    <w:rsid w:val="001D7267"/>
    <w:rsid w:val="001D7645"/>
    <w:rsid w:val="001D7D54"/>
    <w:rsid w:val="001E0E56"/>
    <w:rsid w:val="001E1E86"/>
    <w:rsid w:val="001E238E"/>
    <w:rsid w:val="001E2483"/>
    <w:rsid w:val="001E2B1E"/>
    <w:rsid w:val="001E2CFF"/>
    <w:rsid w:val="001E2F24"/>
    <w:rsid w:val="001E30D4"/>
    <w:rsid w:val="001E34DF"/>
    <w:rsid w:val="001E3B8B"/>
    <w:rsid w:val="001E3D6D"/>
    <w:rsid w:val="001E3DD0"/>
    <w:rsid w:val="001E4A47"/>
    <w:rsid w:val="001E4AB4"/>
    <w:rsid w:val="001E52EB"/>
    <w:rsid w:val="001E61D2"/>
    <w:rsid w:val="001E740C"/>
    <w:rsid w:val="001F09C4"/>
    <w:rsid w:val="001F1235"/>
    <w:rsid w:val="001F1A0C"/>
    <w:rsid w:val="001F1CB3"/>
    <w:rsid w:val="001F38B5"/>
    <w:rsid w:val="001F392B"/>
    <w:rsid w:val="001F4081"/>
    <w:rsid w:val="001F4F34"/>
    <w:rsid w:val="001F7361"/>
    <w:rsid w:val="001F7CD4"/>
    <w:rsid w:val="002011B0"/>
    <w:rsid w:val="00201F89"/>
    <w:rsid w:val="002022D7"/>
    <w:rsid w:val="00203181"/>
    <w:rsid w:val="00203783"/>
    <w:rsid w:val="00203795"/>
    <w:rsid w:val="0020385F"/>
    <w:rsid w:val="00204147"/>
    <w:rsid w:val="00204444"/>
    <w:rsid w:val="00205B37"/>
    <w:rsid w:val="00206664"/>
    <w:rsid w:val="00206894"/>
    <w:rsid w:val="002068A0"/>
    <w:rsid w:val="00207021"/>
    <w:rsid w:val="0020732F"/>
    <w:rsid w:val="00207D00"/>
    <w:rsid w:val="002105C1"/>
    <w:rsid w:val="0021152C"/>
    <w:rsid w:val="0021153B"/>
    <w:rsid w:val="002116FD"/>
    <w:rsid w:val="00212302"/>
    <w:rsid w:val="00213BD9"/>
    <w:rsid w:val="00213D07"/>
    <w:rsid w:val="00213EF5"/>
    <w:rsid w:val="002162FD"/>
    <w:rsid w:val="00216368"/>
    <w:rsid w:val="00216BF5"/>
    <w:rsid w:val="00220CB6"/>
    <w:rsid w:val="002233CA"/>
    <w:rsid w:val="002236E2"/>
    <w:rsid w:val="00223B49"/>
    <w:rsid w:val="00223D5A"/>
    <w:rsid w:val="00224DD4"/>
    <w:rsid w:val="002278A0"/>
    <w:rsid w:val="002308DF"/>
    <w:rsid w:val="002309CC"/>
    <w:rsid w:val="00231BA9"/>
    <w:rsid w:val="0023209F"/>
    <w:rsid w:val="00233C01"/>
    <w:rsid w:val="0023413C"/>
    <w:rsid w:val="002346F0"/>
    <w:rsid w:val="0023470C"/>
    <w:rsid w:val="0023629D"/>
    <w:rsid w:val="00237255"/>
    <w:rsid w:val="00237D0D"/>
    <w:rsid w:val="0024136B"/>
    <w:rsid w:val="002424AF"/>
    <w:rsid w:val="002439DC"/>
    <w:rsid w:val="00243F56"/>
    <w:rsid w:val="002441D2"/>
    <w:rsid w:val="002444CC"/>
    <w:rsid w:val="002444D1"/>
    <w:rsid w:val="00244DC8"/>
    <w:rsid w:val="002458BA"/>
    <w:rsid w:val="00245CE9"/>
    <w:rsid w:val="00245DC9"/>
    <w:rsid w:val="0024636C"/>
    <w:rsid w:val="00247039"/>
    <w:rsid w:val="00247925"/>
    <w:rsid w:val="00251006"/>
    <w:rsid w:val="00251668"/>
    <w:rsid w:val="002524D5"/>
    <w:rsid w:val="00252AEB"/>
    <w:rsid w:val="00253A81"/>
    <w:rsid w:val="00253B1D"/>
    <w:rsid w:val="00254DCF"/>
    <w:rsid w:val="0025534B"/>
    <w:rsid w:val="00255BB7"/>
    <w:rsid w:val="00257541"/>
    <w:rsid w:val="002576F2"/>
    <w:rsid w:val="00257A39"/>
    <w:rsid w:val="00257AC4"/>
    <w:rsid w:val="00257BBE"/>
    <w:rsid w:val="002605F3"/>
    <w:rsid w:val="00261EEF"/>
    <w:rsid w:val="00262A1A"/>
    <w:rsid w:val="00262A87"/>
    <w:rsid w:val="00262F8E"/>
    <w:rsid w:val="00263A1D"/>
    <w:rsid w:val="00264D26"/>
    <w:rsid w:val="00266325"/>
    <w:rsid w:val="00267642"/>
    <w:rsid w:val="00267716"/>
    <w:rsid w:val="00267AEA"/>
    <w:rsid w:val="002700E6"/>
    <w:rsid w:val="0027036D"/>
    <w:rsid w:val="0027054C"/>
    <w:rsid w:val="0027154D"/>
    <w:rsid w:val="00272922"/>
    <w:rsid w:val="0027294B"/>
    <w:rsid w:val="00272997"/>
    <w:rsid w:val="00273EB4"/>
    <w:rsid w:val="00274682"/>
    <w:rsid w:val="00275158"/>
    <w:rsid w:val="00275C5A"/>
    <w:rsid w:val="00276939"/>
    <w:rsid w:val="00281014"/>
    <w:rsid w:val="00281304"/>
    <w:rsid w:val="00284FA2"/>
    <w:rsid w:val="00285021"/>
    <w:rsid w:val="00285415"/>
    <w:rsid w:val="0028555D"/>
    <w:rsid w:val="00285992"/>
    <w:rsid w:val="00285BCE"/>
    <w:rsid w:val="00285DBF"/>
    <w:rsid w:val="0028665D"/>
    <w:rsid w:val="00286979"/>
    <w:rsid w:val="00287219"/>
    <w:rsid w:val="00290600"/>
    <w:rsid w:val="00292986"/>
    <w:rsid w:val="002933A0"/>
    <w:rsid w:val="002945EC"/>
    <w:rsid w:val="00295315"/>
    <w:rsid w:val="00295BC2"/>
    <w:rsid w:val="002A1372"/>
    <w:rsid w:val="002A14AB"/>
    <w:rsid w:val="002A2ADE"/>
    <w:rsid w:val="002A2F50"/>
    <w:rsid w:val="002A4B90"/>
    <w:rsid w:val="002A688F"/>
    <w:rsid w:val="002A6C73"/>
    <w:rsid w:val="002A7943"/>
    <w:rsid w:val="002B05A1"/>
    <w:rsid w:val="002B09A4"/>
    <w:rsid w:val="002B1533"/>
    <w:rsid w:val="002B1A50"/>
    <w:rsid w:val="002B1C1F"/>
    <w:rsid w:val="002B2A96"/>
    <w:rsid w:val="002B3219"/>
    <w:rsid w:val="002B3DD0"/>
    <w:rsid w:val="002B4277"/>
    <w:rsid w:val="002B432F"/>
    <w:rsid w:val="002B4743"/>
    <w:rsid w:val="002B505B"/>
    <w:rsid w:val="002B5D9E"/>
    <w:rsid w:val="002B62B3"/>
    <w:rsid w:val="002B62F7"/>
    <w:rsid w:val="002B6311"/>
    <w:rsid w:val="002B6754"/>
    <w:rsid w:val="002B6A0C"/>
    <w:rsid w:val="002B6CCE"/>
    <w:rsid w:val="002C1DFC"/>
    <w:rsid w:val="002C20DF"/>
    <w:rsid w:val="002C2510"/>
    <w:rsid w:val="002C2775"/>
    <w:rsid w:val="002C27C1"/>
    <w:rsid w:val="002C36E3"/>
    <w:rsid w:val="002C5099"/>
    <w:rsid w:val="002C5889"/>
    <w:rsid w:val="002C5FA8"/>
    <w:rsid w:val="002C71CE"/>
    <w:rsid w:val="002D06D7"/>
    <w:rsid w:val="002D08F8"/>
    <w:rsid w:val="002D2A7C"/>
    <w:rsid w:val="002D31CC"/>
    <w:rsid w:val="002D577C"/>
    <w:rsid w:val="002D6B51"/>
    <w:rsid w:val="002D7832"/>
    <w:rsid w:val="002E1071"/>
    <w:rsid w:val="002E15B9"/>
    <w:rsid w:val="002E2158"/>
    <w:rsid w:val="002E3F85"/>
    <w:rsid w:val="002E4F02"/>
    <w:rsid w:val="002E5372"/>
    <w:rsid w:val="002E5E6A"/>
    <w:rsid w:val="002E7722"/>
    <w:rsid w:val="002F07BA"/>
    <w:rsid w:val="002F0DA9"/>
    <w:rsid w:val="002F1014"/>
    <w:rsid w:val="002F1E3B"/>
    <w:rsid w:val="002F2DBC"/>
    <w:rsid w:val="002F36F8"/>
    <w:rsid w:val="002F5384"/>
    <w:rsid w:val="002F643C"/>
    <w:rsid w:val="002F71C0"/>
    <w:rsid w:val="002F74F1"/>
    <w:rsid w:val="00301017"/>
    <w:rsid w:val="0030155F"/>
    <w:rsid w:val="003015A9"/>
    <w:rsid w:val="00301D10"/>
    <w:rsid w:val="00303E69"/>
    <w:rsid w:val="0030449E"/>
    <w:rsid w:val="00305084"/>
    <w:rsid w:val="0030587B"/>
    <w:rsid w:val="00306D98"/>
    <w:rsid w:val="00306E40"/>
    <w:rsid w:val="0030786C"/>
    <w:rsid w:val="0031031A"/>
    <w:rsid w:val="00310981"/>
    <w:rsid w:val="00311D9B"/>
    <w:rsid w:val="003124D9"/>
    <w:rsid w:val="00312594"/>
    <w:rsid w:val="0031386F"/>
    <w:rsid w:val="00314FCA"/>
    <w:rsid w:val="00315388"/>
    <w:rsid w:val="00315498"/>
    <w:rsid w:val="0031620F"/>
    <w:rsid w:val="00316474"/>
    <w:rsid w:val="00322107"/>
    <w:rsid w:val="00322355"/>
    <w:rsid w:val="00322846"/>
    <w:rsid w:val="0032333D"/>
    <w:rsid w:val="00323897"/>
    <w:rsid w:val="00326794"/>
    <w:rsid w:val="00326A4F"/>
    <w:rsid w:val="00326DA7"/>
    <w:rsid w:val="003270E4"/>
    <w:rsid w:val="00330DAA"/>
    <w:rsid w:val="00330F5C"/>
    <w:rsid w:val="003366C9"/>
    <w:rsid w:val="003371B0"/>
    <w:rsid w:val="0033799A"/>
    <w:rsid w:val="00337C39"/>
    <w:rsid w:val="00340DF1"/>
    <w:rsid w:val="003413A3"/>
    <w:rsid w:val="00342933"/>
    <w:rsid w:val="00344153"/>
    <w:rsid w:val="00346027"/>
    <w:rsid w:val="003509AC"/>
    <w:rsid w:val="0035112F"/>
    <w:rsid w:val="00351143"/>
    <w:rsid w:val="003517F9"/>
    <w:rsid w:val="00351BA9"/>
    <w:rsid w:val="00352545"/>
    <w:rsid w:val="00354F64"/>
    <w:rsid w:val="00355DC9"/>
    <w:rsid w:val="00355DF6"/>
    <w:rsid w:val="0035620E"/>
    <w:rsid w:val="003575BE"/>
    <w:rsid w:val="00360345"/>
    <w:rsid w:val="00360D38"/>
    <w:rsid w:val="003616A1"/>
    <w:rsid w:val="00361A05"/>
    <w:rsid w:val="003624C4"/>
    <w:rsid w:val="00362A0C"/>
    <w:rsid w:val="00363B00"/>
    <w:rsid w:val="0036481A"/>
    <w:rsid w:val="00364908"/>
    <w:rsid w:val="003654AC"/>
    <w:rsid w:val="00366260"/>
    <w:rsid w:val="003710CF"/>
    <w:rsid w:val="0037358A"/>
    <w:rsid w:val="00374BC2"/>
    <w:rsid w:val="003750F6"/>
    <w:rsid w:val="00375E5A"/>
    <w:rsid w:val="003760FC"/>
    <w:rsid w:val="00376783"/>
    <w:rsid w:val="0037776E"/>
    <w:rsid w:val="00380853"/>
    <w:rsid w:val="00382BBB"/>
    <w:rsid w:val="00382F42"/>
    <w:rsid w:val="0038365C"/>
    <w:rsid w:val="0038369B"/>
    <w:rsid w:val="00383B78"/>
    <w:rsid w:val="00384E88"/>
    <w:rsid w:val="00385A9D"/>
    <w:rsid w:val="00386477"/>
    <w:rsid w:val="00387121"/>
    <w:rsid w:val="00387569"/>
    <w:rsid w:val="003875CF"/>
    <w:rsid w:val="003902B1"/>
    <w:rsid w:val="003906C6"/>
    <w:rsid w:val="0039122C"/>
    <w:rsid w:val="0039179C"/>
    <w:rsid w:val="00391895"/>
    <w:rsid w:val="00391C4F"/>
    <w:rsid w:val="003928C9"/>
    <w:rsid w:val="00394E73"/>
    <w:rsid w:val="00396896"/>
    <w:rsid w:val="00396FD0"/>
    <w:rsid w:val="003979F9"/>
    <w:rsid w:val="003A1A7A"/>
    <w:rsid w:val="003A2392"/>
    <w:rsid w:val="003A2831"/>
    <w:rsid w:val="003A3678"/>
    <w:rsid w:val="003A3CB6"/>
    <w:rsid w:val="003A3ED1"/>
    <w:rsid w:val="003A44DB"/>
    <w:rsid w:val="003A4799"/>
    <w:rsid w:val="003A4C14"/>
    <w:rsid w:val="003A517D"/>
    <w:rsid w:val="003B02DB"/>
    <w:rsid w:val="003B1EBC"/>
    <w:rsid w:val="003B3971"/>
    <w:rsid w:val="003B55D1"/>
    <w:rsid w:val="003B5B61"/>
    <w:rsid w:val="003B644D"/>
    <w:rsid w:val="003B6C42"/>
    <w:rsid w:val="003B70C4"/>
    <w:rsid w:val="003B79E0"/>
    <w:rsid w:val="003C0538"/>
    <w:rsid w:val="003C1398"/>
    <w:rsid w:val="003C1654"/>
    <w:rsid w:val="003C24FC"/>
    <w:rsid w:val="003C5542"/>
    <w:rsid w:val="003C7C15"/>
    <w:rsid w:val="003C7D19"/>
    <w:rsid w:val="003C7D2F"/>
    <w:rsid w:val="003D0C5A"/>
    <w:rsid w:val="003D11D7"/>
    <w:rsid w:val="003D1828"/>
    <w:rsid w:val="003D1DE4"/>
    <w:rsid w:val="003D1E9A"/>
    <w:rsid w:val="003D2422"/>
    <w:rsid w:val="003D39A1"/>
    <w:rsid w:val="003D3FBF"/>
    <w:rsid w:val="003D40F9"/>
    <w:rsid w:val="003D4A30"/>
    <w:rsid w:val="003D56FD"/>
    <w:rsid w:val="003D6235"/>
    <w:rsid w:val="003D6CE4"/>
    <w:rsid w:val="003D7452"/>
    <w:rsid w:val="003D79BB"/>
    <w:rsid w:val="003D7C98"/>
    <w:rsid w:val="003D7D9D"/>
    <w:rsid w:val="003E0543"/>
    <w:rsid w:val="003E08BD"/>
    <w:rsid w:val="003E3E74"/>
    <w:rsid w:val="003E4B88"/>
    <w:rsid w:val="003E5603"/>
    <w:rsid w:val="003E6BDE"/>
    <w:rsid w:val="003E749E"/>
    <w:rsid w:val="003F1DAB"/>
    <w:rsid w:val="003F3944"/>
    <w:rsid w:val="003F4156"/>
    <w:rsid w:val="003F4311"/>
    <w:rsid w:val="003F5459"/>
    <w:rsid w:val="003F55AE"/>
    <w:rsid w:val="003F57DF"/>
    <w:rsid w:val="003F5ADF"/>
    <w:rsid w:val="003F625C"/>
    <w:rsid w:val="003F6EAF"/>
    <w:rsid w:val="003F7398"/>
    <w:rsid w:val="00400195"/>
    <w:rsid w:val="00400B29"/>
    <w:rsid w:val="00400B86"/>
    <w:rsid w:val="0040277C"/>
    <w:rsid w:val="00402812"/>
    <w:rsid w:val="0040504B"/>
    <w:rsid w:val="0040510D"/>
    <w:rsid w:val="00405290"/>
    <w:rsid w:val="00405852"/>
    <w:rsid w:val="004059F4"/>
    <w:rsid w:val="004061B9"/>
    <w:rsid w:val="00407FE5"/>
    <w:rsid w:val="004101B0"/>
    <w:rsid w:val="00410326"/>
    <w:rsid w:val="004103D9"/>
    <w:rsid w:val="00410708"/>
    <w:rsid w:val="004107ED"/>
    <w:rsid w:val="00410EC7"/>
    <w:rsid w:val="00411B39"/>
    <w:rsid w:val="0041235D"/>
    <w:rsid w:val="0041235E"/>
    <w:rsid w:val="004127A7"/>
    <w:rsid w:val="00412D06"/>
    <w:rsid w:val="00413A1E"/>
    <w:rsid w:val="00414476"/>
    <w:rsid w:val="00414C2E"/>
    <w:rsid w:val="00414D2F"/>
    <w:rsid w:val="004151CF"/>
    <w:rsid w:val="00415C37"/>
    <w:rsid w:val="00416364"/>
    <w:rsid w:val="0042047F"/>
    <w:rsid w:val="00420AA6"/>
    <w:rsid w:val="00420AAC"/>
    <w:rsid w:val="00420B9F"/>
    <w:rsid w:val="0042192C"/>
    <w:rsid w:val="00422260"/>
    <w:rsid w:val="004222AD"/>
    <w:rsid w:val="00422AE4"/>
    <w:rsid w:val="0042413F"/>
    <w:rsid w:val="00424303"/>
    <w:rsid w:val="00424499"/>
    <w:rsid w:val="0042602A"/>
    <w:rsid w:val="00430E3A"/>
    <w:rsid w:val="00430F78"/>
    <w:rsid w:val="0043124D"/>
    <w:rsid w:val="004319F8"/>
    <w:rsid w:val="00431E55"/>
    <w:rsid w:val="004321F6"/>
    <w:rsid w:val="00433044"/>
    <w:rsid w:val="00434088"/>
    <w:rsid w:val="0043550B"/>
    <w:rsid w:val="004359DA"/>
    <w:rsid w:val="004375B9"/>
    <w:rsid w:val="004428D0"/>
    <w:rsid w:val="00442E2E"/>
    <w:rsid w:val="00443DCB"/>
    <w:rsid w:val="00444185"/>
    <w:rsid w:val="004442B8"/>
    <w:rsid w:val="004443A7"/>
    <w:rsid w:val="0044442C"/>
    <w:rsid w:val="004445B1"/>
    <w:rsid w:val="004452FA"/>
    <w:rsid w:val="00445941"/>
    <w:rsid w:val="00445ADD"/>
    <w:rsid w:val="004464EB"/>
    <w:rsid w:val="00446BD1"/>
    <w:rsid w:val="0044753D"/>
    <w:rsid w:val="0044773B"/>
    <w:rsid w:val="00447D26"/>
    <w:rsid w:val="00447DFC"/>
    <w:rsid w:val="00453245"/>
    <w:rsid w:val="00453EAF"/>
    <w:rsid w:val="00455D45"/>
    <w:rsid w:val="004560AB"/>
    <w:rsid w:val="00456148"/>
    <w:rsid w:val="004601ED"/>
    <w:rsid w:val="0046049F"/>
    <w:rsid w:val="0046051D"/>
    <w:rsid w:val="00460A4E"/>
    <w:rsid w:val="00462529"/>
    <w:rsid w:val="00462836"/>
    <w:rsid w:val="00464595"/>
    <w:rsid w:val="00465605"/>
    <w:rsid w:val="004658B5"/>
    <w:rsid w:val="0046623B"/>
    <w:rsid w:val="004667BA"/>
    <w:rsid w:val="00471C6D"/>
    <w:rsid w:val="00471EA5"/>
    <w:rsid w:val="00472A79"/>
    <w:rsid w:val="00472AC2"/>
    <w:rsid w:val="0047321E"/>
    <w:rsid w:val="00473F19"/>
    <w:rsid w:val="00475832"/>
    <w:rsid w:val="00475BE8"/>
    <w:rsid w:val="00475E22"/>
    <w:rsid w:val="00477CAB"/>
    <w:rsid w:val="0048088E"/>
    <w:rsid w:val="00480F2B"/>
    <w:rsid w:val="00482720"/>
    <w:rsid w:val="00482F5E"/>
    <w:rsid w:val="00483087"/>
    <w:rsid w:val="004835E7"/>
    <w:rsid w:val="0048572A"/>
    <w:rsid w:val="004859E1"/>
    <w:rsid w:val="00485ABA"/>
    <w:rsid w:val="004867E2"/>
    <w:rsid w:val="00490B17"/>
    <w:rsid w:val="004916FD"/>
    <w:rsid w:val="00491B3A"/>
    <w:rsid w:val="00492CFD"/>
    <w:rsid w:val="00494207"/>
    <w:rsid w:val="00494BC8"/>
    <w:rsid w:val="00494DD5"/>
    <w:rsid w:val="00495194"/>
    <w:rsid w:val="0049581F"/>
    <w:rsid w:val="004962D2"/>
    <w:rsid w:val="004977E8"/>
    <w:rsid w:val="004A0DA1"/>
    <w:rsid w:val="004A13D6"/>
    <w:rsid w:val="004A176A"/>
    <w:rsid w:val="004A1DE9"/>
    <w:rsid w:val="004A3E2A"/>
    <w:rsid w:val="004A52E9"/>
    <w:rsid w:val="004A6040"/>
    <w:rsid w:val="004A6597"/>
    <w:rsid w:val="004A7848"/>
    <w:rsid w:val="004A793B"/>
    <w:rsid w:val="004B0193"/>
    <w:rsid w:val="004B1226"/>
    <w:rsid w:val="004B1CB4"/>
    <w:rsid w:val="004B2D98"/>
    <w:rsid w:val="004B2F18"/>
    <w:rsid w:val="004B3DDB"/>
    <w:rsid w:val="004B44FD"/>
    <w:rsid w:val="004B5287"/>
    <w:rsid w:val="004B5CFC"/>
    <w:rsid w:val="004B6F79"/>
    <w:rsid w:val="004B71C1"/>
    <w:rsid w:val="004B774D"/>
    <w:rsid w:val="004C2AC2"/>
    <w:rsid w:val="004C4AED"/>
    <w:rsid w:val="004C5BB8"/>
    <w:rsid w:val="004C5C12"/>
    <w:rsid w:val="004C600F"/>
    <w:rsid w:val="004C6644"/>
    <w:rsid w:val="004C74C2"/>
    <w:rsid w:val="004D0920"/>
    <w:rsid w:val="004D2C2D"/>
    <w:rsid w:val="004D348A"/>
    <w:rsid w:val="004D6622"/>
    <w:rsid w:val="004D69B5"/>
    <w:rsid w:val="004D7227"/>
    <w:rsid w:val="004D7B5E"/>
    <w:rsid w:val="004E0E7F"/>
    <w:rsid w:val="004E0EB8"/>
    <w:rsid w:val="004E18E9"/>
    <w:rsid w:val="004E2ADC"/>
    <w:rsid w:val="004E3186"/>
    <w:rsid w:val="004E43B2"/>
    <w:rsid w:val="004E5380"/>
    <w:rsid w:val="004E6154"/>
    <w:rsid w:val="004E7A54"/>
    <w:rsid w:val="004F0861"/>
    <w:rsid w:val="004F0BA7"/>
    <w:rsid w:val="004F12AD"/>
    <w:rsid w:val="004F1D02"/>
    <w:rsid w:val="004F2679"/>
    <w:rsid w:val="004F2F21"/>
    <w:rsid w:val="004F3D14"/>
    <w:rsid w:val="004F3DE5"/>
    <w:rsid w:val="004F4338"/>
    <w:rsid w:val="004F46AE"/>
    <w:rsid w:val="004F52B2"/>
    <w:rsid w:val="004F6913"/>
    <w:rsid w:val="004F7865"/>
    <w:rsid w:val="004F7CF2"/>
    <w:rsid w:val="00500863"/>
    <w:rsid w:val="0050174E"/>
    <w:rsid w:val="00501854"/>
    <w:rsid w:val="0050219B"/>
    <w:rsid w:val="005023E3"/>
    <w:rsid w:val="00503F17"/>
    <w:rsid w:val="00503F3A"/>
    <w:rsid w:val="00505A20"/>
    <w:rsid w:val="00506928"/>
    <w:rsid w:val="005075E7"/>
    <w:rsid w:val="005077EF"/>
    <w:rsid w:val="00510660"/>
    <w:rsid w:val="00511338"/>
    <w:rsid w:val="005119EF"/>
    <w:rsid w:val="00511AD5"/>
    <w:rsid w:val="00511D95"/>
    <w:rsid w:val="00511DC7"/>
    <w:rsid w:val="005123EC"/>
    <w:rsid w:val="005142C5"/>
    <w:rsid w:val="005147E0"/>
    <w:rsid w:val="005149D4"/>
    <w:rsid w:val="0051501B"/>
    <w:rsid w:val="005152B5"/>
    <w:rsid w:val="00515886"/>
    <w:rsid w:val="005170D9"/>
    <w:rsid w:val="0052123C"/>
    <w:rsid w:val="00521319"/>
    <w:rsid w:val="00522919"/>
    <w:rsid w:val="005229E7"/>
    <w:rsid w:val="00522BC8"/>
    <w:rsid w:val="00523C28"/>
    <w:rsid w:val="005254C4"/>
    <w:rsid w:val="00530467"/>
    <w:rsid w:val="00531306"/>
    <w:rsid w:val="0053176B"/>
    <w:rsid w:val="005322CB"/>
    <w:rsid w:val="0053235F"/>
    <w:rsid w:val="005341B3"/>
    <w:rsid w:val="005343F8"/>
    <w:rsid w:val="005356B2"/>
    <w:rsid w:val="00536F42"/>
    <w:rsid w:val="00537182"/>
    <w:rsid w:val="00537D8A"/>
    <w:rsid w:val="005400E7"/>
    <w:rsid w:val="00541EDD"/>
    <w:rsid w:val="00542743"/>
    <w:rsid w:val="00542C2D"/>
    <w:rsid w:val="005444DB"/>
    <w:rsid w:val="005446E5"/>
    <w:rsid w:val="00544ADF"/>
    <w:rsid w:val="00544CED"/>
    <w:rsid w:val="00544E47"/>
    <w:rsid w:val="005478BD"/>
    <w:rsid w:val="005479E3"/>
    <w:rsid w:val="00551985"/>
    <w:rsid w:val="00552BD3"/>
    <w:rsid w:val="005532A0"/>
    <w:rsid w:val="005538F1"/>
    <w:rsid w:val="00555109"/>
    <w:rsid w:val="00556AFD"/>
    <w:rsid w:val="00556B35"/>
    <w:rsid w:val="0055706B"/>
    <w:rsid w:val="0055741A"/>
    <w:rsid w:val="005611B7"/>
    <w:rsid w:val="005618D4"/>
    <w:rsid w:val="00562675"/>
    <w:rsid w:val="00562F25"/>
    <w:rsid w:val="00564867"/>
    <w:rsid w:val="00564987"/>
    <w:rsid w:val="00565C79"/>
    <w:rsid w:val="00565DF0"/>
    <w:rsid w:val="0056696F"/>
    <w:rsid w:val="00567CE6"/>
    <w:rsid w:val="0057034D"/>
    <w:rsid w:val="00572269"/>
    <w:rsid w:val="0057244A"/>
    <w:rsid w:val="00572F26"/>
    <w:rsid w:val="005750C5"/>
    <w:rsid w:val="005752DE"/>
    <w:rsid w:val="00575544"/>
    <w:rsid w:val="00575AA1"/>
    <w:rsid w:val="00575D60"/>
    <w:rsid w:val="00575D8D"/>
    <w:rsid w:val="005765A1"/>
    <w:rsid w:val="005766D8"/>
    <w:rsid w:val="00576972"/>
    <w:rsid w:val="00577248"/>
    <w:rsid w:val="00580067"/>
    <w:rsid w:val="00580DED"/>
    <w:rsid w:val="00581DE6"/>
    <w:rsid w:val="00583699"/>
    <w:rsid w:val="005850E7"/>
    <w:rsid w:val="00585CDD"/>
    <w:rsid w:val="00587058"/>
    <w:rsid w:val="00591957"/>
    <w:rsid w:val="00591D82"/>
    <w:rsid w:val="00592281"/>
    <w:rsid w:val="0059458F"/>
    <w:rsid w:val="0059479A"/>
    <w:rsid w:val="0059578C"/>
    <w:rsid w:val="00596314"/>
    <w:rsid w:val="00597BD5"/>
    <w:rsid w:val="00597BF9"/>
    <w:rsid w:val="00597C66"/>
    <w:rsid w:val="005A0C11"/>
    <w:rsid w:val="005A0E60"/>
    <w:rsid w:val="005A17B0"/>
    <w:rsid w:val="005A275F"/>
    <w:rsid w:val="005A309A"/>
    <w:rsid w:val="005A373D"/>
    <w:rsid w:val="005A474C"/>
    <w:rsid w:val="005B0B58"/>
    <w:rsid w:val="005B1707"/>
    <w:rsid w:val="005B1D0E"/>
    <w:rsid w:val="005B25CE"/>
    <w:rsid w:val="005B4E53"/>
    <w:rsid w:val="005B5857"/>
    <w:rsid w:val="005B698F"/>
    <w:rsid w:val="005B705E"/>
    <w:rsid w:val="005B76EA"/>
    <w:rsid w:val="005B7F92"/>
    <w:rsid w:val="005C19C4"/>
    <w:rsid w:val="005C1B83"/>
    <w:rsid w:val="005C20EC"/>
    <w:rsid w:val="005C25FF"/>
    <w:rsid w:val="005C2B82"/>
    <w:rsid w:val="005C2D55"/>
    <w:rsid w:val="005C346B"/>
    <w:rsid w:val="005C416E"/>
    <w:rsid w:val="005C41A7"/>
    <w:rsid w:val="005C5ABC"/>
    <w:rsid w:val="005C627C"/>
    <w:rsid w:val="005C671D"/>
    <w:rsid w:val="005C6A76"/>
    <w:rsid w:val="005D044D"/>
    <w:rsid w:val="005D0ABD"/>
    <w:rsid w:val="005D18AD"/>
    <w:rsid w:val="005D1E40"/>
    <w:rsid w:val="005D1FDC"/>
    <w:rsid w:val="005D2055"/>
    <w:rsid w:val="005D25B1"/>
    <w:rsid w:val="005D26B4"/>
    <w:rsid w:val="005D6D4E"/>
    <w:rsid w:val="005D7099"/>
    <w:rsid w:val="005D79E1"/>
    <w:rsid w:val="005E0427"/>
    <w:rsid w:val="005E0AF3"/>
    <w:rsid w:val="005E0EED"/>
    <w:rsid w:val="005E1995"/>
    <w:rsid w:val="005E1A09"/>
    <w:rsid w:val="005E1E65"/>
    <w:rsid w:val="005E43BD"/>
    <w:rsid w:val="005E4E75"/>
    <w:rsid w:val="005E6581"/>
    <w:rsid w:val="005E6CBC"/>
    <w:rsid w:val="005E72FF"/>
    <w:rsid w:val="005E73C0"/>
    <w:rsid w:val="005F07ED"/>
    <w:rsid w:val="005F0F81"/>
    <w:rsid w:val="005F1644"/>
    <w:rsid w:val="005F2380"/>
    <w:rsid w:val="005F2706"/>
    <w:rsid w:val="005F4B0C"/>
    <w:rsid w:val="005F57F6"/>
    <w:rsid w:val="005F6A8F"/>
    <w:rsid w:val="005F6BB7"/>
    <w:rsid w:val="005F6E46"/>
    <w:rsid w:val="005F7588"/>
    <w:rsid w:val="005F78F2"/>
    <w:rsid w:val="006007A0"/>
    <w:rsid w:val="00603DB9"/>
    <w:rsid w:val="00605171"/>
    <w:rsid w:val="006056D6"/>
    <w:rsid w:val="00606FBA"/>
    <w:rsid w:val="00607529"/>
    <w:rsid w:val="00607669"/>
    <w:rsid w:val="006076F4"/>
    <w:rsid w:val="00607AFD"/>
    <w:rsid w:val="006104B9"/>
    <w:rsid w:val="00611B12"/>
    <w:rsid w:val="00612F97"/>
    <w:rsid w:val="0061345D"/>
    <w:rsid w:val="00613F3A"/>
    <w:rsid w:val="0061549B"/>
    <w:rsid w:val="0061620E"/>
    <w:rsid w:val="00616802"/>
    <w:rsid w:val="00617E12"/>
    <w:rsid w:val="00620C25"/>
    <w:rsid w:val="00621477"/>
    <w:rsid w:val="006218EE"/>
    <w:rsid w:val="00621ADA"/>
    <w:rsid w:val="006222B9"/>
    <w:rsid w:val="00623D07"/>
    <w:rsid w:val="00623F7B"/>
    <w:rsid w:val="00624BD4"/>
    <w:rsid w:val="00624E2C"/>
    <w:rsid w:val="0062584B"/>
    <w:rsid w:val="00625B8D"/>
    <w:rsid w:val="00625FAB"/>
    <w:rsid w:val="00625FDA"/>
    <w:rsid w:val="00630CA1"/>
    <w:rsid w:val="00630E32"/>
    <w:rsid w:val="0063158F"/>
    <w:rsid w:val="00631D6B"/>
    <w:rsid w:val="00632183"/>
    <w:rsid w:val="006330A1"/>
    <w:rsid w:val="0063479F"/>
    <w:rsid w:val="006353F0"/>
    <w:rsid w:val="006357B5"/>
    <w:rsid w:val="006364A1"/>
    <w:rsid w:val="0063678E"/>
    <w:rsid w:val="00637736"/>
    <w:rsid w:val="00637BFD"/>
    <w:rsid w:val="00637C5C"/>
    <w:rsid w:val="00640E94"/>
    <w:rsid w:val="00641C4E"/>
    <w:rsid w:val="00641FB3"/>
    <w:rsid w:val="00642D17"/>
    <w:rsid w:val="006440EC"/>
    <w:rsid w:val="0064434C"/>
    <w:rsid w:val="0064465A"/>
    <w:rsid w:val="00646049"/>
    <w:rsid w:val="00646849"/>
    <w:rsid w:val="006471CC"/>
    <w:rsid w:val="006472FE"/>
    <w:rsid w:val="00647A29"/>
    <w:rsid w:val="0065079F"/>
    <w:rsid w:val="00652A28"/>
    <w:rsid w:val="00653261"/>
    <w:rsid w:val="0065379F"/>
    <w:rsid w:val="0065385C"/>
    <w:rsid w:val="00654E0E"/>
    <w:rsid w:val="00656188"/>
    <w:rsid w:val="0065715A"/>
    <w:rsid w:val="0066059E"/>
    <w:rsid w:val="00660A08"/>
    <w:rsid w:val="006610F1"/>
    <w:rsid w:val="00661C6B"/>
    <w:rsid w:val="00662D3E"/>
    <w:rsid w:val="006638A1"/>
    <w:rsid w:val="00663FA0"/>
    <w:rsid w:val="00665C65"/>
    <w:rsid w:val="0066758C"/>
    <w:rsid w:val="00667BE3"/>
    <w:rsid w:val="00671004"/>
    <w:rsid w:val="006722B1"/>
    <w:rsid w:val="00672646"/>
    <w:rsid w:val="00672A92"/>
    <w:rsid w:val="00674218"/>
    <w:rsid w:val="0067448F"/>
    <w:rsid w:val="00674E42"/>
    <w:rsid w:val="00676563"/>
    <w:rsid w:val="0068055C"/>
    <w:rsid w:val="00680B14"/>
    <w:rsid w:val="006813F8"/>
    <w:rsid w:val="00682112"/>
    <w:rsid w:val="00682BA6"/>
    <w:rsid w:val="00683572"/>
    <w:rsid w:val="00684A5C"/>
    <w:rsid w:val="00686957"/>
    <w:rsid w:val="006872BA"/>
    <w:rsid w:val="006878E1"/>
    <w:rsid w:val="00690795"/>
    <w:rsid w:val="00691648"/>
    <w:rsid w:val="006917D7"/>
    <w:rsid w:val="0069427B"/>
    <w:rsid w:val="0069434C"/>
    <w:rsid w:val="00694998"/>
    <w:rsid w:val="00694F44"/>
    <w:rsid w:val="00696591"/>
    <w:rsid w:val="00696EF9"/>
    <w:rsid w:val="00696F51"/>
    <w:rsid w:val="006979A5"/>
    <w:rsid w:val="006A016F"/>
    <w:rsid w:val="006A0744"/>
    <w:rsid w:val="006A0A7C"/>
    <w:rsid w:val="006A0DF7"/>
    <w:rsid w:val="006A371B"/>
    <w:rsid w:val="006A3F39"/>
    <w:rsid w:val="006A4321"/>
    <w:rsid w:val="006A43D9"/>
    <w:rsid w:val="006A6B99"/>
    <w:rsid w:val="006A7A22"/>
    <w:rsid w:val="006A7E5F"/>
    <w:rsid w:val="006B088A"/>
    <w:rsid w:val="006B09A9"/>
    <w:rsid w:val="006B0E5B"/>
    <w:rsid w:val="006B261B"/>
    <w:rsid w:val="006B2C90"/>
    <w:rsid w:val="006B35E6"/>
    <w:rsid w:val="006B465A"/>
    <w:rsid w:val="006B4C0E"/>
    <w:rsid w:val="006B6DBD"/>
    <w:rsid w:val="006B6DD0"/>
    <w:rsid w:val="006C0399"/>
    <w:rsid w:val="006C0EBC"/>
    <w:rsid w:val="006C1F5C"/>
    <w:rsid w:val="006C207A"/>
    <w:rsid w:val="006C2375"/>
    <w:rsid w:val="006C2A8E"/>
    <w:rsid w:val="006C2C31"/>
    <w:rsid w:val="006C3181"/>
    <w:rsid w:val="006C3255"/>
    <w:rsid w:val="006C3F26"/>
    <w:rsid w:val="006D0D17"/>
    <w:rsid w:val="006D26AB"/>
    <w:rsid w:val="006D275F"/>
    <w:rsid w:val="006D3275"/>
    <w:rsid w:val="006D3C7D"/>
    <w:rsid w:val="006D44D7"/>
    <w:rsid w:val="006D4659"/>
    <w:rsid w:val="006D4B9B"/>
    <w:rsid w:val="006D5D5F"/>
    <w:rsid w:val="006D6593"/>
    <w:rsid w:val="006D68FB"/>
    <w:rsid w:val="006E17EA"/>
    <w:rsid w:val="006E2868"/>
    <w:rsid w:val="006E2EE9"/>
    <w:rsid w:val="006E32E0"/>
    <w:rsid w:val="006F04BF"/>
    <w:rsid w:val="006F0E17"/>
    <w:rsid w:val="006F2456"/>
    <w:rsid w:val="006F306C"/>
    <w:rsid w:val="006F49F6"/>
    <w:rsid w:val="006F63A5"/>
    <w:rsid w:val="0070142B"/>
    <w:rsid w:val="0070276E"/>
    <w:rsid w:val="00702F8F"/>
    <w:rsid w:val="00703AA6"/>
    <w:rsid w:val="0070415C"/>
    <w:rsid w:val="00704F0A"/>
    <w:rsid w:val="00705E87"/>
    <w:rsid w:val="007079FC"/>
    <w:rsid w:val="00707A6B"/>
    <w:rsid w:val="00710058"/>
    <w:rsid w:val="007105C9"/>
    <w:rsid w:val="00711078"/>
    <w:rsid w:val="00711A36"/>
    <w:rsid w:val="007123E5"/>
    <w:rsid w:val="007125D3"/>
    <w:rsid w:val="0071327D"/>
    <w:rsid w:val="00714742"/>
    <w:rsid w:val="00714C26"/>
    <w:rsid w:val="0071529C"/>
    <w:rsid w:val="0071626A"/>
    <w:rsid w:val="007165F7"/>
    <w:rsid w:val="007170DA"/>
    <w:rsid w:val="007172AD"/>
    <w:rsid w:val="00717546"/>
    <w:rsid w:val="00720750"/>
    <w:rsid w:val="00720801"/>
    <w:rsid w:val="00720DDF"/>
    <w:rsid w:val="00722B1B"/>
    <w:rsid w:val="007233C8"/>
    <w:rsid w:val="0072416F"/>
    <w:rsid w:val="00726597"/>
    <w:rsid w:val="007268A6"/>
    <w:rsid w:val="00727C94"/>
    <w:rsid w:val="00727EFB"/>
    <w:rsid w:val="00731B0A"/>
    <w:rsid w:val="00731EAE"/>
    <w:rsid w:val="00732CFD"/>
    <w:rsid w:val="00733073"/>
    <w:rsid w:val="0073354D"/>
    <w:rsid w:val="00734705"/>
    <w:rsid w:val="00735033"/>
    <w:rsid w:val="00735328"/>
    <w:rsid w:val="0073685B"/>
    <w:rsid w:val="00740754"/>
    <w:rsid w:val="0074132B"/>
    <w:rsid w:val="00741B73"/>
    <w:rsid w:val="00743093"/>
    <w:rsid w:val="007449BF"/>
    <w:rsid w:val="00745393"/>
    <w:rsid w:val="007458E7"/>
    <w:rsid w:val="00745E1F"/>
    <w:rsid w:val="007463FE"/>
    <w:rsid w:val="00746BC0"/>
    <w:rsid w:val="0074732A"/>
    <w:rsid w:val="00747F5D"/>
    <w:rsid w:val="007510B4"/>
    <w:rsid w:val="007516BE"/>
    <w:rsid w:val="00752142"/>
    <w:rsid w:val="0075228F"/>
    <w:rsid w:val="007523F9"/>
    <w:rsid w:val="00752712"/>
    <w:rsid w:val="00752935"/>
    <w:rsid w:val="0075357E"/>
    <w:rsid w:val="007535E4"/>
    <w:rsid w:val="00753705"/>
    <w:rsid w:val="00753B29"/>
    <w:rsid w:val="00755A4B"/>
    <w:rsid w:val="00755AA4"/>
    <w:rsid w:val="00756AE0"/>
    <w:rsid w:val="007573E8"/>
    <w:rsid w:val="007600B4"/>
    <w:rsid w:val="00760779"/>
    <w:rsid w:val="00760C4E"/>
    <w:rsid w:val="00760F9E"/>
    <w:rsid w:val="007616E6"/>
    <w:rsid w:val="007627BE"/>
    <w:rsid w:val="00763C44"/>
    <w:rsid w:val="00764F03"/>
    <w:rsid w:val="0076500C"/>
    <w:rsid w:val="00765077"/>
    <w:rsid w:val="00765421"/>
    <w:rsid w:val="00765B1A"/>
    <w:rsid w:val="00765DC1"/>
    <w:rsid w:val="00765E83"/>
    <w:rsid w:val="00766103"/>
    <w:rsid w:val="00767449"/>
    <w:rsid w:val="00772C7F"/>
    <w:rsid w:val="00772CFC"/>
    <w:rsid w:val="00777335"/>
    <w:rsid w:val="00777D51"/>
    <w:rsid w:val="0078190B"/>
    <w:rsid w:val="00782B43"/>
    <w:rsid w:val="00782E5E"/>
    <w:rsid w:val="00784099"/>
    <w:rsid w:val="007843F2"/>
    <w:rsid w:val="007846FA"/>
    <w:rsid w:val="00785A23"/>
    <w:rsid w:val="00785A9F"/>
    <w:rsid w:val="00787EA3"/>
    <w:rsid w:val="00792117"/>
    <w:rsid w:val="007925DF"/>
    <w:rsid w:val="0079379C"/>
    <w:rsid w:val="00794DC4"/>
    <w:rsid w:val="007960D3"/>
    <w:rsid w:val="007975FB"/>
    <w:rsid w:val="007A08AA"/>
    <w:rsid w:val="007A0A12"/>
    <w:rsid w:val="007A132D"/>
    <w:rsid w:val="007A1345"/>
    <w:rsid w:val="007A1F1C"/>
    <w:rsid w:val="007A2DDB"/>
    <w:rsid w:val="007A3328"/>
    <w:rsid w:val="007A4697"/>
    <w:rsid w:val="007A4DD9"/>
    <w:rsid w:val="007A70BA"/>
    <w:rsid w:val="007B0D68"/>
    <w:rsid w:val="007B0E61"/>
    <w:rsid w:val="007B251D"/>
    <w:rsid w:val="007B2B32"/>
    <w:rsid w:val="007B3533"/>
    <w:rsid w:val="007B3878"/>
    <w:rsid w:val="007B3EF5"/>
    <w:rsid w:val="007B408B"/>
    <w:rsid w:val="007B48A1"/>
    <w:rsid w:val="007B48E5"/>
    <w:rsid w:val="007B4F58"/>
    <w:rsid w:val="007B528D"/>
    <w:rsid w:val="007B5738"/>
    <w:rsid w:val="007B5BEA"/>
    <w:rsid w:val="007B63CA"/>
    <w:rsid w:val="007B77D1"/>
    <w:rsid w:val="007C07C7"/>
    <w:rsid w:val="007C0D91"/>
    <w:rsid w:val="007C1CD9"/>
    <w:rsid w:val="007C2050"/>
    <w:rsid w:val="007C32EF"/>
    <w:rsid w:val="007C361D"/>
    <w:rsid w:val="007C4B84"/>
    <w:rsid w:val="007C70FF"/>
    <w:rsid w:val="007C7C25"/>
    <w:rsid w:val="007D004F"/>
    <w:rsid w:val="007D035F"/>
    <w:rsid w:val="007D06B2"/>
    <w:rsid w:val="007D0849"/>
    <w:rsid w:val="007D0B38"/>
    <w:rsid w:val="007D1ADE"/>
    <w:rsid w:val="007D27E6"/>
    <w:rsid w:val="007D383E"/>
    <w:rsid w:val="007D5440"/>
    <w:rsid w:val="007D69EB"/>
    <w:rsid w:val="007D7BEC"/>
    <w:rsid w:val="007E0C7C"/>
    <w:rsid w:val="007E128F"/>
    <w:rsid w:val="007E1885"/>
    <w:rsid w:val="007E2835"/>
    <w:rsid w:val="007E2AA3"/>
    <w:rsid w:val="007E3687"/>
    <w:rsid w:val="007F031E"/>
    <w:rsid w:val="007F0621"/>
    <w:rsid w:val="007F1017"/>
    <w:rsid w:val="007F19CD"/>
    <w:rsid w:val="007F450C"/>
    <w:rsid w:val="007F4A3F"/>
    <w:rsid w:val="007F4A61"/>
    <w:rsid w:val="007F5255"/>
    <w:rsid w:val="007F56CC"/>
    <w:rsid w:val="007F59F1"/>
    <w:rsid w:val="007F6073"/>
    <w:rsid w:val="007F61C2"/>
    <w:rsid w:val="007F6F2F"/>
    <w:rsid w:val="0080084B"/>
    <w:rsid w:val="00801E8F"/>
    <w:rsid w:val="00802058"/>
    <w:rsid w:val="008048E8"/>
    <w:rsid w:val="00805142"/>
    <w:rsid w:val="00805FCE"/>
    <w:rsid w:val="00807A8B"/>
    <w:rsid w:val="00807CA1"/>
    <w:rsid w:val="00810CA6"/>
    <w:rsid w:val="00811383"/>
    <w:rsid w:val="00812149"/>
    <w:rsid w:val="00812CAC"/>
    <w:rsid w:val="00813C5F"/>
    <w:rsid w:val="008144ED"/>
    <w:rsid w:val="00816361"/>
    <w:rsid w:val="008166EF"/>
    <w:rsid w:val="00816FEF"/>
    <w:rsid w:val="008203F1"/>
    <w:rsid w:val="00820A8C"/>
    <w:rsid w:val="008215FB"/>
    <w:rsid w:val="00821C21"/>
    <w:rsid w:val="008220CC"/>
    <w:rsid w:val="00823174"/>
    <w:rsid w:val="00824EB4"/>
    <w:rsid w:val="00825751"/>
    <w:rsid w:val="008264EB"/>
    <w:rsid w:val="008268CE"/>
    <w:rsid w:val="00827C23"/>
    <w:rsid w:val="00830B10"/>
    <w:rsid w:val="00833B05"/>
    <w:rsid w:val="008362B4"/>
    <w:rsid w:val="0083714E"/>
    <w:rsid w:val="00837BF8"/>
    <w:rsid w:val="00840CA2"/>
    <w:rsid w:val="00840E14"/>
    <w:rsid w:val="00840EB2"/>
    <w:rsid w:val="00842A32"/>
    <w:rsid w:val="0084374F"/>
    <w:rsid w:val="00844A22"/>
    <w:rsid w:val="00846020"/>
    <w:rsid w:val="00846C0A"/>
    <w:rsid w:val="00846EA0"/>
    <w:rsid w:val="00847703"/>
    <w:rsid w:val="00847A2D"/>
    <w:rsid w:val="00847C49"/>
    <w:rsid w:val="00847DF5"/>
    <w:rsid w:val="008506A3"/>
    <w:rsid w:val="0085195B"/>
    <w:rsid w:val="0085202A"/>
    <w:rsid w:val="0085309D"/>
    <w:rsid w:val="008536F1"/>
    <w:rsid w:val="008555E5"/>
    <w:rsid w:val="00855B1F"/>
    <w:rsid w:val="00856897"/>
    <w:rsid w:val="00856E9A"/>
    <w:rsid w:val="0086075D"/>
    <w:rsid w:val="00862502"/>
    <w:rsid w:val="00862C04"/>
    <w:rsid w:val="00862CC1"/>
    <w:rsid w:val="008642A7"/>
    <w:rsid w:val="008647E6"/>
    <w:rsid w:val="0086481A"/>
    <w:rsid w:val="00864CCA"/>
    <w:rsid w:val="008660D4"/>
    <w:rsid w:val="00867644"/>
    <w:rsid w:val="00867F3F"/>
    <w:rsid w:val="00871FA9"/>
    <w:rsid w:val="008728E9"/>
    <w:rsid w:val="0087533F"/>
    <w:rsid w:val="00875B58"/>
    <w:rsid w:val="00875BCE"/>
    <w:rsid w:val="008800ED"/>
    <w:rsid w:val="00880417"/>
    <w:rsid w:val="00880795"/>
    <w:rsid w:val="00880AD6"/>
    <w:rsid w:val="00882874"/>
    <w:rsid w:val="00882AD3"/>
    <w:rsid w:val="00882B33"/>
    <w:rsid w:val="00882BE8"/>
    <w:rsid w:val="00882E3C"/>
    <w:rsid w:val="00882ED8"/>
    <w:rsid w:val="0088308A"/>
    <w:rsid w:val="00883787"/>
    <w:rsid w:val="008850E8"/>
    <w:rsid w:val="008855E4"/>
    <w:rsid w:val="00885CE2"/>
    <w:rsid w:val="008869C7"/>
    <w:rsid w:val="00886CD2"/>
    <w:rsid w:val="008873B5"/>
    <w:rsid w:val="00887BB9"/>
    <w:rsid w:val="00891E6F"/>
    <w:rsid w:val="0089275D"/>
    <w:rsid w:val="00892A36"/>
    <w:rsid w:val="00892ACB"/>
    <w:rsid w:val="00893239"/>
    <w:rsid w:val="00894365"/>
    <w:rsid w:val="00894489"/>
    <w:rsid w:val="00894CD6"/>
    <w:rsid w:val="00895BEB"/>
    <w:rsid w:val="008963A5"/>
    <w:rsid w:val="00896D5D"/>
    <w:rsid w:val="008A096F"/>
    <w:rsid w:val="008A0C30"/>
    <w:rsid w:val="008A1749"/>
    <w:rsid w:val="008A2801"/>
    <w:rsid w:val="008A30DA"/>
    <w:rsid w:val="008A3158"/>
    <w:rsid w:val="008A3363"/>
    <w:rsid w:val="008A3371"/>
    <w:rsid w:val="008A3C3E"/>
    <w:rsid w:val="008A5CFE"/>
    <w:rsid w:val="008A6192"/>
    <w:rsid w:val="008A758B"/>
    <w:rsid w:val="008A777F"/>
    <w:rsid w:val="008A79DE"/>
    <w:rsid w:val="008B08BB"/>
    <w:rsid w:val="008B1757"/>
    <w:rsid w:val="008B1C33"/>
    <w:rsid w:val="008B1D6B"/>
    <w:rsid w:val="008B245B"/>
    <w:rsid w:val="008B2B89"/>
    <w:rsid w:val="008B4B6F"/>
    <w:rsid w:val="008B703A"/>
    <w:rsid w:val="008B7992"/>
    <w:rsid w:val="008B7D7E"/>
    <w:rsid w:val="008C391B"/>
    <w:rsid w:val="008C511B"/>
    <w:rsid w:val="008C5610"/>
    <w:rsid w:val="008C5739"/>
    <w:rsid w:val="008C7282"/>
    <w:rsid w:val="008C7901"/>
    <w:rsid w:val="008C7ECB"/>
    <w:rsid w:val="008D14D7"/>
    <w:rsid w:val="008D1ED0"/>
    <w:rsid w:val="008D3401"/>
    <w:rsid w:val="008D3A19"/>
    <w:rsid w:val="008D3B86"/>
    <w:rsid w:val="008D43FD"/>
    <w:rsid w:val="008D4755"/>
    <w:rsid w:val="008D4C3D"/>
    <w:rsid w:val="008D743C"/>
    <w:rsid w:val="008E055C"/>
    <w:rsid w:val="008E0D3C"/>
    <w:rsid w:val="008E1AA4"/>
    <w:rsid w:val="008E1B9E"/>
    <w:rsid w:val="008E1E58"/>
    <w:rsid w:val="008E466E"/>
    <w:rsid w:val="008E55AB"/>
    <w:rsid w:val="008E64C8"/>
    <w:rsid w:val="008F00FD"/>
    <w:rsid w:val="008F120A"/>
    <w:rsid w:val="008F20B4"/>
    <w:rsid w:val="008F27E0"/>
    <w:rsid w:val="008F48EB"/>
    <w:rsid w:val="008F4968"/>
    <w:rsid w:val="008F4E22"/>
    <w:rsid w:val="008F4F0B"/>
    <w:rsid w:val="008F70E7"/>
    <w:rsid w:val="0090090C"/>
    <w:rsid w:val="0090169B"/>
    <w:rsid w:val="009046C4"/>
    <w:rsid w:val="009051E0"/>
    <w:rsid w:val="009051E1"/>
    <w:rsid w:val="00905CC0"/>
    <w:rsid w:val="009062A5"/>
    <w:rsid w:val="009065D2"/>
    <w:rsid w:val="00907699"/>
    <w:rsid w:val="00910FA7"/>
    <w:rsid w:val="00911272"/>
    <w:rsid w:val="00911339"/>
    <w:rsid w:val="009118D1"/>
    <w:rsid w:val="00912D81"/>
    <w:rsid w:val="009135D6"/>
    <w:rsid w:val="00914307"/>
    <w:rsid w:val="00914C77"/>
    <w:rsid w:val="00916629"/>
    <w:rsid w:val="009169D9"/>
    <w:rsid w:val="00921ACB"/>
    <w:rsid w:val="0092369B"/>
    <w:rsid w:val="00925049"/>
    <w:rsid w:val="00926051"/>
    <w:rsid w:val="00927548"/>
    <w:rsid w:val="00931F9D"/>
    <w:rsid w:val="00934988"/>
    <w:rsid w:val="0093508C"/>
    <w:rsid w:val="00936115"/>
    <w:rsid w:val="00936DDA"/>
    <w:rsid w:val="00937089"/>
    <w:rsid w:val="00941DC7"/>
    <w:rsid w:val="009444C2"/>
    <w:rsid w:val="00944F8A"/>
    <w:rsid w:val="00945D21"/>
    <w:rsid w:val="0094704B"/>
    <w:rsid w:val="009510A2"/>
    <w:rsid w:val="00953257"/>
    <w:rsid w:val="00953B26"/>
    <w:rsid w:val="00953FF5"/>
    <w:rsid w:val="0095474C"/>
    <w:rsid w:val="00954B79"/>
    <w:rsid w:val="00955C20"/>
    <w:rsid w:val="00956634"/>
    <w:rsid w:val="00957D92"/>
    <w:rsid w:val="00960344"/>
    <w:rsid w:val="009604B5"/>
    <w:rsid w:val="0096105A"/>
    <w:rsid w:val="00961730"/>
    <w:rsid w:val="00962CB9"/>
    <w:rsid w:val="00964070"/>
    <w:rsid w:val="00964312"/>
    <w:rsid w:val="00964E0A"/>
    <w:rsid w:val="00965B8A"/>
    <w:rsid w:val="00966969"/>
    <w:rsid w:val="00966C19"/>
    <w:rsid w:val="0097071F"/>
    <w:rsid w:val="009709A9"/>
    <w:rsid w:val="00970BA7"/>
    <w:rsid w:val="009717AC"/>
    <w:rsid w:val="009717C7"/>
    <w:rsid w:val="00971831"/>
    <w:rsid w:val="00971E75"/>
    <w:rsid w:val="009727E6"/>
    <w:rsid w:val="00972E4E"/>
    <w:rsid w:val="009740E9"/>
    <w:rsid w:val="00974380"/>
    <w:rsid w:val="009751C1"/>
    <w:rsid w:val="0097634B"/>
    <w:rsid w:val="00980B9B"/>
    <w:rsid w:val="009811F1"/>
    <w:rsid w:val="00983E57"/>
    <w:rsid w:val="00985DD2"/>
    <w:rsid w:val="00985DE2"/>
    <w:rsid w:val="0098663B"/>
    <w:rsid w:val="0098675D"/>
    <w:rsid w:val="00987BA4"/>
    <w:rsid w:val="009920CA"/>
    <w:rsid w:val="009926E0"/>
    <w:rsid w:val="0099279E"/>
    <w:rsid w:val="0099451E"/>
    <w:rsid w:val="00996B1A"/>
    <w:rsid w:val="00997F09"/>
    <w:rsid w:val="009A007D"/>
    <w:rsid w:val="009A03BF"/>
    <w:rsid w:val="009A062B"/>
    <w:rsid w:val="009A18F6"/>
    <w:rsid w:val="009A22B5"/>
    <w:rsid w:val="009A253F"/>
    <w:rsid w:val="009A2C81"/>
    <w:rsid w:val="009A2DCC"/>
    <w:rsid w:val="009A2F61"/>
    <w:rsid w:val="009A321C"/>
    <w:rsid w:val="009A464E"/>
    <w:rsid w:val="009A5563"/>
    <w:rsid w:val="009A579A"/>
    <w:rsid w:val="009A5ABC"/>
    <w:rsid w:val="009A5FF5"/>
    <w:rsid w:val="009A7377"/>
    <w:rsid w:val="009A7F10"/>
    <w:rsid w:val="009B0A47"/>
    <w:rsid w:val="009B3E26"/>
    <w:rsid w:val="009B3FAF"/>
    <w:rsid w:val="009B62A1"/>
    <w:rsid w:val="009B7A30"/>
    <w:rsid w:val="009C1271"/>
    <w:rsid w:val="009C2574"/>
    <w:rsid w:val="009C3706"/>
    <w:rsid w:val="009C3A3A"/>
    <w:rsid w:val="009C6AE9"/>
    <w:rsid w:val="009C6CEA"/>
    <w:rsid w:val="009C7B85"/>
    <w:rsid w:val="009D0254"/>
    <w:rsid w:val="009D1867"/>
    <w:rsid w:val="009D1956"/>
    <w:rsid w:val="009D1A64"/>
    <w:rsid w:val="009D28A4"/>
    <w:rsid w:val="009D3541"/>
    <w:rsid w:val="009D4BF5"/>
    <w:rsid w:val="009D5B91"/>
    <w:rsid w:val="009D72D9"/>
    <w:rsid w:val="009D792E"/>
    <w:rsid w:val="009E08DC"/>
    <w:rsid w:val="009E0DFE"/>
    <w:rsid w:val="009E1AF3"/>
    <w:rsid w:val="009E1CBF"/>
    <w:rsid w:val="009E31F6"/>
    <w:rsid w:val="009E4C07"/>
    <w:rsid w:val="009E57C4"/>
    <w:rsid w:val="009E777F"/>
    <w:rsid w:val="009F03CB"/>
    <w:rsid w:val="009F1497"/>
    <w:rsid w:val="009F1569"/>
    <w:rsid w:val="009F353D"/>
    <w:rsid w:val="009F579E"/>
    <w:rsid w:val="009F5C17"/>
    <w:rsid w:val="009F6120"/>
    <w:rsid w:val="009F67B6"/>
    <w:rsid w:val="009F701B"/>
    <w:rsid w:val="00A00A2C"/>
    <w:rsid w:val="00A00D76"/>
    <w:rsid w:val="00A01184"/>
    <w:rsid w:val="00A01449"/>
    <w:rsid w:val="00A01E8E"/>
    <w:rsid w:val="00A037C2"/>
    <w:rsid w:val="00A03D43"/>
    <w:rsid w:val="00A04336"/>
    <w:rsid w:val="00A04380"/>
    <w:rsid w:val="00A04786"/>
    <w:rsid w:val="00A05472"/>
    <w:rsid w:val="00A05C32"/>
    <w:rsid w:val="00A0653F"/>
    <w:rsid w:val="00A078B0"/>
    <w:rsid w:val="00A07FC7"/>
    <w:rsid w:val="00A100C6"/>
    <w:rsid w:val="00A1196F"/>
    <w:rsid w:val="00A11CD0"/>
    <w:rsid w:val="00A13020"/>
    <w:rsid w:val="00A13948"/>
    <w:rsid w:val="00A13C18"/>
    <w:rsid w:val="00A15104"/>
    <w:rsid w:val="00A1555B"/>
    <w:rsid w:val="00A155C5"/>
    <w:rsid w:val="00A16AD8"/>
    <w:rsid w:val="00A16BF5"/>
    <w:rsid w:val="00A1786A"/>
    <w:rsid w:val="00A2021E"/>
    <w:rsid w:val="00A20326"/>
    <w:rsid w:val="00A20BC1"/>
    <w:rsid w:val="00A21C95"/>
    <w:rsid w:val="00A21CF3"/>
    <w:rsid w:val="00A21E77"/>
    <w:rsid w:val="00A24813"/>
    <w:rsid w:val="00A2551A"/>
    <w:rsid w:val="00A256D5"/>
    <w:rsid w:val="00A27AEC"/>
    <w:rsid w:val="00A3146B"/>
    <w:rsid w:val="00A31F9A"/>
    <w:rsid w:val="00A32020"/>
    <w:rsid w:val="00A320DB"/>
    <w:rsid w:val="00A32B50"/>
    <w:rsid w:val="00A32C2E"/>
    <w:rsid w:val="00A35D16"/>
    <w:rsid w:val="00A37B34"/>
    <w:rsid w:val="00A37BCD"/>
    <w:rsid w:val="00A41689"/>
    <w:rsid w:val="00A41DF7"/>
    <w:rsid w:val="00A41F50"/>
    <w:rsid w:val="00A42592"/>
    <w:rsid w:val="00A43C59"/>
    <w:rsid w:val="00A444B5"/>
    <w:rsid w:val="00A453BB"/>
    <w:rsid w:val="00A4578C"/>
    <w:rsid w:val="00A50143"/>
    <w:rsid w:val="00A50ECD"/>
    <w:rsid w:val="00A518F3"/>
    <w:rsid w:val="00A52729"/>
    <w:rsid w:val="00A53675"/>
    <w:rsid w:val="00A540FA"/>
    <w:rsid w:val="00A54362"/>
    <w:rsid w:val="00A556C5"/>
    <w:rsid w:val="00A55D74"/>
    <w:rsid w:val="00A561CB"/>
    <w:rsid w:val="00A563CA"/>
    <w:rsid w:val="00A564D7"/>
    <w:rsid w:val="00A56B6A"/>
    <w:rsid w:val="00A56BBC"/>
    <w:rsid w:val="00A578DC"/>
    <w:rsid w:val="00A57CA9"/>
    <w:rsid w:val="00A57F69"/>
    <w:rsid w:val="00A60344"/>
    <w:rsid w:val="00A6095E"/>
    <w:rsid w:val="00A61DA5"/>
    <w:rsid w:val="00A61E5C"/>
    <w:rsid w:val="00A63EBE"/>
    <w:rsid w:val="00A640E2"/>
    <w:rsid w:val="00A64D65"/>
    <w:rsid w:val="00A653FD"/>
    <w:rsid w:val="00A658A3"/>
    <w:rsid w:val="00A6620D"/>
    <w:rsid w:val="00A6725B"/>
    <w:rsid w:val="00A676D8"/>
    <w:rsid w:val="00A67C48"/>
    <w:rsid w:val="00A70605"/>
    <w:rsid w:val="00A728CD"/>
    <w:rsid w:val="00A729F9"/>
    <w:rsid w:val="00A73134"/>
    <w:rsid w:val="00A7365A"/>
    <w:rsid w:val="00A73775"/>
    <w:rsid w:val="00A74118"/>
    <w:rsid w:val="00A74FA7"/>
    <w:rsid w:val="00A76001"/>
    <w:rsid w:val="00A777B2"/>
    <w:rsid w:val="00A80833"/>
    <w:rsid w:val="00A80AF6"/>
    <w:rsid w:val="00A825D4"/>
    <w:rsid w:val="00A828F6"/>
    <w:rsid w:val="00A82B73"/>
    <w:rsid w:val="00A84A1E"/>
    <w:rsid w:val="00A8536A"/>
    <w:rsid w:val="00A85731"/>
    <w:rsid w:val="00A86E8B"/>
    <w:rsid w:val="00A87164"/>
    <w:rsid w:val="00A871A9"/>
    <w:rsid w:val="00A90049"/>
    <w:rsid w:val="00A91BBC"/>
    <w:rsid w:val="00A93072"/>
    <w:rsid w:val="00A938BD"/>
    <w:rsid w:val="00A93953"/>
    <w:rsid w:val="00A93A15"/>
    <w:rsid w:val="00A959D8"/>
    <w:rsid w:val="00A96242"/>
    <w:rsid w:val="00AA113D"/>
    <w:rsid w:val="00AA5249"/>
    <w:rsid w:val="00AA684B"/>
    <w:rsid w:val="00AA6BD5"/>
    <w:rsid w:val="00AA6BD8"/>
    <w:rsid w:val="00AA6C7D"/>
    <w:rsid w:val="00AA7FD6"/>
    <w:rsid w:val="00AB042A"/>
    <w:rsid w:val="00AB11AD"/>
    <w:rsid w:val="00AB19EF"/>
    <w:rsid w:val="00AB2495"/>
    <w:rsid w:val="00AB2D34"/>
    <w:rsid w:val="00AB3430"/>
    <w:rsid w:val="00AB37B9"/>
    <w:rsid w:val="00AB4AD1"/>
    <w:rsid w:val="00AB5E07"/>
    <w:rsid w:val="00AB6C89"/>
    <w:rsid w:val="00AB708F"/>
    <w:rsid w:val="00AB728A"/>
    <w:rsid w:val="00AB7CFA"/>
    <w:rsid w:val="00AC0C51"/>
    <w:rsid w:val="00AC2153"/>
    <w:rsid w:val="00AC2D16"/>
    <w:rsid w:val="00AC3873"/>
    <w:rsid w:val="00AC510A"/>
    <w:rsid w:val="00AC5B42"/>
    <w:rsid w:val="00AC5B48"/>
    <w:rsid w:val="00AC7B63"/>
    <w:rsid w:val="00AD03DE"/>
    <w:rsid w:val="00AD1450"/>
    <w:rsid w:val="00AD157E"/>
    <w:rsid w:val="00AD15E8"/>
    <w:rsid w:val="00AD1B7F"/>
    <w:rsid w:val="00AD3088"/>
    <w:rsid w:val="00AD356D"/>
    <w:rsid w:val="00AD4784"/>
    <w:rsid w:val="00AD4B73"/>
    <w:rsid w:val="00AD6502"/>
    <w:rsid w:val="00AE0695"/>
    <w:rsid w:val="00AE3C05"/>
    <w:rsid w:val="00AE3E7E"/>
    <w:rsid w:val="00AE43A0"/>
    <w:rsid w:val="00AE6FA1"/>
    <w:rsid w:val="00AE7E53"/>
    <w:rsid w:val="00AF1315"/>
    <w:rsid w:val="00AF19BF"/>
    <w:rsid w:val="00AF253B"/>
    <w:rsid w:val="00AF2A0A"/>
    <w:rsid w:val="00AF2DC3"/>
    <w:rsid w:val="00AF331E"/>
    <w:rsid w:val="00AF4709"/>
    <w:rsid w:val="00B033E5"/>
    <w:rsid w:val="00B03A63"/>
    <w:rsid w:val="00B046FF"/>
    <w:rsid w:val="00B0675E"/>
    <w:rsid w:val="00B06F8C"/>
    <w:rsid w:val="00B108D5"/>
    <w:rsid w:val="00B11258"/>
    <w:rsid w:val="00B11B5E"/>
    <w:rsid w:val="00B1224D"/>
    <w:rsid w:val="00B1286D"/>
    <w:rsid w:val="00B129A4"/>
    <w:rsid w:val="00B1473F"/>
    <w:rsid w:val="00B15A92"/>
    <w:rsid w:val="00B16C92"/>
    <w:rsid w:val="00B201A4"/>
    <w:rsid w:val="00B201D1"/>
    <w:rsid w:val="00B2051A"/>
    <w:rsid w:val="00B213A6"/>
    <w:rsid w:val="00B22EC7"/>
    <w:rsid w:val="00B2359E"/>
    <w:rsid w:val="00B235B0"/>
    <w:rsid w:val="00B24DF6"/>
    <w:rsid w:val="00B261D2"/>
    <w:rsid w:val="00B2691B"/>
    <w:rsid w:val="00B27A61"/>
    <w:rsid w:val="00B3082D"/>
    <w:rsid w:val="00B31D76"/>
    <w:rsid w:val="00B321F6"/>
    <w:rsid w:val="00B349ED"/>
    <w:rsid w:val="00B34FE2"/>
    <w:rsid w:val="00B35166"/>
    <w:rsid w:val="00B357D8"/>
    <w:rsid w:val="00B360F4"/>
    <w:rsid w:val="00B36A00"/>
    <w:rsid w:val="00B3792B"/>
    <w:rsid w:val="00B37BFC"/>
    <w:rsid w:val="00B402CC"/>
    <w:rsid w:val="00B40358"/>
    <w:rsid w:val="00B41614"/>
    <w:rsid w:val="00B42851"/>
    <w:rsid w:val="00B42F80"/>
    <w:rsid w:val="00B4300C"/>
    <w:rsid w:val="00B435CB"/>
    <w:rsid w:val="00B4364E"/>
    <w:rsid w:val="00B4439F"/>
    <w:rsid w:val="00B456F6"/>
    <w:rsid w:val="00B465EC"/>
    <w:rsid w:val="00B505C8"/>
    <w:rsid w:val="00B50C3C"/>
    <w:rsid w:val="00B50DB8"/>
    <w:rsid w:val="00B524AE"/>
    <w:rsid w:val="00B52886"/>
    <w:rsid w:val="00B53654"/>
    <w:rsid w:val="00B53747"/>
    <w:rsid w:val="00B53905"/>
    <w:rsid w:val="00B53BF1"/>
    <w:rsid w:val="00B54264"/>
    <w:rsid w:val="00B546DB"/>
    <w:rsid w:val="00B54B5B"/>
    <w:rsid w:val="00B5562E"/>
    <w:rsid w:val="00B55862"/>
    <w:rsid w:val="00B55D65"/>
    <w:rsid w:val="00B562BC"/>
    <w:rsid w:val="00B56305"/>
    <w:rsid w:val="00B57000"/>
    <w:rsid w:val="00B60939"/>
    <w:rsid w:val="00B60AFD"/>
    <w:rsid w:val="00B61270"/>
    <w:rsid w:val="00B62715"/>
    <w:rsid w:val="00B630FB"/>
    <w:rsid w:val="00B65611"/>
    <w:rsid w:val="00B665A7"/>
    <w:rsid w:val="00B665BA"/>
    <w:rsid w:val="00B66882"/>
    <w:rsid w:val="00B67A51"/>
    <w:rsid w:val="00B708E4"/>
    <w:rsid w:val="00B70E8E"/>
    <w:rsid w:val="00B76C92"/>
    <w:rsid w:val="00B77DF9"/>
    <w:rsid w:val="00B807E8"/>
    <w:rsid w:val="00B80CF9"/>
    <w:rsid w:val="00B80EFD"/>
    <w:rsid w:val="00B818A4"/>
    <w:rsid w:val="00B83739"/>
    <w:rsid w:val="00B83816"/>
    <w:rsid w:val="00B83BF2"/>
    <w:rsid w:val="00B83CDA"/>
    <w:rsid w:val="00B84117"/>
    <w:rsid w:val="00B84637"/>
    <w:rsid w:val="00B851A1"/>
    <w:rsid w:val="00B858F0"/>
    <w:rsid w:val="00B85AA2"/>
    <w:rsid w:val="00B85C38"/>
    <w:rsid w:val="00B85FE6"/>
    <w:rsid w:val="00B8649C"/>
    <w:rsid w:val="00B864B0"/>
    <w:rsid w:val="00B8695D"/>
    <w:rsid w:val="00B87F0A"/>
    <w:rsid w:val="00B91F8F"/>
    <w:rsid w:val="00B92D0B"/>
    <w:rsid w:val="00B94945"/>
    <w:rsid w:val="00B94DD6"/>
    <w:rsid w:val="00B95703"/>
    <w:rsid w:val="00BA1C25"/>
    <w:rsid w:val="00BA2DF5"/>
    <w:rsid w:val="00BA322D"/>
    <w:rsid w:val="00BA63FA"/>
    <w:rsid w:val="00BA674C"/>
    <w:rsid w:val="00BA7653"/>
    <w:rsid w:val="00BB00B3"/>
    <w:rsid w:val="00BB09E1"/>
    <w:rsid w:val="00BB0BDD"/>
    <w:rsid w:val="00BB1157"/>
    <w:rsid w:val="00BB176C"/>
    <w:rsid w:val="00BB2A73"/>
    <w:rsid w:val="00BB3A45"/>
    <w:rsid w:val="00BB431D"/>
    <w:rsid w:val="00BB4ACC"/>
    <w:rsid w:val="00BB504E"/>
    <w:rsid w:val="00BB6A8A"/>
    <w:rsid w:val="00BB703E"/>
    <w:rsid w:val="00BB732D"/>
    <w:rsid w:val="00BB7405"/>
    <w:rsid w:val="00BC118E"/>
    <w:rsid w:val="00BC2F56"/>
    <w:rsid w:val="00BC3631"/>
    <w:rsid w:val="00BC3B89"/>
    <w:rsid w:val="00BC4BAC"/>
    <w:rsid w:val="00BC591F"/>
    <w:rsid w:val="00BC7D6D"/>
    <w:rsid w:val="00BD078C"/>
    <w:rsid w:val="00BD2108"/>
    <w:rsid w:val="00BD4D9D"/>
    <w:rsid w:val="00BD63A4"/>
    <w:rsid w:val="00BD6451"/>
    <w:rsid w:val="00BD64B9"/>
    <w:rsid w:val="00BD68A3"/>
    <w:rsid w:val="00BD6938"/>
    <w:rsid w:val="00BD6B69"/>
    <w:rsid w:val="00BD6CF3"/>
    <w:rsid w:val="00BD7F72"/>
    <w:rsid w:val="00BE0ECA"/>
    <w:rsid w:val="00BE2180"/>
    <w:rsid w:val="00BE21F2"/>
    <w:rsid w:val="00BE2DF3"/>
    <w:rsid w:val="00BE2F32"/>
    <w:rsid w:val="00BE3ACA"/>
    <w:rsid w:val="00BE4275"/>
    <w:rsid w:val="00BE4F4A"/>
    <w:rsid w:val="00BE7EAB"/>
    <w:rsid w:val="00BF01D0"/>
    <w:rsid w:val="00BF06AE"/>
    <w:rsid w:val="00BF0E89"/>
    <w:rsid w:val="00BF0F95"/>
    <w:rsid w:val="00BF2433"/>
    <w:rsid w:val="00BF25AD"/>
    <w:rsid w:val="00BF2E6E"/>
    <w:rsid w:val="00BF2E79"/>
    <w:rsid w:val="00BF61C9"/>
    <w:rsid w:val="00BF6C94"/>
    <w:rsid w:val="00BF7F34"/>
    <w:rsid w:val="00C00332"/>
    <w:rsid w:val="00C00424"/>
    <w:rsid w:val="00C0043D"/>
    <w:rsid w:val="00C00BB0"/>
    <w:rsid w:val="00C01C7E"/>
    <w:rsid w:val="00C01DDC"/>
    <w:rsid w:val="00C02189"/>
    <w:rsid w:val="00C068F9"/>
    <w:rsid w:val="00C06C9F"/>
    <w:rsid w:val="00C10360"/>
    <w:rsid w:val="00C10E7C"/>
    <w:rsid w:val="00C1179F"/>
    <w:rsid w:val="00C124CA"/>
    <w:rsid w:val="00C127B9"/>
    <w:rsid w:val="00C128FA"/>
    <w:rsid w:val="00C12C14"/>
    <w:rsid w:val="00C1309C"/>
    <w:rsid w:val="00C14301"/>
    <w:rsid w:val="00C1514E"/>
    <w:rsid w:val="00C15F04"/>
    <w:rsid w:val="00C179B3"/>
    <w:rsid w:val="00C17E3F"/>
    <w:rsid w:val="00C200AA"/>
    <w:rsid w:val="00C237ED"/>
    <w:rsid w:val="00C24632"/>
    <w:rsid w:val="00C25418"/>
    <w:rsid w:val="00C25D9C"/>
    <w:rsid w:val="00C26018"/>
    <w:rsid w:val="00C27110"/>
    <w:rsid w:val="00C2778B"/>
    <w:rsid w:val="00C30B98"/>
    <w:rsid w:val="00C30D6A"/>
    <w:rsid w:val="00C31649"/>
    <w:rsid w:val="00C32C43"/>
    <w:rsid w:val="00C3434C"/>
    <w:rsid w:val="00C363FE"/>
    <w:rsid w:val="00C36A3F"/>
    <w:rsid w:val="00C40385"/>
    <w:rsid w:val="00C407BB"/>
    <w:rsid w:val="00C40EE2"/>
    <w:rsid w:val="00C4157E"/>
    <w:rsid w:val="00C41768"/>
    <w:rsid w:val="00C431CF"/>
    <w:rsid w:val="00C47347"/>
    <w:rsid w:val="00C475AA"/>
    <w:rsid w:val="00C47914"/>
    <w:rsid w:val="00C47C77"/>
    <w:rsid w:val="00C52036"/>
    <w:rsid w:val="00C52073"/>
    <w:rsid w:val="00C527C7"/>
    <w:rsid w:val="00C53C98"/>
    <w:rsid w:val="00C54469"/>
    <w:rsid w:val="00C565FA"/>
    <w:rsid w:val="00C56739"/>
    <w:rsid w:val="00C5685B"/>
    <w:rsid w:val="00C56FCF"/>
    <w:rsid w:val="00C57B10"/>
    <w:rsid w:val="00C57B6C"/>
    <w:rsid w:val="00C60211"/>
    <w:rsid w:val="00C60222"/>
    <w:rsid w:val="00C61A59"/>
    <w:rsid w:val="00C61A61"/>
    <w:rsid w:val="00C628A6"/>
    <w:rsid w:val="00C634F9"/>
    <w:rsid w:val="00C63AE8"/>
    <w:rsid w:val="00C64344"/>
    <w:rsid w:val="00C65108"/>
    <w:rsid w:val="00C65576"/>
    <w:rsid w:val="00C65840"/>
    <w:rsid w:val="00C66165"/>
    <w:rsid w:val="00C665C8"/>
    <w:rsid w:val="00C7060A"/>
    <w:rsid w:val="00C708FC"/>
    <w:rsid w:val="00C71372"/>
    <w:rsid w:val="00C7151A"/>
    <w:rsid w:val="00C717E3"/>
    <w:rsid w:val="00C71F60"/>
    <w:rsid w:val="00C72241"/>
    <w:rsid w:val="00C725FB"/>
    <w:rsid w:val="00C73968"/>
    <w:rsid w:val="00C750C8"/>
    <w:rsid w:val="00C75501"/>
    <w:rsid w:val="00C7560F"/>
    <w:rsid w:val="00C7611B"/>
    <w:rsid w:val="00C774C7"/>
    <w:rsid w:val="00C774FC"/>
    <w:rsid w:val="00C80A0E"/>
    <w:rsid w:val="00C8213F"/>
    <w:rsid w:val="00C8303F"/>
    <w:rsid w:val="00C83A03"/>
    <w:rsid w:val="00C84816"/>
    <w:rsid w:val="00C84D5A"/>
    <w:rsid w:val="00C85154"/>
    <w:rsid w:val="00C85A70"/>
    <w:rsid w:val="00C8797A"/>
    <w:rsid w:val="00C900B8"/>
    <w:rsid w:val="00C90197"/>
    <w:rsid w:val="00C90B70"/>
    <w:rsid w:val="00C90C71"/>
    <w:rsid w:val="00C91FD1"/>
    <w:rsid w:val="00C92B61"/>
    <w:rsid w:val="00C931CF"/>
    <w:rsid w:val="00C938CF"/>
    <w:rsid w:val="00C94017"/>
    <w:rsid w:val="00C94053"/>
    <w:rsid w:val="00C9624D"/>
    <w:rsid w:val="00C969DA"/>
    <w:rsid w:val="00C97032"/>
    <w:rsid w:val="00C97367"/>
    <w:rsid w:val="00CA1D29"/>
    <w:rsid w:val="00CA2C77"/>
    <w:rsid w:val="00CA304F"/>
    <w:rsid w:val="00CA4033"/>
    <w:rsid w:val="00CA444F"/>
    <w:rsid w:val="00CA4619"/>
    <w:rsid w:val="00CA5245"/>
    <w:rsid w:val="00CA6BD2"/>
    <w:rsid w:val="00CA71F4"/>
    <w:rsid w:val="00CA7951"/>
    <w:rsid w:val="00CA7B09"/>
    <w:rsid w:val="00CB019C"/>
    <w:rsid w:val="00CB03F2"/>
    <w:rsid w:val="00CB12A5"/>
    <w:rsid w:val="00CB1CAC"/>
    <w:rsid w:val="00CB2588"/>
    <w:rsid w:val="00CB2F2A"/>
    <w:rsid w:val="00CB3631"/>
    <w:rsid w:val="00CB3A84"/>
    <w:rsid w:val="00CB54ED"/>
    <w:rsid w:val="00CB55C3"/>
    <w:rsid w:val="00CB5B1A"/>
    <w:rsid w:val="00CB6B22"/>
    <w:rsid w:val="00CB7888"/>
    <w:rsid w:val="00CB7F5F"/>
    <w:rsid w:val="00CC0496"/>
    <w:rsid w:val="00CC116C"/>
    <w:rsid w:val="00CC1B39"/>
    <w:rsid w:val="00CC1BFA"/>
    <w:rsid w:val="00CC1D88"/>
    <w:rsid w:val="00CC2495"/>
    <w:rsid w:val="00CC2634"/>
    <w:rsid w:val="00CC2E9F"/>
    <w:rsid w:val="00CC35EA"/>
    <w:rsid w:val="00CC3848"/>
    <w:rsid w:val="00CC3AA8"/>
    <w:rsid w:val="00CC3E32"/>
    <w:rsid w:val="00CC5AF1"/>
    <w:rsid w:val="00CC66B5"/>
    <w:rsid w:val="00CC6D5E"/>
    <w:rsid w:val="00CC6FAE"/>
    <w:rsid w:val="00CC7610"/>
    <w:rsid w:val="00CC7D5A"/>
    <w:rsid w:val="00CD0200"/>
    <w:rsid w:val="00CD09EC"/>
    <w:rsid w:val="00CD39FF"/>
    <w:rsid w:val="00CD3F77"/>
    <w:rsid w:val="00CD6189"/>
    <w:rsid w:val="00CD6ADC"/>
    <w:rsid w:val="00CD7193"/>
    <w:rsid w:val="00CE0545"/>
    <w:rsid w:val="00CE07B4"/>
    <w:rsid w:val="00CE2280"/>
    <w:rsid w:val="00CE3463"/>
    <w:rsid w:val="00CE36CD"/>
    <w:rsid w:val="00CE38C8"/>
    <w:rsid w:val="00CE4F1C"/>
    <w:rsid w:val="00CE524F"/>
    <w:rsid w:val="00CE56F9"/>
    <w:rsid w:val="00CE58CC"/>
    <w:rsid w:val="00CE6274"/>
    <w:rsid w:val="00CE6A59"/>
    <w:rsid w:val="00CE756D"/>
    <w:rsid w:val="00CE77B6"/>
    <w:rsid w:val="00CF2A39"/>
    <w:rsid w:val="00CF2B8D"/>
    <w:rsid w:val="00CF3529"/>
    <w:rsid w:val="00CF3A1B"/>
    <w:rsid w:val="00CF3E4E"/>
    <w:rsid w:val="00CF40B0"/>
    <w:rsid w:val="00CF456B"/>
    <w:rsid w:val="00CF4899"/>
    <w:rsid w:val="00CF49E6"/>
    <w:rsid w:val="00CF55F4"/>
    <w:rsid w:val="00CF5A22"/>
    <w:rsid w:val="00CF5C33"/>
    <w:rsid w:val="00CF6675"/>
    <w:rsid w:val="00CF75FE"/>
    <w:rsid w:val="00CF79FA"/>
    <w:rsid w:val="00D0163E"/>
    <w:rsid w:val="00D01B1C"/>
    <w:rsid w:val="00D0262E"/>
    <w:rsid w:val="00D033E7"/>
    <w:rsid w:val="00D03679"/>
    <w:rsid w:val="00D04356"/>
    <w:rsid w:val="00D05E3D"/>
    <w:rsid w:val="00D06139"/>
    <w:rsid w:val="00D06BBD"/>
    <w:rsid w:val="00D1050D"/>
    <w:rsid w:val="00D10DF9"/>
    <w:rsid w:val="00D110BD"/>
    <w:rsid w:val="00D132BD"/>
    <w:rsid w:val="00D13675"/>
    <w:rsid w:val="00D141E1"/>
    <w:rsid w:val="00D146D6"/>
    <w:rsid w:val="00D147FD"/>
    <w:rsid w:val="00D14E4A"/>
    <w:rsid w:val="00D14F3F"/>
    <w:rsid w:val="00D15314"/>
    <w:rsid w:val="00D15B48"/>
    <w:rsid w:val="00D17D6C"/>
    <w:rsid w:val="00D2155B"/>
    <w:rsid w:val="00D22EAF"/>
    <w:rsid w:val="00D2392C"/>
    <w:rsid w:val="00D23D11"/>
    <w:rsid w:val="00D244B6"/>
    <w:rsid w:val="00D25E6A"/>
    <w:rsid w:val="00D2691D"/>
    <w:rsid w:val="00D26F69"/>
    <w:rsid w:val="00D2754B"/>
    <w:rsid w:val="00D2754D"/>
    <w:rsid w:val="00D27B27"/>
    <w:rsid w:val="00D30D5B"/>
    <w:rsid w:val="00D31CE9"/>
    <w:rsid w:val="00D33173"/>
    <w:rsid w:val="00D33BE9"/>
    <w:rsid w:val="00D33F93"/>
    <w:rsid w:val="00D357FF"/>
    <w:rsid w:val="00D40B0C"/>
    <w:rsid w:val="00D414B1"/>
    <w:rsid w:val="00D41A04"/>
    <w:rsid w:val="00D41FC7"/>
    <w:rsid w:val="00D424C7"/>
    <w:rsid w:val="00D43793"/>
    <w:rsid w:val="00D43B2A"/>
    <w:rsid w:val="00D43C3E"/>
    <w:rsid w:val="00D43CF1"/>
    <w:rsid w:val="00D43D83"/>
    <w:rsid w:val="00D44BD9"/>
    <w:rsid w:val="00D44F18"/>
    <w:rsid w:val="00D464B0"/>
    <w:rsid w:val="00D46CD2"/>
    <w:rsid w:val="00D47575"/>
    <w:rsid w:val="00D50E8E"/>
    <w:rsid w:val="00D50ED0"/>
    <w:rsid w:val="00D5243B"/>
    <w:rsid w:val="00D5331F"/>
    <w:rsid w:val="00D533EC"/>
    <w:rsid w:val="00D53E70"/>
    <w:rsid w:val="00D55D28"/>
    <w:rsid w:val="00D56A95"/>
    <w:rsid w:val="00D6076E"/>
    <w:rsid w:val="00D609D3"/>
    <w:rsid w:val="00D60BFE"/>
    <w:rsid w:val="00D618B7"/>
    <w:rsid w:val="00D621CE"/>
    <w:rsid w:val="00D646A7"/>
    <w:rsid w:val="00D648DE"/>
    <w:rsid w:val="00D64EE0"/>
    <w:rsid w:val="00D65828"/>
    <w:rsid w:val="00D65884"/>
    <w:rsid w:val="00D659B9"/>
    <w:rsid w:val="00D66C89"/>
    <w:rsid w:val="00D67804"/>
    <w:rsid w:val="00D70F16"/>
    <w:rsid w:val="00D725CD"/>
    <w:rsid w:val="00D72617"/>
    <w:rsid w:val="00D728B8"/>
    <w:rsid w:val="00D72F57"/>
    <w:rsid w:val="00D73401"/>
    <w:rsid w:val="00D74F1A"/>
    <w:rsid w:val="00D75EA8"/>
    <w:rsid w:val="00D76579"/>
    <w:rsid w:val="00D76A44"/>
    <w:rsid w:val="00D76B9F"/>
    <w:rsid w:val="00D76E40"/>
    <w:rsid w:val="00D8061B"/>
    <w:rsid w:val="00D80C92"/>
    <w:rsid w:val="00D815EF"/>
    <w:rsid w:val="00D8165D"/>
    <w:rsid w:val="00D81949"/>
    <w:rsid w:val="00D81F26"/>
    <w:rsid w:val="00D822E2"/>
    <w:rsid w:val="00D83E27"/>
    <w:rsid w:val="00D843F2"/>
    <w:rsid w:val="00D84A2E"/>
    <w:rsid w:val="00D84CFD"/>
    <w:rsid w:val="00D856CB"/>
    <w:rsid w:val="00D85B1C"/>
    <w:rsid w:val="00D86231"/>
    <w:rsid w:val="00D912AB"/>
    <w:rsid w:val="00D91923"/>
    <w:rsid w:val="00D9196B"/>
    <w:rsid w:val="00D91C81"/>
    <w:rsid w:val="00D92306"/>
    <w:rsid w:val="00D92996"/>
    <w:rsid w:val="00D92DB5"/>
    <w:rsid w:val="00D933D8"/>
    <w:rsid w:val="00D93753"/>
    <w:rsid w:val="00D93CB3"/>
    <w:rsid w:val="00D96E5B"/>
    <w:rsid w:val="00D977E1"/>
    <w:rsid w:val="00DA17A4"/>
    <w:rsid w:val="00DA3167"/>
    <w:rsid w:val="00DA3698"/>
    <w:rsid w:val="00DA4CA1"/>
    <w:rsid w:val="00DA4DC3"/>
    <w:rsid w:val="00DA72DF"/>
    <w:rsid w:val="00DA77A5"/>
    <w:rsid w:val="00DA7FF2"/>
    <w:rsid w:val="00DB06D1"/>
    <w:rsid w:val="00DB0A7B"/>
    <w:rsid w:val="00DB0E36"/>
    <w:rsid w:val="00DB1455"/>
    <w:rsid w:val="00DB288A"/>
    <w:rsid w:val="00DB33AC"/>
    <w:rsid w:val="00DB3DBF"/>
    <w:rsid w:val="00DB484F"/>
    <w:rsid w:val="00DB51D9"/>
    <w:rsid w:val="00DB62F4"/>
    <w:rsid w:val="00DB6F73"/>
    <w:rsid w:val="00DB73D4"/>
    <w:rsid w:val="00DC04F6"/>
    <w:rsid w:val="00DC0690"/>
    <w:rsid w:val="00DC0DD6"/>
    <w:rsid w:val="00DC1C7F"/>
    <w:rsid w:val="00DC1D65"/>
    <w:rsid w:val="00DC2844"/>
    <w:rsid w:val="00DC3C57"/>
    <w:rsid w:val="00DC3DFC"/>
    <w:rsid w:val="00DC406B"/>
    <w:rsid w:val="00DC4503"/>
    <w:rsid w:val="00DC5501"/>
    <w:rsid w:val="00DC5BD7"/>
    <w:rsid w:val="00DC5DE4"/>
    <w:rsid w:val="00DC5E12"/>
    <w:rsid w:val="00DC7154"/>
    <w:rsid w:val="00DC78C1"/>
    <w:rsid w:val="00DC7E8A"/>
    <w:rsid w:val="00DD0F78"/>
    <w:rsid w:val="00DD116A"/>
    <w:rsid w:val="00DD273C"/>
    <w:rsid w:val="00DD3F28"/>
    <w:rsid w:val="00DD4446"/>
    <w:rsid w:val="00DD4537"/>
    <w:rsid w:val="00DD4E15"/>
    <w:rsid w:val="00DE2304"/>
    <w:rsid w:val="00DE3138"/>
    <w:rsid w:val="00DE37F8"/>
    <w:rsid w:val="00DE4273"/>
    <w:rsid w:val="00DE4FCB"/>
    <w:rsid w:val="00DE5D07"/>
    <w:rsid w:val="00DE72A7"/>
    <w:rsid w:val="00DE7832"/>
    <w:rsid w:val="00DE7C67"/>
    <w:rsid w:val="00DF0096"/>
    <w:rsid w:val="00DF094C"/>
    <w:rsid w:val="00DF18FC"/>
    <w:rsid w:val="00DF22C2"/>
    <w:rsid w:val="00DF2F94"/>
    <w:rsid w:val="00DF3222"/>
    <w:rsid w:val="00DF39FD"/>
    <w:rsid w:val="00DF5D2B"/>
    <w:rsid w:val="00DF5EE3"/>
    <w:rsid w:val="00DF6341"/>
    <w:rsid w:val="00DF737A"/>
    <w:rsid w:val="00DF73F4"/>
    <w:rsid w:val="00E002F8"/>
    <w:rsid w:val="00E00B40"/>
    <w:rsid w:val="00E00E2E"/>
    <w:rsid w:val="00E00E8E"/>
    <w:rsid w:val="00E012DC"/>
    <w:rsid w:val="00E022C6"/>
    <w:rsid w:val="00E02373"/>
    <w:rsid w:val="00E02D51"/>
    <w:rsid w:val="00E05630"/>
    <w:rsid w:val="00E05D95"/>
    <w:rsid w:val="00E06334"/>
    <w:rsid w:val="00E06DBB"/>
    <w:rsid w:val="00E07A2D"/>
    <w:rsid w:val="00E07B24"/>
    <w:rsid w:val="00E10149"/>
    <w:rsid w:val="00E11340"/>
    <w:rsid w:val="00E114A2"/>
    <w:rsid w:val="00E115F7"/>
    <w:rsid w:val="00E11FE3"/>
    <w:rsid w:val="00E122A1"/>
    <w:rsid w:val="00E13464"/>
    <w:rsid w:val="00E13B6B"/>
    <w:rsid w:val="00E13DBC"/>
    <w:rsid w:val="00E16372"/>
    <w:rsid w:val="00E167FD"/>
    <w:rsid w:val="00E16AD8"/>
    <w:rsid w:val="00E1747A"/>
    <w:rsid w:val="00E174ED"/>
    <w:rsid w:val="00E17A00"/>
    <w:rsid w:val="00E17FFA"/>
    <w:rsid w:val="00E20E4D"/>
    <w:rsid w:val="00E20ED6"/>
    <w:rsid w:val="00E211EE"/>
    <w:rsid w:val="00E212D4"/>
    <w:rsid w:val="00E21358"/>
    <w:rsid w:val="00E22366"/>
    <w:rsid w:val="00E2249B"/>
    <w:rsid w:val="00E228AA"/>
    <w:rsid w:val="00E22A0D"/>
    <w:rsid w:val="00E244F6"/>
    <w:rsid w:val="00E25108"/>
    <w:rsid w:val="00E258DB"/>
    <w:rsid w:val="00E2771E"/>
    <w:rsid w:val="00E311EF"/>
    <w:rsid w:val="00E32180"/>
    <w:rsid w:val="00E34948"/>
    <w:rsid w:val="00E35427"/>
    <w:rsid w:val="00E37569"/>
    <w:rsid w:val="00E3787A"/>
    <w:rsid w:val="00E37CD6"/>
    <w:rsid w:val="00E401B2"/>
    <w:rsid w:val="00E41379"/>
    <w:rsid w:val="00E41E30"/>
    <w:rsid w:val="00E42F73"/>
    <w:rsid w:val="00E43D70"/>
    <w:rsid w:val="00E466F3"/>
    <w:rsid w:val="00E46E5D"/>
    <w:rsid w:val="00E47B2C"/>
    <w:rsid w:val="00E47CBF"/>
    <w:rsid w:val="00E51560"/>
    <w:rsid w:val="00E517E4"/>
    <w:rsid w:val="00E51821"/>
    <w:rsid w:val="00E52AA9"/>
    <w:rsid w:val="00E53FC8"/>
    <w:rsid w:val="00E54347"/>
    <w:rsid w:val="00E55424"/>
    <w:rsid w:val="00E55915"/>
    <w:rsid w:val="00E55BB5"/>
    <w:rsid w:val="00E56425"/>
    <w:rsid w:val="00E611DF"/>
    <w:rsid w:val="00E61AA9"/>
    <w:rsid w:val="00E61F7C"/>
    <w:rsid w:val="00E62F4D"/>
    <w:rsid w:val="00E646F4"/>
    <w:rsid w:val="00E65E79"/>
    <w:rsid w:val="00E66137"/>
    <w:rsid w:val="00E66BA2"/>
    <w:rsid w:val="00E67416"/>
    <w:rsid w:val="00E67F13"/>
    <w:rsid w:val="00E70A47"/>
    <w:rsid w:val="00E718B6"/>
    <w:rsid w:val="00E723BA"/>
    <w:rsid w:val="00E724A9"/>
    <w:rsid w:val="00E73581"/>
    <w:rsid w:val="00E735C6"/>
    <w:rsid w:val="00E7461B"/>
    <w:rsid w:val="00E765B6"/>
    <w:rsid w:val="00E76CDB"/>
    <w:rsid w:val="00E81DCD"/>
    <w:rsid w:val="00E81F35"/>
    <w:rsid w:val="00E833F7"/>
    <w:rsid w:val="00E8357B"/>
    <w:rsid w:val="00E83B32"/>
    <w:rsid w:val="00E83BDF"/>
    <w:rsid w:val="00E845B9"/>
    <w:rsid w:val="00E862B9"/>
    <w:rsid w:val="00E86FCC"/>
    <w:rsid w:val="00E87A1D"/>
    <w:rsid w:val="00E9094A"/>
    <w:rsid w:val="00E91D35"/>
    <w:rsid w:val="00E926A5"/>
    <w:rsid w:val="00E93FAF"/>
    <w:rsid w:val="00E94F57"/>
    <w:rsid w:val="00E962CC"/>
    <w:rsid w:val="00E97438"/>
    <w:rsid w:val="00EA17C3"/>
    <w:rsid w:val="00EA1818"/>
    <w:rsid w:val="00EA1943"/>
    <w:rsid w:val="00EA244C"/>
    <w:rsid w:val="00EA2CAA"/>
    <w:rsid w:val="00EA3864"/>
    <w:rsid w:val="00EA54B1"/>
    <w:rsid w:val="00EA79D0"/>
    <w:rsid w:val="00EA7F1C"/>
    <w:rsid w:val="00EB0FAB"/>
    <w:rsid w:val="00EB15B6"/>
    <w:rsid w:val="00EB1DBB"/>
    <w:rsid w:val="00EB3D06"/>
    <w:rsid w:val="00EB4916"/>
    <w:rsid w:val="00EB6563"/>
    <w:rsid w:val="00EB6792"/>
    <w:rsid w:val="00EB7144"/>
    <w:rsid w:val="00EC00C9"/>
    <w:rsid w:val="00EC0DD9"/>
    <w:rsid w:val="00EC2649"/>
    <w:rsid w:val="00EC31ED"/>
    <w:rsid w:val="00EC340B"/>
    <w:rsid w:val="00EC34F5"/>
    <w:rsid w:val="00EC46BF"/>
    <w:rsid w:val="00EC5836"/>
    <w:rsid w:val="00EC688C"/>
    <w:rsid w:val="00ED0A11"/>
    <w:rsid w:val="00ED12E3"/>
    <w:rsid w:val="00ED1D43"/>
    <w:rsid w:val="00ED28D0"/>
    <w:rsid w:val="00ED4B04"/>
    <w:rsid w:val="00ED4CC0"/>
    <w:rsid w:val="00ED4E70"/>
    <w:rsid w:val="00ED5751"/>
    <w:rsid w:val="00ED57EA"/>
    <w:rsid w:val="00ED5BD4"/>
    <w:rsid w:val="00ED5CA7"/>
    <w:rsid w:val="00ED63EA"/>
    <w:rsid w:val="00ED69CA"/>
    <w:rsid w:val="00ED7F6D"/>
    <w:rsid w:val="00EE07D3"/>
    <w:rsid w:val="00EE1996"/>
    <w:rsid w:val="00EE1C01"/>
    <w:rsid w:val="00EE22AF"/>
    <w:rsid w:val="00EE2314"/>
    <w:rsid w:val="00EE25C6"/>
    <w:rsid w:val="00EE5EF3"/>
    <w:rsid w:val="00EF0171"/>
    <w:rsid w:val="00EF1694"/>
    <w:rsid w:val="00EF1B25"/>
    <w:rsid w:val="00EF1DA0"/>
    <w:rsid w:val="00EF31D2"/>
    <w:rsid w:val="00EF3932"/>
    <w:rsid w:val="00EF3A1C"/>
    <w:rsid w:val="00EF3F7A"/>
    <w:rsid w:val="00EF4747"/>
    <w:rsid w:val="00EF4BF8"/>
    <w:rsid w:val="00EF506D"/>
    <w:rsid w:val="00EF55AD"/>
    <w:rsid w:val="00EF5720"/>
    <w:rsid w:val="00EF62CD"/>
    <w:rsid w:val="00EF6609"/>
    <w:rsid w:val="00EF662C"/>
    <w:rsid w:val="00EF7387"/>
    <w:rsid w:val="00EF79EA"/>
    <w:rsid w:val="00F00904"/>
    <w:rsid w:val="00F013A4"/>
    <w:rsid w:val="00F01916"/>
    <w:rsid w:val="00F02253"/>
    <w:rsid w:val="00F02B9A"/>
    <w:rsid w:val="00F03168"/>
    <w:rsid w:val="00F03C2E"/>
    <w:rsid w:val="00F03C67"/>
    <w:rsid w:val="00F04A66"/>
    <w:rsid w:val="00F04B4B"/>
    <w:rsid w:val="00F0516C"/>
    <w:rsid w:val="00F067A2"/>
    <w:rsid w:val="00F07B9E"/>
    <w:rsid w:val="00F102D2"/>
    <w:rsid w:val="00F10F2E"/>
    <w:rsid w:val="00F110FD"/>
    <w:rsid w:val="00F1116F"/>
    <w:rsid w:val="00F11EF9"/>
    <w:rsid w:val="00F1263A"/>
    <w:rsid w:val="00F139C5"/>
    <w:rsid w:val="00F148C0"/>
    <w:rsid w:val="00F15B77"/>
    <w:rsid w:val="00F16134"/>
    <w:rsid w:val="00F163CD"/>
    <w:rsid w:val="00F17F1A"/>
    <w:rsid w:val="00F203C7"/>
    <w:rsid w:val="00F20635"/>
    <w:rsid w:val="00F21236"/>
    <w:rsid w:val="00F2184A"/>
    <w:rsid w:val="00F231F2"/>
    <w:rsid w:val="00F239DF"/>
    <w:rsid w:val="00F24837"/>
    <w:rsid w:val="00F24D95"/>
    <w:rsid w:val="00F25394"/>
    <w:rsid w:val="00F2575F"/>
    <w:rsid w:val="00F25E89"/>
    <w:rsid w:val="00F27565"/>
    <w:rsid w:val="00F27708"/>
    <w:rsid w:val="00F27F7F"/>
    <w:rsid w:val="00F3015A"/>
    <w:rsid w:val="00F310D4"/>
    <w:rsid w:val="00F31D5A"/>
    <w:rsid w:val="00F32959"/>
    <w:rsid w:val="00F32A9D"/>
    <w:rsid w:val="00F32EF4"/>
    <w:rsid w:val="00F33975"/>
    <w:rsid w:val="00F33DE9"/>
    <w:rsid w:val="00F35E6D"/>
    <w:rsid w:val="00F3619A"/>
    <w:rsid w:val="00F36295"/>
    <w:rsid w:val="00F37CB4"/>
    <w:rsid w:val="00F4096E"/>
    <w:rsid w:val="00F40AAA"/>
    <w:rsid w:val="00F40BA7"/>
    <w:rsid w:val="00F40F9D"/>
    <w:rsid w:val="00F41626"/>
    <w:rsid w:val="00F41832"/>
    <w:rsid w:val="00F41A57"/>
    <w:rsid w:val="00F41ACD"/>
    <w:rsid w:val="00F43C94"/>
    <w:rsid w:val="00F4412F"/>
    <w:rsid w:val="00F449A0"/>
    <w:rsid w:val="00F44E2D"/>
    <w:rsid w:val="00F45660"/>
    <w:rsid w:val="00F46CB6"/>
    <w:rsid w:val="00F4756D"/>
    <w:rsid w:val="00F47DE8"/>
    <w:rsid w:val="00F52627"/>
    <w:rsid w:val="00F542C1"/>
    <w:rsid w:val="00F547DD"/>
    <w:rsid w:val="00F550E3"/>
    <w:rsid w:val="00F55E73"/>
    <w:rsid w:val="00F55EDA"/>
    <w:rsid w:val="00F56B4B"/>
    <w:rsid w:val="00F56C80"/>
    <w:rsid w:val="00F5752D"/>
    <w:rsid w:val="00F57730"/>
    <w:rsid w:val="00F60092"/>
    <w:rsid w:val="00F60989"/>
    <w:rsid w:val="00F61C18"/>
    <w:rsid w:val="00F61C87"/>
    <w:rsid w:val="00F6244B"/>
    <w:rsid w:val="00F62730"/>
    <w:rsid w:val="00F6326B"/>
    <w:rsid w:val="00F65800"/>
    <w:rsid w:val="00F65F4B"/>
    <w:rsid w:val="00F67A69"/>
    <w:rsid w:val="00F67E4F"/>
    <w:rsid w:val="00F70BFF"/>
    <w:rsid w:val="00F70C9D"/>
    <w:rsid w:val="00F7250C"/>
    <w:rsid w:val="00F73E08"/>
    <w:rsid w:val="00F74CD9"/>
    <w:rsid w:val="00F80A7B"/>
    <w:rsid w:val="00F80E5D"/>
    <w:rsid w:val="00F812F6"/>
    <w:rsid w:val="00F81E78"/>
    <w:rsid w:val="00F83916"/>
    <w:rsid w:val="00F84611"/>
    <w:rsid w:val="00F851CE"/>
    <w:rsid w:val="00F91219"/>
    <w:rsid w:val="00F914AC"/>
    <w:rsid w:val="00F92444"/>
    <w:rsid w:val="00F92906"/>
    <w:rsid w:val="00F929F2"/>
    <w:rsid w:val="00F92DD5"/>
    <w:rsid w:val="00F9393E"/>
    <w:rsid w:val="00F94009"/>
    <w:rsid w:val="00F962EF"/>
    <w:rsid w:val="00F96BB3"/>
    <w:rsid w:val="00F96FD0"/>
    <w:rsid w:val="00F97A78"/>
    <w:rsid w:val="00F97B73"/>
    <w:rsid w:val="00FA0B20"/>
    <w:rsid w:val="00FA11D8"/>
    <w:rsid w:val="00FA24E7"/>
    <w:rsid w:val="00FA35EA"/>
    <w:rsid w:val="00FA5EE6"/>
    <w:rsid w:val="00FA71F5"/>
    <w:rsid w:val="00FA7956"/>
    <w:rsid w:val="00FB06BC"/>
    <w:rsid w:val="00FB0824"/>
    <w:rsid w:val="00FB0914"/>
    <w:rsid w:val="00FB09ED"/>
    <w:rsid w:val="00FB0DBF"/>
    <w:rsid w:val="00FB18B9"/>
    <w:rsid w:val="00FB2FCB"/>
    <w:rsid w:val="00FB3423"/>
    <w:rsid w:val="00FB3F6F"/>
    <w:rsid w:val="00FB4C9C"/>
    <w:rsid w:val="00FB7C55"/>
    <w:rsid w:val="00FC1074"/>
    <w:rsid w:val="00FC1884"/>
    <w:rsid w:val="00FC1D9C"/>
    <w:rsid w:val="00FC371D"/>
    <w:rsid w:val="00FC5F0B"/>
    <w:rsid w:val="00FC5F53"/>
    <w:rsid w:val="00FD1D70"/>
    <w:rsid w:val="00FD1FCB"/>
    <w:rsid w:val="00FD2100"/>
    <w:rsid w:val="00FD32CF"/>
    <w:rsid w:val="00FD436C"/>
    <w:rsid w:val="00FD446D"/>
    <w:rsid w:val="00FD4555"/>
    <w:rsid w:val="00FD4AF7"/>
    <w:rsid w:val="00FD4F2C"/>
    <w:rsid w:val="00FD6394"/>
    <w:rsid w:val="00FD665D"/>
    <w:rsid w:val="00FD7EDC"/>
    <w:rsid w:val="00FE0E6C"/>
    <w:rsid w:val="00FE1CDC"/>
    <w:rsid w:val="00FE1DE5"/>
    <w:rsid w:val="00FE46AA"/>
    <w:rsid w:val="00FE4B32"/>
    <w:rsid w:val="00FE5E84"/>
    <w:rsid w:val="00FE70C3"/>
    <w:rsid w:val="00FE788C"/>
    <w:rsid w:val="00FF1A8B"/>
    <w:rsid w:val="00FF2AD9"/>
    <w:rsid w:val="00FF359F"/>
    <w:rsid w:val="00FF3DCF"/>
    <w:rsid w:val="00FF492C"/>
    <w:rsid w:val="00FF4A21"/>
    <w:rsid w:val="00FF52FC"/>
    <w:rsid w:val="00FF5A51"/>
    <w:rsid w:val="00FF5AA3"/>
    <w:rsid w:val="00FF5AD8"/>
    <w:rsid w:val="00FF7489"/>
    <w:rsid w:val="1D9F4A45"/>
    <w:rsid w:val="1F9740B9"/>
    <w:rsid w:val="4C054F09"/>
    <w:rsid w:val="669CEFAF"/>
    <w:rsid w:val="75D2F3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DC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8D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 H17,12+,12,! Q"/>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12+ Char"/>
    <w:link w:val="Caption"/>
    <w:uiPriority w:val="35"/>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Figure_name,Numbered Indented Text,Bullet- First level,List NUmber,Listenabsatz1"/>
    <w:basedOn w:val="Normal"/>
    <w:next w:val="ListBullet"/>
    <w:link w:val="ListParagraphChar"/>
    <w:uiPriority w:val="34"/>
    <w:qFormat/>
    <w:rsid w:val="007516BE"/>
    <w:pPr>
      <w:numPr>
        <w:numId w:val="2"/>
      </w:numPr>
      <w:spacing w:after="120"/>
      <w:ind w:left="1077" w:hanging="357"/>
    </w:pPr>
    <w:rPr>
      <w:rFonts w:asciiTheme="minorHAnsi" w:hAnsiTheme="minorHAnsi"/>
      <w:snapToGrid w:val="0"/>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Figure_name Char"/>
    <w:basedOn w:val="DefaultParagraphFont"/>
    <w:link w:val="ListParagraph"/>
    <w:uiPriority w:val="34"/>
    <w:qFormat/>
    <w:locked/>
    <w:rsid w:val="007516BE"/>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Dossier table,Section 3- footnotes,Summary Table,HTAtableplain,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ind w:left="720" w:hanging="360"/>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E167FD"/>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E167FD"/>
    <w:rPr>
      <w:rFonts w:asciiTheme="minorHAnsi" w:eastAsiaTheme="minorHAnsi" w:hAnsiTheme="minorHAnsi" w:cstheme="minorHAnsi"/>
      <w:color w:val="3366FF"/>
      <w:sz w:val="24"/>
      <w:szCs w:val="22"/>
      <w:lang w:eastAsia="en-US"/>
    </w:rPr>
  </w:style>
  <w:style w:type="paragraph" w:styleId="FootnoteText">
    <w:name w:val="footnote text"/>
    <w:basedOn w:val="Normal"/>
    <w:link w:val="FootnoteTextChar"/>
    <w:unhideWhenUsed/>
    <w:rsid w:val="00C47C77"/>
    <w:rPr>
      <w:sz w:val="20"/>
      <w:szCs w:val="20"/>
    </w:rPr>
  </w:style>
  <w:style w:type="character" w:customStyle="1" w:styleId="FootnoteTextChar">
    <w:name w:val="Footnote Text Char"/>
    <w:basedOn w:val="DefaultParagraphFont"/>
    <w:link w:val="FootnoteText"/>
    <w:rsid w:val="00C47C77"/>
    <w:rPr>
      <w:rFonts w:ascii="Calibri" w:hAnsi="Calibri" w:cs="Arial"/>
    </w:rPr>
  </w:style>
  <w:style w:type="character" w:styleId="FootnoteReference">
    <w:name w:val="footnote reference"/>
    <w:basedOn w:val="DefaultParagraphFont"/>
    <w:unhideWhenUsed/>
    <w:rsid w:val="00C47C77"/>
    <w:rPr>
      <w:vertAlign w:val="superscript"/>
    </w:rPr>
  </w:style>
  <w:style w:type="table" w:customStyle="1" w:styleId="HTATableshaded">
    <w:name w:val="HTA Table shaded"/>
    <w:basedOn w:val="TableNormal"/>
    <w:rsid w:val="00B06F8C"/>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rsid w:val="0038647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
    <w:name w:val="HTA Table shaded4"/>
    <w:basedOn w:val="TableNormal"/>
    <w:rsid w:val="00E17A0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UnresolvedMention1">
    <w:name w:val="Unresolved Mention1"/>
    <w:basedOn w:val="DefaultParagraphFont"/>
    <w:uiPriority w:val="99"/>
    <w:semiHidden/>
    <w:unhideWhenUsed/>
    <w:rsid w:val="00284FA2"/>
    <w:rPr>
      <w:color w:val="605E5C"/>
      <w:shd w:val="clear" w:color="auto" w:fill="E1DFDD"/>
    </w:rPr>
  </w:style>
  <w:style w:type="table" w:customStyle="1" w:styleId="HTATableshaded5">
    <w:name w:val="HTA Table shaded5"/>
    <w:basedOn w:val="TableNormal"/>
    <w:rsid w:val="0019135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9">
    <w:name w:val="HTA Table shaded9"/>
    <w:basedOn w:val="TableNormal"/>
    <w:rsid w:val="00672A9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ndNoteBibliographyTitle">
    <w:name w:val="EndNote Bibliography Title"/>
    <w:basedOn w:val="Normal"/>
    <w:link w:val="EndNoteBibliographyTitleChar"/>
    <w:rsid w:val="00A561CB"/>
    <w:pPr>
      <w:jc w:val="center"/>
    </w:pPr>
    <w:rPr>
      <w:rFonts w:cs="Calibri"/>
      <w:noProof/>
    </w:rPr>
  </w:style>
  <w:style w:type="character" w:customStyle="1" w:styleId="EndNoteBibliographyTitleChar">
    <w:name w:val="EndNote Bibliography Title Char"/>
    <w:basedOn w:val="DefaultParagraphFont"/>
    <w:link w:val="EndNoteBibliographyTitle"/>
    <w:rsid w:val="00A561CB"/>
    <w:rPr>
      <w:rFonts w:ascii="Calibri" w:hAnsi="Calibri" w:cs="Calibri"/>
      <w:noProof/>
      <w:sz w:val="24"/>
      <w:szCs w:val="24"/>
    </w:rPr>
  </w:style>
  <w:style w:type="paragraph" w:customStyle="1" w:styleId="EndNoteBibliography">
    <w:name w:val="EndNote Bibliography"/>
    <w:basedOn w:val="Normal"/>
    <w:link w:val="EndNoteBibliographyChar"/>
    <w:rsid w:val="00A561CB"/>
    <w:rPr>
      <w:rFonts w:cs="Calibri"/>
      <w:noProof/>
    </w:rPr>
  </w:style>
  <w:style w:type="character" w:customStyle="1" w:styleId="EndNoteBibliographyChar">
    <w:name w:val="EndNote Bibliography Char"/>
    <w:basedOn w:val="DefaultParagraphFont"/>
    <w:link w:val="EndNoteBibliography"/>
    <w:rsid w:val="00A561CB"/>
    <w:rPr>
      <w:rFonts w:ascii="Calibri" w:hAnsi="Calibri" w:cs="Calibri"/>
      <w:noProof/>
      <w:sz w:val="24"/>
      <w:szCs w:val="24"/>
    </w:rPr>
  </w:style>
  <w:style w:type="paragraph" w:customStyle="1" w:styleId="TableFigureFooter">
    <w:name w:val="Table/Figure Footer"/>
    <w:basedOn w:val="Normal"/>
    <w:link w:val="TableFigureFooterChar"/>
    <w:qFormat/>
    <w:rsid w:val="00A561CB"/>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A561CB"/>
    <w:rPr>
      <w:rFonts w:ascii="Arial Narrow" w:hAnsi="Arial Narrow" w:cs="Arial"/>
      <w:snapToGrid w:val="0"/>
      <w:sz w:val="18"/>
      <w:szCs w:val="22"/>
    </w:rPr>
  </w:style>
  <w:style w:type="character" w:customStyle="1" w:styleId="ListBulletChar">
    <w:name w:val="List Bullet Char"/>
    <w:basedOn w:val="DefaultParagraphFont"/>
    <w:link w:val="ListBullet"/>
    <w:rsid w:val="00A561CB"/>
    <w:rPr>
      <w:rFonts w:ascii="Calibri" w:hAnsi="Calibri" w:cs="Arial"/>
      <w:sz w:val="24"/>
      <w:szCs w:val="24"/>
    </w:rPr>
  </w:style>
  <w:style w:type="paragraph" w:customStyle="1" w:styleId="Tablenotes">
    <w:name w:val="Tablenotes"/>
    <w:basedOn w:val="Normal"/>
    <w:link w:val="TablenotesChar"/>
    <w:qFormat/>
    <w:rsid w:val="00A561CB"/>
    <w:pPr>
      <w:widowControl w:val="0"/>
      <w:spacing w:before="20" w:after="360" w:line="269" w:lineRule="auto"/>
      <w:contextualSpacing/>
      <w:jc w:val="left"/>
    </w:pPr>
    <w:rPr>
      <w:rFonts w:ascii="Arial Narrow" w:hAnsi="Arial Narrow"/>
      <w:snapToGrid w:val="0"/>
      <w:sz w:val="18"/>
      <w:szCs w:val="20"/>
      <w:lang w:eastAsia="en-US"/>
    </w:rPr>
  </w:style>
  <w:style w:type="character" w:customStyle="1" w:styleId="TablenotesChar">
    <w:name w:val="Tablenotes Char"/>
    <w:basedOn w:val="DefaultParagraphFont"/>
    <w:link w:val="Tablenotes"/>
    <w:rsid w:val="00A561CB"/>
    <w:rPr>
      <w:rFonts w:ascii="Arial Narrow" w:hAnsi="Arial Narrow" w:cs="Arial"/>
      <w:snapToGrid w:val="0"/>
      <w:sz w:val="18"/>
      <w:lang w:eastAsia="en-US"/>
    </w:rPr>
  </w:style>
  <w:style w:type="paragraph" w:customStyle="1" w:styleId="TableText1">
    <w:name w:val="TableText"/>
    <w:basedOn w:val="Normal"/>
    <w:link w:val="TableTextChar1"/>
    <w:uiPriority w:val="1"/>
    <w:qFormat/>
    <w:rsid w:val="00A561CB"/>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1"/>
    <w:rsid w:val="00A561CB"/>
    <w:rPr>
      <w:rFonts w:ascii="Calibri" w:hAnsi="Calibri" w:cs="Calibri"/>
      <w:bCs/>
      <w:lang w:eastAsia="zh-CN"/>
    </w:rPr>
  </w:style>
  <w:style w:type="table" w:customStyle="1" w:styleId="Submissionstandard22">
    <w:name w:val="Submission standard22"/>
    <w:basedOn w:val="TableNormal"/>
    <w:uiPriority w:val="99"/>
    <w:qFormat/>
    <w:rsid w:val="00A561CB"/>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Yu Gothic UI Light" w:hAnsi="@Yu Gothic UI Light"/>
        <w:b/>
        <w:sz w:val="20"/>
      </w:rPr>
      <w:tblPr/>
      <w:tcPr>
        <w:shd w:val="clear" w:color="auto" w:fill="BFBFBF" w:themeFill="background1" w:themeFillShade="BF"/>
      </w:tcPr>
    </w:tblStylePr>
  </w:style>
  <w:style w:type="paragraph" w:customStyle="1" w:styleId="FirstParagraph">
    <w:name w:val="First Paragraph"/>
    <w:basedOn w:val="BodyText"/>
    <w:next w:val="BodyText"/>
    <w:qFormat/>
    <w:rsid w:val="00A561CB"/>
    <w:pPr>
      <w:spacing w:before="180" w:after="180"/>
    </w:pPr>
    <w:rPr>
      <w:rFonts w:asciiTheme="minorHAnsi" w:eastAsiaTheme="minorHAnsi" w:hAnsiTheme="minorHAnsi" w:cstheme="minorBidi"/>
      <w:lang w:val="en-US" w:eastAsia="en-US"/>
    </w:rPr>
  </w:style>
  <w:style w:type="table" w:customStyle="1" w:styleId="Table">
    <w:name w:val="Table"/>
    <w:semiHidden/>
    <w:qFormat/>
    <w:rsid w:val="00A561CB"/>
    <w:pPr>
      <w:spacing w:after="200"/>
    </w:pPr>
    <w:rPr>
      <w:rFonts w:asciiTheme="minorHAnsi" w:eastAsiaTheme="minorHAnsi" w:hAnsiTheme="minorHAnsi" w:cstheme="minorBidi"/>
      <w:sz w:val="24"/>
      <w:szCs w:val="24"/>
      <w:lang w:val="en-US" w:eastAsia="en-US"/>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customStyle="1" w:styleId="BodyTextES">
    <w:name w:val="Body Text ES"/>
    <w:basedOn w:val="BodyText"/>
    <w:link w:val="BodyTextESChar"/>
    <w:qFormat/>
    <w:rsid w:val="00A561CB"/>
    <w:pPr>
      <w:spacing w:before="120" w:after="120" w:line="288" w:lineRule="auto"/>
      <w:jc w:val="both"/>
    </w:pPr>
    <w:rPr>
      <w:rFonts w:asciiTheme="minorHAnsi" w:eastAsiaTheme="minorHAnsi" w:hAnsiTheme="minorHAnsi" w:cs="Tahoma"/>
      <w:sz w:val="22"/>
      <w:szCs w:val="22"/>
      <w:lang w:eastAsia="en-US"/>
    </w:rPr>
  </w:style>
  <w:style w:type="table" w:customStyle="1" w:styleId="Submissionstandard1">
    <w:name w:val="Submission standard1"/>
    <w:basedOn w:val="TableNormal"/>
    <w:uiPriority w:val="99"/>
    <w:qFormat/>
    <w:rsid w:val="00A561CB"/>
    <w:rPr>
      <w:rFonts w:ascii="Arial Narrow" w:eastAsiaTheme="majorEastAsia" w:hAnsi="Arial Narrow" w:cstheme="majorBidi"/>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eorgia Pro Cond" w:hAnsi="Georgia Pro Cond" w:cstheme="majorBidi" w:hint="default"/>
        <w:b/>
        <w:sz w:val="20"/>
        <w:szCs w:val="20"/>
      </w:rPr>
      <w:tblPr/>
      <w:tcPr>
        <w:shd w:val="clear" w:color="auto" w:fill="BFBFBF" w:themeFill="background1" w:themeFillShade="BF"/>
      </w:tcPr>
    </w:tblStylePr>
  </w:style>
  <w:style w:type="paragraph" w:styleId="ListNumber">
    <w:name w:val="List Number"/>
    <w:aliases w:val="List Number 1"/>
    <w:basedOn w:val="Normal"/>
    <w:qFormat/>
    <w:rsid w:val="004B1226"/>
    <w:pPr>
      <w:numPr>
        <w:numId w:val="14"/>
      </w:numPr>
      <w:spacing w:after="120"/>
      <w:jc w:val="left"/>
    </w:pPr>
    <w:rPr>
      <w:rFonts w:ascii="Calibri Light" w:hAnsi="Calibri Light" w:cs="Times New Roman"/>
      <w:sz w:val="22"/>
      <w:lang w:val="en-US" w:eastAsia="en-US"/>
    </w:rPr>
  </w:style>
  <w:style w:type="character" w:customStyle="1" w:styleId="ui-provider">
    <w:name w:val="ui-provider"/>
    <w:basedOn w:val="DefaultParagraphFont"/>
    <w:rsid w:val="0071626A"/>
  </w:style>
  <w:style w:type="character" w:styleId="Strong">
    <w:name w:val="Strong"/>
    <w:basedOn w:val="DefaultParagraphFont"/>
    <w:uiPriority w:val="22"/>
    <w:qFormat/>
    <w:rsid w:val="00660A08"/>
    <w:rPr>
      <w:iCs/>
    </w:rPr>
  </w:style>
  <w:style w:type="character" w:customStyle="1" w:styleId="eop">
    <w:name w:val="eop"/>
    <w:basedOn w:val="DefaultParagraphFont"/>
    <w:rsid w:val="00B0675E"/>
  </w:style>
  <w:style w:type="paragraph" w:customStyle="1" w:styleId="tablenumber">
    <w:name w:val="table number"/>
    <w:basedOn w:val="BodyTextES"/>
    <w:link w:val="tablenumberChar"/>
    <w:qFormat/>
    <w:rsid w:val="007123E5"/>
    <w:pPr>
      <w:numPr>
        <w:numId w:val="13"/>
      </w:numPr>
      <w:ind w:left="404" w:hanging="284"/>
    </w:pPr>
    <w:rPr>
      <w:rFonts w:ascii="Arial Narrow" w:hAnsi="Arial Narrow"/>
      <w:bCs/>
      <w:sz w:val="20"/>
    </w:rPr>
  </w:style>
  <w:style w:type="character" w:customStyle="1" w:styleId="BodyTextESChar">
    <w:name w:val="Body Text ES Char"/>
    <w:basedOn w:val="BodyTextChar"/>
    <w:link w:val="BodyTextES"/>
    <w:rsid w:val="007123E5"/>
    <w:rPr>
      <w:rFonts w:asciiTheme="minorHAnsi" w:eastAsiaTheme="minorHAnsi" w:hAnsiTheme="minorHAnsi" w:cs="Tahoma"/>
      <w:snapToGrid/>
      <w:sz w:val="22"/>
      <w:szCs w:val="22"/>
      <w:lang w:eastAsia="en-US"/>
    </w:rPr>
  </w:style>
  <w:style w:type="character" w:customStyle="1" w:styleId="tablenumberChar">
    <w:name w:val="table number Char"/>
    <w:basedOn w:val="BodyTextESChar"/>
    <w:link w:val="tablenumber"/>
    <w:rsid w:val="007123E5"/>
    <w:rPr>
      <w:rFonts w:ascii="Arial Narrow" w:eastAsiaTheme="minorHAnsi" w:hAnsi="Arial Narrow" w:cs="Tahoma"/>
      <w:bCs/>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314">
      <w:bodyDiv w:val="1"/>
      <w:marLeft w:val="0"/>
      <w:marRight w:val="0"/>
      <w:marTop w:val="0"/>
      <w:marBottom w:val="0"/>
      <w:divBdr>
        <w:top w:val="none" w:sz="0" w:space="0" w:color="auto"/>
        <w:left w:val="none" w:sz="0" w:space="0" w:color="auto"/>
        <w:bottom w:val="none" w:sz="0" w:space="0" w:color="auto"/>
        <w:right w:val="none" w:sz="0" w:space="0" w:color="auto"/>
      </w:divBdr>
      <w:divsChild>
        <w:div w:id="31001151">
          <w:marLeft w:val="0"/>
          <w:marRight w:val="0"/>
          <w:marTop w:val="0"/>
          <w:marBottom w:val="0"/>
          <w:divBdr>
            <w:top w:val="none" w:sz="0" w:space="0" w:color="auto"/>
            <w:left w:val="none" w:sz="0" w:space="0" w:color="auto"/>
            <w:bottom w:val="none" w:sz="0" w:space="0" w:color="auto"/>
            <w:right w:val="none" w:sz="0" w:space="0" w:color="auto"/>
          </w:divBdr>
          <w:divsChild>
            <w:div w:id="1218854032">
              <w:marLeft w:val="0"/>
              <w:marRight w:val="0"/>
              <w:marTop w:val="0"/>
              <w:marBottom w:val="0"/>
              <w:divBdr>
                <w:top w:val="none" w:sz="0" w:space="0" w:color="auto"/>
                <w:left w:val="none" w:sz="0" w:space="0" w:color="auto"/>
                <w:bottom w:val="none" w:sz="0" w:space="0" w:color="auto"/>
                <w:right w:val="none" w:sz="0" w:space="0" w:color="auto"/>
              </w:divBdr>
              <w:divsChild>
                <w:div w:id="9079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91900474">
      <w:bodyDiv w:val="1"/>
      <w:marLeft w:val="0"/>
      <w:marRight w:val="0"/>
      <w:marTop w:val="0"/>
      <w:marBottom w:val="0"/>
      <w:divBdr>
        <w:top w:val="none" w:sz="0" w:space="0" w:color="auto"/>
        <w:left w:val="none" w:sz="0" w:space="0" w:color="auto"/>
        <w:bottom w:val="none" w:sz="0" w:space="0" w:color="auto"/>
        <w:right w:val="none" w:sz="0" w:space="0" w:color="auto"/>
      </w:divBdr>
      <w:divsChild>
        <w:div w:id="1094516754">
          <w:marLeft w:val="0"/>
          <w:marRight w:val="0"/>
          <w:marTop w:val="0"/>
          <w:marBottom w:val="0"/>
          <w:divBdr>
            <w:top w:val="none" w:sz="0" w:space="0" w:color="auto"/>
            <w:left w:val="none" w:sz="0" w:space="0" w:color="auto"/>
            <w:bottom w:val="none" w:sz="0" w:space="0" w:color="auto"/>
            <w:right w:val="none" w:sz="0" w:space="0" w:color="auto"/>
          </w:divBdr>
          <w:divsChild>
            <w:div w:id="1575507035">
              <w:marLeft w:val="0"/>
              <w:marRight w:val="0"/>
              <w:marTop w:val="0"/>
              <w:marBottom w:val="0"/>
              <w:divBdr>
                <w:top w:val="none" w:sz="0" w:space="0" w:color="auto"/>
                <w:left w:val="none" w:sz="0" w:space="0" w:color="auto"/>
                <w:bottom w:val="none" w:sz="0" w:space="0" w:color="auto"/>
                <w:right w:val="none" w:sz="0" w:space="0" w:color="auto"/>
              </w:divBdr>
              <w:divsChild>
                <w:div w:id="14728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5890">
          <w:marLeft w:val="0"/>
          <w:marRight w:val="0"/>
          <w:marTop w:val="0"/>
          <w:marBottom w:val="0"/>
          <w:divBdr>
            <w:top w:val="none" w:sz="0" w:space="0" w:color="auto"/>
            <w:left w:val="none" w:sz="0" w:space="0" w:color="auto"/>
            <w:bottom w:val="none" w:sz="0" w:space="0" w:color="auto"/>
            <w:right w:val="none" w:sz="0" w:space="0" w:color="auto"/>
          </w:divBdr>
          <w:divsChild>
            <w:div w:id="68231508">
              <w:marLeft w:val="0"/>
              <w:marRight w:val="0"/>
              <w:marTop w:val="0"/>
              <w:marBottom w:val="0"/>
              <w:divBdr>
                <w:top w:val="none" w:sz="0" w:space="0" w:color="auto"/>
                <w:left w:val="none" w:sz="0" w:space="0" w:color="auto"/>
                <w:bottom w:val="none" w:sz="0" w:space="0" w:color="auto"/>
                <w:right w:val="none" w:sz="0" w:space="0" w:color="auto"/>
              </w:divBdr>
              <w:divsChild>
                <w:div w:id="11546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6617">
          <w:marLeft w:val="0"/>
          <w:marRight w:val="0"/>
          <w:marTop w:val="0"/>
          <w:marBottom w:val="0"/>
          <w:divBdr>
            <w:top w:val="none" w:sz="0" w:space="0" w:color="auto"/>
            <w:left w:val="none" w:sz="0" w:space="0" w:color="auto"/>
            <w:bottom w:val="none" w:sz="0" w:space="0" w:color="auto"/>
            <w:right w:val="none" w:sz="0" w:space="0" w:color="auto"/>
          </w:divBdr>
          <w:divsChild>
            <w:div w:id="366687660">
              <w:marLeft w:val="0"/>
              <w:marRight w:val="0"/>
              <w:marTop w:val="0"/>
              <w:marBottom w:val="0"/>
              <w:divBdr>
                <w:top w:val="none" w:sz="0" w:space="0" w:color="auto"/>
                <w:left w:val="none" w:sz="0" w:space="0" w:color="auto"/>
                <w:bottom w:val="none" w:sz="0" w:space="0" w:color="auto"/>
                <w:right w:val="none" w:sz="0" w:space="0" w:color="auto"/>
              </w:divBdr>
              <w:divsChild>
                <w:div w:id="4480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3849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70074269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32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icedsu.org.uk" TargetMode="External"/><Relationship Id="rId1" Type="http://schemas.openxmlformats.org/officeDocument/2006/relationships/hyperlink" Target="https://clinicaltrials.gov/ct2/show/NCT04129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9806-B3B9-4FE1-892E-8B3174C87F63}">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15084</Words>
  <Characters>86648</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2023-10-24T22:21:00Z</dcterms:created>
  <dcterms:modified xsi:type="dcterms:W3CDTF">2023-10-24T22:43:00Z</dcterms:modified>
</cp:coreProperties>
</file>